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What are the legal options for a family in case of extra marital relationships?</w:t>
      </w:r>
    </w:p>
    <w:p w:rsidR="00000000" w:rsidDel="00000000" w:rsidP="00000000" w:rsidRDefault="00000000" w:rsidRPr="00000000" w14:paraId="00000001">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Women in 5th century Athens, as outlined by Roger Just in </w:t>
      </w:r>
      <w:r w:rsidDel="00000000" w:rsidR="00000000" w:rsidRPr="00000000">
        <w:rPr>
          <w:rFonts w:ascii="Calibri" w:cs="Calibri" w:eastAsia="Calibri" w:hAnsi="Calibri"/>
          <w:i w:val="1"/>
          <w:sz w:val="24"/>
          <w:szCs w:val="24"/>
          <w:rtl w:val="0"/>
        </w:rPr>
        <w:t xml:space="preserve">Women in Athenian law and life</w:t>
      </w:r>
      <w:r w:rsidDel="00000000" w:rsidR="00000000" w:rsidRPr="00000000">
        <w:rPr>
          <w:rFonts w:ascii="Calibri" w:cs="Calibri" w:eastAsia="Calibri" w:hAnsi="Calibri"/>
          <w:sz w:val="24"/>
          <w:szCs w:val="24"/>
          <w:rtl w:val="0"/>
        </w:rPr>
        <w:t xml:space="preserve">, was not considered a </w:t>
      </w:r>
      <w:r w:rsidDel="00000000" w:rsidR="00000000" w:rsidRPr="00000000">
        <w:rPr>
          <w:rFonts w:ascii="Calibri" w:cs="Calibri" w:eastAsia="Calibri" w:hAnsi="Calibri"/>
          <w:i w:val="1"/>
          <w:sz w:val="24"/>
          <w:szCs w:val="24"/>
          <w:rtl w:val="0"/>
        </w:rPr>
        <w:t xml:space="preserve">“legally competent, autonomous individual responsible for her own actions or capable of determining her own interests”</w:t>
      </w:r>
      <w:r w:rsidDel="00000000" w:rsidR="00000000" w:rsidRPr="00000000">
        <w:rPr>
          <w:rFonts w:ascii="Calibri" w:cs="Calibri" w:eastAsia="Calibri" w:hAnsi="Calibri"/>
          <w:sz w:val="24"/>
          <w:szCs w:val="24"/>
          <w:vertAlign w:val="superscript"/>
        </w:rPr>
        <w:footnoteReference w:customMarkFollows="0" w:id="0"/>
      </w:r>
      <w:r w:rsidDel="00000000" w:rsidR="00000000" w:rsidRPr="00000000">
        <w:rPr>
          <w:rFonts w:ascii="Calibri" w:cs="Calibri" w:eastAsia="Calibri" w:hAnsi="Calibri"/>
          <w:sz w:val="24"/>
          <w:szCs w:val="24"/>
          <w:rtl w:val="0"/>
        </w:rPr>
        <w:t xml:space="preserve">, and remained under the care of her guardian the </w:t>
      </w:r>
      <w:r w:rsidDel="00000000" w:rsidR="00000000" w:rsidRPr="00000000">
        <w:rPr>
          <w:rFonts w:ascii="Calibri" w:cs="Calibri" w:eastAsia="Calibri" w:hAnsi="Calibri"/>
          <w:i w:val="1"/>
          <w:sz w:val="24"/>
          <w:szCs w:val="24"/>
          <w:rtl w:val="0"/>
        </w:rPr>
        <w:t xml:space="preserve">kyrios</w:t>
      </w:r>
      <w:r w:rsidDel="00000000" w:rsidR="00000000" w:rsidRPr="00000000">
        <w:rPr>
          <w:rFonts w:ascii="Calibri" w:cs="Calibri" w:eastAsia="Calibri" w:hAnsi="Calibri"/>
          <w:sz w:val="24"/>
          <w:szCs w:val="24"/>
          <w:rtl w:val="0"/>
        </w:rPr>
        <w:t xml:space="preserve">, who was either her father, her brother, or paternal grandfather (R.Just 1991:18)</w:t>
      </w:r>
      <w:r w:rsidDel="00000000" w:rsidR="00000000" w:rsidRPr="00000000">
        <w:rPr>
          <w:rFonts w:ascii="Calibri" w:cs="Calibri" w:eastAsia="Calibri" w:hAnsi="Calibri"/>
          <w:sz w:val="24"/>
          <w:szCs w:val="24"/>
          <w:vertAlign w:val="superscript"/>
          <w:rtl w:val="0"/>
        </w:rPr>
        <w:t xml:space="preserve">1</w:t>
      </w:r>
      <w:r w:rsidDel="00000000" w:rsidR="00000000" w:rsidRPr="00000000">
        <w:rPr>
          <w:rFonts w:ascii="Calibri" w:cs="Calibri" w:eastAsia="Calibri" w:hAnsi="Calibri"/>
          <w:sz w:val="24"/>
          <w:szCs w:val="24"/>
          <w:rtl w:val="0"/>
        </w:rPr>
        <w:t xml:space="preserve">. This control over a woman’s life extended to marriage and the choosing of a husband, the duty of which would fall, in Apollonia’s case, to her grandfather Zosimos due to the death of her father.</w:t>
      </w:r>
    </w:p>
    <w:p w:rsidR="00000000" w:rsidDel="00000000" w:rsidP="00000000" w:rsidRDefault="00000000" w:rsidRPr="00000000" w14:paraId="00000002">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3">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Unfortunately, many of the ancient sources available focus more on extra marital or adulterous relationships, rather than the more relevant pre marital relationship that Apollonia is engaging in with Lysikles, son of Diodoros; but there is some indication that such a relationship would have been considered under the purview of the law.</w:t>
      </w:r>
    </w:p>
    <w:p w:rsidR="00000000" w:rsidDel="00000000" w:rsidP="00000000" w:rsidRDefault="00000000" w:rsidRPr="00000000" w14:paraId="00000004">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Due to being an unmarried woman, and not yet an adult, Apollonia would have been considered a victim of rape rather than an adulteress as </w:t>
      </w:r>
      <w:r w:rsidDel="00000000" w:rsidR="00000000" w:rsidRPr="00000000">
        <w:rPr>
          <w:rFonts w:ascii="Calibri" w:cs="Calibri" w:eastAsia="Calibri" w:hAnsi="Calibri"/>
          <w:i w:val="1"/>
          <w:sz w:val="24"/>
          <w:szCs w:val="24"/>
          <w:rtl w:val="0"/>
        </w:rPr>
        <w:t xml:space="preserve">“the perpetrator had claimed the status and right of a husband as part of the violent sexual taking of his victim, without being authorized to do so”</w:t>
      </w:r>
      <w:r w:rsidDel="00000000" w:rsidR="00000000" w:rsidRPr="00000000">
        <w:rPr>
          <w:rFonts w:ascii="Calibri" w:cs="Calibri" w:eastAsia="Calibri" w:hAnsi="Calibri"/>
          <w:sz w:val="24"/>
          <w:szCs w:val="24"/>
          <w:vertAlign w:val="superscript"/>
        </w:rPr>
        <w:footnoteReference w:customMarkFollows="0" w:id="1"/>
      </w:r>
      <w:r w:rsidDel="00000000" w:rsidR="00000000" w:rsidRPr="00000000">
        <w:rPr>
          <w:rFonts w:ascii="Calibri" w:cs="Calibri" w:eastAsia="Calibri" w:hAnsi="Calibri"/>
          <w:sz w:val="24"/>
          <w:szCs w:val="24"/>
          <w:rtl w:val="0"/>
        </w:rPr>
        <w:t xml:space="preserve">, while Lysikles, as the aggressor, could be subject to various abuses meted out by Apollonia’s </w:t>
      </w:r>
      <w:r w:rsidDel="00000000" w:rsidR="00000000" w:rsidRPr="00000000">
        <w:rPr>
          <w:rFonts w:ascii="Calibri" w:cs="Calibri" w:eastAsia="Calibri" w:hAnsi="Calibri"/>
          <w:i w:val="1"/>
          <w:sz w:val="24"/>
          <w:szCs w:val="24"/>
          <w:rtl w:val="0"/>
        </w:rPr>
        <w:t xml:space="preserve">Kyrios</w:t>
      </w:r>
      <w:r w:rsidDel="00000000" w:rsidR="00000000" w:rsidRPr="00000000">
        <w:rPr>
          <w:rFonts w:ascii="Calibri" w:cs="Calibri" w:eastAsia="Calibri" w:hAnsi="Calibri"/>
          <w:sz w:val="24"/>
          <w:szCs w:val="24"/>
          <w:rtl w:val="0"/>
        </w:rPr>
        <w:t xml:space="preserve">, as seen in </w:t>
      </w:r>
      <w:r w:rsidDel="00000000" w:rsidR="00000000" w:rsidRPr="00000000">
        <w:rPr>
          <w:rFonts w:ascii="Calibri" w:cs="Calibri" w:eastAsia="Calibri" w:hAnsi="Calibri"/>
          <w:i w:val="1"/>
          <w:sz w:val="24"/>
          <w:szCs w:val="24"/>
          <w:rtl w:val="0"/>
        </w:rPr>
        <w:t xml:space="preserve">On The Murder of Eratosthenes</w:t>
      </w:r>
      <w:r w:rsidDel="00000000" w:rsidR="00000000" w:rsidRPr="00000000">
        <w:rPr>
          <w:rFonts w:ascii="Calibri" w:cs="Calibri" w:eastAsia="Calibri" w:hAnsi="Calibri"/>
          <w:sz w:val="24"/>
          <w:szCs w:val="24"/>
          <w:rtl w:val="0"/>
        </w:rPr>
        <w:t xml:space="preserve">, where Lysias murdered him as </w:t>
      </w:r>
      <w:r w:rsidDel="00000000" w:rsidR="00000000" w:rsidRPr="00000000">
        <w:rPr>
          <w:rFonts w:ascii="Calibri" w:cs="Calibri" w:eastAsia="Calibri" w:hAnsi="Calibri"/>
          <w:i w:val="1"/>
          <w:sz w:val="24"/>
          <w:szCs w:val="24"/>
          <w:rtl w:val="0"/>
        </w:rPr>
        <w:t xml:space="preserve">“Eratosthenes seduced my wife and corrupted her, that he brought shame on my children and insulted me by entering my house”</w:t>
      </w:r>
      <w:r w:rsidDel="00000000" w:rsidR="00000000" w:rsidRPr="00000000">
        <w:rPr>
          <w:rFonts w:ascii="Calibri" w:cs="Calibri" w:eastAsia="Calibri" w:hAnsi="Calibri"/>
          <w:sz w:val="24"/>
          <w:szCs w:val="24"/>
          <w:vertAlign w:val="superscript"/>
        </w:rPr>
        <w:footnoteReference w:customMarkFollows="0" w:id="2"/>
      </w:r>
      <w:r w:rsidDel="00000000" w:rsidR="00000000" w:rsidRPr="00000000">
        <w:rPr>
          <w:rFonts w:ascii="Calibri" w:cs="Calibri" w:eastAsia="Calibri" w:hAnsi="Calibri"/>
          <w:sz w:val="24"/>
          <w:szCs w:val="24"/>
          <w:rtl w:val="0"/>
        </w:rPr>
        <w:t xml:space="preserve">, with full condonement by Athenian law, </w:t>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i w:val="1"/>
          <w:sz w:val="24"/>
          <w:szCs w:val="24"/>
          <w:highlight w:val="white"/>
          <w:rtl w:val="0"/>
        </w:rPr>
        <w:t xml:space="preserve">as the law allows.</w:t>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sz w:val="24"/>
          <w:szCs w:val="24"/>
          <w:vertAlign w:val="superscript"/>
          <w:rtl w:val="0"/>
        </w:rPr>
        <w:t xml:space="preserve">3</w:t>
      </w:r>
      <w:r w:rsidDel="00000000" w:rsidR="00000000" w:rsidRPr="00000000">
        <w:rPr>
          <w:rFonts w:ascii="Calibri" w:cs="Calibri" w:eastAsia="Calibri" w:hAnsi="Calibri"/>
          <w:sz w:val="24"/>
          <w:szCs w:val="24"/>
          <w:rtl w:val="0"/>
        </w:rPr>
        <w:t xml:space="preserve">. However, Apollonia could still be viewed as unfaithful despite having no husband at this time, and due to this could be excluded from the wider community or suffer a further reduction of her social status</w:t>
      </w:r>
      <w:r w:rsidDel="00000000" w:rsidR="00000000" w:rsidRPr="00000000">
        <w:rPr>
          <w:rFonts w:ascii="Calibri" w:cs="Calibri" w:eastAsia="Calibri" w:hAnsi="Calibri"/>
          <w:sz w:val="24"/>
          <w:szCs w:val="24"/>
          <w:vertAlign w:val="superscript"/>
        </w:rPr>
        <w:footnoteReference w:customMarkFollows="0" w:id="3"/>
      </w:r>
      <w:r w:rsidDel="00000000" w:rsidR="00000000" w:rsidRPr="00000000">
        <w:rPr>
          <w:rFonts w:ascii="Calibri" w:cs="Calibri" w:eastAsia="Calibri" w:hAnsi="Calibri"/>
          <w:sz w:val="24"/>
          <w:szCs w:val="24"/>
          <w:rtl w:val="0"/>
        </w:rPr>
        <w:t xml:space="preserve">, as well as prohibited from religious ceremonies.</w:t>
      </w:r>
    </w:p>
    <w:p w:rsidR="00000000" w:rsidDel="00000000" w:rsidP="00000000" w:rsidRDefault="00000000" w:rsidRPr="00000000" w14:paraId="00000006">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an assault was proved, the family could also invoke the biaion dike, which was invoked either for illegal seizure of any sort of property or, as in this case, to rape or abduction with intention to rape; it could, as explained by Plutarch, result in Lysikles being</w:t>
      </w:r>
      <w:r w:rsidDel="00000000" w:rsidR="00000000" w:rsidRPr="00000000">
        <w:rPr>
          <w:rFonts w:ascii="Calibri" w:cs="Calibri" w:eastAsia="Calibri" w:hAnsi="Calibri"/>
          <w:i w:val="1"/>
          <w:sz w:val="24"/>
          <w:szCs w:val="24"/>
          <w:rtl w:val="0"/>
        </w:rPr>
        <w:t xml:space="preserve"> “fined a hundred drachmas”</w:t>
      </w:r>
      <w:r w:rsidDel="00000000" w:rsidR="00000000" w:rsidRPr="00000000">
        <w:rPr>
          <w:rFonts w:ascii="Calibri" w:cs="Calibri" w:eastAsia="Calibri" w:hAnsi="Calibri"/>
          <w:sz w:val="24"/>
          <w:szCs w:val="24"/>
          <w:rtl w:val="0"/>
        </w:rPr>
        <w:t xml:space="preserve">(Plut. Sol. 23)</w:t>
      </w:r>
      <w:r w:rsidDel="00000000" w:rsidR="00000000" w:rsidRPr="00000000">
        <w:rPr>
          <w:rFonts w:ascii="Calibri" w:cs="Calibri" w:eastAsia="Calibri" w:hAnsi="Calibri"/>
          <w:sz w:val="24"/>
          <w:szCs w:val="24"/>
          <w:vertAlign w:val="superscript"/>
        </w:rPr>
        <w:footnoteReference w:customMarkFollows="0" w:id="4"/>
      </w:r>
      <w:r w:rsidDel="00000000" w:rsidR="00000000" w:rsidRPr="00000000">
        <w:rPr>
          <w:rFonts w:ascii="Calibri" w:cs="Calibri" w:eastAsia="Calibri" w:hAnsi="Calibri"/>
          <w:sz w:val="24"/>
          <w:szCs w:val="24"/>
          <w:rtl w:val="0"/>
        </w:rPr>
        <w:t xml:space="preserve">, but texts do show fines negotiated to be as little as 20 drachma. This fine would likely be paid to the victims’ </w:t>
      </w:r>
      <w:r w:rsidDel="00000000" w:rsidR="00000000" w:rsidRPr="00000000">
        <w:rPr>
          <w:rFonts w:ascii="Calibri" w:cs="Calibri" w:eastAsia="Calibri" w:hAnsi="Calibri"/>
          <w:i w:val="1"/>
          <w:sz w:val="24"/>
          <w:szCs w:val="24"/>
          <w:rtl w:val="0"/>
        </w:rPr>
        <w:t xml:space="preserve">kyrios</w:t>
      </w:r>
      <w:r w:rsidDel="00000000" w:rsidR="00000000" w:rsidRPr="00000000">
        <w:rPr>
          <w:rFonts w:ascii="Calibri" w:cs="Calibri" w:eastAsia="Calibri" w:hAnsi="Calibri"/>
          <w:sz w:val="24"/>
          <w:szCs w:val="24"/>
          <w:rtl w:val="0"/>
        </w:rPr>
        <w:t xml:space="preserve"> instead of the victim themselves. Further, should Apollonia become pregnant she may be forced to marry Lysikles in order to avoid the scandal a child conceived in wedlock would cause, as seen in Plautus’ Aulularia where Phaedria marries her rapist, </w:t>
      </w:r>
      <w:r w:rsidDel="00000000" w:rsidR="00000000" w:rsidRPr="00000000">
        <w:rPr>
          <w:rFonts w:ascii="Calibri" w:cs="Calibri" w:eastAsia="Calibri" w:hAnsi="Calibri"/>
          <w:i w:val="1"/>
          <w:sz w:val="24"/>
          <w:szCs w:val="24"/>
          <w:rtl w:val="0"/>
        </w:rPr>
        <w:t xml:space="preserve">“the man who’s raped her may marry her all the more easily.”</w:t>
      </w:r>
      <w:r w:rsidDel="00000000" w:rsidR="00000000" w:rsidRPr="00000000">
        <w:rPr>
          <w:rFonts w:ascii="Calibri" w:cs="Calibri" w:eastAsia="Calibri" w:hAnsi="Calibri"/>
          <w:i w:val="1"/>
          <w:sz w:val="24"/>
          <w:szCs w:val="24"/>
          <w:vertAlign w:val="superscript"/>
        </w:rPr>
        <w:footnoteReference w:customMarkFollows="0" w:id="5"/>
      </w:r>
      <w:r w:rsidDel="00000000" w:rsidR="00000000" w:rsidRPr="00000000">
        <w:rPr>
          <w:rFonts w:ascii="Calibri" w:cs="Calibri" w:eastAsia="Calibri" w:hAnsi="Calibri"/>
          <w:sz w:val="24"/>
          <w:szCs w:val="24"/>
          <w:rtl w:val="0"/>
        </w:rPr>
        <w:t xml:space="preserve">, although there is dispute over how common such marriages may have been.</w:t>
      </w:r>
    </w:p>
    <w:p w:rsidR="00000000" w:rsidDel="00000000" w:rsidP="00000000" w:rsidRDefault="00000000" w:rsidRPr="00000000" w14:paraId="00000008">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conclusion, the issue would most likely be settled privately with the biaion dike fine, though not necessarily settled at 100 drachma, as Lysikles’ family are middle class and would likely wish to keep the matter private, but may also result in a marriage if Apollonia becomes pregnant.</w:t>
      </w:r>
    </w:p>
    <w:p w:rsidR="00000000" w:rsidDel="00000000" w:rsidP="00000000" w:rsidRDefault="00000000" w:rsidRPr="00000000" w14:paraId="0000000A">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3">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9">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C">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1">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2">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3">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8">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B">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F">
      <w:pPr>
        <w:contextualSpacing w:val="0"/>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Bibliography</w:t>
      </w:r>
    </w:p>
    <w:p w:rsidR="00000000" w:rsidDel="00000000" w:rsidP="00000000" w:rsidRDefault="00000000" w:rsidRPr="00000000" w14:paraId="00000030">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R. &amp; NetLibrary, Inc, 1991. Women in Athenian law and life [ebook], London ; New York: Routledge.</w:t>
        <w:br w:type="textWrapping"/>
      </w:r>
    </w:p>
    <w:p w:rsidR="00000000" w:rsidDel="00000000" w:rsidP="00000000" w:rsidRDefault="00000000" w:rsidRPr="00000000" w14:paraId="00000032">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Hartmann, Elke (Berlin), “Rape”, in: Brill’s New Pauly, Antiquity volumes edited by: Hubert Cancik and , Helmuth Schneider, English Edition by: Christine F. Salazar, Classical Tradition volumes edited by: Manfred Landfester, English Edition by: Francis G. Gentry.</w:t>
      </w:r>
    </w:p>
    <w:p w:rsidR="00000000" w:rsidDel="00000000" w:rsidP="00000000" w:rsidRDefault="00000000" w:rsidRPr="00000000" w14:paraId="00000033">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Lysias 1 - On the Murder of Eratosthenes</w:t>
      </w:r>
    </w:p>
    <w:p w:rsidR="00000000" w:rsidDel="00000000" w:rsidP="00000000" w:rsidRDefault="00000000" w:rsidRPr="00000000" w14:paraId="00000035">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Wagner-Hasel, Beate (Darmstadt), “Adultery”, in: Brill’s New Pauly, Antiquity volumes edited by: Hubert Cancik and , Helmuth Schneider, English Edition by: Christine F. Salazar, Classical Tradition volumes edited by: Manfred Landfester, English Edition by: Francis G. Gentry</w:t>
      </w:r>
    </w:p>
    <w:p w:rsidR="00000000" w:rsidDel="00000000" w:rsidP="00000000" w:rsidRDefault="00000000" w:rsidRPr="00000000" w14:paraId="00000037">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8">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Plutarch, Solon</w:t>
      </w:r>
    </w:p>
    <w:p w:rsidR="00000000" w:rsidDel="00000000" w:rsidP="00000000" w:rsidRDefault="00000000" w:rsidRPr="00000000" w14:paraId="00000039">
      <w:pPr>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A">
      <w:pPr>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PLAUTUS, T. M., &amp; MELO, W. D. C. D. (2015). Plautus. Page 263 </w:t>
      </w:r>
      <w:hyperlink r:id="rId7">
        <w:r w:rsidDel="00000000" w:rsidR="00000000" w:rsidRPr="00000000">
          <w:rPr>
            <w:rFonts w:ascii="Calibri" w:cs="Calibri" w:eastAsia="Calibri" w:hAnsi="Calibri"/>
            <w:color w:val="1155cc"/>
            <w:sz w:val="24"/>
            <w:szCs w:val="24"/>
            <w:u w:val="single"/>
            <w:rtl w:val="0"/>
          </w:rPr>
          <w:t xml:space="preserve">https://www-loebclassics-com.ezproxy.uwtsd.ac.uk/view/plautus-pot_gold/2011/pb_LCL060.351.xml?rskey=MlSLcC&amp;result=1&amp;mainRsKey=rCh6gN</w:t>
        </w:r>
      </w:hyperlink>
      <w:r w:rsidDel="00000000" w:rsidR="00000000" w:rsidRPr="00000000">
        <w:rPr>
          <w:rtl w:val="0"/>
        </w:rPr>
      </w:r>
    </w:p>
    <w:sectPr>
      <w:headerReference r:id="rId8" w:type="first"/>
      <w:footerReference r:id="rId9" w:type="default"/>
      <w:footerReference r:id="rId10" w:type="first"/>
      <w:pgSz w:h="16834" w:w="11909"/>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contextualSpacing w:val="0"/>
      <w:rPr>
        <w:vertAlign w:val="superscrip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contextualSpacing w:val="0"/>
      <w:rPr>
        <w:vertAlign w:val="superscript"/>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E">
      <w:pPr>
        <w:spacing w:line="240" w:lineRule="auto"/>
        <w:contextualSpacing w:val="0"/>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Just, R. &amp; NetLibrary, Inc, 1991. Women in Athenian law and life [ebook], London ; New York: Routledge.</w:t>
      </w:r>
    </w:p>
  </w:footnote>
  <w:footnote w:id="1">
    <w:p w:rsidR="00000000" w:rsidDel="00000000" w:rsidP="00000000" w:rsidRDefault="00000000" w:rsidRPr="00000000" w14:paraId="0000003F">
      <w:pPr>
        <w:spacing w:line="240" w:lineRule="auto"/>
        <w:contextualSpacing w:val="0"/>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Georgia" w:cs="Georgia" w:eastAsia="Georgia" w:hAnsi="Georgia"/>
          <w:color w:val="222222"/>
          <w:sz w:val="18"/>
          <w:szCs w:val="18"/>
          <w:shd w:fill="f2f2f2" w:val="clear"/>
          <w:vertAlign w:val="superscript"/>
          <w:rtl w:val="0"/>
        </w:rPr>
        <w:t xml:space="preserve">Hartmann, Elke (Berlin), “Rape”, in: </w:t>
      </w:r>
      <w:r w:rsidDel="00000000" w:rsidR="00000000" w:rsidRPr="00000000">
        <w:rPr>
          <w:rFonts w:ascii="Georgia" w:cs="Georgia" w:eastAsia="Georgia" w:hAnsi="Georgia"/>
          <w:i w:val="1"/>
          <w:color w:val="222222"/>
          <w:sz w:val="18"/>
          <w:szCs w:val="18"/>
          <w:vertAlign w:val="superscript"/>
          <w:rtl w:val="0"/>
        </w:rPr>
        <w:t xml:space="preserve">Brill’s New Pauly</w:t>
      </w:r>
      <w:r w:rsidDel="00000000" w:rsidR="00000000" w:rsidRPr="00000000">
        <w:rPr>
          <w:rFonts w:ascii="Georgia" w:cs="Georgia" w:eastAsia="Georgia" w:hAnsi="Georgia"/>
          <w:color w:val="222222"/>
          <w:sz w:val="18"/>
          <w:szCs w:val="18"/>
          <w:shd w:fill="f2f2f2" w:val="clear"/>
          <w:vertAlign w:val="superscript"/>
          <w:rtl w:val="0"/>
        </w:rPr>
        <w:t xml:space="preserve">, Antiquity volumes edited by: Hubert Cancik and , Helmuth Schneider, English Edition by: Christine F. Salazar, Classical Tradition volumes edited by: Manfred Landfester, English Edition by: Francis G. Gentry.</w:t>
      </w:r>
      <w:r w:rsidDel="00000000" w:rsidR="00000000" w:rsidRPr="00000000">
        <w:rPr>
          <w:rtl w:val="0"/>
        </w:rPr>
      </w:r>
    </w:p>
  </w:footnote>
  <w:footnote w:id="2">
    <w:p w:rsidR="00000000" w:rsidDel="00000000" w:rsidP="00000000" w:rsidRDefault="00000000" w:rsidRPr="00000000" w14:paraId="00000040">
      <w:pPr>
        <w:spacing w:line="240" w:lineRule="auto"/>
        <w:contextualSpacing w:val="0"/>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Lysias 1:4</w:t>
      </w:r>
    </w:p>
  </w:footnote>
  <w:footnote w:id="4">
    <w:p w:rsidR="00000000" w:rsidDel="00000000" w:rsidP="00000000" w:rsidRDefault="00000000" w:rsidRPr="00000000" w14:paraId="00000041">
      <w:pPr>
        <w:spacing w:line="240" w:lineRule="auto"/>
        <w:contextualSpacing w:val="0"/>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Plutarch, Solon</w:t>
      </w:r>
    </w:p>
  </w:footnote>
  <w:footnote w:id="3">
    <w:p w:rsidR="00000000" w:rsidDel="00000000" w:rsidP="00000000" w:rsidRDefault="00000000" w:rsidRPr="00000000" w14:paraId="00000042">
      <w:pPr>
        <w:spacing w:line="240" w:lineRule="auto"/>
        <w:contextualSpacing w:val="0"/>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Georgia" w:cs="Georgia" w:eastAsia="Georgia" w:hAnsi="Georgia"/>
          <w:color w:val="222222"/>
          <w:sz w:val="18"/>
          <w:szCs w:val="18"/>
          <w:shd w:fill="f2f2f2" w:val="clear"/>
          <w:vertAlign w:val="superscript"/>
          <w:rtl w:val="0"/>
        </w:rPr>
        <w:t xml:space="preserve">Wagner-Hasel, Beate (Darmstadt), “Adultery”, in: </w:t>
      </w:r>
      <w:r w:rsidDel="00000000" w:rsidR="00000000" w:rsidRPr="00000000">
        <w:rPr>
          <w:rFonts w:ascii="Georgia" w:cs="Georgia" w:eastAsia="Georgia" w:hAnsi="Georgia"/>
          <w:i w:val="1"/>
          <w:color w:val="222222"/>
          <w:sz w:val="18"/>
          <w:szCs w:val="18"/>
          <w:vertAlign w:val="superscript"/>
          <w:rtl w:val="0"/>
        </w:rPr>
        <w:t xml:space="preserve">Brill’s New Pauly</w:t>
      </w:r>
      <w:r w:rsidDel="00000000" w:rsidR="00000000" w:rsidRPr="00000000">
        <w:rPr>
          <w:rFonts w:ascii="Georgia" w:cs="Georgia" w:eastAsia="Georgia" w:hAnsi="Georgia"/>
          <w:color w:val="222222"/>
          <w:sz w:val="18"/>
          <w:szCs w:val="18"/>
          <w:shd w:fill="f2f2f2" w:val="clear"/>
          <w:vertAlign w:val="superscript"/>
          <w:rtl w:val="0"/>
        </w:rPr>
        <w:t xml:space="preserve">, Antiquity volumes edited by: Hubert Cancik and , Helmuth Schneider, English Edition by: Christine F. Salazar, Classical Tradition volumes edited by: Manfred Landfester, English Edition by: Francis G. Gentry</w:t>
      </w:r>
      <w:r w:rsidDel="00000000" w:rsidR="00000000" w:rsidRPr="00000000">
        <w:rPr>
          <w:rtl w:val="0"/>
        </w:rPr>
      </w:r>
    </w:p>
  </w:footnote>
  <w:footnote w:id="5">
    <w:p w:rsidR="00000000" w:rsidDel="00000000" w:rsidP="00000000" w:rsidRDefault="00000000" w:rsidRPr="00000000" w14:paraId="00000043">
      <w:pPr>
        <w:spacing w:line="240" w:lineRule="auto"/>
        <w:contextualSpacing w:val="0"/>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PLAUTUS, T. M., &amp; MELO, W. D. C. D. (2015). Plautus. Page 263 </w:t>
      </w:r>
      <w:hyperlink r:id="rId1">
        <w:r w:rsidDel="00000000" w:rsidR="00000000" w:rsidRPr="00000000">
          <w:rPr>
            <w:color w:val="1155cc"/>
            <w:sz w:val="20"/>
            <w:szCs w:val="20"/>
            <w:u w:val="single"/>
            <w:vertAlign w:val="superscript"/>
            <w:rtl w:val="0"/>
          </w:rPr>
          <w:t xml:space="preserve">https://www-loebclassics-com.ezproxy.uwtsd.ac.uk/view/plautus-pot_gold/2011/pb_LCL060.351.xml?rskey=MlSLcC&amp;result=1&amp;mainRsKey=rCh6gN</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contextualSpacing w:val="0"/>
      <w:rPr>
        <w:vertAlign w:val="superscrip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loebclassics-com.ezproxy.uwtsd.ac.uk/view/plautus-pot_gold/2011/pb_LCL060.351.xml?rskey=MlSLcC&amp;result=1&amp;mainRsKey=rCh6gN" TargetMode="External"/><Relationship Id="rId8"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loebclassics-com.ezproxy.uwtsd.ac.uk/view/plautus-pot_gold/2011/pb_LCL060.351.xml?rskey=MlSLcC&amp;result=1&amp;mainRsKey=rCh6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