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F31DB48">
      <w:pPr>
        <w:spacing w:before="120" w:after="120"/>
        <w:rPr>
          <w:rFonts w:hint="default" w:ascii="Arial" w:hAnsi="Arial" w:cs="Arial"/>
        </w:rPr>
      </w:pPr>
      <w:r>
        <w:rPr>
          <w:rFonts w:hint="default" w:ascii="Arial" w:hAnsi="Arial" w:cs="Arial"/>
        </w:rPr>
        <w:t xml:space="preserve">       </w:t>
      </w:r>
      <w:r>
        <w:rPr>
          <w:rFonts w:hint="default" w:ascii="Arial" w:hAnsi="Arial" w:eastAsia="Calibri" w:cs="Arial"/>
          <w:b/>
          <w:bCs/>
          <w:color w:val="000000"/>
        </w:rPr>
        <w:drawing>
          <wp:inline distT="0" distB="101600" distL="0" distR="0">
            <wp:extent cx="5430520" cy="1725930"/>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13" name="image1.png"/>
                    <pic:cNvPicPr preferRelativeResize="0"/>
                  </pic:nvPicPr>
                  <pic:blipFill>
                    <a:blip r:embed="rId4"/>
                    <a:srcRect/>
                    <a:stretch>
                      <a:fillRect/>
                    </a:stretch>
                  </pic:blipFill>
                  <pic:spPr>
                    <a:xfrm>
                      <a:off x="0" y="0"/>
                      <a:ext cx="5430520" cy="1725930"/>
                    </a:xfrm>
                    <a:prstGeom prst="rect">
                      <a:avLst/>
                    </a:prstGeom>
                  </pic:spPr>
                </pic:pic>
              </a:graphicData>
            </a:graphic>
          </wp:inline>
        </w:drawing>
      </w:r>
    </w:p>
    <w:p w14:paraId="66B65E4D">
      <w:pPr>
        <w:spacing w:before="120" w:after="120"/>
        <w:rPr>
          <w:rFonts w:hint="default" w:ascii="Arial" w:hAnsi="Arial" w:cs="Arial"/>
        </w:rPr>
      </w:pPr>
    </w:p>
    <w:p w14:paraId="7D4CA7A1">
      <w:pPr>
        <w:spacing w:before="120" w:after="120"/>
        <w:rPr>
          <w:rFonts w:hint="default" w:ascii="Arial" w:hAnsi="Arial" w:cs="Arial"/>
        </w:rPr>
      </w:pPr>
    </w:p>
    <w:p w14:paraId="00C7CEC4">
      <w:pPr>
        <w:pStyle w:val="4"/>
        <w:keepNext w:val="0"/>
        <w:keepLines w:val="0"/>
        <w:spacing w:before="281" w:after="140"/>
        <w:jc w:val="right"/>
        <w:rPr>
          <w:rFonts w:hint="default" w:ascii="Arial" w:hAnsi="Arial" w:cs="Arial"/>
        </w:rPr>
      </w:pPr>
      <w:r>
        <w:rPr>
          <w:rFonts w:hint="default" w:ascii="Arial" w:hAnsi="Arial" w:cs="Arial"/>
          <w:color w:val="auto"/>
        </w:rPr>
        <w:t>Integrated Human Capital Blueprint: Aligning People and Performance</w:t>
      </w:r>
    </w:p>
    <w:p w14:paraId="0C53F1AC">
      <w:pPr>
        <w:spacing w:before="120" w:after="120"/>
        <w:rPr>
          <w:rFonts w:hint="default" w:ascii="Arial" w:hAnsi="Arial" w:cs="Arial"/>
        </w:rPr>
      </w:pPr>
    </w:p>
    <w:p w14:paraId="3808EC94">
      <w:pPr>
        <w:pStyle w:val="4"/>
        <w:keepNext w:val="0"/>
        <w:keepLines w:val="0"/>
        <w:spacing w:before="281" w:after="140"/>
        <w:rPr>
          <w:rFonts w:hint="default" w:ascii="Arial" w:hAnsi="Arial" w:cs="Arial"/>
          <w:color w:val="auto"/>
        </w:rPr>
      </w:pPr>
    </w:p>
    <w:p w14:paraId="477BE6B9">
      <w:pPr>
        <w:pStyle w:val="4"/>
        <w:keepNext w:val="0"/>
        <w:keepLines w:val="0"/>
        <w:spacing w:before="281" w:after="140"/>
        <w:jc w:val="center"/>
        <w:rPr>
          <w:rFonts w:hint="default" w:ascii="Arial" w:hAnsi="Arial" w:cs="Arial"/>
        </w:rPr>
      </w:pPr>
      <w:r>
        <w:rPr>
          <w:rFonts w:hint="default" w:ascii="Arial" w:hAnsi="Arial" w:cs="Arial"/>
          <w:color w:val="auto"/>
          <w:lang w:val="en-US"/>
        </w:rPr>
        <w:t>Submitted</w:t>
      </w:r>
      <w:r>
        <w:rPr>
          <w:rFonts w:hint="default" w:ascii="Arial" w:hAnsi="Arial" w:cs="Arial"/>
          <w:color w:val="auto"/>
        </w:rPr>
        <w:t xml:space="preserve"> to:</w:t>
      </w:r>
      <w:r>
        <w:rPr>
          <w:rFonts w:hint="default" w:ascii="Arial" w:hAnsi="Arial" w:cs="Arial"/>
          <w:color w:val="auto"/>
          <w:lang w:val="en-US"/>
        </w:rPr>
        <w:t xml:space="preserve"> Dr.</w:t>
      </w:r>
      <w:r>
        <w:rPr>
          <w:rFonts w:hint="default" w:ascii="Arial" w:hAnsi="Arial" w:cs="Arial"/>
          <w:color w:val="auto"/>
        </w:rPr>
        <w:t xml:space="preserve"> Nerys Dosseh</w:t>
      </w:r>
    </w:p>
    <w:p w14:paraId="1E818B7B">
      <w:pPr>
        <w:pStyle w:val="4"/>
        <w:keepNext w:val="0"/>
        <w:keepLines w:val="0"/>
        <w:spacing w:before="281" w:after="140"/>
        <w:jc w:val="center"/>
        <w:rPr>
          <w:rFonts w:hint="default" w:ascii="Arial" w:hAnsi="Arial" w:cs="Arial"/>
        </w:rPr>
      </w:pPr>
      <w:r>
        <w:rPr>
          <w:rFonts w:hint="default" w:ascii="Arial" w:hAnsi="Arial" w:cs="Arial"/>
          <w:color w:val="auto"/>
          <w:lang w:val="en-US"/>
        </w:rPr>
        <w:t>Submitted</w:t>
      </w:r>
      <w:r>
        <w:rPr>
          <w:rFonts w:hint="default" w:ascii="Arial" w:hAnsi="Arial" w:cs="Arial"/>
          <w:color w:val="auto"/>
        </w:rPr>
        <w:t xml:space="preserve"> by: Arpit Verma</w:t>
      </w:r>
    </w:p>
    <w:p w14:paraId="6AD0B93F">
      <w:pPr>
        <w:pStyle w:val="4"/>
        <w:keepNext w:val="0"/>
        <w:keepLines w:val="0"/>
        <w:spacing w:before="140" w:after="140"/>
        <w:jc w:val="center"/>
        <w:rPr>
          <w:rFonts w:hint="default" w:ascii="Arial" w:hAnsi="Arial" w:cs="Arial"/>
        </w:rPr>
      </w:pPr>
      <w:r>
        <w:rPr>
          <w:rFonts w:hint="default" w:ascii="Arial" w:hAnsi="Arial" w:cs="Arial"/>
          <w:color w:val="auto"/>
        </w:rPr>
        <w:t>Student ID: 2532968</w:t>
      </w:r>
    </w:p>
    <w:p w14:paraId="645F99FC">
      <w:pPr>
        <w:spacing w:before="120" w:after="120"/>
        <w:rPr>
          <w:rFonts w:hint="default" w:ascii="Arial" w:hAnsi="Arial" w:cs="Arial"/>
        </w:rPr>
      </w:pPr>
    </w:p>
    <w:p w14:paraId="42A356F3">
      <w:pPr>
        <w:spacing w:before="120" w:after="120"/>
        <w:rPr>
          <w:rFonts w:hint="default" w:ascii="Arial" w:hAnsi="Arial" w:cs="Arial"/>
        </w:rPr>
      </w:pPr>
    </w:p>
    <w:p w14:paraId="0F4B9287">
      <w:pPr>
        <w:spacing w:before="120" w:after="120"/>
        <w:rPr>
          <w:rFonts w:hint="default" w:ascii="Arial" w:hAnsi="Arial" w:cs="Arial"/>
        </w:rPr>
      </w:pPr>
    </w:p>
    <w:p w14:paraId="61410E3F">
      <w:pPr>
        <w:spacing w:before="120" w:after="120"/>
        <w:rPr>
          <w:rFonts w:hint="default" w:ascii="Arial" w:hAnsi="Arial" w:cs="Arial"/>
        </w:rPr>
      </w:pPr>
    </w:p>
    <w:p w14:paraId="17CC727D">
      <w:pPr>
        <w:spacing w:before="120" w:after="120"/>
        <w:rPr>
          <w:rFonts w:hint="default" w:ascii="Arial" w:hAnsi="Arial" w:cs="Arial"/>
        </w:rPr>
      </w:pPr>
    </w:p>
    <w:p w14:paraId="1950D298">
      <w:pPr>
        <w:spacing w:before="120" w:after="120"/>
        <w:rPr>
          <w:rFonts w:hint="default" w:ascii="Arial" w:hAnsi="Arial" w:cs="Arial"/>
        </w:rPr>
      </w:pPr>
    </w:p>
    <w:p w14:paraId="4CABD900">
      <w:pPr>
        <w:spacing w:before="120" w:after="120"/>
        <w:rPr>
          <w:rFonts w:hint="default" w:ascii="Arial" w:hAnsi="Arial" w:cs="Arial"/>
        </w:rPr>
      </w:pPr>
    </w:p>
    <w:p w14:paraId="77B0AF49">
      <w:pPr>
        <w:spacing w:before="120" w:after="120"/>
        <w:rPr>
          <w:rFonts w:hint="default" w:ascii="Arial" w:hAnsi="Arial" w:cs="Arial"/>
        </w:rPr>
      </w:pPr>
    </w:p>
    <w:p w14:paraId="50417F00">
      <w:pPr>
        <w:spacing w:before="120" w:after="120"/>
        <w:rPr>
          <w:rFonts w:hint="default" w:ascii="Arial" w:hAnsi="Arial" w:cs="Arial"/>
        </w:rPr>
      </w:pPr>
    </w:p>
    <w:p w14:paraId="7BB20A06">
      <w:pPr>
        <w:spacing w:before="120" w:after="120"/>
        <w:rPr>
          <w:rFonts w:hint="default" w:ascii="Arial" w:hAnsi="Arial" w:cs="Arial"/>
        </w:rPr>
      </w:pPr>
    </w:p>
    <w:p w14:paraId="78377F03">
      <w:pPr>
        <w:spacing w:before="120" w:after="120"/>
        <w:rPr>
          <w:rFonts w:hint="default" w:ascii="Arial" w:hAnsi="Arial" w:cs="Arial"/>
        </w:rPr>
      </w:pPr>
    </w:p>
    <w:p w14:paraId="04109998">
      <w:pPr>
        <w:spacing w:before="120" w:after="120"/>
        <w:rPr>
          <w:rFonts w:hint="default" w:ascii="Arial" w:hAnsi="Arial" w:cs="Arial"/>
        </w:rPr>
      </w:pPr>
    </w:p>
    <w:p w14:paraId="0BE1074E">
      <w:pPr>
        <w:spacing w:before="120" w:after="120"/>
        <w:rPr>
          <w:rFonts w:hint="default" w:ascii="Arial" w:hAnsi="Arial" w:cs="Arial"/>
          <w:lang w:val="en-US"/>
        </w:rPr>
      </w:pPr>
      <w:r>
        <w:rPr>
          <w:rFonts w:hint="default" w:ascii="Arial" w:hAnsi="Arial" w:cs="Arial"/>
          <w:b/>
          <w:bCs/>
        </w:rPr>
        <w:t>Word count: 2</w:t>
      </w:r>
      <w:r>
        <w:rPr>
          <w:rFonts w:hint="default" w:ascii="Arial" w:hAnsi="Arial" w:cs="Arial"/>
          <w:b/>
          <w:bCs/>
          <w:lang w:val="en-US"/>
        </w:rPr>
        <w:t>700</w:t>
      </w:r>
    </w:p>
    <w:p w14:paraId="26B2DABB">
      <w:pPr>
        <w:pStyle w:val="4"/>
        <w:keepNext w:val="0"/>
        <w:keepLines w:val="0"/>
        <w:spacing w:before="281" w:after="140"/>
        <w:rPr>
          <w:rFonts w:hint="default" w:ascii="Arial" w:hAnsi="Arial" w:cs="Arial"/>
          <w:color w:val="auto"/>
        </w:rPr>
      </w:pPr>
    </w:p>
    <w:p w14:paraId="17E80AE1">
      <w:pPr>
        <w:pStyle w:val="4"/>
        <w:keepNext w:val="0"/>
        <w:keepLines w:val="0"/>
        <w:spacing w:before="281" w:after="140"/>
        <w:rPr>
          <w:rFonts w:hint="default" w:ascii="Arial" w:hAnsi="Arial" w:cs="Arial"/>
          <w:color w:val="auto"/>
        </w:rPr>
      </w:pPr>
    </w:p>
    <w:p w14:paraId="431FF5E1">
      <w:pPr>
        <w:spacing w:before="120" w:after="120"/>
        <w:ind w:firstLine="3644" w:firstLineChars="1650"/>
        <w:rPr>
          <w:rFonts w:hint="default" w:ascii="Arial" w:hAnsi="Arial" w:cs="Arial"/>
          <w:b/>
          <w:bCs/>
          <w:sz w:val="22"/>
          <w:szCs w:val="22"/>
        </w:rPr>
      </w:pPr>
      <w:r>
        <w:rPr>
          <w:rFonts w:hint="default" w:ascii="Arial" w:hAnsi="Arial" w:eastAsia="SimSun" w:cs="Arial"/>
          <w:b/>
          <w:bCs/>
          <w:sz w:val="22"/>
          <w:szCs w:val="22"/>
        </w:rPr>
        <w:t>Table of Contents</w:t>
      </w:r>
    </w:p>
    <w:tbl>
      <w:tblPr>
        <w:tblStyle w:val="9"/>
        <w:tblW w:w="0" w:type="auto"/>
        <w:tblInd w:w="0" w:type="dxa"/>
        <w:tblBorders>
          <w:top w:val="outset" w:color="FFFFFF" w:sz="6" w:space="0"/>
          <w:left w:val="outset" w:color="FFFFFF" w:sz="6" w:space="0"/>
          <w:bottom w:val="outset" w:color="FFFFFF" w:sz="6" w:space="0"/>
          <w:right w:val="outset" w:color="FFFFFF" w:sz="6" w:space="0"/>
          <w:insideH w:val="none" w:color="auto" w:sz="0" w:space="0"/>
          <w:insideV w:val="none" w:color="auto" w:sz="0" w:space="0"/>
        </w:tblBorders>
        <w:tblLayout w:type="autofit"/>
        <w:tblCellMar>
          <w:top w:w="15" w:type="dxa"/>
          <w:left w:w="15" w:type="dxa"/>
          <w:bottom w:w="15" w:type="dxa"/>
          <w:right w:w="15" w:type="dxa"/>
        </w:tblCellMar>
      </w:tblPr>
      <w:tblGrid>
        <w:gridCol w:w="1451"/>
        <w:gridCol w:w="6438"/>
        <w:gridCol w:w="1515"/>
      </w:tblGrid>
      <w:tr w14:paraId="4B687D5C">
        <w:tblPrEx>
          <w:tblBorders>
            <w:top w:val="outset" w:color="FFFFFF" w:sz="6" w:space="0"/>
            <w:left w:val="outset" w:color="FFFFFF" w:sz="6" w:space="0"/>
            <w:bottom w:val="outset" w:color="FFFFFF" w:sz="6" w:space="0"/>
            <w:right w:val="outset" w:color="FFFFFF" w:sz="6" w:space="0"/>
            <w:insideH w:val="none" w:color="auto" w:sz="0" w:space="0"/>
            <w:insideV w:val="none" w:color="auto" w:sz="0" w:space="0"/>
          </w:tblBorders>
          <w:tblCellMar>
            <w:top w:w="15" w:type="dxa"/>
            <w:left w:w="15" w:type="dxa"/>
            <w:bottom w:w="15" w:type="dxa"/>
            <w:right w:w="15" w:type="dxa"/>
          </w:tblCellMar>
        </w:tblPrEx>
        <w:trPr>
          <w:trHeight w:val="540" w:hRule="atLeast"/>
        </w:trPr>
        <w:tc>
          <w:tcPr>
            <w:tcW w:w="2295" w:type="dxa"/>
            <w:tcBorders>
              <w:top w:val="single" w:color="E0E0E0" w:sz="6" w:space="0"/>
              <w:left w:val="single" w:color="E0E0E0" w:sz="6" w:space="0"/>
              <w:bottom w:val="single" w:color="E0E0E0" w:sz="6" w:space="0"/>
              <w:right w:val="single" w:color="E0E0E0" w:sz="6" w:space="0"/>
            </w:tcBorders>
            <w:tcMar>
              <w:top w:w="15" w:type="dxa"/>
              <w:left w:w="22" w:type="dxa"/>
              <w:bottom w:w="15" w:type="dxa"/>
              <w:right w:w="22" w:type="dxa"/>
            </w:tcMar>
          </w:tcPr>
          <w:p w14:paraId="3C28835E">
            <w:pPr>
              <w:rPr>
                <w:rFonts w:hint="default" w:ascii="Arial" w:hAnsi="Arial" w:cs="Arial"/>
                <w:b/>
                <w:bCs/>
                <w:color w:val="000000" w:themeColor="text1"/>
                <w:sz w:val="22"/>
                <w:szCs w:val="22"/>
                <w:lang w:val="en-US"/>
                <w14:textFill>
                  <w14:solidFill>
                    <w14:schemeClr w14:val="tx1"/>
                  </w14:solidFill>
                </w14:textFill>
              </w:rPr>
            </w:pPr>
            <w:r>
              <w:rPr>
                <w:rFonts w:hint="default" w:ascii="Arial" w:hAnsi="Arial" w:cs="Arial"/>
                <w:b/>
                <w:bCs/>
                <w:sz w:val="22"/>
                <w:szCs w:val="22"/>
              </w:rPr>
              <w:fldChar w:fldCharType="begin"/>
            </w:r>
            <w:r>
              <w:rPr>
                <w:rFonts w:hint="default" w:ascii="Arial" w:hAnsi="Arial" w:cs="Arial"/>
                <w:b/>
                <w:bCs/>
                <w:sz w:val="22"/>
                <w:szCs w:val="22"/>
              </w:rPr>
              <w:instrText xml:space="preserve"> HYPERLINK "http://S.no" </w:instrText>
            </w:r>
            <w:r>
              <w:rPr>
                <w:rFonts w:hint="default" w:ascii="Arial" w:hAnsi="Arial" w:cs="Arial"/>
                <w:b/>
                <w:bCs/>
                <w:sz w:val="22"/>
                <w:szCs w:val="22"/>
              </w:rPr>
              <w:fldChar w:fldCharType="separate"/>
            </w:r>
            <w:r>
              <w:rPr>
                <w:rFonts w:hint="default" w:ascii="Arial" w:hAnsi="Arial" w:cs="Arial"/>
                <w:b/>
                <w:bCs/>
                <w:color w:val="000000" w:themeColor="text1"/>
                <w:sz w:val="22"/>
                <w:szCs w:val="22"/>
                <w:u w:val="single" w:color="0000EE"/>
                <w14:textFill>
                  <w14:solidFill>
                    <w14:schemeClr w14:val="tx1"/>
                  </w14:solidFill>
                </w14:textFill>
              </w:rPr>
              <w:t>S.no</w:t>
            </w:r>
            <w:r>
              <w:rPr>
                <w:rFonts w:hint="default" w:ascii="Arial" w:hAnsi="Arial" w:cs="Arial"/>
                <w:b/>
                <w:bCs/>
                <w:color w:val="000000" w:themeColor="text1"/>
                <w:sz w:val="22"/>
                <w:szCs w:val="22"/>
                <w:u w:val="single" w:color="0000EE"/>
                <w14:textFill>
                  <w14:solidFill>
                    <w14:schemeClr w14:val="tx1"/>
                  </w14:solidFill>
                </w14:textFill>
              </w:rPr>
              <w:fldChar w:fldCharType="end"/>
            </w:r>
            <w:r>
              <w:rPr>
                <w:rFonts w:hint="default" w:ascii="Arial" w:hAnsi="Arial" w:cs="Arial"/>
                <w:b/>
                <w:bCs/>
                <w:color w:val="000000" w:themeColor="text1"/>
                <w:sz w:val="22"/>
                <w:szCs w:val="22"/>
                <w:u w:val="single" w:color="0000EE"/>
                <w:lang w:val="en-US"/>
                <w14:textFill>
                  <w14:solidFill>
                    <w14:schemeClr w14:val="tx1"/>
                  </w14:solidFill>
                </w14:textFill>
              </w:rPr>
              <w:t>.</w:t>
            </w:r>
          </w:p>
        </w:tc>
        <w:tc>
          <w:tcPr>
            <w:tcW w:w="2295" w:type="dxa"/>
            <w:tcBorders>
              <w:top w:val="single" w:color="E0E0E0" w:sz="6" w:space="0"/>
              <w:left w:val="single" w:color="E0E0E0" w:sz="6" w:space="0"/>
              <w:bottom w:val="single" w:color="E0E0E0" w:sz="6" w:space="0"/>
              <w:right w:val="single" w:color="E0E0E0" w:sz="6" w:space="0"/>
            </w:tcBorders>
            <w:tcMar>
              <w:top w:w="15" w:type="dxa"/>
              <w:left w:w="22" w:type="dxa"/>
              <w:bottom w:w="15" w:type="dxa"/>
              <w:right w:w="22" w:type="dxa"/>
            </w:tcMar>
          </w:tcPr>
          <w:p w14:paraId="794483B0">
            <w:pPr>
              <w:spacing w:before="120" w:after="120"/>
              <w:rPr>
                <w:rFonts w:hint="default" w:ascii="Arial" w:hAnsi="Arial" w:cs="Arial"/>
                <w:b/>
                <w:bCs/>
                <w:color w:val="000000"/>
                <w:sz w:val="22"/>
                <w:szCs w:val="22"/>
              </w:rPr>
            </w:pPr>
            <w:r>
              <w:rPr>
                <w:rFonts w:hint="default" w:ascii="Arial" w:hAnsi="Arial" w:cs="Arial"/>
                <w:b/>
                <w:bCs/>
                <w:color w:val="000000"/>
                <w:sz w:val="22"/>
                <w:szCs w:val="22"/>
              </w:rPr>
              <w:t xml:space="preserve">TITLE </w:t>
            </w:r>
          </w:p>
          <w:p w14:paraId="547CEF45">
            <w:pPr>
              <w:spacing w:before="120" w:after="120"/>
              <w:rPr>
                <w:rFonts w:hint="default" w:ascii="Arial" w:hAnsi="Arial" w:cs="Arial"/>
                <w:b/>
                <w:bCs/>
                <w:color w:val="000000"/>
                <w:sz w:val="22"/>
                <w:szCs w:val="22"/>
              </w:rPr>
            </w:pPr>
          </w:p>
        </w:tc>
        <w:tc>
          <w:tcPr>
            <w:tcW w:w="2295" w:type="dxa"/>
            <w:tcBorders>
              <w:top w:val="single" w:color="E0E0E0" w:sz="6" w:space="0"/>
              <w:left w:val="single" w:color="E0E0E0" w:sz="6" w:space="0"/>
              <w:bottom w:val="single" w:color="E0E0E0" w:sz="6" w:space="0"/>
              <w:right w:val="single" w:color="E0E0E0" w:sz="6" w:space="0"/>
            </w:tcBorders>
            <w:tcMar>
              <w:top w:w="15" w:type="dxa"/>
              <w:left w:w="22" w:type="dxa"/>
              <w:bottom w:w="15" w:type="dxa"/>
              <w:right w:w="22" w:type="dxa"/>
            </w:tcMar>
          </w:tcPr>
          <w:p w14:paraId="57F41F7A">
            <w:pPr>
              <w:rPr>
                <w:rFonts w:hint="default" w:ascii="Arial" w:hAnsi="Arial" w:cs="Arial"/>
                <w:b/>
                <w:bCs/>
                <w:color w:val="000000" w:themeColor="text1"/>
                <w:sz w:val="22"/>
                <w:szCs w:val="22"/>
                <w14:textFill>
                  <w14:solidFill>
                    <w14:schemeClr w14:val="tx1"/>
                  </w14:solidFill>
                </w14:textFill>
              </w:rPr>
            </w:pPr>
            <w:r>
              <w:rPr>
                <w:rFonts w:hint="default" w:ascii="Arial" w:hAnsi="Arial" w:cs="Arial"/>
                <w:b/>
                <w:bCs/>
                <w:sz w:val="22"/>
                <w:szCs w:val="22"/>
              </w:rPr>
              <w:fldChar w:fldCharType="begin"/>
            </w:r>
            <w:r>
              <w:rPr>
                <w:rFonts w:hint="default" w:ascii="Arial" w:hAnsi="Arial" w:cs="Arial"/>
                <w:b/>
                <w:bCs/>
                <w:sz w:val="22"/>
                <w:szCs w:val="22"/>
              </w:rPr>
              <w:instrText xml:space="preserve"> HYPERLINK "http://Pg.no" </w:instrText>
            </w:r>
            <w:r>
              <w:rPr>
                <w:rFonts w:hint="default" w:ascii="Arial" w:hAnsi="Arial" w:cs="Arial"/>
                <w:b/>
                <w:bCs/>
                <w:sz w:val="22"/>
                <w:szCs w:val="22"/>
              </w:rPr>
              <w:fldChar w:fldCharType="separate"/>
            </w:r>
            <w:r>
              <w:rPr>
                <w:rFonts w:hint="default" w:ascii="Arial" w:hAnsi="Arial" w:cs="Arial"/>
                <w:b/>
                <w:bCs/>
                <w:color w:val="000000" w:themeColor="text1"/>
                <w:sz w:val="22"/>
                <w:szCs w:val="22"/>
                <w:u w:val="single" w:color="0000EE"/>
                <w14:textFill>
                  <w14:solidFill>
                    <w14:schemeClr w14:val="tx1"/>
                  </w14:solidFill>
                </w14:textFill>
              </w:rPr>
              <w:t>Pg.no</w:t>
            </w:r>
            <w:r>
              <w:rPr>
                <w:rFonts w:hint="default" w:ascii="Arial" w:hAnsi="Arial" w:cs="Arial"/>
                <w:b/>
                <w:bCs/>
                <w:color w:val="000000" w:themeColor="text1"/>
                <w:sz w:val="22"/>
                <w:szCs w:val="22"/>
                <w:u w:val="single" w:color="0000EE"/>
                <w14:textFill>
                  <w14:solidFill>
                    <w14:schemeClr w14:val="tx1"/>
                  </w14:solidFill>
                </w14:textFill>
              </w:rPr>
              <w:fldChar w:fldCharType="end"/>
            </w:r>
          </w:p>
        </w:tc>
      </w:tr>
      <w:tr w14:paraId="5EA23F07">
        <w:tblPrEx>
          <w:tblBorders>
            <w:top w:val="outset" w:color="FFFFFF" w:sz="6" w:space="0"/>
            <w:left w:val="outset" w:color="FFFFFF" w:sz="6" w:space="0"/>
            <w:bottom w:val="outset" w:color="FFFFFF" w:sz="6" w:space="0"/>
            <w:right w:val="outset" w:color="FFFFFF" w:sz="6" w:space="0"/>
            <w:insideH w:val="none" w:color="auto" w:sz="0" w:space="0"/>
            <w:insideV w:val="none" w:color="auto" w:sz="0" w:space="0"/>
          </w:tblBorders>
          <w:tblCellMar>
            <w:top w:w="15" w:type="dxa"/>
            <w:left w:w="15" w:type="dxa"/>
            <w:bottom w:w="15" w:type="dxa"/>
            <w:right w:w="15" w:type="dxa"/>
          </w:tblCellMar>
        </w:tblPrEx>
        <w:trPr>
          <w:trHeight w:val="540" w:hRule="atLeast"/>
        </w:trPr>
        <w:tc>
          <w:tcPr>
            <w:tcW w:w="0" w:type="auto"/>
            <w:tcBorders>
              <w:left w:val="single" w:color="E0E0E0" w:sz="6" w:space="0"/>
              <w:bottom w:val="single" w:color="E0E0E0" w:sz="6" w:space="0"/>
              <w:right w:val="single" w:color="E0E0E0" w:sz="6" w:space="0"/>
            </w:tcBorders>
            <w:tcMar>
              <w:top w:w="15" w:type="dxa"/>
              <w:left w:w="22" w:type="dxa"/>
              <w:bottom w:w="15" w:type="dxa"/>
              <w:right w:w="22" w:type="dxa"/>
            </w:tcMar>
          </w:tcPr>
          <w:p w14:paraId="029E1DCC">
            <w:pPr>
              <w:rPr>
                <w:rFonts w:hint="default" w:ascii="Arial" w:hAnsi="Arial" w:cs="Arial"/>
                <w:b/>
                <w:bCs/>
                <w:color w:val="000000"/>
                <w:sz w:val="22"/>
                <w:szCs w:val="22"/>
              </w:rPr>
            </w:pPr>
            <w:r>
              <w:rPr>
                <w:rFonts w:hint="default" w:ascii="Arial" w:hAnsi="Arial" w:cs="Arial"/>
                <w:b/>
                <w:bCs/>
                <w:color w:val="000000"/>
                <w:sz w:val="22"/>
                <w:szCs w:val="22"/>
              </w:rPr>
              <w:t>1</w:t>
            </w:r>
          </w:p>
        </w:tc>
        <w:tc>
          <w:tcPr>
            <w:tcW w:w="0" w:type="auto"/>
            <w:tcBorders>
              <w:left w:val="single" w:color="E0E0E0" w:sz="6" w:space="0"/>
              <w:bottom w:val="single" w:color="E0E0E0" w:sz="6" w:space="0"/>
              <w:right w:val="single" w:color="E0E0E0" w:sz="6" w:space="0"/>
            </w:tcBorders>
            <w:tcMar>
              <w:top w:w="15" w:type="dxa"/>
              <w:left w:w="22" w:type="dxa"/>
              <w:bottom w:w="15" w:type="dxa"/>
              <w:right w:w="22" w:type="dxa"/>
            </w:tcMar>
          </w:tcPr>
          <w:p w14:paraId="06E9D9C1">
            <w:pPr>
              <w:pStyle w:val="2"/>
              <w:keepNext w:val="0"/>
              <w:keepLines w:val="0"/>
              <w:spacing w:after="240"/>
              <w:rPr>
                <w:rFonts w:hint="default" w:ascii="Arial" w:hAnsi="Arial" w:cs="Arial"/>
                <w:b/>
                <w:bCs/>
                <w:color w:val="000000"/>
                <w:sz w:val="22"/>
                <w:szCs w:val="22"/>
              </w:rPr>
            </w:pPr>
            <w:r>
              <w:rPr>
                <w:rFonts w:hint="default" w:ascii="Arial" w:hAnsi="Arial" w:cs="Arial"/>
                <w:b/>
                <w:bCs/>
                <w:color w:val="000000"/>
                <w:sz w:val="22"/>
                <w:szCs w:val="22"/>
              </w:rPr>
              <w:t xml:space="preserve">Executive Summary </w:t>
            </w:r>
          </w:p>
          <w:p w14:paraId="54536EE5">
            <w:pPr>
              <w:spacing w:before="120" w:after="120"/>
              <w:rPr>
                <w:rFonts w:hint="default" w:ascii="Arial" w:hAnsi="Arial" w:cs="Arial"/>
                <w:b/>
                <w:bCs/>
                <w:color w:val="000000"/>
                <w:sz w:val="22"/>
                <w:szCs w:val="22"/>
              </w:rPr>
            </w:pPr>
          </w:p>
        </w:tc>
        <w:tc>
          <w:tcPr>
            <w:tcW w:w="0" w:type="auto"/>
            <w:tcBorders>
              <w:left w:val="single" w:color="E0E0E0" w:sz="6" w:space="0"/>
              <w:bottom w:val="single" w:color="E0E0E0" w:sz="6" w:space="0"/>
              <w:right w:val="single" w:color="E0E0E0" w:sz="6" w:space="0"/>
            </w:tcBorders>
            <w:tcMar>
              <w:top w:w="15" w:type="dxa"/>
              <w:left w:w="22" w:type="dxa"/>
              <w:bottom w:w="15" w:type="dxa"/>
              <w:right w:w="22" w:type="dxa"/>
            </w:tcMar>
          </w:tcPr>
          <w:p w14:paraId="1FD2375A">
            <w:pPr>
              <w:rPr>
                <w:rFonts w:hint="default" w:ascii="Arial" w:hAnsi="Arial" w:cs="Arial"/>
                <w:b/>
                <w:bCs/>
                <w:color w:val="000000"/>
                <w:sz w:val="22"/>
                <w:szCs w:val="22"/>
              </w:rPr>
            </w:pPr>
            <w:r>
              <w:rPr>
                <w:rFonts w:hint="default" w:ascii="Arial" w:hAnsi="Arial" w:cs="Arial"/>
                <w:b/>
                <w:bCs/>
                <w:color w:val="000000"/>
                <w:sz w:val="22"/>
                <w:szCs w:val="22"/>
              </w:rPr>
              <w:t>1</w:t>
            </w:r>
          </w:p>
        </w:tc>
      </w:tr>
      <w:tr w14:paraId="4668E683">
        <w:tblPrEx>
          <w:tblBorders>
            <w:top w:val="outset" w:color="FFFFFF" w:sz="6" w:space="0"/>
            <w:left w:val="outset" w:color="FFFFFF" w:sz="6" w:space="0"/>
            <w:bottom w:val="outset" w:color="FFFFFF" w:sz="6" w:space="0"/>
            <w:right w:val="outset" w:color="FFFFFF" w:sz="6" w:space="0"/>
            <w:insideH w:val="none" w:color="auto" w:sz="0" w:space="0"/>
            <w:insideV w:val="none" w:color="auto" w:sz="0" w:space="0"/>
          </w:tblBorders>
          <w:tblCellMar>
            <w:top w:w="15" w:type="dxa"/>
            <w:left w:w="15" w:type="dxa"/>
            <w:bottom w:w="15" w:type="dxa"/>
            <w:right w:w="15" w:type="dxa"/>
          </w:tblCellMar>
        </w:tblPrEx>
        <w:trPr>
          <w:trHeight w:val="540" w:hRule="atLeast"/>
        </w:trPr>
        <w:tc>
          <w:tcPr>
            <w:tcW w:w="0" w:type="auto"/>
            <w:tcBorders>
              <w:left w:val="single" w:color="E0E0E0" w:sz="6" w:space="0"/>
              <w:bottom w:val="single" w:color="E0E0E0" w:sz="6" w:space="0"/>
              <w:right w:val="single" w:color="E0E0E0" w:sz="6" w:space="0"/>
            </w:tcBorders>
            <w:tcMar>
              <w:top w:w="15" w:type="dxa"/>
              <w:left w:w="22" w:type="dxa"/>
              <w:bottom w:w="15" w:type="dxa"/>
              <w:right w:w="22" w:type="dxa"/>
            </w:tcMar>
          </w:tcPr>
          <w:p w14:paraId="1158C663">
            <w:pPr>
              <w:rPr>
                <w:rFonts w:hint="default" w:ascii="Arial" w:hAnsi="Arial" w:cs="Arial"/>
                <w:b/>
                <w:bCs/>
                <w:color w:val="000000"/>
                <w:sz w:val="22"/>
                <w:szCs w:val="22"/>
              </w:rPr>
            </w:pPr>
            <w:r>
              <w:rPr>
                <w:rFonts w:hint="default" w:ascii="Arial" w:hAnsi="Arial" w:cs="Arial"/>
                <w:b/>
                <w:bCs/>
                <w:color w:val="000000"/>
                <w:sz w:val="22"/>
                <w:szCs w:val="22"/>
              </w:rPr>
              <w:t>2</w:t>
            </w:r>
          </w:p>
        </w:tc>
        <w:tc>
          <w:tcPr>
            <w:tcW w:w="0" w:type="auto"/>
            <w:tcBorders>
              <w:left w:val="single" w:color="E0E0E0" w:sz="6" w:space="0"/>
              <w:bottom w:val="single" w:color="E0E0E0" w:sz="6" w:space="0"/>
              <w:right w:val="single" w:color="E0E0E0" w:sz="6" w:space="0"/>
            </w:tcBorders>
            <w:tcMar>
              <w:top w:w="15" w:type="dxa"/>
              <w:left w:w="22" w:type="dxa"/>
              <w:bottom w:w="15" w:type="dxa"/>
              <w:right w:w="22" w:type="dxa"/>
            </w:tcMar>
          </w:tcPr>
          <w:p w14:paraId="07F2FE76">
            <w:pPr>
              <w:spacing w:before="120" w:after="120"/>
              <w:rPr>
                <w:rFonts w:hint="default" w:ascii="Arial" w:hAnsi="Arial" w:cs="Arial"/>
                <w:b/>
                <w:bCs/>
                <w:color w:val="000000"/>
                <w:sz w:val="22"/>
                <w:szCs w:val="22"/>
              </w:rPr>
            </w:pPr>
            <w:r>
              <w:rPr>
                <w:rFonts w:hint="default" w:ascii="Arial" w:hAnsi="Arial" w:cs="Arial"/>
                <w:b/>
                <w:bCs/>
                <w:color w:val="000000"/>
                <w:sz w:val="22"/>
                <w:szCs w:val="22"/>
              </w:rPr>
              <w:t xml:space="preserve">Part 1 : Designing the Talent Ecosystem </w:t>
            </w:r>
          </w:p>
          <w:p w14:paraId="70557931">
            <w:pPr>
              <w:pStyle w:val="18"/>
              <w:numPr>
                <w:ilvl w:val="0"/>
                <w:numId w:val="1"/>
              </w:numPr>
              <w:spacing w:before="120" w:after="120"/>
              <w:rPr>
                <w:rFonts w:hint="default" w:ascii="Arial" w:hAnsi="Arial" w:cs="Arial"/>
                <w:b/>
                <w:bCs/>
                <w:color w:val="000000"/>
                <w:sz w:val="22"/>
                <w:szCs w:val="22"/>
              </w:rPr>
            </w:pPr>
            <w:r>
              <w:rPr>
                <w:rFonts w:hint="default" w:ascii="Arial" w:hAnsi="Arial" w:cs="Arial"/>
                <w:b/>
                <w:bCs/>
                <w:color w:val="000000"/>
                <w:sz w:val="22"/>
                <w:szCs w:val="22"/>
              </w:rPr>
              <w:t xml:space="preserve">1.1Development of Strategic Talent Management Ecosystem </w:t>
            </w:r>
          </w:p>
          <w:p w14:paraId="1A173268">
            <w:pPr>
              <w:pStyle w:val="2"/>
              <w:keepNext w:val="0"/>
              <w:keepLines w:val="0"/>
              <w:numPr>
                <w:ilvl w:val="0"/>
                <w:numId w:val="1"/>
              </w:numPr>
              <w:spacing w:after="240"/>
              <w:rPr>
                <w:rFonts w:hint="default" w:ascii="Arial" w:hAnsi="Arial" w:cs="Arial"/>
                <w:b/>
                <w:bCs/>
                <w:color w:val="000000"/>
                <w:sz w:val="22"/>
                <w:szCs w:val="22"/>
              </w:rPr>
            </w:pPr>
            <w:r>
              <w:rPr>
                <w:rFonts w:hint="default" w:ascii="Arial" w:hAnsi="Arial" w:cs="Arial"/>
                <w:b/>
                <w:bCs/>
                <w:color w:val="000000"/>
                <w:sz w:val="22"/>
                <w:szCs w:val="22"/>
              </w:rPr>
              <w:t xml:space="preserve">1.2Development of Strategic Agile Management Ecosystem </w:t>
            </w:r>
          </w:p>
          <w:p w14:paraId="06F57EF3">
            <w:pPr>
              <w:pStyle w:val="2"/>
              <w:keepNext w:val="0"/>
              <w:keepLines w:val="0"/>
              <w:numPr>
                <w:ilvl w:val="0"/>
                <w:numId w:val="1"/>
              </w:numPr>
              <w:spacing w:after="240"/>
              <w:rPr>
                <w:rFonts w:hint="default" w:ascii="Arial" w:hAnsi="Arial" w:cs="Arial"/>
                <w:b/>
                <w:bCs/>
                <w:color w:val="000000"/>
                <w:sz w:val="22"/>
                <w:szCs w:val="22"/>
              </w:rPr>
            </w:pPr>
            <w:r>
              <w:rPr>
                <w:rFonts w:hint="default" w:ascii="Arial" w:hAnsi="Arial" w:cs="Arial"/>
                <w:b/>
                <w:bCs/>
                <w:color w:val="000000"/>
                <w:sz w:val="22"/>
                <w:szCs w:val="22"/>
              </w:rPr>
              <w:t>1.3</w:t>
            </w:r>
            <w:r>
              <w:rPr>
                <w:rFonts w:hint="default" w:ascii="Arial" w:hAnsi="Arial" w:cs="Arial"/>
                <w:b/>
                <w:bCs/>
                <w:color w:val="000000"/>
                <w:sz w:val="22"/>
                <w:szCs w:val="22"/>
                <w:lang w:val="en-US"/>
              </w:rPr>
              <w:t>Analytical</w:t>
            </w:r>
            <w:r>
              <w:rPr>
                <w:rFonts w:hint="default" w:ascii="Arial" w:hAnsi="Arial" w:cs="Arial"/>
                <w:b/>
                <w:bCs/>
                <w:color w:val="000000"/>
                <w:sz w:val="22"/>
                <w:szCs w:val="22"/>
              </w:rPr>
              <w:t xml:space="preserve"> A</w:t>
            </w:r>
            <w:r>
              <w:rPr>
                <w:rFonts w:hint="default" w:ascii="Arial" w:hAnsi="Arial" w:cs="Arial"/>
                <w:b/>
                <w:bCs/>
                <w:color w:val="000000"/>
                <w:sz w:val="22"/>
                <w:szCs w:val="22"/>
                <w:lang w:val="en-US"/>
              </w:rPr>
              <w:t>pproach</w:t>
            </w:r>
            <w:r>
              <w:rPr>
                <w:rFonts w:hint="default" w:ascii="Arial" w:hAnsi="Arial" w:cs="Arial"/>
                <w:b/>
                <w:bCs/>
                <w:color w:val="000000"/>
                <w:sz w:val="22"/>
                <w:szCs w:val="22"/>
              </w:rPr>
              <w:t xml:space="preserve"> </w:t>
            </w:r>
          </w:p>
          <w:p w14:paraId="1313E87A">
            <w:pPr>
              <w:pStyle w:val="2"/>
              <w:keepNext w:val="0"/>
              <w:keepLines w:val="0"/>
              <w:numPr>
                <w:ilvl w:val="0"/>
                <w:numId w:val="1"/>
              </w:numPr>
              <w:spacing w:after="240"/>
              <w:rPr>
                <w:rFonts w:hint="default" w:ascii="Arial" w:hAnsi="Arial" w:cs="Arial"/>
                <w:b/>
                <w:bCs/>
                <w:color w:val="000000"/>
                <w:sz w:val="22"/>
                <w:szCs w:val="22"/>
              </w:rPr>
            </w:pPr>
            <w:r>
              <w:rPr>
                <w:rFonts w:hint="default" w:ascii="Arial" w:hAnsi="Arial" w:cs="Arial"/>
                <w:b/>
                <w:bCs/>
                <w:color w:val="000000"/>
                <w:sz w:val="22"/>
                <w:szCs w:val="22"/>
              </w:rPr>
              <w:t>1.4 Managerial Implications</w:t>
            </w:r>
          </w:p>
          <w:p w14:paraId="7DCA4CA2">
            <w:pPr>
              <w:pStyle w:val="18"/>
              <w:numPr>
                <w:ilvl w:val="0"/>
                <w:numId w:val="1"/>
              </w:numPr>
              <w:spacing w:before="120" w:after="120"/>
              <w:rPr>
                <w:rFonts w:hint="default" w:ascii="Arial" w:hAnsi="Arial" w:cs="Arial"/>
                <w:b/>
                <w:bCs/>
                <w:color w:val="000000"/>
                <w:sz w:val="22"/>
                <w:szCs w:val="22"/>
              </w:rPr>
            </w:pPr>
            <w:r>
              <w:rPr>
                <w:rFonts w:hint="default" w:ascii="Arial" w:hAnsi="Arial" w:cs="Arial"/>
                <w:b/>
                <w:bCs/>
                <w:color w:val="000000"/>
                <w:sz w:val="22"/>
                <w:szCs w:val="22"/>
              </w:rPr>
              <w:t>1.5 Conclusion</w:t>
            </w:r>
          </w:p>
          <w:p w14:paraId="54EAEB85">
            <w:pPr>
              <w:spacing w:before="120" w:after="120"/>
              <w:rPr>
                <w:rFonts w:hint="default" w:ascii="Arial" w:hAnsi="Arial" w:cs="Arial"/>
                <w:b/>
                <w:bCs/>
                <w:color w:val="000000"/>
                <w:sz w:val="22"/>
                <w:szCs w:val="22"/>
              </w:rPr>
            </w:pPr>
          </w:p>
        </w:tc>
        <w:tc>
          <w:tcPr>
            <w:tcW w:w="0" w:type="auto"/>
            <w:tcBorders>
              <w:left w:val="single" w:color="E0E0E0" w:sz="6" w:space="0"/>
              <w:bottom w:val="single" w:color="E0E0E0" w:sz="6" w:space="0"/>
              <w:right w:val="single" w:color="E0E0E0" w:sz="6" w:space="0"/>
            </w:tcBorders>
            <w:tcMar>
              <w:top w:w="15" w:type="dxa"/>
              <w:left w:w="22" w:type="dxa"/>
              <w:bottom w:w="15" w:type="dxa"/>
              <w:right w:w="22" w:type="dxa"/>
            </w:tcMar>
          </w:tcPr>
          <w:p w14:paraId="535A3325">
            <w:pPr>
              <w:spacing w:before="120" w:after="120"/>
              <w:rPr>
                <w:rFonts w:hint="default" w:ascii="Arial" w:hAnsi="Arial" w:cs="Arial"/>
                <w:b/>
                <w:bCs/>
                <w:color w:val="000000"/>
                <w:sz w:val="22"/>
                <w:szCs w:val="22"/>
                <w:lang w:val="en-US"/>
              </w:rPr>
            </w:pPr>
            <w:r>
              <w:rPr>
                <w:rFonts w:hint="default" w:ascii="Arial" w:hAnsi="Arial" w:cs="Arial"/>
                <w:b/>
                <w:bCs/>
                <w:color w:val="000000"/>
                <w:sz w:val="22"/>
                <w:szCs w:val="22"/>
                <w:lang w:val="en-US"/>
              </w:rPr>
              <w:t>2-6</w:t>
            </w:r>
          </w:p>
        </w:tc>
      </w:tr>
      <w:tr w14:paraId="467AFF46">
        <w:tblPrEx>
          <w:tblBorders>
            <w:top w:val="outset" w:color="FFFFFF" w:sz="6" w:space="0"/>
            <w:left w:val="outset" w:color="FFFFFF" w:sz="6" w:space="0"/>
            <w:bottom w:val="outset" w:color="FFFFFF" w:sz="6" w:space="0"/>
            <w:right w:val="outset" w:color="FFFFFF" w:sz="6" w:space="0"/>
            <w:insideH w:val="none" w:color="auto" w:sz="0" w:space="0"/>
            <w:insideV w:val="none" w:color="auto" w:sz="0" w:space="0"/>
          </w:tblBorders>
          <w:tblCellMar>
            <w:top w:w="15" w:type="dxa"/>
            <w:left w:w="15" w:type="dxa"/>
            <w:bottom w:w="15" w:type="dxa"/>
            <w:right w:w="15" w:type="dxa"/>
          </w:tblCellMar>
        </w:tblPrEx>
        <w:trPr>
          <w:trHeight w:val="540" w:hRule="atLeast"/>
        </w:trPr>
        <w:tc>
          <w:tcPr>
            <w:tcW w:w="0" w:type="auto"/>
            <w:tcBorders>
              <w:left w:val="single" w:color="E0E0E0" w:sz="6" w:space="0"/>
              <w:bottom w:val="single" w:color="E0E0E0" w:sz="6" w:space="0"/>
              <w:right w:val="single" w:color="E0E0E0" w:sz="6" w:space="0"/>
            </w:tcBorders>
            <w:tcMar>
              <w:top w:w="15" w:type="dxa"/>
              <w:left w:w="22" w:type="dxa"/>
              <w:bottom w:w="15" w:type="dxa"/>
              <w:right w:w="22" w:type="dxa"/>
            </w:tcMar>
          </w:tcPr>
          <w:p w14:paraId="416001C9">
            <w:pPr>
              <w:rPr>
                <w:rFonts w:hint="default" w:ascii="Arial" w:hAnsi="Arial" w:cs="Arial"/>
                <w:b/>
                <w:bCs/>
                <w:color w:val="000000"/>
                <w:sz w:val="22"/>
                <w:szCs w:val="22"/>
              </w:rPr>
            </w:pPr>
            <w:r>
              <w:rPr>
                <w:rFonts w:hint="default" w:ascii="Arial" w:hAnsi="Arial" w:cs="Arial"/>
                <w:b/>
                <w:bCs/>
                <w:color w:val="000000"/>
                <w:sz w:val="22"/>
                <w:szCs w:val="22"/>
              </w:rPr>
              <w:t>3</w:t>
            </w:r>
          </w:p>
        </w:tc>
        <w:tc>
          <w:tcPr>
            <w:tcW w:w="0" w:type="auto"/>
            <w:tcBorders>
              <w:left w:val="single" w:color="E0E0E0" w:sz="6" w:space="0"/>
              <w:bottom w:val="single" w:color="E0E0E0" w:sz="6" w:space="0"/>
              <w:right w:val="single" w:color="E0E0E0" w:sz="6" w:space="0"/>
            </w:tcBorders>
            <w:tcMar>
              <w:top w:w="15" w:type="dxa"/>
              <w:left w:w="22" w:type="dxa"/>
              <w:bottom w:w="15" w:type="dxa"/>
              <w:right w:w="22" w:type="dxa"/>
            </w:tcMar>
          </w:tcPr>
          <w:p w14:paraId="1B315FD4">
            <w:pPr>
              <w:spacing w:before="120" w:after="120"/>
              <w:rPr>
                <w:rFonts w:hint="default" w:ascii="Arial" w:hAnsi="Arial" w:cs="Arial"/>
                <w:b/>
                <w:bCs/>
                <w:color w:val="000000"/>
                <w:sz w:val="22"/>
                <w:szCs w:val="22"/>
              </w:rPr>
            </w:pPr>
            <w:r>
              <w:rPr>
                <w:rFonts w:hint="default" w:ascii="Arial" w:hAnsi="Arial" w:cs="Arial"/>
                <w:b/>
                <w:bCs/>
                <w:color w:val="000000"/>
                <w:sz w:val="22"/>
                <w:szCs w:val="22"/>
              </w:rPr>
              <w:t xml:space="preserve">Part 2: Refective Analysis </w:t>
            </w:r>
          </w:p>
          <w:p w14:paraId="189B6A46">
            <w:pPr>
              <w:pStyle w:val="2"/>
              <w:keepNext w:val="0"/>
              <w:keepLines w:val="0"/>
              <w:numPr>
                <w:ilvl w:val="0"/>
                <w:numId w:val="2"/>
              </w:numPr>
              <w:spacing w:after="240"/>
              <w:rPr>
                <w:rFonts w:hint="default" w:ascii="Arial" w:hAnsi="Arial" w:cs="Arial"/>
                <w:b/>
                <w:bCs/>
                <w:color w:val="000000"/>
                <w:sz w:val="22"/>
                <w:szCs w:val="22"/>
              </w:rPr>
            </w:pPr>
            <w:r>
              <w:rPr>
                <w:rFonts w:hint="default" w:ascii="Arial" w:hAnsi="Arial" w:cs="Arial"/>
                <w:b/>
                <w:bCs/>
                <w:color w:val="000000"/>
                <w:sz w:val="22"/>
                <w:szCs w:val="22"/>
              </w:rPr>
              <w:t xml:space="preserve"> 2.1 </w:t>
            </w:r>
            <w:r>
              <w:rPr>
                <w:rFonts w:hint="default" w:ascii="Arial" w:hAnsi="Arial" w:cs="Arial"/>
                <w:b/>
                <w:bCs/>
                <w:color w:val="000000" w:themeColor="text1"/>
                <w:sz w:val="22"/>
                <w:szCs w:val="22"/>
                <w14:textFill>
                  <w14:solidFill>
                    <w14:schemeClr w14:val="tx1"/>
                  </w14:solidFill>
                </w14:textFill>
              </w:rPr>
              <w:t>Gibbs' Reflective Cycle - Reflection of Realisation</w:t>
            </w:r>
          </w:p>
          <w:p w14:paraId="41AD6611">
            <w:pPr>
              <w:pStyle w:val="2"/>
              <w:keepNext w:val="0"/>
              <w:keepLines w:val="0"/>
              <w:numPr>
                <w:ilvl w:val="0"/>
                <w:numId w:val="2"/>
              </w:numPr>
              <w:spacing w:after="240"/>
              <w:rPr>
                <w:rFonts w:hint="default" w:ascii="Arial" w:hAnsi="Arial" w:cs="Arial"/>
                <w:b/>
                <w:bCs/>
                <w:color w:val="000000"/>
                <w:sz w:val="22"/>
                <w:szCs w:val="22"/>
              </w:rPr>
            </w:pPr>
            <w:r>
              <w:rPr>
                <w:rFonts w:hint="default" w:ascii="Arial" w:hAnsi="Arial" w:cs="Arial"/>
                <w:b/>
                <w:bCs/>
                <w:color w:val="000000"/>
                <w:sz w:val="22"/>
                <w:szCs w:val="22"/>
              </w:rPr>
              <w:t xml:space="preserve"> 2.2 Develop Your Own Strategy to Stay Relevant in Today's Workforce (Digital Age of AI)</w:t>
            </w:r>
          </w:p>
          <w:p w14:paraId="343173DE">
            <w:pPr>
              <w:spacing w:before="120" w:after="120"/>
              <w:rPr>
                <w:rFonts w:hint="default" w:ascii="Arial" w:hAnsi="Arial" w:cs="Arial"/>
                <w:b/>
                <w:bCs/>
                <w:color w:val="000000"/>
                <w:sz w:val="22"/>
                <w:szCs w:val="22"/>
              </w:rPr>
            </w:pPr>
          </w:p>
          <w:p w14:paraId="6836CF62">
            <w:pPr>
              <w:spacing w:before="120" w:after="120"/>
              <w:rPr>
                <w:rFonts w:hint="default" w:ascii="Arial" w:hAnsi="Arial" w:cs="Arial"/>
                <w:b/>
                <w:bCs/>
                <w:color w:val="000000"/>
                <w:sz w:val="22"/>
                <w:szCs w:val="22"/>
              </w:rPr>
            </w:pPr>
          </w:p>
        </w:tc>
        <w:tc>
          <w:tcPr>
            <w:tcW w:w="0" w:type="auto"/>
            <w:tcBorders>
              <w:left w:val="single" w:color="E0E0E0" w:sz="6" w:space="0"/>
              <w:bottom w:val="single" w:color="E0E0E0" w:sz="6" w:space="0"/>
              <w:right w:val="single" w:color="E0E0E0" w:sz="6" w:space="0"/>
            </w:tcBorders>
            <w:tcMar>
              <w:top w:w="15" w:type="dxa"/>
              <w:left w:w="22" w:type="dxa"/>
              <w:bottom w:w="15" w:type="dxa"/>
              <w:right w:w="22" w:type="dxa"/>
            </w:tcMar>
          </w:tcPr>
          <w:p w14:paraId="19BEC43C">
            <w:pPr>
              <w:spacing w:before="120" w:after="120"/>
              <w:rPr>
                <w:rFonts w:hint="default" w:ascii="Arial" w:hAnsi="Arial" w:cs="Arial"/>
                <w:b/>
                <w:bCs/>
                <w:color w:val="000000"/>
                <w:sz w:val="22"/>
                <w:szCs w:val="22"/>
                <w:lang w:val="en-US"/>
              </w:rPr>
            </w:pPr>
            <w:r>
              <w:rPr>
                <w:rFonts w:hint="default" w:ascii="Arial" w:hAnsi="Arial" w:cs="Arial"/>
                <w:b/>
                <w:bCs/>
                <w:color w:val="000000"/>
                <w:sz w:val="22"/>
                <w:szCs w:val="22"/>
                <w:lang w:val="en-US"/>
              </w:rPr>
              <w:t>6-8</w:t>
            </w:r>
          </w:p>
        </w:tc>
      </w:tr>
      <w:tr w14:paraId="1BB24F7F">
        <w:tblPrEx>
          <w:tblBorders>
            <w:top w:val="outset" w:color="FFFFFF" w:sz="6" w:space="0"/>
            <w:left w:val="outset" w:color="FFFFFF" w:sz="6" w:space="0"/>
            <w:bottom w:val="outset" w:color="FFFFFF" w:sz="6" w:space="0"/>
            <w:right w:val="outset" w:color="FFFFFF" w:sz="6" w:space="0"/>
            <w:insideH w:val="none" w:color="auto" w:sz="0" w:space="0"/>
            <w:insideV w:val="none" w:color="auto" w:sz="0" w:space="0"/>
          </w:tblBorders>
          <w:tblCellMar>
            <w:top w:w="15" w:type="dxa"/>
            <w:left w:w="15" w:type="dxa"/>
            <w:bottom w:w="15" w:type="dxa"/>
            <w:right w:w="15" w:type="dxa"/>
          </w:tblCellMar>
        </w:tblPrEx>
        <w:trPr>
          <w:trHeight w:val="540" w:hRule="atLeast"/>
        </w:trPr>
        <w:tc>
          <w:tcPr>
            <w:tcW w:w="0" w:type="auto"/>
            <w:tcBorders>
              <w:left w:val="single" w:color="E0E0E0" w:sz="6" w:space="0"/>
              <w:bottom w:val="single" w:color="E0E0E0" w:sz="6" w:space="0"/>
              <w:right w:val="single" w:color="E0E0E0" w:sz="6" w:space="0"/>
            </w:tcBorders>
            <w:tcMar>
              <w:top w:w="15" w:type="dxa"/>
              <w:left w:w="22" w:type="dxa"/>
              <w:bottom w:w="15" w:type="dxa"/>
              <w:right w:w="22" w:type="dxa"/>
            </w:tcMar>
          </w:tcPr>
          <w:p w14:paraId="779FF339">
            <w:pPr>
              <w:rPr>
                <w:rFonts w:hint="default" w:ascii="Arial" w:hAnsi="Arial" w:cs="Arial"/>
                <w:b/>
                <w:bCs/>
                <w:color w:val="000000"/>
                <w:sz w:val="22"/>
                <w:szCs w:val="22"/>
              </w:rPr>
            </w:pPr>
            <w:r>
              <w:rPr>
                <w:rFonts w:hint="default" w:ascii="Arial" w:hAnsi="Arial" w:cs="Arial"/>
                <w:b/>
                <w:bCs/>
                <w:color w:val="000000"/>
                <w:sz w:val="22"/>
                <w:szCs w:val="22"/>
              </w:rPr>
              <w:t>4</w:t>
            </w:r>
          </w:p>
        </w:tc>
        <w:tc>
          <w:tcPr>
            <w:tcW w:w="0" w:type="auto"/>
            <w:tcBorders>
              <w:left w:val="single" w:color="E0E0E0" w:sz="6" w:space="0"/>
              <w:bottom w:val="single" w:color="E0E0E0" w:sz="6" w:space="0"/>
              <w:right w:val="single" w:color="E0E0E0" w:sz="6" w:space="0"/>
            </w:tcBorders>
            <w:tcMar>
              <w:top w:w="15" w:type="dxa"/>
              <w:left w:w="22" w:type="dxa"/>
              <w:bottom w:w="15" w:type="dxa"/>
              <w:right w:w="22" w:type="dxa"/>
            </w:tcMar>
          </w:tcPr>
          <w:p w14:paraId="4E42C6E5">
            <w:pPr>
              <w:pStyle w:val="2"/>
              <w:keepNext w:val="0"/>
              <w:keepLines w:val="0"/>
              <w:spacing w:after="240"/>
              <w:rPr>
                <w:rFonts w:hint="default" w:ascii="Arial" w:hAnsi="Arial" w:cs="Arial"/>
                <w:b/>
                <w:bCs/>
                <w:color w:val="000000"/>
                <w:sz w:val="22"/>
                <w:szCs w:val="22"/>
              </w:rPr>
            </w:pPr>
            <w:r>
              <w:rPr>
                <w:rFonts w:hint="default" w:ascii="Arial" w:hAnsi="Arial" w:cs="Arial"/>
                <w:b/>
                <w:bCs/>
                <w:color w:val="000000"/>
                <w:sz w:val="22"/>
                <w:szCs w:val="22"/>
              </w:rPr>
              <w:t xml:space="preserve">References </w:t>
            </w:r>
          </w:p>
          <w:p w14:paraId="72D51C53">
            <w:pPr>
              <w:spacing w:before="120" w:after="120"/>
              <w:rPr>
                <w:rFonts w:hint="default" w:ascii="Arial" w:hAnsi="Arial" w:cs="Arial"/>
                <w:b/>
                <w:bCs/>
                <w:color w:val="000000"/>
                <w:sz w:val="22"/>
                <w:szCs w:val="22"/>
              </w:rPr>
            </w:pPr>
          </w:p>
        </w:tc>
        <w:tc>
          <w:tcPr>
            <w:tcW w:w="0" w:type="auto"/>
            <w:tcBorders>
              <w:left w:val="single" w:color="E0E0E0" w:sz="6" w:space="0"/>
              <w:bottom w:val="single" w:color="E0E0E0" w:sz="6" w:space="0"/>
              <w:right w:val="single" w:color="E0E0E0" w:sz="6" w:space="0"/>
            </w:tcBorders>
            <w:tcMar>
              <w:top w:w="15" w:type="dxa"/>
              <w:left w:w="22" w:type="dxa"/>
              <w:bottom w:w="15" w:type="dxa"/>
              <w:right w:w="22" w:type="dxa"/>
            </w:tcMar>
          </w:tcPr>
          <w:p w14:paraId="74AC93E3">
            <w:pPr>
              <w:spacing w:before="120" w:after="120"/>
              <w:rPr>
                <w:rFonts w:hint="default" w:ascii="Arial" w:hAnsi="Arial" w:cs="Arial"/>
                <w:b/>
                <w:bCs/>
                <w:color w:val="000000"/>
                <w:sz w:val="22"/>
                <w:szCs w:val="22"/>
                <w:lang w:val="en-US"/>
              </w:rPr>
            </w:pPr>
            <w:r>
              <w:rPr>
                <w:rFonts w:hint="default" w:ascii="Arial" w:hAnsi="Arial" w:cs="Arial"/>
                <w:b/>
                <w:bCs/>
                <w:color w:val="000000"/>
                <w:sz w:val="22"/>
                <w:szCs w:val="22"/>
                <w:lang w:val="en-US"/>
              </w:rPr>
              <w:t>9-11</w:t>
            </w:r>
            <w:bookmarkStart w:id="0" w:name="_GoBack"/>
            <w:bookmarkEnd w:id="0"/>
          </w:p>
        </w:tc>
      </w:tr>
    </w:tbl>
    <w:p w14:paraId="22A0817F">
      <w:pPr>
        <w:spacing w:before="120" w:after="120"/>
        <w:rPr>
          <w:rFonts w:hint="default" w:ascii="Arial" w:hAnsi="Arial" w:cs="Arial"/>
        </w:rPr>
      </w:pPr>
    </w:p>
    <w:p w14:paraId="0294AE1F">
      <w:pPr>
        <w:spacing w:before="120" w:after="120"/>
        <w:rPr>
          <w:rFonts w:hint="default" w:ascii="Arial" w:hAnsi="Arial" w:cs="Arial"/>
        </w:rPr>
      </w:pPr>
    </w:p>
    <w:p w14:paraId="1CE88B98">
      <w:pPr>
        <w:spacing w:before="120" w:after="120"/>
        <w:rPr>
          <w:rFonts w:hint="default" w:ascii="Arial" w:hAnsi="Arial" w:cs="Arial"/>
        </w:rPr>
      </w:pPr>
    </w:p>
    <w:p w14:paraId="41C928C3">
      <w:pPr>
        <w:spacing w:before="120" w:after="120"/>
        <w:rPr>
          <w:rFonts w:hint="default" w:ascii="Arial" w:hAnsi="Arial" w:cs="Arial"/>
          <w:b/>
          <w:bCs/>
        </w:rPr>
      </w:pPr>
    </w:p>
    <w:p w14:paraId="372CB28F">
      <w:pPr>
        <w:spacing w:before="120" w:after="120"/>
        <w:rPr>
          <w:rFonts w:hint="default" w:ascii="Arial" w:hAnsi="Arial" w:cs="Arial"/>
          <w:b/>
          <w:bCs/>
        </w:rPr>
      </w:pPr>
    </w:p>
    <w:p w14:paraId="2C88259C">
      <w:pPr>
        <w:spacing w:before="120" w:after="120"/>
        <w:rPr>
          <w:rFonts w:hint="default" w:ascii="Arial" w:hAnsi="Arial" w:cs="Arial"/>
          <w:b/>
          <w:bCs/>
        </w:rPr>
      </w:pPr>
    </w:p>
    <w:p w14:paraId="4CF07031">
      <w:pPr>
        <w:spacing w:before="120" w:after="120"/>
        <w:jc w:val="both"/>
        <w:rPr>
          <w:rFonts w:hint="default" w:ascii="Arial" w:hAnsi="Arial" w:cs="Arial"/>
          <w:b/>
          <w:bCs/>
          <w:sz w:val="28"/>
          <w:szCs w:val="28"/>
        </w:rPr>
      </w:pPr>
    </w:p>
    <w:p w14:paraId="203FFFC5">
      <w:pPr>
        <w:spacing w:before="120" w:after="120"/>
        <w:jc w:val="both"/>
        <w:rPr>
          <w:rFonts w:hint="default" w:ascii="Arial" w:hAnsi="Arial" w:cs="Arial"/>
          <w:sz w:val="28"/>
          <w:szCs w:val="28"/>
        </w:rPr>
      </w:pPr>
      <w:r>
        <w:rPr>
          <w:rFonts w:hint="default" w:ascii="Arial" w:hAnsi="Arial" w:cs="Arial"/>
          <w:b/>
          <w:bCs/>
          <w:sz w:val="28"/>
          <w:szCs w:val="28"/>
        </w:rPr>
        <w:t>Report to: The Board of Directors, Aether Innovations</w:t>
      </w:r>
    </w:p>
    <w:p w14:paraId="5243DFDD">
      <w:pPr>
        <w:spacing w:before="120" w:after="120"/>
        <w:jc w:val="both"/>
        <w:rPr>
          <w:rFonts w:hint="default" w:ascii="Arial" w:hAnsi="Arial" w:cs="Arial"/>
          <w:sz w:val="28"/>
          <w:szCs w:val="28"/>
        </w:rPr>
      </w:pPr>
      <w:r>
        <w:rPr>
          <w:rFonts w:hint="default" w:ascii="Arial" w:hAnsi="Arial" w:cs="Arial"/>
          <w:b/>
          <w:bCs/>
          <w:sz w:val="28"/>
          <w:szCs w:val="28"/>
        </w:rPr>
        <w:t>From</w:t>
      </w:r>
      <w:r>
        <w:rPr>
          <w:rFonts w:hint="default" w:ascii="Arial" w:hAnsi="Arial" w:cs="Arial"/>
          <w:sz w:val="28"/>
          <w:szCs w:val="28"/>
        </w:rPr>
        <w:t xml:space="preserve">: Human Capital Consultant </w:t>
      </w:r>
    </w:p>
    <w:p w14:paraId="10EFFD13">
      <w:pPr>
        <w:spacing w:before="120" w:after="120"/>
        <w:jc w:val="both"/>
        <w:rPr>
          <w:rFonts w:hint="default" w:ascii="Arial" w:hAnsi="Arial" w:cs="Arial"/>
          <w:sz w:val="28"/>
          <w:szCs w:val="28"/>
        </w:rPr>
      </w:pPr>
      <w:r>
        <w:rPr>
          <w:rFonts w:hint="default" w:ascii="Arial" w:hAnsi="Arial" w:cs="Arial"/>
          <w:b/>
          <w:bCs/>
          <w:sz w:val="28"/>
          <w:szCs w:val="28"/>
        </w:rPr>
        <w:t>Date</w:t>
      </w:r>
      <w:r>
        <w:rPr>
          <w:rFonts w:hint="default" w:ascii="Arial" w:hAnsi="Arial" w:cs="Arial"/>
          <w:sz w:val="28"/>
          <w:szCs w:val="28"/>
        </w:rPr>
        <w:t xml:space="preserve">: March 2026 </w:t>
      </w:r>
    </w:p>
    <w:p w14:paraId="61CC88EF">
      <w:pPr>
        <w:spacing w:before="120" w:after="120"/>
        <w:jc w:val="both"/>
        <w:rPr>
          <w:rFonts w:hint="default" w:ascii="Arial" w:hAnsi="Arial" w:cs="Arial"/>
          <w:sz w:val="28"/>
          <w:szCs w:val="28"/>
        </w:rPr>
      </w:pPr>
      <w:r>
        <w:rPr>
          <w:rFonts w:hint="default" w:ascii="Arial" w:hAnsi="Arial" w:cs="Arial"/>
          <w:b/>
          <w:bCs/>
          <w:sz w:val="28"/>
          <w:szCs w:val="28"/>
        </w:rPr>
        <w:t>Subject</w:t>
      </w:r>
      <w:r>
        <w:rPr>
          <w:rFonts w:hint="default" w:ascii="Arial" w:hAnsi="Arial" w:cs="Arial"/>
          <w:sz w:val="28"/>
          <w:szCs w:val="28"/>
        </w:rPr>
        <w:t xml:space="preserve">: Integrated Human Capital Blueprint: Aligning People and Performance </w:t>
      </w:r>
    </w:p>
    <w:p w14:paraId="7EAE1A27">
      <w:pPr>
        <w:spacing w:before="120" w:after="120"/>
        <w:jc w:val="both"/>
        <w:rPr>
          <w:rFonts w:hint="default" w:ascii="Arial" w:hAnsi="Arial" w:cs="Arial"/>
          <w:sz w:val="28"/>
          <w:szCs w:val="28"/>
        </w:rPr>
      </w:pPr>
    </w:p>
    <w:p w14:paraId="782E487E">
      <w:pPr>
        <w:spacing w:before="240" w:after="240"/>
        <w:jc w:val="both"/>
        <w:rPr>
          <w:rFonts w:hint="default" w:ascii="Arial" w:hAnsi="Arial" w:cs="Arial"/>
          <w:sz w:val="28"/>
          <w:szCs w:val="28"/>
        </w:rPr>
      </w:pPr>
      <w:r>
        <w:rPr>
          <w:rFonts w:hint="default" w:ascii="Arial" w:hAnsi="Arial" w:cs="Arial"/>
          <w:b/>
          <w:bCs/>
          <w:sz w:val="28"/>
          <w:szCs w:val="28"/>
        </w:rPr>
        <w:t xml:space="preserve">Executive Summary </w:t>
      </w:r>
    </w:p>
    <w:p w14:paraId="7426172D">
      <w:pPr>
        <w:spacing w:before="120" w:after="120"/>
        <w:jc w:val="both"/>
        <w:rPr>
          <w:rFonts w:hint="default" w:ascii="Arial" w:hAnsi="Arial" w:eastAsia="Segoe UI" w:cs="Arial"/>
          <w:i w:val="0"/>
          <w:iCs w:val="0"/>
          <w:caps w:val="0"/>
          <w:color w:val="2B2D38"/>
          <w:spacing w:val="0"/>
          <w:sz w:val="24"/>
          <w:szCs w:val="24"/>
          <w:shd w:val="clear" w:fill="FFFFFF"/>
        </w:rPr>
      </w:pPr>
      <w:r>
        <w:rPr>
          <w:rFonts w:hint="default" w:ascii="Arial" w:hAnsi="Arial" w:eastAsia="Segoe UI" w:cs="Arial"/>
          <w:i w:val="0"/>
          <w:iCs w:val="0"/>
          <w:caps w:val="0"/>
          <w:color w:val="2B2D38"/>
          <w:spacing w:val="0"/>
          <w:sz w:val="24"/>
          <w:szCs w:val="24"/>
          <w:shd w:val="clear" w:fill="FFFFFF"/>
        </w:rPr>
        <w:t>The organisation has a rapidly expanding workforce of 300 individuals within the tech sector who are providing new and exciting possibilities for growth. Despite these opportunities, the organisation is currently struggling with its people management practices; this will ultimately lead to poor productivity levels and unhappy customers and will affect the long-term viability of the organisation. The company's difficulties in managing staff are demonstrative of the fact that their strategic objectives are not aligned with their human capital management practices.</w:t>
      </w:r>
    </w:p>
    <w:p w14:paraId="2FED53D8">
      <w:pPr>
        <w:spacing w:before="120" w:after="120"/>
        <w:jc w:val="both"/>
        <w:rPr>
          <w:rFonts w:hint="default" w:ascii="Arial" w:hAnsi="Arial" w:eastAsia="Segoe UI" w:cs="Arial"/>
          <w:i w:val="0"/>
          <w:iCs w:val="0"/>
          <w:caps w:val="0"/>
          <w:color w:val="2B2D38"/>
          <w:spacing w:val="0"/>
          <w:sz w:val="24"/>
          <w:szCs w:val="24"/>
          <w:shd w:val="clear" w:fill="FFFFFF"/>
        </w:rPr>
      </w:pPr>
      <w:r>
        <w:rPr>
          <w:rFonts w:hint="default" w:ascii="Arial" w:hAnsi="Arial" w:eastAsia="Segoe UI" w:cs="Arial"/>
          <w:i w:val="0"/>
          <w:iCs w:val="0"/>
          <w:caps w:val="0"/>
          <w:color w:val="2B2D38"/>
          <w:spacing w:val="0"/>
          <w:sz w:val="24"/>
          <w:szCs w:val="24"/>
          <w:shd w:val="clear" w:fill="FFFFFF"/>
        </w:rPr>
        <w:t>Research conducted in regards to strategic HRM has shown that the effectiveness of an organisation as a whole is increasingly shaped by how well the HR department manages their employees, (Guest 1997; Boxall &amp; Purcell 2016). Subsequently, this report will present a comprehensive and integrated human capital strategy to create an improved talent management ecosystem at Aether Innovations.</w:t>
      </w:r>
    </w:p>
    <w:p w14:paraId="6D20DF8C">
      <w:pPr>
        <w:spacing w:before="120" w:after="120"/>
        <w:jc w:val="both"/>
        <w:rPr>
          <w:rFonts w:hint="default" w:ascii="Arial" w:hAnsi="Arial" w:eastAsia="Segoe UI" w:cs="Arial"/>
          <w:i w:val="0"/>
          <w:iCs w:val="0"/>
          <w:caps w:val="0"/>
          <w:color w:val="2B2D38"/>
          <w:spacing w:val="0"/>
          <w:sz w:val="24"/>
          <w:szCs w:val="24"/>
          <w:shd w:val="clear" w:fill="FFFFFF"/>
        </w:rPr>
      </w:pPr>
      <w:r>
        <w:rPr>
          <w:rFonts w:hint="default" w:ascii="Arial" w:hAnsi="Arial" w:eastAsia="Segoe UI" w:cs="Arial"/>
          <w:i w:val="0"/>
          <w:iCs w:val="0"/>
          <w:caps w:val="0"/>
          <w:color w:val="2B2D38"/>
          <w:spacing w:val="0"/>
          <w:sz w:val="24"/>
          <w:szCs w:val="24"/>
          <w:shd w:val="clear" w:fill="FFFFFF"/>
        </w:rPr>
        <w:t>The first part of the report will focus on how important talent management is strategically to the organisation in order to increase the competitiveness of the organisation within the technology sector as a whole. The final part of the report will outline how Agile management will enhance the organisation's ability to quickly react to a rapidly changing business environment in today's marketplace.</w:t>
      </w:r>
    </w:p>
    <w:p w14:paraId="7681657F">
      <w:pPr>
        <w:spacing w:before="120" w:after="120"/>
        <w:jc w:val="both"/>
        <w:rPr>
          <w:rFonts w:hint="default" w:ascii="Arial" w:hAnsi="Arial" w:eastAsia="Segoe UI" w:cs="Arial"/>
          <w:i w:val="0"/>
          <w:iCs w:val="0"/>
          <w:caps w:val="0"/>
          <w:color w:val="2B2D38"/>
          <w:spacing w:val="0"/>
          <w:sz w:val="24"/>
          <w:szCs w:val="24"/>
          <w:shd w:val="clear" w:fill="FFFFFF"/>
        </w:rPr>
      </w:pPr>
      <w:r>
        <w:rPr>
          <w:rFonts w:hint="default" w:ascii="Arial" w:hAnsi="Arial" w:eastAsia="Segoe UI" w:cs="Arial"/>
          <w:i w:val="0"/>
          <w:iCs w:val="0"/>
          <w:caps w:val="0"/>
          <w:color w:val="2B2D38"/>
          <w:spacing w:val="0"/>
          <w:sz w:val="24"/>
          <w:szCs w:val="24"/>
          <w:shd w:val="clear" w:fill="FFFFFF"/>
        </w:rPr>
        <w:t>The Management Implication Section Encompasses A Summary Of Key Management Implications To Assist The Board Of Directors In Creating A Balanced Talent Strategy With Focus On Internal Talent Development And External Recruitment Strategies At Its</w:t>
      </w:r>
      <w:r>
        <w:rPr>
          <w:rFonts w:hint="default" w:ascii="Arial" w:hAnsi="Arial" w:eastAsia="Segoe UI" w:cs="Arial"/>
          <w:i w:val="0"/>
          <w:iCs w:val="0"/>
          <w:caps w:val="0"/>
          <w:color w:val="2B2D38"/>
          <w:spacing w:val="0"/>
          <w:sz w:val="24"/>
          <w:szCs w:val="24"/>
          <w:shd w:val="clear" w:fill="FFFFFF"/>
          <w:lang w:val="en-US"/>
        </w:rPr>
        <w:t xml:space="preserve"> </w:t>
      </w:r>
      <w:r>
        <w:rPr>
          <w:rFonts w:hint="default" w:ascii="Arial" w:hAnsi="Arial" w:eastAsia="Segoe UI" w:cs="Arial"/>
          <w:i w:val="0"/>
          <w:iCs w:val="0"/>
          <w:caps w:val="0"/>
          <w:color w:val="2B2D38"/>
          <w:spacing w:val="0"/>
          <w:sz w:val="24"/>
          <w:szCs w:val="24"/>
          <w:shd w:val="clear" w:fill="FFFFFF"/>
        </w:rPr>
        <w:t>Core. Finally, The Module Has Provided A Reflection Of The Author’s Thoughts Regarding The Impact Of Designing Talent Ecosystems/Strategies; Lessons Learned Given The Current State Of The Anxiety-Driven Job Market.</w:t>
      </w:r>
    </w:p>
    <w:p w14:paraId="66426176">
      <w:pPr>
        <w:spacing w:before="120" w:after="120"/>
        <w:jc w:val="both"/>
        <w:rPr>
          <w:rFonts w:hint="default" w:ascii="Arial" w:hAnsi="Arial" w:eastAsia="Segoe UI" w:cs="Arial"/>
          <w:i w:val="0"/>
          <w:iCs w:val="0"/>
          <w:caps w:val="0"/>
          <w:color w:val="2B2D38"/>
          <w:spacing w:val="0"/>
          <w:sz w:val="24"/>
          <w:szCs w:val="24"/>
          <w:shd w:val="clear" w:fill="FFFFFF"/>
        </w:rPr>
      </w:pPr>
    </w:p>
    <w:p w14:paraId="1DC2B157">
      <w:pPr>
        <w:spacing w:before="120" w:after="120"/>
        <w:jc w:val="both"/>
        <w:rPr>
          <w:rFonts w:hint="default" w:ascii="Arial" w:hAnsi="Arial" w:eastAsia="Segoe UI" w:cs="Arial"/>
          <w:i w:val="0"/>
          <w:iCs w:val="0"/>
          <w:caps w:val="0"/>
          <w:color w:val="2B2D38"/>
          <w:spacing w:val="0"/>
          <w:sz w:val="24"/>
          <w:szCs w:val="24"/>
          <w:shd w:val="clear" w:fill="FFFFFF"/>
        </w:rPr>
      </w:pPr>
    </w:p>
    <w:p w14:paraId="2659F69C">
      <w:pPr>
        <w:spacing w:before="120" w:after="120"/>
        <w:jc w:val="both"/>
        <w:rPr>
          <w:rFonts w:hint="default" w:ascii="Arial" w:hAnsi="Arial" w:cs="Arial"/>
          <w:b/>
          <w:bCs/>
        </w:rPr>
      </w:pPr>
    </w:p>
    <w:p w14:paraId="379A04D7">
      <w:pPr>
        <w:spacing w:before="120" w:after="120"/>
        <w:jc w:val="both"/>
        <w:rPr>
          <w:rFonts w:hint="default" w:ascii="Arial" w:hAnsi="Arial" w:cs="Arial"/>
          <w:b/>
          <w:bCs/>
        </w:rPr>
      </w:pPr>
    </w:p>
    <w:p w14:paraId="5343596A">
      <w:pPr>
        <w:spacing w:before="120" w:after="120"/>
        <w:jc w:val="both"/>
        <w:rPr>
          <w:rFonts w:hint="default" w:ascii="Arial" w:hAnsi="Arial" w:cs="Arial"/>
          <w:b/>
          <w:bCs/>
        </w:rPr>
      </w:pPr>
    </w:p>
    <w:p w14:paraId="699A0B7E">
      <w:pPr>
        <w:spacing w:before="120" w:after="120"/>
        <w:jc w:val="both"/>
        <w:rPr>
          <w:rFonts w:hint="default" w:ascii="Arial" w:hAnsi="Arial" w:cs="Arial"/>
          <w:b/>
          <w:bCs/>
        </w:rPr>
      </w:pPr>
    </w:p>
    <w:p w14:paraId="7615D51B">
      <w:pPr>
        <w:spacing w:before="120" w:after="120"/>
        <w:jc w:val="both"/>
        <w:rPr>
          <w:rFonts w:hint="default" w:ascii="Arial" w:hAnsi="Arial" w:cs="Arial"/>
          <w:b/>
          <w:bCs/>
        </w:rPr>
      </w:pPr>
    </w:p>
    <w:p w14:paraId="3375B68D">
      <w:pPr>
        <w:spacing w:before="120" w:after="120"/>
        <w:jc w:val="both"/>
        <w:rPr>
          <w:rFonts w:hint="default" w:ascii="Arial" w:hAnsi="Arial" w:cs="Arial"/>
          <w:b/>
          <w:bCs/>
          <w:sz w:val="28"/>
          <w:szCs w:val="28"/>
        </w:rPr>
      </w:pPr>
      <w:r>
        <w:rPr>
          <w:rFonts w:hint="default" w:ascii="Arial" w:hAnsi="Arial" w:cs="Arial"/>
          <w:b/>
          <w:bCs/>
          <w:sz w:val="28"/>
          <w:szCs w:val="28"/>
        </w:rPr>
        <w:t xml:space="preserve">Part 1 : Designing the Talent Ecosystem </w:t>
      </w:r>
    </w:p>
    <w:p w14:paraId="2AAFB2DF">
      <w:pPr>
        <w:spacing w:before="240" w:after="240"/>
        <w:jc w:val="both"/>
        <w:rPr>
          <w:rFonts w:hint="default" w:ascii="Arial" w:hAnsi="Arial" w:cs="Arial"/>
          <w:b/>
          <w:bCs/>
          <w:sz w:val="28"/>
          <w:szCs w:val="28"/>
        </w:rPr>
      </w:pPr>
    </w:p>
    <w:p w14:paraId="48FDC8FA">
      <w:pPr>
        <w:spacing w:before="240" w:after="240"/>
        <w:jc w:val="both"/>
        <w:rPr>
          <w:rFonts w:hint="default" w:ascii="Arial" w:hAnsi="Arial" w:cs="Arial"/>
          <w:sz w:val="28"/>
          <w:szCs w:val="28"/>
        </w:rPr>
      </w:pPr>
      <w:r>
        <w:rPr>
          <w:rFonts w:hint="default" w:ascii="Arial" w:hAnsi="Arial" w:cs="Arial"/>
          <w:b/>
          <w:bCs/>
          <w:sz w:val="28"/>
          <w:szCs w:val="28"/>
        </w:rPr>
        <w:t xml:space="preserve">1.1 Development of Strategic Talent Management Ecosystem </w:t>
      </w:r>
    </w:p>
    <w:p w14:paraId="214E34DA">
      <w:pPr>
        <w:spacing w:before="120" w:after="120"/>
        <w:jc w:val="both"/>
        <w:rPr>
          <w:rFonts w:hint="default" w:ascii="Arial" w:hAnsi="Arial" w:cs="Arial"/>
        </w:rPr>
      </w:pPr>
      <w:r>
        <w:rPr>
          <w:rFonts w:hint="default" w:ascii="Arial" w:hAnsi="Arial" w:cs="Arial"/>
        </w:rPr>
        <w:t>Strategic talent management involves obtaining, developing and retaining individuals whose abilities will help achieve long-term organisational success. Human capital is an important contributor to competitive advantage in sectors where knowledge is paramount (e.g., technology) (Latukha et al., 2022).</w:t>
      </w:r>
    </w:p>
    <w:p w14:paraId="168FE744">
      <w:pPr>
        <w:spacing w:before="120" w:after="120"/>
        <w:jc w:val="both"/>
        <w:rPr>
          <w:rFonts w:hint="default" w:ascii="Arial" w:hAnsi="Arial" w:cs="Arial"/>
        </w:rPr>
      </w:pPr>
      <w:r>
        <w:rPr>
          <w:rFonts w:hint="default" w:ascii="Arial" w:hAnsi="Arial" w:cs="Arial"/>
        </w:rPr>
        <w:t>For Aether Innovations, strategic management of talent is demonstrated by linking various components such as recruitment systems, training and development, performance management, and leadership development, all of which work together toward the overall goal of developing talent within the organisation.</w:t>
      </w:r>
    </w:p>
    <w:p w14:paraId="59C5706A">
      <w:pPr>
        <w:spacing w:before="120" w:after="120"/>
        <w:jc w:val="both"/>
        <w:rPr>
          <w:rFonts w:hint="default" w:ascii="Arial" w:hAnsi="Arial" w:cs="Arial"/>
        </w:rPr>
      </w:pPr>
      <w:r>
        <w:rPr>
          <w:rFonts w:hint="default" w:ascii="Arial" w:hAnsi="Arial" w:cs="Arial"/>
        </w:rPr>
        <w:t>To achieve success, organisations should implement an effective recruitment process that finds individuals who possess particular skills along with those who fit with the organisation's values because research suggests that person-organisation fit is one of the greatest influences on employee engagement and retention (Mensah &amp; Bawole, 2018).</w:t>
      </w:r>
      <w:r>
        <w:rPr>
          <w:rFonts w:hint="default" w:ascii="Arial" w:hAnsi="Arial" w:cs="Arial"/>
          <w:lang w:val="en-US"/>
        </w:rPr>
        <w:t xml:space="preserve"> </w:t>
      </w:r>
      <w:r>
        <w:rPr>
          <w:rFonts w:hint="default" w:ascii="Arial" w:hAnsi="Arial" w:cs="Arial"/>
        </w:rPr>
        <w:t>However, one major factor in developing and improving employee competence, developing future leaders of the business via talent development, and being able to achieve their goals in accordance with what the company wants them to achieve will be having a competent manager and it is crucial that this manager has provided every employee the ability to meet or exceed his/her objectives and in turn, help their employees do so (Saddozai et al., 2017).</w:t>
      </w:r>
    </w:p>
    <w:p w14:paraId="1B2A8387">
      <w:pPr>
        <w:spacing w:before="120" w:after="120"/>
        <w:jc w:val="both"/>
        <w:rPr>
          <w:rFonts w:hint="default" w:ascii="Arial" w:hAnsi="Arial" w:cs="Arial"/>
        </w:rPr>
      </w:pPr>
      <w:r>
        <w:rPr>
          <w:rFonts w:hint="default" w:ascii="Arial" w:hAnsi="Arial" w:cs="Arial"/>
        </w:rPr>
        <w:t>Companies that have effective employee retention programs will help to reduce the potential for high employee turnover and the negative impact that would have on the productivity of the organization. A successful retention program will also contribute positively to overall employee productivity (Birou &amp; Hoek, 2021).</w:t>
      </w:r>
    </w:p>
    <w:p w14:paraId="6FD7577B">
      <w:pPr>
        <w:spacing w:before="240" w:after="240"/>
        <w:jc w:val="both"/>
        <w:rPr>
          <w:rFonts w:hint="default" w:ascii="Arial" w:hAnsi="Arial" w:cs="Arial"/>
          <w:sz w:val="28"/>
          <w:szCs w:val="28"/>
        </w:rPr>
      </w:pPr>
      <w:r>
        <w:rPr>
          <w:rFonts w:hint="default" w:ascii="Arial" w:hAnsi="Arial" w:cs="Arial"/>
          <w:b/>
          <w:bCs/>
          <w:sz w:val="28"/>
          <w:szCs w:val="28"/>
        </w:rPr>
        <w:t xml:space="preserve">1.2 Development of Strategic Agile Management Ecosystem </w:t>
      </w:r>
    </w:p>
    <w:p w14:paraId="3E82BC8F">
      <w:pPr>
        <w:spacing w:before="240" w:after="240"/>
        <w:jc w:val="both"/>
        <w:rPr>
          <w:rFonts w:hint="default" w:ascii="Arial" w:hAnsi="Arial" w:cs="Arial"/>
          <w:lang w:val="en-US"/>
        </w:rPr>
      </w:pPr>
      <w:r>
        <w:rPr>
          <w:rFonts w:hint="default" w:ascii="Arial" w:hAnsi="Arial" w:cs="Arial"/>
        </w:rPr>
        <w:t>In a rapidly changing technological economy, businesses have to now develop strong management capabilities to compete in the marketplace. Due to technological innovation, fluctuations in the economy and rapid growth, businesses must be able to quickly capitalize on new opportunities and to either change or eliminate old opportunities.</w:t>
      </w:r>
      <w:r>
        <w:rPr>
          <w:rFonts w:hint="default" w:ascii="Arial" w:hAnsi="Arial" w:cs="Arial"/>
          <w:lang w:val="en-US"/>
        </w:rPr>
        <w:t xml:space="preserve"> </w:t>
      </w:r>
    </w:p>
    <w:p w14:paraId="1546F0DE">
      <w:pPr>
        <w:spacing w:before="240" w:after="240"/>
        <w:jc w:val="both"/>
        <w:rPr>
          <w:rFonts w:hint="default" w:ascii="Arial" w:hAnsi="Arial" w:cs="Arial"/>
        </w:rPr>
      </w:pPr>
      <w:r>
        <w:rPr>
          <w:rFonts w:hint="default" w:ascii="Arial" w:hAnsi="Arial" w:cs="Arial"/>
        </w:rPr>
        <w:t>Agile talent management (ATM) is a means of enabling organisations to respond quickly to the needs of their business. In order to create agile organisations with flexible structures, flexible ways of working together, and the ability to develop employee skill sets (Malik et al., 2021).</w:t>
      </w:r>
    </w:p>
    <w:p w14:paraId="1D2AFB49">
      <w:pPr>
        <w:spacing w:before="240" w:after="240"/>
        <w:jc w:val="both"/>
        <w:rPr>
          <w:rFonts w:hint="default" w:ascii="Arial" w:hAnsi="Arial" w:cs="Arial"/>
        </w:rPr>
      </w:pPr>
      <w:r>
        <w:rPr>
          <w:rFonts w:hint="default" w:ascii="Arial" w:hAnsi="Arial" w:cs="Arial"/>
        </w:rPr>
        <w:t xml:space="preserve">Strategic agility differs from operational agility because organisations must be both reactive and proactive in their response to rapidly changing environmental conditions </w:t>
      </w:r>
    </w:p>
    <w:p w14:paraId="506DFCD1">
      <w:pPr>
        <w:spacing w:before="240" w:after="240"/>
        <w:jc w:val="both"/>
        <w:rPr>
          <w:rFonts w:hint="default" w:ascii="Arial" w:hAnsi="Arial" w:cs="Arial"/>
        </w:rPr>
      </w:pPr>
    </w:p>
    <w:p w14:paraId="70178A56">
      <w:pPr>
        <w:spacing w:before="240" w:after="240"/>
        <w:jc w:val="both"/>
        <w:rPr>
          <w:rFonts w:hint="default" w:ascii="Arial" w:hAnsi="Arial" w:cs="Arial"/>
        </w:rPr>
      </w:pPr>
      <w:r>
        <w:rPr>
          <w:rFonts w:hint="default" w:ascii="Arial" w:hAnsi="Arial" w:cs="Arial"/>
        </w:rPr>
        <w:t>(Denning, 2017). By being strategically agile through ATM, Aether Innovations will be able to adapt its organisation's business models to meet its ever-changing customer needs through innovation and responsiveness.</w:t>
      </w:r>
    </w:p>
    <w:p w14:paraId="33556680">
      <w:pPr>
        <w:spacing w:before="240" w:after="240"/>
        <w:jc w:val="both"/>
        <w:rPr>
          <w:rFonts w:hint="default" w:ascii="Arial" w:hAnsi="Arial" w:cs="Arial"/>
          <w:b/>
          <w:bCs/>
          <w:sz w:val="24"/>
          <w:szCs w:val="24"/>
        </w:rPr>
      </w:pPr>
      <w:r>
        <w:rPr>
          <w:rFonts w:hint="default" w:ascii="Arial" w:hAnsi="Arial" w:cs="Arial"/>
          <w:b/>
          <w:bCs/>
          <w:sz w:val="24"/>
          <w:szCs w:val="24"/>
        </w:rPr>
        <w:t>There are many opportunities to improve the application of ATM, some of which include:</w:t>
      </w:r>
    </w:p>
    <w:p w14:paraId="3CE988C5">
      <w:pPr>
        <w:spacing w:before="240" w:after="240"/>
        <w:jc w:val="both"/>
        <w:rPr>
          <w:rFonts w:hint="default" w:ascii="Arial" w:hAnsi="Arial" w:cs="Arial"/>
          <w:lang w:val="en-US"/>
        </w:rPr>
      </w:pPr>
      <w:r>
        <w:rPr>
          <w:rFonts w:hint="default" w:ascii="Arial" w:hAnsi="Arial" w:cs="Arial"/>
        </w:rPr>
        <w:t>Cross-functional teams: The use of cross-functional teams increases the overall effectiveness of an organisation by allowing for improved communication, collaboration, and the ability to learn and grow together.</w:t>
      </w:r>
      <w:r>
        <w:rPr>
          <w:rFonts w:hint="default" w:ascii="Arial" w:hAnsi="Arial" w:cs="Arial"/>
          <w:lang w:val="en-US"/>
        </w:rPr>
        <w:t xml:space="preserve"> </w:t>
      </w:r>
    </w:p>
    <w:p w14:paraId="6C8BD95B">
      <w:pPr>
        <w:spacing w:before="240" w:after="240"/>
        <w:jc w:val="both"/>
        <w:rPr>
          <w:rFonts w:hint="default" w:ascii="Arial" w:hAnsi="Arial" w:cs="Arial"/>
        </w:rPr>
      </w:pPr>
      <w:r>
        <w:rPr>
          <w:rFonts w:hint="default" w:ascii="Arial" w:hAnsi="Arial" w:cs="Arial"/>
        </w:rPr>
        <w:t>Continuous learning and up-skilling programmes: A fulfilment of the organisations need for continuous improvement through training and development through both on-duty and off-duty training.</w:t>
      </w:r>
    </w:p>
    <w:p w14:paraId="5EF89243">
      <w:pPr>
        <w:spacing w:before="240" w:after="240"/>
        <w:jc w:val="both"/>
        <w:rPr>
          <w:rFonts w:hint="default" w:ascii="Arial" w:hAnsi="Arial" w:cs="Arial"/>
        </w:rPr>
      </w:pPr>
      <w:r>
        <w:rPr>
          <w:rFonts w:hint="default" w:ascii="Arial" w:hAnsi="Arial" w:cs="Arial"/>
        </w:rPr>
        <w:t>Digital collaboration tools: The use of digital collaboration tools such as online meeting software, project collaboration tools, and video conferencing tools provide organisations with additional avenues of improving their overall performance.</w:t>
      </w:r>
    </w:p>
    <w:p w14:paraId="0A9CFF02">
      <w:pPr>
        <w:spacing w:before="240" w:after="240"/>
        <w:jc w:val="both"/>
        <w:rPr>
          <w:rFonts w:hint="default" w:ascii="Arial" w:hAnsi="Arial" w:cs="Arial"/>
        </w:rPr>
      </w:pPr>
      <w:r>
        <w:rPr>
          <w:rFonts w:hint="default" w:ascii="Arial" w:hAnsi="Arial" w:cs="Arial"/>
        </w:rPr>
        <w:t>Flexible performance management systems: The use of flexible performance management systems will allow organisations to quickly assess the performance of their employees and provide them with timely feedback on performance.</w:t>
      </w:r>
    </w:p>
    <w:p w14:paraId="36331C40">
      <w:pPr>
        <w:pStyle w:val="11"/>
        <w:keepNext w:val="0"/>
        <w:keepLines w:val="0"/>
        <w:widowControl/>
        <w:suppressLineNumbers w:val="0"/>
        <w:jc w:val="both"/>
        <w:rPr>
          <w:rFonts w:hint="default" w:ascii="Arial" w:hAnsi="Arial" w:cs="Arial"/>
          <w:b/>
          <w:bCs/>
          <w:sz w:val="28"/>
          <w:szCs w:val="28"/>
        </w:rPr>
      </w:pPr>
      <w:r>
        <w:rPr>
          <w:rFonts w:hint="default" w:ascii="Arial" w:hAnsi="Arial" w:cs="Arial"/>
          <w:b/>
          <w:bCs/>
          <w:sz w:val="28"/>
          <w:szCs w:val="28"/>
        </w:rPr>
        <w:t xml:space="preserve">1.3 </w:t>
      </w:r>
      <w:r>
        <w:rPr>
          <w:rFonts w:hint="default" w:ascii="Arial" w:hAnsi="Arial" w:cs="Arial"/>
          <w:b/>
          <w:bCs/>
          <w:sz w:val="28"/>
          <w:szCs w:val="28"/>
        </w:rPr>
        <w:t>Analytical Approach</w:t>
      </w:r>
    </w:p>
    <w:p w14:paraId="74F27463">
      <w:pPr>
        <w:spacing w:before="120" w:after="120"/>
        <w:jc w:val="both"/>
        <w:rPr>
          <w:rFonts w:hint="default" w:ascii="Arial" w:hAnsi="Arial" w:cs="Arial"/>
        </w:rPr>
      </w:pPr>
      <w:r>
        <w:rPr>
          <w:rFonts w:hint="default" w:ascii="Arial" w:hAnsi="Arial" w:cs="Arial"/>
        </w:rPr>
        <w:t>Recently, People Analytics has offered companies an opportunity to comprehend the contribution of talent management to the success of an organisation by offering them information regarding the performance of the HR department or the organisation.</w:t>
      </w:r>
    </w:p>
    <w:p w14:paraId="481CEF99">
      <w:pPr>
        <w:spacing w:before="120" w:after="120"/>
        <w:jc w:val="both"/>
        <w:rPr>
          <w:rFonts w:hint="default" w:ascii="Arial" w:hAnsi="Arial" w:cs="Arial"/>
        </w:rPr>
      </w:pPr>
      <w:r>
        <w:rPr>
          <w:rFonts w:hint="default" w:ascii="Arial" w:hAnsi="Arial" w:cs="Arial"/>
        </w:rPr>
        <w:t>The above information can be further evaluated using analytical tools to determine the correlation of different variables.</w:t>
      </w:r>
    </w:p>
    <w:p w14:paraId="79901422">
      <w:pPr>
        <w:spacing w:before="120" w:after="120"/>
        <w:jc w:val="both"/>
        <w:rPr>
          <w:rFonts w:hint="default" w:ascii="Arial" w:hAnsi="Arial" w:cs="Arial"/>
        </w:rPr>
      </w:pPr>
      <w:r>
        <w:rPr>
          <w:rFonts w:hint="default" w:ascii="Arial" w:hAnsi="Arial" w:cs="Arial"/>
        </w:rPr>
        <w:t>The use of multi-variable analysis will allow companies to simultaneously evaluate the correlation of multiple variables in an organisation. This will help companies to determine which variables in an organisation contribute to the overall performance of the workforce in the organisation.</w:t>
      </w:r>
    </w:p>
    <w:p w14:paraId="606DB2DA">
      <w:pPr>
        <w:spacing w:before="120" w:after="120"/>
        <w:jc w:val="both"/>
        <w:rPr>
          <w:rFonts w:hint="default" w:ascii="Arial" w:hAnsi="Arial" w:cs="Arial"/>
        </w:rPr>
      </w:pPr>
      <w:r>
        <w:rPr>
          <w:rFonts w:hint="default" w:ascii="Arial" w:hAnsi="Arial" w:cs="Arial"/>
        </w:rPr>
        <w:t>The implementation of People Analytics methodology in Aether Innovations will offer them the following advantages:</w:t>
      </w:r>
    </w:p>
    <w:p w14:paraId="33728D1F">
      <w:pPr>
        <w:spacing w:before="120" w:after="120"/>
        <w:jc w:val="both"/>
        <w:rPr>
          <w:rFonts w:hint="default" w:ascii="Arial" w:hAnsi="Arial" w:cs="Arial"/>
        </w:rPr>
      </w:pPr>
      <w:r>
        <w:rPr>
          <w:rFonts w:hint="default" w:ascii="Arial" w:hAnsi="Arial" w:cs="Arial"/>
        </w:rPr>
        <w:t>The reasons for the turnover of employees in the organisation will be understood.</w:t>
      </w:r>
    </w:p>
    <w:p w14:paraId="3F2E6BD8">
      <w:pPr>
        <w:spacing w:before="120" w:after="120"/>
        <w:jc w:val="both"/>
        <w:rPr>
          <w:rFonts w:hint="default" w:ascii="Arial" w:hAnsi="Arial" w:cs="Arial"/>
        </w:rPr>
      </w:pPr>
      <w:r>
        <w:rPr>
          <w:rFonts w:hint="default" w:ascii="Arial" w:hAnsi="Arial" w:cs="Arial"/>
        </w:rPr>
        <w:t>The effectiveness of the recruitment and training processes will be understood.</w:t>
      </w:r>
    </w:p>
    <w:p w14:paraId="44F0D25C">
      <w:pPr>
        <w:spacing w:before="120" w:after="120"/>
        <w:jc w:val="both"/>
        <w:rPr>
          <w:rFonts w:hint="default" w:ascii="Arial" w:hAnsi="Arial" w:cs="Arial"/>
        </w:rPr>
      </w:pPr>
      <w:r>
        <w:rPr>
          <w:rFonts w:hint="default" w:ascii="Arial" w:hAnsi="Arial" w:cs="Arial"/>
        </w:rPr>
        <w:t>The level of engagement and performance of employees will be understood.</w:t>
      </w:r>
    </w:p>
    <w:p w14:paraId="6FACC160">
      <w:pPr>
        <w:spacing w:before="120" w:after="120"/>
        <w:jc w:val="both"/>
        <w:rPr>
          <w:rFonts w:hint="default" w:ascii="Arial" w:hAnsi="Arial" w:cs="Arial"/>
        </w:rPr>
      </w:pPr>
      <w:r>
        <w:rPr>
          <w:rFonts w:hint="default" w:ascii="Arial" w:hAnsi="Arial" w:cs="Arial"/>
        </w:rPr>
        <w:t>Evidence-based information will be available to the organisation regarding its HR-related decision-making processes.</w:t>
      </w:r>
    </w:p>
    <w:p w14:paraId="5122D7F6">
      <w:pPr>
        <w:spacing w:before="120" w:after="120"/>
        <w:jc w:val="both"/>
        <w:rPr>
          <w:rFonts w:hint="default" w:ascii="Arial" w:hAnsi="Arial" w:cs="Arial"/>
        </w:rPr>
      </w:pPr>
    </w:p>
    <w:p w14:paraId="7B465066">
      <w:pPr>
        <w:spacing w:before="120" w:after="120"/>
        <w:jc w:val="both"/>
        <w:rPr>
          <w:rFonts w:hint="default" w:ascii="Arial" w:hAnsi="Arial" w:cs="Arial"/>
        </w:rPr>
      </w:pPr>
    </w:p>
    <w:p w14:paraId="09CF35A9">
      <w:pPr>
        <w:spacing w:before="120" w:after="120"/>
        <w:jc w:val="both"/>
        <w:rPr>
          <w:rFonts w:hint="default" w:ascii="Arial" w:hAnsi="Arial" w:cs="Arial"/>
        </w:rPr>
      </w:pPr>
      <w:r>
        <w:rPr>
          <w:rFonts w:hint="default" w:ascii="Arial" w:hAnsi="Arial" w:cs="Arial"/>
        </w:rPr>
        <w:t>The use of People Analytics in the talent management strategy development process will help companies to make credible decisions.</w:t>
      </w:r>
    </w:p>
    <w:p w14:paraId="31E5EF72">
      <w:pPr>
        <w:spacing w:before="120" w:after="120"/>
        <w:jc w:val="both"/>
        <w:rPr>
          <w:rFonts w:hint="default" w:ascii="Arial" w:hAnsi="Arial" w:cs="Arial"/>
        </w:rPr>
      </w:pPr>
    </w:p>
    <w:p w14:paraId="6D4A5594">
      <w:pPr>
        <w:spacing w:before="240" w:after="240"/>
        <w:jc w:val="both"/>
        <w:rPr>
          <w:rFonts w:hint="default" w:ascii="Arial" w:hAnsi="Arial" w:cs="Arial"/>
          <w:sz w:val="28"/>
          <w:szCs w:val="28"/>
        </w:rPr>
      </w:pPr>
      <w:r>
        <w:rPr>
          <w:rFonts w:hint="default" w:ascii="Arial" w:hAnsi="Arial" w:cs="Arial"/>
          <w:b/>
          <w:bCs/>
          <w:sz w:val="28"/>
          <w:szCs w:val="28"/>
        </w:rPr>
        <w:t>1.4 Managerial Implications</w:t>
      </w:r>
    </w:p>
    <w:p w14:paraId="309F00B7">
      <w:pPr>
        <w:spacing w:before="120" w:after="120"/>
        <w:jc w:val="both"/>
        <w:rPr>
          <w:rFonts w:hint="default" w:ascii="Arial" w:hAnsi="Arial" w:cs="Arial"/>
        </w:rPr>
      </w:pPr>
      <w:r>
        <w:rPr>
          <w:rFonts w:hint="default" w:ascii="Arial" w:hAnsi="Arial" w:cs="Arial"/>
        </w:rPr>
        <w:t>There are a number of implications for the leadership team of Aether Innovations as a result of the findings outlined in this report.</w:t>
      </w:r>
    </w:p>
    <w:p w14:paraId="3C35C834">
      <w:pPr>
        <w:spacing w:before="120" w:after="120"/>
        <w:jc w:val="both"/>
        <w:rPr>
          <w:rFonts w:hint="default" w:ascii="Arial" w:hAnsi="Arial" w:cs="Arial"/>
        </w:rPr>
      </w:pPr>
      <w:r>
        <w:rPr>
          <w:rFonts w:hint="default" w:ascii="Arial" w:hAnsi="Arial" w:cs="Arial"/>
        </w:rPr>
        <w:t>The first implication is that Aether should establish a well-rounded talent strategy that combines internal talent development with external talent acquisition. A strong internal talent culture will lead to increased employee retention.</w:t>
      </w:r>
    </w:p>
    <w:p w14:paraId="60D9A831">
      <w:pPr>
        <w:spacing w:before="120" w:after="120"/>
        <w:jc w:val="both"/>
        <w:rPr>
          <w:rFonts w:hint="default" w:ascii="Arial" w:hAnsi="Arial" w:cs="Arial"/>
        </w:rPr>
      </w:pPr>
      <w:r>
        <w:rPr>
          <w:rFonts w:hint="default" w:ascii="Arial" w:hAnsi="Arial" w:cs="Arial"/>
        </w:rPr>
        <w:t>Another implication for Aether is to enhance its performance management systems through the use of 360-degree feedback processes. These feedback processes will enable Aether to develop its leadership skills.</w:t>
      </w:r>
    </w:p>
    <w:p w14:paraId="3FCA70A8">
      <w:pPr>
        <w:spacing w:before="120" w:after="120"/>
        <w:jc w:val="both"/>
        <w:rPr>
          <w:rFonts w:hint="default" w:ascii="Arial" w:hAnsi="Arial" w:cs="Arial"/>
        </w:rPr>
      </w:pPr>
      <w:r>
        <w:rPr>
          <w:rFonts w:hint="default" w:ascii="Arial" w:hAnsi="Arial" w:cs="Arial"/>
        </w:rPr>
        <w:t>A third implication for Aether is to invest in developing employees' skill levels, to help increase employee retention. By investing in employee skills development, Aether will be able to create a sustainable talent ecosystem that can improve the company's innovation and productivity.</w:t>
      </w:r>
    </w:p>
    <w:p w14:paraId="0C3F5397">
      <w:pPr>
        <w:spacing w:before="120" w:after="120"/>
        <w:jc w:val="both"/>
        <w:rPr>
          <w:rFonts w:hint="default" w:ascii="Arial" w:hAnsi="Arial" w:cs="Arial"/>
        </w:rPr>
      </w:pPr>
    </w:p>
    <w:p w14:paraId="59DFCC9A">
      <w:pPr>
        <w:numPr>
          <w:ilvl w:val="0"/>
          <w:numId w:val="3"/>
        </w:numPr>
        <w:spacing w:before="120" w:after="120"/>
        <w:ind w:left="420" w:leftChars="0" w:hanging="420" w:firstLineChars="0"/>
        <w:jc w:val="both"/>
        <w:rPr>
          <w:rFonts w:hint="default" w:ascii="Arial" w:hAnsi="Arial" w:cs="Arial"/>
          <w:b/>
          <w:bCs/>
        </w:rPr>
      </w:pPr>
      <w:r>
        <w:rPr>
          <w:rFonts w:hint="default" w:ascii="Arial" w:hAnsi="Arial" w:cs="Arial"/>
          <w:b/>
          <w:bCs/>
        </w:rPr>
        <w:t>The Argument for Developing Your Own Talent</w:t>
      </w:r>
    </w:p>
    <w:p w14:paraId="30557BD7">
      <w:pPr>
        <w:spacing w:before="120" w:after="120"/>
        <w:jc w:val="both"/>
        <w:rPr>
          <w:rFonts w:hint="default" w:ascii="Arial" w:hAnsi="Arial" w:cs="Arial"/>
        </w:rPr>
      </w:pPr>
      <w:r>
        <w:rPr>
          <w:rFonts w:hint="default" w:ascii="Arial" w:hAnsi="Arial" w:cs="Arial"/>
        </w:rPr>
        <w:t>Developing your own talent is a process whereby you train and develop your own employees to become leaders in your organisation in the future. The advantages associated with developing your own talent include:</w:t>
      </w:r>
    </w:p>
    <w:p w14:paraId="712E99A7">
      <w:pPr>
        <w:numPr>
          <w:ilvl w:val="0"/>
          <w:numId w:val="3"/>
        </w:numPr>
        <w:spacing w:before="120" w:after="120"/>
        <w:ind w:left="420" w:leftChars="0" w:hanging="420" w:firstLineChars="0"/>
        <w:jc w:val="both"/>
        <w:rPr>
          <w:rFonts w:hint="default" w:ascii="Arial" w:hAnsi="Arial" w:cs="Arial"/>
          <w:b/>
          <w:bCs/>
          <w:lang w:val="en-US"/>
        </w:rPr>
      </w:pPr>
      <w:r>
        <w:rPr>
          <w:rFonts w:hint="default" w:ascii="Arial" w:hAnsi="Arial" w:cs="Arial"/>
          <w:b/>
          <w:bCs/>
          <w:lang w:val="en-US"/>
        </w:rPr>
        <w:t>Greater control over the skill sets of buildings</w:t>
      </w:r>
    </w:p>
    <w:p w14:paraId="58755DD4">
      <w:pPr>
        <w:numPr>
          <w:numId w:val="0"/>
        </w:numPr>
        <w:spacing w:before="120" w:after="120"/>
        <w:jc w:val="both"/>
        <w:rPr>
          <w:rFonts w:hint="default" w:ascii="Arial" w:hAnsi="Arial" w:cs="Arial"/>
        </w:rPr>
      </w:pPr>
      <w:r>
        <w:rPr>
          <w:rFonts w:hint="default" w:ascii="Arial" w:hAnsi="Arial" w:cs="Arial"/>
        </w:rPr>
        <w:t>Developing your own talent gives you more control over building skill sets within your organisation. This is important in some sectors where skill sets are a priority.</w:t>
      </w:r>
    </w:p>
    <w:p w14:paraId="285D9DF8">
      <w:pPr>
        <w:numPr>
          <w:ilvl w:val="0"/>
          <w:numId w:val="3"/>
        </w:numPr>
        <w:spacing w:before="120" w:after="120"/>
        <w:ind w:left="420" w:leftChars="0" w:hanging="420" w:firstLineChars="0"/>
        <w:jc w:val="both"/>
        <w:rPr>
          <w:rFonts w:hint="default" w:ascii="Arial" w:hAnsi="Arial" w:cs="Arial"/>
          <w:b/>
          <w:bCs/>
        </w:rPr>
      </w:pPr>
      <w:r>
        <w:rPr>
          <w:rFonts w:hint="default" w:ascii="Arial" w:hAnsi="Arial" w:cs="Arial"/>
          <w:b/>
          <w:bCs/>
        </w:rPr>
        <w:t>Increased employee retention</w:t>
      </w:r>
    </w:p>
    <w:p w14:paraId="3E385F95">
      <w:pPr>
        <w:spacing w:before="120" w:after="120"/>
        <w:jc w:val="both"/>
        <w:rPr>
          <w:rFonts w:hint="default" w:ascii="Arial" w:hAnsi="Arial" w:cs="Arial"/>
        </w:rPr>
      </w:pPr>
      <w:r>
        <w:rPr>
          <w:rFonts w:hint="default" w:ascii="Arial" w:hAnsi="Arial" w:cs="Arial"/>
        </w:rPr>
        <w:t>Developing your own talent ensures a high level of employee retention because you have developed your own employee and created a bond with them. This means you have created a loyal employee.</w:t>
      </w:r>
    </w:p>
    <w:p w14:paraId="3054BF5D">
      <w:pPr>
        <w:numPr>
          <w:ilvl w:val="0"/>
          <w:numId w:val="3"/>
        </w:numPr>
        <w:spacing w:before="120" w:after="120"/>
        <w:ind w:left="420" w:leftChars="0" w:hanging="420" w:firstLineChars="0"/>
        <w:jc w:val="both"/>
        <w:rPr>
          <w:rFonts w:hint="default" w:ascii="Arial" w:hAnsi="Arial" w:cs="Arial"/>
          <w:b/>
          <w:bCs/>
        </w:rPr>
      </w:pPr>
      <w:r>
        <w:rPr>
          <w:rFonts w:hint="default" w:ascii="Arial" w:hAnsi="Arial" w:cs="Arial"/>
          <w:b/>
          <w:bCs/>
        </w:rPr>
        <w:t>Enhanced company culture</w:t>
      </w:r>
    </w:p>
    <w:p w14:paraId="432D48FC">
      <w:pPr>
        <w:spacing w:before="120" w:after="120"/>
        <w:jc w:val="both"/>
        <w:rPr>
          <w:rFonts w:hint="default" w:ascii="Arial" w:hAnsi="Arial" w:cs="Arial"/>
        </w:rPr>
      </w:pPr>
      <w:r>
        <w:rPr>
          <w:rFonts w:hint="default" w:ascii="Arial" w:hAnsi="Arial" w:cs="Arial"/>
        </w:rPr>
        <w:t>Developing your own talent ensures you have created a high-quality company culture because you have created a bond with your own employee.</w:t>
      </w:r>
    </w:p>
    <w:p w14:paraId="693D8B1C">
      <w:pPr>
        <w:numPr>
          <w:ilvl w:val="0"/>
          <w:numId w:val="3"/>
        </w:numPr>
        <w:spacing w:before="120" w:after="120"/>
        <w:ind w:left="420" w:leftChars="0" w:hanging="420" w:firstLineChars="0"/>
        <w:jc w:val="both"/>
        <w:rPr>
          <w:rFonts w:hint="default" w:ascii="Arial" w:hAnsi="Arial" w:cs="Arial"/>
          <w:b/>
          <w:bCs/>
        </w:rPr>
      </w:pPr>
      <w:r>
        <w:rPr>
          <w:rFonts w:hint="default" w:ascii="Arial" w:hAnsi="Arial" w:cs="Arial"/>
          <w:b/>
          <w:bCs/>
        </w:rPr>
        <w:t>The Argument for Purchasing Talent</w:t>
      </w:r>
    </w:p>
    <w:p w14:paraId="7CD50E91">
      <w:pPr>
        <w:spacing w:before="120" w:after="120"/>
        <w:jc w:val="both"/>
        <w:rPr>
          <w:rFonts w:hint="default" w:ascii="Arial" w:hAnsi="Arial" w:cs="Arial"/>
        </w:rPr>
      </w:pPr>
      <w:r>
        <w:rPr>
          <w:rFonts w:hint="default" w:ascii="Arial" w:hAnsi="Arial" w:cs="Arial"/>
        </w:rPr>
        <w:t>The process of purchasing external talent involves searching for individuals with the appropriate skills and expertise in a specific area. The advantages associated with purchasing external talent include:</w:t>
      </w:r>
    </w:p>
    <w:p w14:paraId="21769207">
      <w:pPr>
        <w:spacing w:before="120" w:after="120"/>
        <w:jc w:val="both"/>
        <w:rPr>
          <w:rFonts w:hint="default" w:ascii="Arial" w:hAnsi="Arial" w:cs="Arial"/>
        </w:rPr>
      </w:pPr>
    </w:p>
    <w:p w14:paraId="73094E73">
      <w:pPr>
        <w:spacing w:before="120" w:after="120"/>
        <w:jc w:val="both"/>
        <w:rPr>
          <w:rFonts w:hint="default" w:ascii="Arial" w:hAnsi="Arial" w:cs="Arial"/>
        </w:rPr>
      </w:pPr>
    </w:p>
    <w:p w14:paraId="4B0CCB02">
      <w:pPr>
        <w:numPr>
          <w:ilvl w:val="0"/>
          <w:numId w:val="3"/>
        </w:numPr>
        <w:spacing w:before="120" w:after="120"/>
        <w:ind w:left="420" w:leftChars="0" w:hanging="420" w:firstLineChars="0"/>
        <w:jc w:val="both"/>
        <w:rPr>
          <w:rFonts w:hint="default" w:ascii="Arial" w:hAnsi="Arial" w:cs="Arial"/>
          <w:b/>
          <w:bCs/>
          <w:lang w:val="en-US"/>
        </w:rPr>
      </w:pPr>
      <w:r>
        <w:rPr>
          <w:rFonts w:hint="default" w:ascii="Arial" w:hAnsi="Arial" w:cs="Arial"/>
          <w:b/>
          <w:bCs/>
          <w:lang w:val="en-US"/>
        </w:rPr>
        <w:t>The Case for Buying Talent Externally</w:t>
      </w:r>
    </w:p>
    <w:p w14:paraId="25ABDAAB">
      <w:pPr>
        <w:spacing w:before="120" w:after="120"/>
        <w:jc w:val="both"/>
        <w:rPr>
          <w:rFonts w:hint="default" w:ascii="Arial" w:hAnsi="Arial" w:cs="Arial"/>
          <w:b w:val="0"/>
          <w:bCs w:val="0"/>
          <w:lang w:val="en-US"/>
        </w:rPr>
      </w:pPr>
      <w:r>
        <w:rPr>
          <w:rFonts w:hint="default" w:ascii="Arial" w:hAnsi="Arial" w:cs="Arial"/>
          <w:b w:val="0"/>
          <w:bCs w:val="0"/>
          <w:lang w:val="en-US"/>
        </w:rPr>
        <w:t>Buying talent externally entails hiring people who have the required skills and expertise that the company requires. Some of the advantages of buying talent externally include:</w:t>
      </w:r>
    </w:p>
    <w:p w14:paraId="2772DB1C">
      <w:pPr>
        <w:numPr>
          <w:ilvl w:val="0"/>
          <w:numId w:val="3"/>
        </w:numPr>
        <w:spacing w:before="120" w:after="120"/>
        <w:ind w:left="420" w:leftChars="0" w:hanging="420" w:firstLineChars="0"/>
        <w:jc w:val="both"/>
        <w:rPr>
          <w:rFonts w:hint="default" w:ascii="Arial" w:hAnsi="Arial" w:cs="Arial"/>
          <w:b/>
          <w:bCs/>
          <w:lang w:val="en-US"/>
        </w:rPr>
      </w:pPr>
      <w:r>
        <w:rPr>
          <w:rFonts w:hint="default" w:ascii="Arial" w:hAnsi="Arial" w:cs="Arial"/>
          <w:b/>
          <w:bCs/>
          <w:lang w:val="en-US"/>
        </w:rPr>
        <w:t>Immediate access to needed skills</w:t>
      </w:r>
    </w:p>
    <w:p w14:paraId="05B8AB2D">
      <w:pPr>
        <w:spacing w:before="120" w:after="120"/>
        <w:jc w:val="both"/>
        <w:rPr>
          <w:rFonts w:hint="default" w:ascii="Arial" w:hAnsi="Arial" w:cs="Arial"/>
          <w:b w:val="0"/>
          <w:bCs w:val="0"/>
          <w:lang w:val="en-US"/>
        </w:rPr>
      </w:pPr>
      <w:r>
        <w:rPr>
          <w:rFonts w:hint="default" w:ascii="Arial" w:hAnsi="Arial" w:cs="Arial"/>
          <w:b w:val="0"/>
          <w:bCs w:val="0"/>
          <w:lang w:val="en-US"/>
        </w:rPr>
        <w:t>When companies buy talent externally, they can immediately access the skills required to enable them to stay competitive. This is particularly important for companies whose industry is constantly changing.</w:t>
      </w:r>
    </w:p>
    <w:p w14:paraId="5BE8253B">
      <w:pPr>
        <w:spacing w:before="120" w:after="120"/>
        <w:jc w:val="both"/>
        <w:rPr>
          <w:rFonts w:hint="default" w:ascii="Arial" w:hAnsi="Arial" w:cs="Arial"/>
        </w:rPr>
      </w:pPr>
    </w:p>
    <w:p w14:paraId="1B95682E">
      <w:pPr>
        <w:spacing w:before="120" w:after="120"/>
        <w:jc w:val="both"/>
        <w:rPr>
          <w:rFonts w:hint="default" w:ascii="Arial" w:hAnsi="Arial" w:cs="Arial"/>
          <w:b/>
          <w:bCs/>
          <w:sz w:val="28"/>
          <w:szCs w:val="28"/>
        </w:rPr>
      </w:pPr>
      <w:r>
        <w:rPr>
          <w:rFonts w:hint="default" w:ascii="Arial" w:hAnsi="Arial" w:cs="Arial"/>
          <w:b/>
          <w:bCs/>
          <w:sz w:val="28"/>
          <w:szCs w:val="28"/>
        </w:rPr>
        <w:t xml:space="preserve"> New Perspectives and Ideas</w:t>
      </w:r>
    </w:p>
    <w:p w14:paraId="4FF2E770">
      <w:pPr>
        <w:spacing w:before="120" w:after="120"/>
        <w:jc w:val="both"/>
        <w:rPr>
          <w:rFonts w:hint="default" w:ascii="Arial" w:hAnsi="Arial" w:cs="Arial"/>
        </w:rPr>
      </w:pPr>
      <w:r>
        <w:rPr>
          <w:rFonts w:hint="default" w:ascii="Arial" w:hAnsi="Arial" w:cs="Arial"/>
        </w:rPr>
        <w:t>The use of external hiring sources has the potential to bring new perspectives and ideas to a brand. This could result in new ideas and increase the brand’s creative output.</w:t>
      </w:r>
    </w:p>
    <w:p w14:paraId="410DCEB1">
      <w:pPr>
        <w:spacing w:before="120" w:after="120"/>
        <w:jc w:val="both"/>
        <w:rPr>
          <w:rFonts w:hint="default" w:ascii="Arial" w:hAnsi="Arial" w:cs="Arial"/>
        </w:rPr>
      </w:pPr>
      <w:r>
        <w:rPr>
          <w:rFonts w:hint="default" w:ascii="Arial" w:hAnsi="Arial" w:cs="Arial"/>
        </w:rPr>
        <w:t>While both "Building" and "Buying" have many advantages for a business, a hybrid approach could potentially bring about the best of both. Some of the advantages of a hybrid approach are:</w:t>
      </w:r>
    </w:p>
    <w:p w14:paraId="41C79083">
      <w:pPr>
        <w:spacing w:before="120" w:after="120"/>
        <w:jc w:val="both"/>
        <w:rPr>
          <w:rFonts w:hint="default" w:ascii="Arial" w:hAnsi="Arial" w:cs="Arial"/>
        </w:rPr>
      </w:pPr>
    </w:p>
    <w:p w14:paraId="0B347DA2">
      <w:pPr>
        <w:numPr>
          <w:ilvl w:val="0"/>
          <w:numId w:val="3"/>
        </w:numPr>
        <w:spacing w:before="120" w:after="120"/>
        <w:ind w:left="420" w:leftChars="0" w:hanging="420" w:firstLineChars="0"/>
        <w:jc w:val="both"/>
        <w:rPr>
          <w:rFonts w:hint="default" w:ascii="Arial" w:hAnsi="Arial" w:cs="Arial"/>
          <w:b/>
          <w:bCs/>
        </w:rPr>
      </w:pPr>
      <w:r>
        <w:rPr>
          <w:rFonts w:hint="default" w:ascii="Arial" w:hAnsi="Arial" w:cs="Arial"/>
          <w:b/>
          <w:bCs/>
        </w:rPr>
        <w:t>Flexibility</w:t>
      </w:r>
    </w:p>
    <w:p w14:paraId="3BEE6ABF">
      <w:pPr>
        <w:spacing w:before="120" w:after="120"/>
        <w:jc w:val="both"/>
        <w:rPr>
          <w:rFonts w:hint="default" w:ascii="Arial" w:hAnsi="Arial" w:cs="Arial"/>
          <w:b/>
          <w:bCs/>
        </w:rPr>
      </w:pPr>
      <w:r>
        <w:rPr>
          <w:rFonts w:hint="default" w:ascii="Arial" w:hAnsi="Arial" w:cs="Arial"/>
        </w:rPr>
        <w:t>The hybrid approach could potentially enable your business to be more flexible in meeting its business needs. For instance, a business could "build" and develop skilled individuals within the business where a long-term requirement is identified, and "buy" individuals from the external market where a short-term requirement is identified.</w:t>
      </w:r>
    </w:p>
    <w:p w14:paraId="28E1C7EF">
      <w:pPr>
        <w:numPr>
          <w:ilvl w:val="0"/>
          <w:numId w:val="3"/>
        </w:numPr>
        <w:spacing w:before="240" w:after="240"/>
        <w:ind w:left="420" w:leftChars="0" w:hanging="420" w:firstLineChars="0"/>
        <w:jc w:val="both"/>
        <w:rPr>
          <w:rFonts w:hint="default" w:ascii="Arial" w:hAnsi="Arial" w:cs="Arial"/>
          <w:b/>
          <w:bCs/>
        </w:rPr>
      </w:pPr>
      <w:r>
        <w:rPr>
          <w:rFonts w:hint="default" w:ascii="Arial" w:hAnsi="Arial" w:cs="Arial"/>
          <w:b/>
          <w:bCs/>
        </w:rPr>
        <w:t xml:space="preserve"> Improved talent pipeline</w:t>
      </w:r>
    </w:p>
    <w:p w14:paraId="6CBCA853">
      <w:pPr>
        <w:spacing w:before="240" w:after="240"/>
        <w:jc w:val="both"/>
        <w:rPr>
          <w:rFonts w:hint="default" w:ascii="Arial" w:hAnsi="Arial" w:cs="Arial"/>
          <w:b w:val="0"/>
          <w:bCs w:val="0"/>
        </w:rPr>
      </w:pPr>
      <w:r>
        <w:rPr>
          <w:rFonts w:hint="default" w:ascii="Arial" w:hAnsi="Arial" w:cs="Arial"/>
          <w:b w:val="0"/>
          <w:bCs w:val="0"/>
        </w:rPr>
        <w:t>The hybrid strategy can also be used to improve the talent pipeline, where the company can train its own employees to take up new roles and responsibilities.</w:t>
      </w:r>
    </w:p>
    <w:p w14:paraId="4B9A2992">
      <w:pPr>
        <w:numPr>
          <w:ilvl w:val="0"/>
          <w:numId w:val="3"/>
        </w:numPr>
        <w:spacing w:before="240" w:after="240"/>
        <w:ind w:left="420" w:leftChars="0" w:hanging="420" w:firstLineChars="0"/>
        <w:jc w:val="both"/>
        <w:rPr>
          <w:rFonts w:hint="default" w:ascii="Arial" w:hAnsi="Arial" w:cs="Arial"/>
          <w:b/>
          <w:bCs/>
        </w:rPr>
      </w:pPr>
      <w:r>
        <w:rPr>
          <w:rFonts w:hint="default" w:ascii="Arial" w:hAnsi="Arial" w:cs="Arial"/>
          <w:b/>
          <w:bCs/>
        </w:rPr>
        <w:t>Balanced risk</w:t>
      </w:r>
    </w:p>
    <w:p w14:paraId="7FE567BF">
      <w:pPr>
        <w:spacing w:before="240" w:after="240"/>
        <w:jc w:val="both"/>
        <w:rPr>
          <w:rFonts w:hint="default" w:ascii="Arial" w:hAnsi="Arial" w:cs="Arial"/>
          <w:b w:val="0"/>
          <w:bCs w:val="0"/>
        </w:rPr>
      </w:pPr>
      <w:r>
        <w:rPr>
          <w:rFonts w:hint="default" w:ascii="Arial" w:hAnsi="Arial" w:cs="Arial"/>
          <w:b w:val="0"/>
          <w:bCs w:val="0"/>
        </w:rPr>
        <w:t>The hybrid strategy also helps companies to balance the risk associated with either building or buying talent, which can be used to minimize the impact of any unplanned events, like losing key employees or changing business environments.</w:t>
      </w:r>
    </w:p>
    <w:p w14:paraId="037E10B4">
      <w:pPr>
        <w:spacing w:before="240" w:after="240"/>
        <w:jc w:val="both"/>
        <w:rPr>
          <w:rFonts w:hint="default" w:ascii="Arial" w:hAnsi="Arial" w:cs="Arial"/>
          <w:b/>
          <w:bCs/>
          <w:sz w:val="28"/>
          <w:szCs w:val="28"/>
        </w:rPr>
      </w:pPr>
      <w:r>
        <w:rPr>
          <w:rFonts w:hint="default" w:ascii="Arial" w:hAnsi="Arial" w:cs="Arial"/>
          <w:b/>
          <w:bCs/>
          <w:sz w:val="28"/>
          <w:szCs w:val="28"/>
        </w:rPr>
        <w:t>What is Best for You?</w:t>
      </w:r>
    </w:p>
    <w:p w14:paraId="342BF131">
      <w:pPr>
        <w:spacing w:before="240" w:after="240"/>
        <w:jc w:val="both"/>
        <w:rPr>
          <w:rFonts w:hint="default" w:ascii="Arial" w:hAnsi="Arial" w:cs="Arial"/>
          <w:b w:val="0"/>
          <w:bCs w:val="0"/>
        </w:rPr>
      </w:pPr>
      <w:r>
        <w:rPr>
          <w:rFonts w:hint="default" w:ascii="Arial" w:hAnsi="Arial" w:cs="Arial"/>
          <w:b w:val="0"/>
          <w:bCs w:val="0"/>
        </w:rPr>
        <w:t>Building talent within the company and buying talent from the market have their own advantages and disadvantages. Building talent within the company is cost-effective and helps to maintain company culture, while buying talent from the market gives access to fresh perspectives and diverse skill sets, but it is more expensive and affects company culture in a negative way. It is very important to consider company culture and values, company budgets and resources, availability of talent in the market, and business objectives while making any decision.</w:t>
      </w:r>
    </w:p>
    <w:p w14:paraId="347BF32D">
      <w:pPr>
        <w:spacing w:before="120" w:after="120"/>
        <w:jc w:val="both"/>
        <w:rPr>
          <w:rFonts w:hint="default" w:ascii="Arial" w:hAnsi="Arial" w:cs="Arial"/>
          <w:b/>
          <w:bCs/>
          <w:sz w:val="28"/>
          <w:szCs w:val="28"/>
        </w:rPr>
      </w:pPr>
    </w:p>
    <w:p w14:paraId="6D5A7CFC">
      <w:pPr>
        <w:spacing w:before="120" w:after="120"/>
        <w:jc w:val="both"/>
        <w:rPr>
          <w:rFonts w:hint="default" w:ascii="Arial" w:hAnsi="Arial" w:cs="Arial"/>
          <w:b/>
          <w:bCs/>
          <w:sz w:val="28"/>
          <w:szCs w:val="28"/>
        </w:rPr>
      </w:pPr>
      <w:r>
        <w:rPr>
          <w:rFonts w:hint="default" w:ascii="Arial" w:hAnsi="Arial" w:cs="Arial"/>
          <w:b/>
          <w:bCs/>
          <w:sz w:val="28"/>
          <w:szCs w:val="28"/>
        </w:rPr>
        <w:t xml:space="preserve">1.5 Conclusion </w:t>
      </w:r>
    </w:p>
    <w:p w14:paraId="552C55A6">
      <w:pPr>
        <w:spacing w:before="120" w:after="120"/>
        <w:jc w:val="both"/>
        <w:rPr>
          <w:rFonts w:hint="default" w:ascii="Arial" w:hAnsi="Arial" w:cs="Arial"/>
          <w:b w:val="0"/>
          <w:bCs w:val="0"/>
        </w:rPr>
      </w:pPr>
      <w:r>
        <w:rPr>
          <w:rFonts w:hint="default" w:ascii="Arial" w:hAnsi="Arial" w:cs="Arial"/>
          <w:b w:val="0"/>
          <w:bCs w:val="0"/>
        </w:rPr>
        <w:t>Regardless of whether you build or buy talent, what is important is that you have a strategy that works well with your business objectives and goals. Ultimately, what will get you the best talent strategy is one that helps you get the best talent, achieve business growth, and success.</w:t>
      </w:r>
    </w:p>
    <w:p w14:paraId="52292DE2">
      <w:pPr>
        <w:spacing w:before="120" w:after="120"/>
        <w:jc w:val="both"/>
        <w:rPr>
          <w:rFonts w:hint="default" w:ascii="Arial" w:hAnsi="Arial" w:cs="Arial"/>
          <w:b w:val="0"/>
          <w:bCs w:val="0"/>
        </w:rPr>
      </w:pPr>
    </w:p>
    <w:p w14:paraId="51FDC79A">
      <w:pPr>
        <w:spacing w:before="120" w:after="120"/>
        <w:jc w:val="both"/>
        <w:rPr>
          <w:rFonts w:hint="default" w:ascii="Arial" w:hAnsi="Arial" w:cs="Arial"/>
          <w:b w:val="0"/>
          <w:bCs w:val="0"/>
        </w:rPr>
      </w:pPr>
    </w:p>
    <w:p w14:paraId="20DE9D2B">
      <w:pPr>
        <w:spacing w:before="120" w:after="120"/>
        <w:jc w:val="both"/>
        <w:rPr>
          <w:rFonts w:hint="default" w:ascii="Arial" w:hAnsi="Arial" w:cs="Arial"/>
          <w:b/>
          <w:bCs/>
          <w:sz w:val="28"/>
          <w:szCs w:val="28"/>
          <w:lang w:val="en-US"/>
        </w:rPr>
      </w:pPr>
      <w:r>
        <w:rPr>
          <w:rFonts w:hint="default" w:ascii="Arial" w:hAnsi="Arial" w:cs="Arial"/>
          <w:b/>
          <w:bCs/>
          <w:sz w:val="28"/>
          <w:szCs w:val="28"/>
          <w:lang w:val="en-US"/>
        </w:rPr>
        <w:t>Part-2 Reflective analysis</w:t>
      </w:r>
    </w:p>
    <w:p w14:paraId="5DB8F43C">
      <w:pPr>
        <w:spacing w:before="240" w:after="240"/>
        <w:jc w:val="both"/>
        <w:rPr>
          <w:rFonts w:hint="default" w:ascii="Arial" w:hAnsi="Arial" w:cs="Arial"/>
          <w:b/>
          <w:bCs/>
          <w:sz w:val="28"/>
          <w:szCs w:val="28"/>
        </w:rPr>
      </w:pPr>
      <w:r>
        <w:rPr>
          <w:rFonts w:hint="default" w:ascii="Arial" w:hAnsi="Arial" w:cs="Arial"/>
          <w:b/>
          <w:bCs/>
          <w:sz w:val="28"/>
          <w:szCs w:val="28"/>
        </w:rPr>
        <w:t>2.1 Gibbs' Reflective Cycle - Reflection of Realisation</w:t>
      </w:r>
    </w:p>
    <w:p w14:paraId="25CFB561">
      <w:pPr>
        <w:spacing w:before="240" w:after="240"/>
        <w:jc w:val="both"/>
        <w:rPr>
          <w:rFonts w:hint="default" w:ascii="Arial" w:hAnsi="Arial" w:cs="Arial"/>
          <w:b w:val="0"/>
          <w:bCs w:val="0"/>
        </w:rPr>
      </w:pPr>
      <w:r>
        <w:rPr>
          <w:rFonts w:hint="default" w:ascii="Arial" w:hAnsi="Arial" w:cs="Arial"/>
          <w:b w:val="0"/>
          <w:bCs w:val="0"/>
        </w:rPr>
        <w:t>This is the module I engaged in to support myself personally and professionally develop my skills/abilities for the growth and development of my organisation. My reflection of Talent Ecosystem has helped me to understand what is meant by Talent Ecosystem and how to build a Talent Ecosystem that can attract, develop, and retain talent while supporting organisational innovation and driving continuous learning through the integration of learning, leading, performance; cooperation within a comprehensive; Talent Ecosystem model. I learnt that developing talent is no longer just about providing training and that, over the last few years, organisations have had a paradigm shift regarding how they develop their workforce (talent). The focus now is on providing an environment that is always evolving so that people are continually learning and developing their talents and abilities, through such things as creating a culture of learning, developing a growth mindset, creating collaborative networks and utilising technology-based learning resources.</w:t>
      </w:r>
    </w:p>
    <w:p w14:paraId="3C85796A">
      <w:pPr>
        <w:spacing w:before="240" w:after="240"/>
        <w:jc w:val="both"/>
        <w:rPr>
          <w:rFonts w:hint="default" w:ascii="Arial" w:hAnsi="Arial" w:cs="Arial"/>
          <w:b/>
          <w:bCs/>
        </w:rPr>
      </w:pPr>
    </w:p>
    <w:p w14:paraId="2C5CC0DE">
      <w:pPr>
        <w:numPr>
          <w:ilvl w:val="0"/>
          <w:numId w:val="3"/>
        </w:numPr>
        <w:spacing w:before="240" w:after="240"/>
        <w:ind w:left="420" w:leftChars="0" w:hanging="420" w:firstLineChars="0"/>
        <w:jc w:val="both"/>
        <w:rPr>
          <w:rFonts w:hint="default" w:ascii="Arial" w:hAnsi="Arial" w:cs="Arial"/>
        </w:rPr>
      </w:pPr>
      <w:r>
        <w:rPr>
          <w:rFonts w:hint="default" w:ascii="Arial" w:hAnsi="Arial" w:cs="Arial"/>
          <w:b/>
          <w:bCs/>
          <w:sz w:val="24"/>
          <w:szCs w:val="24"/>
        </w:rPr>
        <w:t xml:space="preserve">Feelings </w:t>
      </w:r>
    </w:p>
    <w:p w14:paraId="19A2E4A4">
      <w:pPr>
        <w:numPr>
          <w:numId w:val="0"/>
        </w:numPr>
        <w:spacing w:before="240" w:after="240"/>
        <w:ind w:leftChars="0"/>
        <w:jc w:val="both"/>
        <w:rPr>
          <w:rFonts w:hint="default" w:ascii="Arial" w:hAnsi="Arial" w:cs="Arial"/>
          <w:b w:val="0"/>
          <w:bCs w:val="0"/>
        </w:rPr>
      </w:pPr>
      <w:r>
        <w:rPr>
          <w:rFonts w:hint="default" w:ascii="Arial" w:hAnsi="Arial" w:cs="Arial"/>
          <w:b w:val="0"/>
          <w:bCs w:val="0"/>
        </w:rPr>
        <w:t xml:space="preserve">Many strategic decisions for organisations exist in relation to talent acquisition, such as whether to build talent through mentoring, training, and development activities (build) or whether to purchase already experienced (or qualified) talent from the external labor market (buy). Past studies have identified build and buy as different labor acquisition models for organisations, yet little evidence exists to support the relationship between build and buy in terms of how organisations use internal organisational capabilities and external influences to select between build and buy as a talent acquisition strategy. This study, through the use of resource orchestration theory and human capital theory, suggests that build and buy decisions reveal a logic for how organisations allocate their resources, as well as the volatility of their external environments. This longitudinal study examines the utilisation of 174 US law firms over a period of eight years to determine how financial slack, managerial slack, and demand volatility can influence organisational relative investments in novices versus experienced hires. The results show that organisations with high levels of financial and managerial slack will be more </w:t>
      </w:r>
    </w:p>
    <w:p w14:paraId="522FDE78">
      <w:pPr>
        <w:numPr>
          <w:numId w:val="0"/>
        </w:numPr>
        <w:spacing w:before="240" w:after="240"/>
        <w:ind w:leftChars="0"/>
        <w:jc w:val="both"/>
        <w:rPr>
          <w:rFonts w:hint="default" w:ascii="Arial" w:hAnsi="Arial" w:cs="Arial"/>
          <w:b w:val="0"/>
          <w:bCs w:val="0"/>
        </w:rPr>
      </w:pPr>
    </w:p>
    <w:p w14:paraId="699ACB3C">
      <w:pPr>
        <w:numPr>
          <w:numId w:val="0"/>
        </w:numPr>
        <w:spacing w:before="240" w:after="240"/>
        <w:ind w:leftChars="0"/>
        <w:jc w:val="both"/>
        <w:rPr>
          <w:rFonts w:hint="default" w:ascii="Arial" w:hAnsi="Arial" w:cs="Arial"/>
        </w:rPr>
      </w:pPr>
      <w:r>
        <w:rPr>
          <w:rFonts w:hint="default" w:ascii="Arial" w:hAnsi="Arial" w:cs="Arial"/>
          <w:b w:val="0"/>
          <w:bCs w:val="0"/>
        </w:rPr>
        <w:t xml:space="preserve">likely to use a build strategy than organisations with high demand volatility, which will use a buy strategy. </w:t>
      </w:r>
    </w:p>
    <w:p w14:paraId="155F4CC7">
      <w:pPr>
        <w:numPr>
          <w:ilvl w:val="0"/>
          <w:numId w:val="3"/>
        </w:numPr>
        <w:spacing w:before="240" w:after="240"/>
        <w:ind w:left="420" w:leftChars="0" w:hanging="420" w:firstLineChars="0"/>
        <w:jc w:val="both"/>
        <w:rPr>
          <w:rFonts w:hint="default" w:ascii="Arial" w:hAnsi="Arial" w:cs="Arial"/>
        </w:rPr>
      </w:pPr>
      <w:r>
        <w:rPr>
          <w:rFonts w:hint="default" w:ascii="Arial" w:hAnsi="Arial" w:cs="Arial"/>
          <w:b/>
          <w:bCs/>
        </w:rPr>
        <w:t xml:space="preserve">Evaluation </w:t>
      </w:r>
    </w:p>
    <w:p w14:paraId="58976F2D">
      <w:pPr>
        <w:spacing w:before="120" w:after="120"/>
        <w:jc w:val="both"/>
        <w:rPr>
          <w:rFonts w:hint="default" w:ascii="Arial" w:hAnsi="Arial" w:cs="Arial"/>
        </w:rPr>
      </w:pPr>
      <w:r>
        <w:rPr>
          <w:rFonts w:hint="default" w:ascii="Arial" w:hAnsi="Arial" w:cs="Arial"/>
        </w:rPr>
        <w:t>As the trend in which AI is changing the labor market and employment continues to rise, one must learn to change and become more relevant and competitive in one’s field of choice. One way to do this is to learn to acquire skills in high-demand fields like data analytics, machine learning, and programming. Another way to change and become more relevant in one’s field is to take advantage of the benefits brought about by AI, like using it to become more efficient and increase human productivity. This means learning how to use AI to become more efficient and working alongside it to become more efficient in one’s field. It is also important to keep up to date on the latest in AI and its effect on one’s industry.</w:t>
      </w:r>
      <w:r>
        <w:rPr>
          <w:rFonts w:hint="default" w:ascii="Arial" w:hAnsi="Arial" w:cs="Arial"/>
        </w:rPr>
        <w:t xml:space="preserve"> </w:t>
      </w:r>
    </w:p>
    <w:p w14:paraId="08A00026">
      <w:pPr>
        <w:spacing w:before="120" w:after="120"/>
        <w:jc w:val="both"/>
        <w:rPr>
          <w:rFonts w:hint="default" w:ascii="Arial" w:hAnsi="Arial" w:cs="Arial"/>
          <w:lang w:val="en-US"/>
        </w:rPr>
      </w:pPr>
    </w:p>
    <w:p w14:paraId="2DEA6DD7">
      <w:pPr>
        <w:numPr>
          <w:ilvl w:val="0"/>
          <w:numId w:val="3"/>
        </w:numPr>
        <w:spacing w:before="120" w:after="120"/>
        <w:ind w:left="420" w:leftChars="0" w:hanging="420" w:firstLineChars="0"/>
        <w:jc w:val="both"/>
        <w:rPr>
          <w:rFonts w:hint="default" w:ascii="Arial" w:hAnsi="Arial" w:cs="Arial"/>
          <w:lang w:val="en-US"/>
        </w:rPr>
      </w:pPr>
      <w:r>
        <w:rPr>
          <w:rFonts w:hint="default" w:ascii="Arial" w:hAnsi="Arial" w:cs="Arial"/>
          <w:b/>
          <w:bCs/>
          <w:lang w:val="en-US"/>
        </w:rPr>
        <w:t>Analysis</w:t>
      </w:r>
    </w:p>
    <w:p w14:paraId="7C285FB7">
      <w:pPr>
        <w:spacing w:before="120" w:after="120"/>
        <w:jc w:val="both"/>
        <w:rPr>
          <w:rFonts w:hint="default" w:ascii="Arial" w:hAnsi="Arial" w:cs="Arial"/>
          <w:b w:val="0"/>
          <w:bCs w:val="0"/>
        </w:rPr>
      </w:pPr>
      <w:r>
        <w:rPr>
          <w:rFonts w:hint="default" w:ascii="Arial" w:hAnsi="Arial" w:cs="Arial"/>
          <w:b w:val="0"/>
          <w:bCs w:val="0"/>
        </w:rPr>
        <w:t xml:space="preserve">The interrelation between innovation and the behaviors that support innovation, collaboration, skill development, and continuous improvement is subject to the individual’s ecosystem in which he or she is functioning or operating. A talent ecosystem consists of different factors, which include: </w:t>
      </w:r>
    </w:p>
    <w:p w14:paraId="5C711455">
      <w:pPr>
        <w:spacing w:before="120" w:after="120"/>
        <w:jc w:val="both"/>
        <w:rPr>
          <w:rFonts w:hint="default" w:ascii="Arial" w:hAnsi="Arial" w:cs="Arial"/>
          <w:b w:val="0"/>
          <w:bCs w:val="0"/>
        </w:rPr>
      </w:pPr>
      <w:r>
        <w:rPr>
          <w:rFonts w:hint="default" w:ascii="Arial" w:hAnsi="Arial" w:cs="Arial"/>
          <w:b w:val="0"/>
          <w:bCs w:val="0"/>
        </w:rPr>
        <w:t>• Ongoing learning opportunities.</w:t>
      </w:r>
    </w:p>
    <w:p w14:paraId="420B60A4">
      <w:pPr>
        <w:spacing w:before="120" w:after="120"/>
        <w:jc w:val="both"/>
        <w:rPr>
          <w:rFonts w:hint="default" w:ascii="Arial" w:hAnsi="Arial" w:cs="Arial"/>
          <w:b w:val="0"/>
          <w:bCs w:val="0"/>
        </w:rPr>
      </w:pPr>
      <w:r>
        <w:rPr>
          <w:rFonts w:hint="default" w:ascii="Arial" w:hAnsi="Arial" w:cs="Arial"/>
          <w:b w:val="0"/>
          <w:bCs w:val="0"/>
        </w:rPr>
        <w:t xml:space="preserve">• Knowledge-sharing networks </w:t>
      </w:r>
    </w:p>
    <w:p w14:paraId="62DB886D">
      <w:pPr>
        <w:spacing w:before="120" w:after="120"/>
        <w:jc w:val="both"/>
        <w:rPr>
          <w:rFonts w:hint="default" w:ascii="Arial" w:hAnsi="Arial" w:cs="Arial"/>
          <w:b w:val="0"/>
          <w:bCs w:val="0"/>
        </w:rPr>
      </w:pPr>
      <w:r>
        <w:rPr>
          <w:rFonts w:hint="default" w:ascii="Arial" w:hAnsi="Arial" w:cs="Arial"/>
          <w:b w:val="0"/>
          <w:bCs w:val="0"/>
        </w:rPr>
        <w:t xml:space="preserve">• Leadership innovation support </w:t>
      </w:r>
    </w:p>
    <w:p w14:paraId="0B79ED8C">
      <w:pPr>
        <w:spacing w:before="120" w:after="120"/>
        <w:jc w:val="both"/>
        <w:rPr>
          <w:rFonts w:hint="default" w:ascii="Arial" w:hAnsi="Arial" w:cs="Arial"/>
          <w:b w:val="0"/>
          <w:bCs w:val="0"/>
        </w:rPr>
      </w:pPr>
      <w:r>
        <w:rPr>
          <w:rFonts w:hint="default" w:ascii="Arial" w:hAnsi="Arial" w:cs="Arial"/>
          <w:b w:val="0"/>
          <w:bCs w:val="0"/>
        </w:rPr>
        <w:t xml:space="preserve">• Digital learning resources </w:t>
      </w:r>
    </w:p>
    <w:p w14:paraId="3DA162D0">
      <w:pPr>
        <w:spacing w:before="120" w:after="120"/>
        <w:jc w:val="both"/>
        <w:rPr>
          <w:rFonts w:hint="default" w:ascii="Arial" w:hAnsi="Arial" w:cs="Arial"/>
          <w:b/>
          <w:bCs/>
        </w:rPr>
      </w:pPr>
    </w:p>
    <w:p w14:paraId="0EF877DC">
      <w:pPr>
        <w:numPr>
          <w:ilvl w:val="0"/>
          <w:numId w:val="3"/>
        </w:numPr>
        <w:spacing w:before="120" w:after="120"/>
        <w:ind w:left="420" w:leftChars="0" w:hanging="420" w:firstLineChars="0"/>
        <w:jc w:val="both"/>
        <w:rPr>
          <w:rFonts w:hint="default" w:ascii="Arial" w:hAnsi="Arial" w:cs="Arial"/>
          <w:b/>
          <w:bCs/>
        </w:rPr>
      </w:pPr>
      <w:r>
        <w:rPr>
          <w:rFonts w:hint="default" w:ascii="Arial" w:hAnsi="Arial" w:cs="Arial"/>
          <w:b/>
          <w:bCs/>
        </w:rPr>
        <w:t>Performance systems to encourage experimentation.</w:t>
      </w:r>
    </w:p>
    <w:p w14:paraId="61B0B548">
      <w:pPr>
        <w:spacing w:before="120" w:after="120"/>
        <w:jc w:val="both"/>
        <w:rPr>
          <w:rFonts w:hint="default" w:ascii="Arial" w:hAnsi="Arial" w:cs="Arial"/>
          <w:b w:val="0"/>
          <w:bCs w:val="0"/>
        </w:rPr>
      </w:pPr>
      <w:r>
        <w:rPr>
          <w:rFonts w:hint="default" w:ascii="Arial" w:hAnsi="Arial" w:cs="Arial"/>
          <w:b w:val="0"/>
          <w:bCs w:val="0"/>
        </w:rPr>
        <w:t>It is from my own experiences and involvement in this module that I have come to understand the importance of having a positive mindset through being open to new learning experiences and my own experiences. A learning ecosystem is helpful in providing learning, creating, and exploring opportunities.</w:t>
      </w:r>
    </w:p>
    <w:p w14:paraId="01C351A1">
      <w:pPr>
        <w:spacing w:before="120" w:after="120"/>
        <w:jc w:val="both"/>
        <w:rPr>
          <w:rFonts w:hint="default" w:ascii="Arial" w:hAnsi="Arial" w:cs="Arial"/>
          <w:b/>
          <w:bCs/>
        </w:rPr>
      </w:pPr>
      <w:r>
        <w:rPr>
          <w:rFonts w:hint="default" w:ascii="Arial" w:hAnsi="Arial" w:cs="Arial"/>
          <w:b w:val="0"/>
          <w:bCs w:val="0"/>
        </w:rPr>
        <w:t>The module has also helped in understanding the importance of self-directed learning, where individuals are responsible for identifying their own skills gap.</w:t>
      </w:r>
    </w:p>
    <w:p w14:paraId="7835F729">
      <w:pPr>
        <w:numPr>
          <w:ilvl w:val="0"/>
          <w:numId w:val="3"/>
        </w:numPr>
        <w:spacing w:before="240" w:after="240"/>
        <w:ind w:left="420" w:leftChars="0" w:hanging="420" w:firstLineChars="0"/>
        <w:jc w:val="both"/>
        <w:rPr>
          <w:rFonts w:hint="default" w:ascii="Arial" w:hAnsi="Arial" w:cs="Arial"/>
        </w:rPr>
      </w:pPr>
      <w:r>
        <w:rPr>
          <w:rFonts w:hint="default" w:ascii="Arial" w:hAnsi="Arial" w:cs="Arial"/>
          <w:b/>
          <w:bCs/>
        </w:rPr>
        <w:t xml:space="preserve">Conclusion </w:t>
      </w:r>
    </w:p>
    <w:p w14:paraId="0BF0217B">
      <w:pPr>
        <w:spacing w:before="120" w:after="120"/>
        <w:jc w:val="both"/>
        <w:rPr>
          <w:rFonts w:hint="default" w:ascii="Arial" w:hAnsi="Arial" w:cs="Arial"/>
        </w:rPr>
      </w:pPr>
      <w:r>
        <w:rPr>
          <w:rFonts w:hint="default" w:ascii="Arial" w:hAnsi="Arial" w:cs="Arial"/>
        </w:rPr>
        <w:t xml:space="preserve">Job creation and destruction are both results of advancements in AI. There are many new ways to innovate and increase productivity through AI but at the same time AI has created concerns about job loss and income inequality. To combat the negative effects of AI, all entities including governments, employers and educational institutions need to work together to build a framework of regulations that will mitigate the damage of AI </w:t>
      </w:r>
    </w:p>
    <w:p w14:paraId="668EBD49">
      <w:pPr>
        <w:spacing w:before="120" w:after="120"/>
        <w:jc w:val="both"/>
        <w:rPr>
          <w:rFonts w:hint="default" w:ascii="Arial" w:hAnsi="Arial" w:cs="Arial"/>
        </w:rPr>
      </w:pPr>
    </w:p>
    <w:p w14:paraId="00D1CDCA">
      <w:pPr>
        <w:spacing w:before="120" w:after="120"/>
        <w:jc w:val="both"/>
        <w:rPr>
          <w:rFonts w:hint="default" w:ascii="Arial" w:hAnsi="Arial" w:cs="Arial"/>
          <w:b/>
          <w:bCs/>
          <w:lang w:val="en-US"/>
        </w:rPr>
      </w:pPr>
      <w:r>
        <w:rPr>
          <w:rFonts w:hint="default" w:ascii="Arial" w:hAnsi="Arial" w:cs="Arial"/>
        </w:rPr>
        <w:t>while creating opportunities for collaborative work with AI in the future. The ultimate outcome of AI and jobs will depend upon how well society adapts to the effects of AI and how well they are prepared for those changes.</w:t>
      </w:r>
    </w:p>
    <w:p w14:paraId="520EDBEF">
      <w:pPr>
        <w:numPr>
          <w:ilvl w:val="0"/>
          <w:numId w:val="3"/>
        </w:numPr>
        <w:spacing w:before="240" w:after="240"/>
        <w:ind w:left="420" w:leftChars="0" w:hanging="420" w:firstLineChars="0"/>
        <w:jc w:val="both"/>
        <w:rPr>
          <w:rFonts w:hint="default" w:ascii="Arial" w:hAnsi="Arial" w:cs="Arial"/>
          <w:b/>
          <w:bCs/>
        </w:rPr>
      </w:pPr>
      <w:r>
        <w:rPr>
          <w:rFonts w:hint="default" w:ascii="Arial" w:hAnsi="Arial" w:cs="Arial"/>
          <w:b/>
          <w:bCs/>
          <w:lang w:val="en-US"/>
        </w:rPr>
        <w:t>Action Plan</w:t>
      </w:r>
    </w:p>
    <w:p w14:paraId="49C7EA41">
      <w:pPr>
        <w:spacing w:before="120" w:after="120"/>
        <w:jc w:val="both"/>
        <w:rPr>
          <w:rFonts w:hint="default" w:ascii="Arial" w:hAnsi="Arial" w:cs="Arial"/>
          <w:b/>
          <w:bCs/>
        </w:rPr>
      </w:pPr>
      <w:r>
        <w:rPr>
          <w:rFonts w:hint="default" w:ascii="Arial" w:hAnsi="Arial" w:cs="Arial"/>
          <w:b w:val="0"/>
          <w:bCs w:val="0"/>
        </w:rPr>
        <w:t>Furthermore, I will be taking steps to enhance my learning and development by implementing the following actions that I have learned from my reflection on this topic:</w:t>
      </w:r>
      <w:r>
        <w:rPr>
          <w:rFonts w:hint="default" w:ascii="Arial" w:hAnsi="Arial" w:cs="Arial"/>
          <w:b/>
          <w:bCs/>
        </w:rPr>
        <w:t xml:space="preserve"> </w:t>
      </w:r>
    </w:p>
    <w:p w14:paraId="478A3E53">
      <w:pPr>
        <w:spacing w:before="120" w:after="120"/>
        <w:jc w:val="both"/>
        <w:rPr>
          <w:rFonts w:hint="default" w:ascii="Arial" w:hAnsi="Arial" w:cs="Arial"/>
          <w:b w:val="0"/>
          <w:bCs w:val="0"/>
        </w:rPr>
      </w:pPr>
      <w:r>
        <w:rPr>
          <w:rFonts w:hint="default" w:ascii="Arial" w:hAnsi="Arial" w:cs="Arial"/>
          <w:b w:val="0"/>
          <w:bCs w:val="0"/>
        </w:rPr>
        <w:t xml:space="preserve">1. Policymakers should focus more on addressing the issue of job loss as a result of automation through policies that promote a work environment where employees feel comfortable with the use of artificial intelligence. </w:t>
      </w:r>
    </w:p>
    <w:p w14:paraId="322A7F12">
      <w:pPr>
        <w:spacing w:before="120" w:after="120"/>
        <w:jc w:val="both"/>
        <w:rPr>
          <w:rFonts w:hint="default" w:ascii="Arial" w:hAnsi="Arial" w:cs="Arial"/>
          <w:b w:val="0"/>
          <w:bCs w:val="0"/>
        </w:rPr>
      </w:pPr>
      <w:r>
        <w:rPr>
          <w:rFonts w:hint="default" w:ascii="Arial" w:hAnsi="Arial" w:cs="Arial"/>
          <w:b w:val="0"/>
          <w:bCs w:val="0"/>
        </w:rPr>
        <w:t xml:space="preserve">2. Businesses should also develop programs that will allow employees to be knowledgeable about artificial intelligence to prepare them for significant changes in how businesses operate as a result of technology. </w:t>
      </w:r>
    </w:p>
    <w:p w14:paraId="60DB534C">
      <w:pPr>
        <w:spacing w:before="120" w:after="120"/>
        <w:jc w:val="both"/>
        <w:rPr>
          <w:rFonts w:hint="default" w:ascii="Arial" w:hAnsi="Arial" w:cs="Arial"/>
          <w:b w:val="0"/>
          <w:bCs w:val="0"/>
        </w:rPr>
      </w:pPr>
      <w:r>
        <w:rPr>
          <w:rFonts w:hint="default" w:ascii="Arial" w:hAnsi="Arial" w:cs="Arial"/>
          <w:b w:val="0"/>
          <w:bCs w:val="0"/>
        </w:rPr>
        <w:t xml:space="preserve">3. It is also important to have a collaboration between the business sector and academia to ensure that educational programs in colleges and universities are in line with current trends in the industry. </w:t>
      </w:r>
    </w:p>
    <w:p w14:paraId="7AC78641">
      <w:pPr>
        <w:spacing w:before="120" w:after="120"/>
        <w:jc w:val="both"/>
        <w:rPr>
          <w:rFonts w:hint="default" w:ascii="Arial" w:hAnsi="Arial" w:cs="Arial"/>
          <w:b w:val="0"/>
          <w:bCs w:val="0"/>
        </w:rPr>
      </w:pPr>
      <w:r>
        <w:rPr>
          <w:rFonts w:hint="default" w:ascii="Arial" w:hAnsi="Arial" w:cs="Arial"/>
          <w:b w:val="0"/>
          <w:bCs w:val="0"/>
        </w:rPr>
        <w:t>4. It is also important to have policies in place if we want to create an individualized learning space that will promote innovation and flexibility in the field of artificial intelligence. Thus, I will be continuing to participate in the development of policies as a result of the AI-driven world.</w:t>
      </w:r>
    </w:p>
    <w:p w14:paraId="168D2968">
      <w:pPr>
        <w:spacing w:before="120" w:after="120"/>
        <w:jc w:val="both"/>
        <w:rPr>
          <w:rFonts w:hint="default" w:ascii="Arial" w:hAnsi="Arial" w:cs="Arial"/>
          <w:b/>
          <w:bCs/>
        </w:rPr>
      </w:pPr>
    </w:p>
    <w:p w14:paraId="4DA36064">
      <w:pPr>
        <w:spacing w:before="120" w:after="120"/>
        <w:jc w:val="both"/>
        <w:rPr>
          <w:rFonts w:hint="default" w:ascii="Arial" w:hAnsi="Arial" w:cs="Arial"/>
        </w:rPr>
      </w:pPr>
      <w:r>
        <w:rPr>
          <w:rFonts w:hint="default" w:ascii="Arial" w:hAnsi="Arial" w:cs="Arial"/>
          <w:b/>
          <w:bCs/>
          <w:sz w:val="28"/>
          <w:szCs w:val="28"/>
        </w:rPr>
        <w:t>2.2</w:t>
      </w:r>
      <w:r>
        <w:rPr>
          <w:rFonts w:hint="default" w:ascii="Arial" w:hAnsi="Arial" w:cs="Arial"/>
          <w:b/>
          <w:bCs/>
          <w:sz w:val="28"/>
          <w:szCs w:val="28"/>
        </w:rPr>
        <w:t xml:space="preserve"> Develop Your Own Strategy to Stay Relevant in Today's Workforce (Digital Age of AI).</w:t>
      </w:r>
    </w:p>
    <w:p w14:paraId="4752A0D5">
      <w:pPr>
        <w:spacing w:before="120" w:after="120"/>
        <w:jc w:val="both"/>
        <w:rPr>
          <w:rFonts w:hint="default" w:ascii="Arial" w:hAnsi="Arial" w:cs="Arial"/>
        </w:rPr>
      </w:pPr>
      <w:r>
        <w:rPr>
          <w:rFonts w:hint="default" w:ascii="Arial" w:hAnsi="Arial" w:cs="Arial"/>
        </w:rPr>
        <w:t>In the present day, because of the rapid evolution of technology, artificial intelligence (AI) has revolutionized the way in which tasks are executed in all sectors of the economy. For instance, skilled jobs are being replaced by machines or computer systems that can perform repetitive tasks and process large amounts of information in just seconds, which would take human beings much longer to do manually. It is therefore essential for each person to be proactive in staying relevant in the ever-changing landscape by regularly updating their skills and knowledge.</w:t>
      </w:r>
    </w:p>
    <w:p w14:paraId="1CB1F9F0">
      <w:pPr>
        <w:spacing w:before="120" w:after="120"/>
        <w:jc w:val="both"/>
        <w:rPr>
          <w:rFonts w:hint="default" w:ascii="Arial" w:hAnsi="Arial" w:cs="Arial"/>
        </w:rPr>
      </w:pPr>
      <w:r>
        <w:rPr>
          <w:rFonts w:hint="default" w:ascii="Arial" w:hAnsi="Arial" w:cs="Arial"/>
        </w:rPr>
        <w:t>I will continue to develop my own personal strategy in an effort to remain relevant in the workforce by focusing on developing skills that cannot be replicated by computer programs (e.g., creativity).</w:t>
      </w:r>
    </w:p>
    <w:p w14:paraId="65058905">
      <w:pPr>
        <w:spacing w:before="120" w:after="120"/>
        <w:jc w:val="both"/>
        <w:rPr>
          <w:rFonts w:hint="default" w:ascii="Arial" w:hAnsi="Arial" w:cs="Arial"/>
        </w:rPr>
      </w:pPr>
    </w:p>
    <w:p w14:paraId="287F89B1">
      <w:pPr>
        <w:spacing w:before="120" w:after="120"/>
        <w:jc w:val="both"/>
        <w:rPr>
          <w:rFonts w:hint="default" w:ascii="Arial" w:hAnsi="Arial" w:cs="Arial"/>
        </w:rPr>
      </w:pPr>
    </w:p>
    <w:p w14:paraId="0F166FF0">
      <w:pPr>
        <w:spacing w:before="120" w:after="120"/>
        <w:jc w:val="both"/>
        <w:rPr>
          <w:rFonts w:hint="default" w:ascii="Arial" w:hAnsi="Arial" w:cs="Arial"/>
        </w:rPr>
      </w:pPr>
    </w:p>
    <w:p w14:paraId="743A3C25">
      <w:pPr>
        <w:spacing w:before="120" w:after="120"/>
        <w:jc w:val="both"/>
        <w:rPr>
          <w:rFonts w:hint="default" w:ascii="Arial" w:hAnsi="Arial" w:cs="Arial"/>
        </w:rPr>
      </w:pPr>
    </w:p>
    <w:p w14:paraId="3B795071">
      <w:pPr>
        <w:spacing w:before="120" w:after="120"/>
        <w:jc w:val="both"/>
        <w:rPr>
          <w:rFonts w:hint="default" w:ascii="Arial" w:hAnsi="Arial" w:cs="Arial"/>
        </w:rPr>
      </w:pPr>
    </w:p>
    <w:p w14:paraId="7DF365E4">
      <w:pPr>
        <w:spacing w:before="240" w:after="240"/>
        <w:jc w:val="both"/>
        <w:rPr>
          <w:rFonts w:hint="default" w:ascii="Arial" w:hAnsi="Arial" w:cs="Arial"/>
          <w:b/>
          <w:bCs/>
          <w:sz w:val="28"/>
          <w:szCs w:val="28"/>
        </w:rPr>
      </w:pPr>
    </w:p>
    <w:p w14:paraId="72CE3CA8">
      <w:pPr>
        <w:spacing w:before="240" w:after="240"/>
        <w:jc w:val="both"/>
        <w:rPr>
          <w:rFonts w:hint="default" w:ascii="Arial" w:hAnsi="Arial" w:cs="Arial"/>
          <w:sz w:val="28"/>
          <w:szCs w:val="28"/>
        </w:rPr>
      </w:pPr>
      <w:r>
        <w:rPr>
          <w:rFonts w:hint="default" w:ascii="Arial" w:hAnsi="Arial" w:cs="Arial"/>
          <w:b/>
          <w:bCs/>
          <w:sz w:val="28"/>
          <w:szCs w:val="28"/>
        </w:rPr>
        <w:t xml:space="preserve">References </w:t>
      </w:r>
    </w:p>
    <w:p w14:paraId="7C038F50">
      <w:pPr>
        <w:pStyle w:val="11"/>
        <w:keepNext w:val="0"/>
        <w:keepLines w:val="0"/>
        <w:widowControl/>
        <w:suppressLineNumbers w:val="0"/>
        <w:jc w:val="both"/>
        <w:rPr>
          <w:rFonts w:hint="default" w:ascii="Arial" w:hAnsi="Arial" w:cs="Arial"/>
        </w:rPr>
      </w:pPr>
      <w:r>
        <w:rPr>
          <w:rFonts w:hint="default" w:ascii="Arial" w:hAnsi="Arial" w:cs="Arial"/>
        </w:rPr>
        <w:t>Alzoubi, Y.I. and Gill, A.Q. (2022) ‘Can agile enterprise architecture be implemented successfully in distributed agile development? Empirical findings’, Global Journal of Flexible Systems Management, 23(2), pp. 221–235. https://doi.org/10.1007/s40171-021-00294-6</w:t>
      </w:r>
    </w:p>
    <w:p w14:paraId="3B774B4E">
      <w:pPr>
        <w:pStyle w:val="11"/>
        <w:keepNext w:val="0"/>
        <w:keepLines w:val="0"/>
        <w:widowControl/>
        <w:suppressLineNumbers w:val="0"/>
        <w:jc w:val="both"/>
        <w:rPr>
          <w:rFonts w:hint="default" w:ascii="Arial" w:hAnsi="Arial" w:cs="Arial"/>
        </w:rPr>
      </w:pPr>
      <w:r>
        <w:rPr>
          <w:rFonts w:hint="default" w:ascii="Arial" w:hAnsi="Arial" w:cs="Arial"/>
        </w:rPr>
        <w:t>Badakhshan, P., Conboy, K., Grisold, T. and vom Brocke, J. (2020) ‘Agile business process management: A systematic literature review and an integrated framework’, Business Process Management Journal, 26(6), pp. 1505–1523. https://doi.org/10.1108/BPMJ-12-2018-0347</w:t>
      </w:r>
    </w:p>
    <w:p w14:paraId="3F5D9AA3">
      <w:pPr>
        <w:pStyle w:val="11"/>
        <w:keepNext w:val="0"/>
        <w:keepLines w:val="0"/>
        <w:widowControl/>
        <w:suppressLineNumbers w:val="0"/>
        <w:jc w:val="both"/>
        <w:rPr>
          <w:rFonts w:hint="default" w:ascii="Arial" w:hAnsi="Arial" w:cs="Arial"/>
        </w:rPr>
      </w:pPr>
      <w:r>
        <w:rPr>
          <w:rFonts w:hint="default" w:ascii="Arial" w:hAnsi="Arial" w:cs="Arial"/>
        </w:rPr>
        <w:t>Balog, K. (2020) ‘The concept and competitiveness of agile organizations in the fourth industrial revolution’, Strategic Management, 25(3), pp. 14–27.</w:t>
      </w:r>
    </w:p>
    <w:p w14:paraId="5C96EDDF">
      <w:pPr>
        <w:pStyle w:val="11"/>
        <w:keepNext w:val="0"/>
        <w:keepLines w:val="0"/>
        <w:widowControl/>
        <w:suppressLineNumbers w:val="0"/>
        <w:jc w:val="both"/>
        <w:rPr>
          <w:rFonts w:hint="default" w:ascii="Arial" w:hAnsi="Arial" w:cs="Arial"/>
        </w:rPr>
      </w:pPr>
      <w:r>
        <w:rPr>
          <w:rFonts w:hint="default" w:ascii="Arial" w:hAnsi="Arial" w:cs="Arial"/>
        </w:rPr>
        <w:t>Birou, L. and Hoek, R. (2021) ‘Supply chain management talent: The role of executives in engagement, recruitment, development, and retention’, Supply Chain Management: An International Journal. https://doi.org/10.1108/SCM-08-2020-0418</w:t>
      </w:r>
    </w:p>
    <w:p w14:paraId="7B2B4DCE">
      <w:pPr>
        <w:pStyle w:val="11"/>
        <w:keepNext w:val="0"/>
        <w:keepLines w:val="0"/>
        <w:widowControl/>
        <w:suppressLineNumbers w:val="0"/>
        <w:jc w:val="both"/>
        <w:rPr>
          <w:rFonts w:hint="default" w:ascii="Arial" w:hAnsi="Arial" w:cs="Arial"/>
        </w:rPr>
      </w:pPr>
      <w:r>
        <w:rPr>
          <w:rFonts w:hint="default" w:ascii="Arial" w:hAnsi="Arial" w:cs="Arial"/>
        </w:rPr>
        <w:t>Boxall, P. and Purcell, J. (2016) Strategy and Human Resource Management. 4th edn. London: Palgrave Macmillan.</w:t>
      </w:r>
    </w:p>
    <w:p w14:paraId="135F643D">
      <w:pPr>
        <w:pStyle w:val="11"/>
        <w:keepNext w:val="0"/>
        <w:keepLines w:val="0"/>
        <w:widowControl/>
        <w:suppressLineNumbers w:val="0"/>
        <w:jc w:val="both"/>
        <w:rPr>
          <w:rFonts w:hint="default" w:ascii="Arial" w:hAnsi="Arial" w:cs="Arial"/>
        </w:rPr>
      </w:pPr>
      <w:r>
        <w:rPr>
          <w:rFonts w:hint="default" w:ascii="Arial" w:hAnsi="Arial" w:cs="Arial"/>
        </w:rPr>
        <w:t xml:space="preserve">Ciric Lalic, D., Lalic, B., Delic, M., Gracanin, D. and Stefanovic, D. (2022) ‘How does the project management approach impact project success? From traditional to agile’, International Journal of Managing Projects in Business, 15(3), pp. 494–521. </w:t>
      </w:r>
    </w:p>
    <w:p w14:paraId="4A87FD4C">
      <w:pPr>
        <w:pStyle w:val="11"/>
        <w:keepNext w:val="0"/>
        <w:keepLines w:val="0"/>
        <w:widowControl/>
        <w:suppressLineNumbers w:val="0"/>
        <w:jc w:val="both"/>
        <w:rPr>
          <w:rFonts w:hint="default" w:ascii="Arial" w:hAnsi="Arial" w:cs="Arial"/>
        </w:rPr>
      </w:pPr>
      <w:r>
        <w:rPr>
          <w:rFonts w:hint="default" w:ascii="Arial" w:hAnsi="Arial" w:cs="Arial"/>
        </w:rPr>
        <w:t>Denning, S. (2017) ‘The next frontier for agile: Strategic management’, Strategy &amp; Leadership, 45(2), pp. 12–18. https://doi.org/10.1108/SL-02-2017-0021</w:t>
      </w:r>
    </w:p>
    <w:p w14:paraId="191FB039">
      <w:pPr>
        <w:pStyle w:val="11"/>
        <w:keepNext w:val="0"/>
        <w:keepLines w:val="0"/>
        <w:widowControl/>
        <w:suppressLineNumbers w:val="0"/>
        <w:jc w:val="both"/>
        <w:rPr>
          <w:rFonts w:hint="default" w:ascii="Arial" w:hAnsi="Arial" w:cs="Arial"/>
        </w:rPr>
      </w:pPr>
      <w:r>
        <w:rPr>
          <w:rFonts w:hint="default" w:ascii="Arial" w:hAnsi="Arial" w:cs="Arial"/>
        </w:rPr>
        <w:t>Guest, D.E. (1997) ‘Human resource management and performance: A review and research agenda’, International Journal of Human Resource Management, 8(3), pp. 263–276.</w:t>
      </w:r>
    </w:p>
    <w:p w14:paraId="09C5A61F">
      <w:pPr>
        <w:pStyle w:val="11"/>
        <w:keepNext w:val="0"/>
        <w:keepLines w:val="0"/>
        <w:widowControl/>
        <w:suppressLineNumbers w:val="0"/>
        <w:jc w:val="both"/>
        <w:rPr>
          <w:rFonts w:hint="default" w:ascii="Arial" w:hAnsi="Arial" w:cs="Arial"/>
        </w:rPr>
      </w:pPr>
      <w:r>
        <w:rPr>
          <w:rFonts w:hint="default" w:ascii="Arial" w:hAnsi="Arial" w:cs="Arial"/>
        </w:rPr>
        <w:t>Hair, J.F., Black, W.C., Babin, B.J. and Anderson, R.E. (2010) Multivariate Data Analysis. 7th edn. Upper Saddle River: Pearson.</w:t>
      </w:r>
    </w:p>
    <w:p w14:paraId="7653F525">
      <w:pPr>
        <w:pStyle w:val="11"/>
        <w:keepNext w:val="0"/>
        <w:keepLines w:val="0"/>
        <w:widowControl/>
        <w:suppressLineNumbers w:val="0"/>
        <w:jc w:val="both"/>
        <w:rPr>
          <w:rFonts w:hint="default" w:ascii="Arial" w:hAnsi="Arial" w:cs="Arial"/>
        </w:rPr>
      </w:pPr>
      <w:r>
        <w:rPr>
          <w:rFonts w:hint="default" w:ascii="Arial" w:hAnsi="Arial" w:cs="Arial"/>
        </w:rPr>
        <w:t xml:space="preserve">Kafetzopoulos, D. and Gotzamani, K. (2022) ‘The effect of talent management and leadership styles on firms’ sustainable performance’, European Business Review. </w:t>
      </w:r>
    </w:p>
    <w:p w14:paraId="7849EE7B">
      <w:pPr>
        <w:pStyle w:val="11"/>
        <w:keepNext w:val="0"/>
        <w:keepLines w:val="0"/>
        <w:widowControl/>
        <w:suppressLineNumbers w:val="0"/>
        <w:jc w:val="both"/>
        <w:rPr>
          <w:rFonts w:hint="default" w:ascii="Arial" w:hAnsi="Arial" w:cs="Arial"/>
        </w:rPr>
      </w:pPr>
      <w:r>
        <w:rPr>
          <w:rFonts w:hint="default" w:ascii="Arial" w:hAnsi="Arial" w:cs="Arial"/>
        </w:rPr>
        <w:t>Kapor, N. (2022) ‘Competitive positioning of agile companies’, Knowledge International Journal, 50(1), pp. 31–37.</w:t>
      </w:r>
    </w:p>
    <w:p w14:paraId="60856B19">
      <w:pPr>
        <w:pStyle w:val="11"/>
        <w:keepNext w:val="0"/>
        <w:keepLines w:val="0"/>
        <w:widowControl/>
        <w:suppressLineNumbers w:val="0"/>
        <w:jc w:val="both"/>
        <w:rPr>
          <w:rFonts w:hint="default" w:ascii="Arial" w:hAnsi="Arial" w:cs="Arial"/>
        </w:rPr>
      </w:pPr>
    </w:p>
    <w:p w14:paraId="1603F956">
      <w:pPr>
        <w:pStyle w:val="11"/>
        <w:keepNext w:val="0"/>
        <w:keepLines w:val="0"/>
        <w:widowControl/>
        <w:suppressLineNumbers w:val="0"/>
        <w:jc w:val="both"/>
        <w:rPr>
          <w:rFonts w:hint="default" w:ascii="Arial" w:hAnsi="Arial" w:cs="Arial"/>
        </w:rPr>
      </w:pPr>
    </w:p>
    <w:p w14:paraId="6CAFA567">
      <w:pPr>
        <w:pStyle w:val="11"/>
        <w:keepNext w:val="0"/>
        <w:keepLines w:val="0"/>
        <w:widowControl/>
        <w:suppressLineNumbers w:val="0"/>
        <w:jc w:val="both"/>
        <w:rPr>
          <w:rFonts w:hint="default" w:ascii="Arial" w:hAnsi="Arial" w:cs="Arial"/>
        </w:rPr>
      </w:pPr>
      <w:r>
        <w:rPr>
          <w:rFonts w:hint="default" w:ascii="Arial" w:hAnsi="Arial" w:cs="Arial"/>
        </w:rPr>
        <w:t xml:space="preserve">Khoshnood, N.T. and Nematizadeh, S. (2017) ‘Strategic agility and its impact on the competitive capabilities of Iranian private banks’, International Journal of Business and Management, 12(2), pp. 1–10. </w:t>
      </w:r>
    </w:p>
    <w:p w14:paraId="65B0C079">
      <w:pPr>
        <w:pStyle w:val="11"/>
        <w:keepNext w:val="0"/>
        <w:keepLines w:val="0"/>
        <w:widowControl/>
        <w:suppressLineNumbers w:val="0"/>
        <w:jc w:val="both"/>
        <w:rPr>
          <w:rFonts w:hint="default" w:ascii="Arial" w:hAnsi="Arial" w:cs="Arial"/>
        </w:rPr>
      </w:pPr>
      <w:r>
        <w:rPr>
          <w:rFonts w:hint="default" w:ascii="Arial" w:hAnsi="Arial" w:cs="Arial"/>
        </w:rPr>
        <w:t>Kock, N. (2019) WarpPLS User Manual: Version 7.0. Texas: ScriptWarp Systems.</w:t>
      </w:r>
    </w:p>
    <w:p w14:paraId="28FACE8C">
      <w:pPr>
        <w:pStyle w:val="11"/>
        <w:keepNext w:val="0"/>
        <w:keepLines w:val="0"/>
        <w:widowControl/>
        <w:suppressLineNumbers w:val="0"/>
        <w:jc w:val="both"/>
        <w:rPr>
          <w:rFonts w:hint="default" w:ascii="Arial" w:hAnsi="Arial" w:cs="Arial"/>
        </w:rPr>
      </w:pPr>
      <w:r>
        <w:rPr>
          <w:rFonts w:hint="default" w:ascii="Arial" w:hAnsi="Arial" w:cs="Arial"/>
        </w:rPr>
        <w:t>Kraichy, D. and Walsh, M.M. (2022) ‘Hindering talented employees’ internal mobility: Managers’ territorial response to stress’, Journal of Managerial Psychology, 37(1), pp. 76–89. https://doi.org/10.1108/JMP-02-2021-0054</w:t>
      </w:r>
    </w:p>
    <w:p w14:paraId="6094DA6F">
      <w:pPr>
        <w:pStyle w:val="11"/>
        <w:keepNext w:val="0"/>
        <w:keepLines w:val="0"/>
        <w:widowControl/>
        <w:suppressLineNumbers w:val="0"/>
        <w:jc w:val="both"/>
        <w:rPr>
          <w:rFonts w:hint="default" w:ascii="Arial" w:hAnsi="Arial" w:cs="Arial"/>
        </w:rPr>
      </w:pPr>
      <w:r>
        <w:rPr>
          <w:rFonts w:hint="default" w:ascii="Arial" w:hAnsi="Arial" w:cs="Arial"/>
        </w:rPr>
        <w:t xml:space="preserve">Latukha, M., Zhang, Y., Panibratov, A., Arzhanykh, K. and Rysakova, L. (2022) ‘Talent management practices for firms’ absorptive capacity in a host country: A study of the Chinese diaspora in Russia’, Critical Perspectives on International Business. </w:t>
      </w:r>
    </w:p>
    <w:p w14:paraId="3F34BBBD">
      <w:pPr>
        <w:pStyle w:val="11"/>
        <w:keepNext w:val="0"/>
        <w:keepLines w:val="0"/>
        <w:widowControl/>
        <w:suppressLineNumbers w:val="0"/>
        <w:jc w:val="both"/>
        <w:rPr>
          <w:rFonts w:hint="default" w:ascii="Arial" w:hAnsi="Arial" w:cs="Arial"/>
        </w:rPr>
      </w:pPr>
      <w:r>
        <w:rPr>
          <w:rFonts w:hint="default" w:ascii="Arial" w:hAnsi="Arial" w:cs="Arial"/>
        </w:rPr>
        <w:t>Malik, M., Sarwar, S. and Orr, S. (2021) ‘Agile practices and performance: Examining the role of psychological empowerment’, International Journal of Project Management, 39(1), pp. 10–20.</w:t>
      </w:r>
    </w:p>
    <w:p w14:paraId="1FBCD74C">
      <w:pPr>
        <w:pStyle w:val="11"/>
        <w:keepNext w:val="0"/>
        <w:keepLines w:val="0"/>
        <w:widowControl/>
        <w:suppressLineNumbers w:val="0"/>
        <w:jc w:val="both"/>
        <w:rPr>
          <w:rFonts w:hint="default" w:ascii="Arial" w:hAnsi="Arial" w:cs="Arial"/>
        </w:rPr>
      </w:pPr>
      <w:r>
        <w:rPr>
          <w:rFonts w:hint="default" w:ascii="Arial" w:hAnsi="Arial" w:cs="Arial"/>
        </w:rPr>
        <w:t xml:space="preserve">Mani, S. and Mishra, M. (2020) ‘Characteristics and ingredients of an agile workforce—A strategy framework’, Strategic HR Review, 19(5), pp. 227–230. </w:t>
      </w:r>
    </w:p>
    <w:p w14:paraId="7B2779A9">
      <w:pPr>
        <w:pStyle w:val="11"/>
        <w:keepNext w:val="0"/>
        <w:keepLines w:val="0"/>
        <w:widowControl/>
        <w:suppressLineNumbers w:val="0"/>
        <w:jc w:val="both"/>
        <w:rPr>
          <w:rFonts w:hint="default" w:ascii="Arial" w:hAnsi="Arial" w:cs="Arial"/>
        </w:rPr>
      </w:pPr>
      <w:r>
        <w:rPr>
          <w:rFonts w:hint="default" w:ascii="Arial" w:hAnsi="Arial" w:cs="Arial"/>
        </w:rPr>
        <w:t>Mensah, J.K. and Bawole, J.N. (2018) ‘Testing the mediation effect of person–organisation fit on the relationship between talent management and talented employees’ attitudes’, International Journal of Manpower, 39(2), pp. 319–333. https://doi.org/10.1108/IJM-08-2016-0162</w:t>
      </w:r>
    </w:p>
    <w:p w14:paraId="296B8604">
      <w:pPr>
        <w:pStyle w:val="11"/>
        <w:keepNext w:val="0"/>
        <w:keepLines w:val="0"/>
        <w:widowControl/>
        <w:suppressLineNumbers w:val="0"/>
        <w:jc w:val="both"/>
        <w:rPr>
          <w:rFonts w:hint="default" w:ascii="Arial" w:hAnsi="Arial" w:cs="Arial"/>
        </w:rPr>
      </w:pPr>
      <w:r>
        <w:rPr>
          <w:rFonts w:hint="default" w:ascii="Arial" w:hAnsi="Arial" w:cs="Arial"/>
        </w:rPr>
        <w:t xml:space="preserve">Mujtaba, M. and Mubarik, M.S. (2022) ‘Talent management and organizational sustainability: Role of sustainable behaviour’, International Journal of Organizational Analysis, 30(2), pp. 389–407. </w:t>
      </w:r>
    </w:p>
    <w:p w14:paraId="0BA2F867">
      <w:pPr>
        <w:pStyle w:val="11"/>
        <w:keepNext w:val="0"/>
        <w:keepLines w:val="0"/>
        <w:widowControl/>
        <w:suppressLineNumbers w:val="0"/>
        <w:jc w:val="both"/>
        <w:rPr>
          <w:rFonts w:hint="default" w:ascii="Arial" w:hAnsi="Arial" w:cs="Arial"/>
        </w:rPr>
      </w:pPr>
      <w:r>
        <w:rPr>
          <w:rFonts w:hint="default" w:ascii="Arial" w:hAnsi="Arial" w:cs="Arial"/>
        </w:rPr>
        <w:t>Prabhu, H.M. and Srivastava, A.K. (2023) ‘CEO transformational leadership, supply chain agility, and firm performance’, Global Journal of Flexible Systems Management, 24(1), pp. 51–65.</w:t>
      </w:r>
    </w:p>
    <w:p w14:paraId="21D2CE86">
      <w:pPr>
        <w:pStyle w:val="11"/>
        <w:keepNext w:val="0"/>
        <w:keepLines w:val="0"/>
        <w:widowControl/>
        <w:suppressLineNumbers w:val="0"/>
        <w:jc w:val="both"/>
        <w:rPr>
          <w:rFonts w:hint="default" w:ascii="Arial" w:hAnsi="Arial" w:cs="Arial"/>
        </w:rPr>
      </w:pPr>
      <w:r>
        <w:rPr>
          <w:rFonts w:hint="default" w:ascii="Arial" w:hAnsi="Arial" w:cs="Arial"/>
        </w:rPr>
        <w:t>Saddozai, S.K., Hui, P., Akram, U., Khan, M.S. and Memon, S. (2017) ‘Investigation of talent, talent management, its policies, and its impact on the working environment’, Chinese Management Studies, 11(3), pp. 538–554. https://doi.org/10.1108/CMS-10-2016-0206</w:t>
      </w:r>
    </w:p>
    <w:p w14:paraId="117623DC">
      <w:pPr>
        <w:pStyle w:val="11"/>
        <w:keepNext w:val="0"/>
        <w:keepLines w:val="0"/>
        <w:widowControl/>
        <w:suppressLineNumbers w:val="0"/>
        <w:jc w:val="both"/>
        <w:rPr>
          <w:rFonts w:hint="default" w:ascii="Arial" w:hAnsi="Arial" w:cs="Arial"/>
        </w:rPr>
      </w:pPr>
      <w:r>
        <w:rPr>
          <w:rFonts w:hint="default" w:ascii="Arial" w:hAnsi="Arial" w:cs="Arial"/>
        </w:rPr>
        <w:t>Schreuder, R. and Noorman, S. (2019a) ‘Strategic talent development—Making the best people in crucial positions better’, Strategic HR Review, 18(6), pp. 263–267. https://doi.org/10.1108/SHR-04-2019-0034</w:t>
      </w:r>
    </w:p>
    <w:p w14:paraId="3A273DA6">
      <w:pPr>
        <w:pStyle w:val="11"/>
        <w:keepNext w:val="0"/>
        <w:keepLines w:val="0"/>
        <w:widowControl/>
        <w:suppressLineNumbers w:val="0"/>
        <w:jc w:val="both"/>
        <w:rPr>
          <w:rFonts w:hint="default" w:ascii="Arial" w:hAnsi="Arial" w:cs="Arial"/>
        </w:rPr>
      </w:pPr>
    </w:p>
    <w:p w14:paraId="08A0708B">
      <w:pPr>
        <w:pStyle w:val="11"/>
        <w:keepNext w:val="0"/>
        <w:keepLines w:val="0"/>
        <w:widowControl/>
        <w:suppressLineNumbers w:val="0"/>
        <w:jc w:val="both"/>
        <w:rPr>
          <w:rFonts w:hint="default" w:ascii="Arial" w:hAnsi="Arial" w:cs="Arial"/>
        </w:rPr>
      </w:pPr>
    </w:p>
    <w:p w14:paraId="57B6F7BA">
      <w:pPr>
        <w:pStyle w:val="11"/>
        <w:keepNext w:val="0"/>
        <w:keepLines w:val="0"/>
        <w:widowControl/>
        <w:suppressLineNumbers w:val="0"/>
        <w:jc w:val="both"/>
        <w:rPr>
          <w:rFonts w:hint="default" w:ascii="Arial" w:hAnsi="Arial" w:cs="Arial"/>
        </w:rPr>
      </w:pPr>
      <w:r>
        <w:rPr>
          <w:rFonts w:hint="default" w:ascii="Arial" w:hAnsi="Arial" w:cs="Arial"/>
        </w:rPr>
        <w:t xml:space="preserve">Schreuder, R. and Noorman, S. (2019b) ‘Strategic talent management: Creating strategic value by placing top talents in key positions’, Development and Learning in Organizations, 33(1), pp. 1–4. </w:t>
      </w:r>
    </w:p>
    <w:p w14:paraId="48853436">
      <w:pPr>
        <w:pStyle w:val="11"/>
        <w:keepNext w:val="0"/>
        <w:keepLines w:val="0"/>
        <w:widowControl/>
        <w:suppressLineNumbers w:val="0"/>
        <w:jc w:val="both"/>
        <w:rPr>
          <w:rFonts w:hint="default" w:ascii="Arial" w:hAnsi="Arial" w:cs="Arial"/>
        </w:rPr>
      </w:pPr>
      <w:r>
        <w:rPr>
          <w:rFonts w:hint="default" w:ascii="Arial" w:hAnsi="Arial" w:cs="Arial"/>
        </w:rPr>
        <w:t xml:space="preserve">Shet, S. and Nair, B. (2022) ‘Quality of hire: Expanding the multi-level fit employee selection using machine learning’, International Journal of Organizational Analysis. </w:t>
      </w:r>
    </w:p>
    <w:p w14:paraId="3E87C5E4">
      <w:pPr>
        <w:pStyle w:val="11"/>
        <w:keepNext w:val="0"/>
        <w:keepLines w:val="0"/>
        <w:widowControl/>
        <w:suppressLineNumbers w:val="0"/>
        <w:jc w:val="both"/>
        <w:rPr>
          <w:rFonts w:hint="default" w:ascii="Arial" w:hAnsi="Arial" w:cs="Arial"/>
        </w:rPr>
      </w:pPr>
      <w:r>
        <w:rPr>
          <w:rFonts w:hint="default" w:ascii="Arial" w:hAnsi="Arial" w:cs="Arial"/>
        </w:rPr>
        <w:t>Subramanian, N. and Suresh, M. (2022) ‘Assessment framework for agile HRM practices’, Global Journal of Flexible Systems Management, 23(1), pp. 135–149. https://doi.org/10.1007/s40171-021-00294-6</w:t>
      </w:r>
    </w:p>
    <w:p w14:paraId="4D7BE9F7">
      <w:pPr>
        <w:pStyle w:val="11"/>
        <w:keepNext w:val="0"/>
        <w:keepLines w:val="0"/>
        <w:widowControl/>
        <w:suppressLineNumbers w:val="0"/>
        <w:jc w:val="both"/>
        <w:rPr>
          <w:rFonts w:hint="default" w:ascii="Arial" w:hAnsi="Arial" w:cs="Arial"/>
        </w:rPr>
      </w:pPr>
      <w:r>
        <w:rPr>
          <w:rFonts w:hint="default" w:ascii="Arial" w:hAnsi="Arial" w:cs="Arial"/>
        </w:rPr>
        <w:t>Walford-Wright, G. and Scott-Jackson, W. (2018) ‘Talent rising: People analytics and technology driving talent acquisition strategy’, Strategic HR Review, 17(5), pp. 226–233. https://doi.org/10.1108/SHR-08-2018-0071</w:t>
      </w:r>
    </w:p>
    <w:p w14:paraId="771B0360">
      <w:pPr>
        <w:pStyle w:val="11"/>
        <w:keepNext w:val="0"/>
        <w:keepLines w:val="0"/>
        <w:widowControl/>
        <w:suppressLineNumbers w:val="0"/>
        <w:jc w:val="both"/>
        <w:rPr>
          <w:rFonts w:hint="default" w:ascii="Arial" w:hAnsi="Arial" w:cs="Arial"/>
        </w:rPr>
      </w:pPr>
      <w:r>
        <w:rPr>
          <w:rFonts w:hint="default" w:ascii="Arial" w:hAnsi="Arial" w:cs="Arial"/>
        </w:rPr>
        <w:t xml:space="preserve">Zakrzewska, M., Jarosz, S., Piwowar-Sulej, K. and Sołtysik, M. (2022) ‘Enterprise agility—Its meaning, managerial expectations and barriers to implementation’, Journal of Organizational Change Management, 35(3), pp. 488–510. </w:t>
      </w:r>
    </w:p>
    <w:p w14:paraId="136E288B">
      <w:pPr>
        <w:pStyle w:val="11"/>
        <w:keepNext w:val="0"/>
        <w:keepLines w:val="0"/>
        <w:widowControl/>
        <w:suppressLineNumbers w:val="0"/>
        <w:jc w:val="both"/>
        <w:rPr>
          <w:rFonts w:hint="default" w:ascii="Arial" w:hAnsi="Arial" w:cs="Arial"/>
        </w:rPr>
      </w:pPr>
      <w:r>
        <w:rPr>
          <w:rFonts w:hint="default" w:ascii="Arial" w:hAnsi="Arial" w:cs="Arial"/>
        </w:rPr>
        <w:t>Zavyalova, E., Sokolov, D. and Lisovskaya, A. (2020) ‘Agile vs traditional project management approaches: Comparing human resource management architectures’, International Journal of Organizational Analysis, 28(5), pp. 1095–1112. https://doi.org/10.1108/IJOA-08-2019-1857</w:t>
      </w:r>
    </w:p>
    <w:p w14:paraId="4C9E55DF">
      <w:pPr>
        <w:spacing w:before="120" w:after="120"/>
        <w:jc w:val="both"/>
        <w:rPr>
          <w:rFonts w:hint="default" w:ascii="Arial" w:hAnsi="Arial" w:cs="Arial"/>
        </w:rPr>
      </w:pPr>
    </w:p>
    <w:sectPr>
      <w:pgSz w:w="12240" w:h="15840"/>
      <w:pgMar w:top="1440" w:right="1440" w:bottom="1440" w:left="1440" w:header="720" w:footer="720" w:gutter="0"/>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Microsoft YaHei">
    <w:panose1 w:val="020B0503020204020204"/>
    <w:charset w:val="86"/>
    <w:family w:val="auto"/>
    <w:pitch w:val="default"/>
    <w:sig w:usb0="80000287" w:usb1="2ACF3C50" w:usb2="00000016" w:usb3="00000000" w:csb0="0004001F" w:csb1="00000000"/>
  </w:font>
  <w:font w:name="MS UI Gothic">
    <w:panose1 w:val="020B0600070205080204"/>
    <w:charset w:val="80"/>
    <w:family w:val="auto"/>
    <w:pitch w:val="default"/>
    <w:sig w:usb0="E00002FF" w:usb1="6AC7FDFB" w:usb2="08000012" w:usb3="00000000" w:csb0="4002009F" w:csb1="DFD70000"/>
  </w:font>
  <w:font w:name="Wingdings">
    <w:panose1 w:val="05000000000000000000"/>
    <w:charset w:val="00"/>
    <w:family w:val="auto"/>
    <w:pitch w:val="default"/>
    <w:sig w:usb0="00000000" w:usb1="00000000" w:usb2="00000000" w:usb3="00000000" w:csb0="80000000" w:csb1="00000000"/>
  </w:font>
  <w:font w:name="Arial Black">
    <w:panose1 w:val="020B0A04020102020204"/>
    <w:charset w:val="00"/>
    <w:family w:val="auto"/>
    <w:pitch w:val="default"/>
    <w:sig w:usb0="A00002AF" w:usb1="400078FB" w:usb2="00000000" w:usb3="00000000" w:csb0="6000009F" w:csb1="DFD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3A779FA"/>
    <w:multiLevelType w:val="multilevel"/>
    <w:tmpl w:val="23A779F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3F817746"/>
    <w:multiLevelType w:val="singleLevel"/>
    <w:tmpl w:val="3F817746"/>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7CE82B59"/>
    <w:multiLevelType w:val="multilevel"/>
    <w:tmpl w:val="7CE82B59"/>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6A69"/>
    <w:rsid w:val="00187175"/>
    <w:rsid w:val="0035121D"/>
    <w:rsid w:val="003563AA"/>
    <w:rsid w:val="0040029D"/>
    <w:rsid w:val="00472AEA"/>
    <w:rsid w:val="005600BC"/>
    <w:rsid w:val="00631FD7"/>
    <w:rsid w:val="0067252B"/>
    <w:rsid w:val="007E45D3"/>
    <w:rsid w:val="00900563"/>
    <w:rsid w:val="00B378E1"/>
    <w:rsid w:val="00D35B98"/>
    <w:rsid w:val="00DA3E02"/>
    <w:rsid w:val="00DE339B"/>
    <w:rsid w:val="00F76A69"/>
    <w:rsid w:val="157250C1"/>
    <w:rsid w:val="38702BA7"/>
    <w:rsid w:val="7E25343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nhideWhenUsed="0" w:uiPriority="9" w:semiHidden="0" w:name="heading 4"/>
    <w:lsdException w:qFormat="1" w:unhideWhenUsed="0" w:uiPriority="9" w:semiHidden="0" w:name="heading 5"/>
    <w:lsdException w:qFormat="1" w:unhideWhenUsed="0" w:uiPriority="9"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US" w:eastAsia="en-US" w:bidi="ar-SA"/>
    </w:rPr>
  </w:style>
  <w:style w:type="paragraph" w:styleId="2">
    <w:name w:val="heading 1"/>
    <w:basedOn w:val="1"/>
    <w:next w:val="1"/>
    <w:link w:val="12"/>
    <w:qFormat/>
    <w:uiPriority w:val="9"/>
    <w:pPr>
      <w:keepNext/>
      <w:keepLines/>
      <w:spacing w:before="240"/>
      <w:outlineLvl w:val="0"/>
    </w:pPr>
    <w:rPr>
      <w:b/>
      <w:bCs/>
      <w:color w:val="2F5496"/>
      <w:kern w:val="36"/>
      <w:sz w:val="48"/>
      <w:szCs w:val="48"/>
    </w:rPr>
  </w:style>
  <w:style w:type="paragraph" w:styleId="3">
    <w:name w:val="heading 2"/>
    <w:basedOn w:val="1"/>
    <w:next w:val="1"/>
    <w:link w:val="13"/>
    <w:qFormat/>
    <w:uiPriority w:val="9"/>
    <w:pPr>
      <w:keepNext/>
      <w:keepLines/>
      <w:spacing w:before="40"/>
      <w:outlineLvl w:val="1"/>
    </w:pPr>
    <w:rPr>
      <w:b/>
      <w:bCs/>
      <w:color w:val="2F5496"/>
      <w:sz w:val="36"/>
      <w:szCs w:val="36"/>
    </w:rPr>
  </w:style>
  <w:style w:type="paragraph" w:styleId="4">
    <w:name w:val="heading 3"/>
    <w:basedOn w:val="1"/>
    <w:next w:val="1"/>
    <w:link w:val="14"/>
    <w:qFormat/>
    <w:uiPriority w:val="9"/>
    <w:pPr>
      <w:keepNext/>
      <w:keepLines/>
      <w:spacing w:before="40"/>
      <w:outlineLvl w:val="2"/>
    </w:pPr>
    <w:rPr>
      <w:b/>
      <w:bCs/>
      <w:color w:val="1F3763"/>
      <w:sz w:val="28"/>
      <w:szCs w:val="28"/>
    </w:rPr>
  </w:style>
  <w:style w:type="paragraph" w:styleId="5">
    <w:name w:val="heading 4"/>
    <w:basedOn w:val="1"/>
    <w:next w:val="1"/>
    <w:link w:val="15"/>
    <w:qFormat/>
    <w:uiPriority w:val="9"/>
    <w:pPr>
      <w:keepNext/>
      <w:keepLines/>
      <w:spacing w:before="40"/>
      <w:outlineLvl w:val="3"/>
    </w:pPr>
    <w:rPr>
      <w:b/>
      <w:bCs/>
      <w:iCs/>
      <w:color w:val="2F5496"/>
    </w:rPr>
  </w:style>
  <w:style w:type="paragraph" w:styleId="6">
    <w:name w:val="heading 5"/>
    <w:basedOn w:val="1"/>
    <w:next w:val="1"/>
    <w:link w:val="16"/>
    <w:qFormat/>
    <w:uiPriority w:val="9"/>
    <w:pPr>
      <w:keepNext/>
      <w:keepLines/>
      <w:spacing w:before="40"/>
      <w:outlineLvl w:val="4"/>
    </w:pPr>
    <w:rPr>
      <w:b/>
      <w:bCs/>
      <w:color w:val="2F5496"/>
      <w:sz w:val="20"/>
      <w:szCs w:val="20"/>
    </w:rPr>
  </w:style>
  <w:style w:type="paragraph" w:styleId="7">
    <w:name w:val="heading 6"/>
    <w:basedOn w:val="1"/>
    <w:next w:val="1"/>
    <w:link w:val="17"/>
    <w:qFormat/>
    <w:uiPriority w:val="9"/>
    <w:pPr>
      <w:keepNext/>
      <w:keepLines/>
      <w:spacing w:before="40"/>
      <w:outlineLvl w:val="5"/>
    </w:pPr>
    <w:rPr>
      <w:b/>
      <w:bCs/>
      <w:color w:val="1F3763"/>
      <w:sz w:val="16"/>
      <w:szCs w:val="16"/>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character" w:styleId="10">
    <w:name w:val="Hyperlink"/>
    <w:basedOn w:val="8"/>
    <w:semiHidden/>
    <w:unhideWhenUsed/>
    <w:uiPriority w:val="99"/>
    <w:rPr>
      <w:color w:val="0000FF"/>
      <w:u w:val="single"/>
    </w:rPr>
  </w:style>
  <w:style w:type="paragraph" w:styleId="11">
    <w:name w:val="Normal (Web)"/>
    <w:semiHidden/>
    <w:unhideWhenUsed/>
    <w:uiPriority w:val="99"/>
    <w:pPr>
      <w:spacing w:before="0" w:beforeAutospacing="1" w:after="0" w:afterAutospacing="1"/>
      <w:ind w:left="0" w:right="0"/>
      <w:jc w:val="left"/>
    </w:pPr>
    <w:rPr>
      <w:kern w:val="0"/>
      <w:sz w:val="24"/>
      <w:szCs w:val="24"/>
      <w:lang w:val="en-US" w:eastAsia="zh-CN" w:bidi="ar"/>
    </w:rPr>
  </w:style>
  <w:style w:type="character" w:customStyle="1" w:styleId="12">
    <w:name w:val="Heading 1 Char"/>
    <w:basedOn w:val="8"/>
    <w:link w:val="2"/>
    <w:uiPriority w:val="9"/>
    <w:rPr>
      <w:rFonts w:ascii="Calibri Light" w:hAnsi="Calibri Light" w:eastAsia="Times New Roman" w:cs="Times New Roman"/>
      <w:color w:val="2F5496"/>
      <w:sz w:val="32"/>
      <w:szCs w:val="32"/>
    </w:rPr>
  </w:style>
  <w:style w:type="character" w:customStyle="1" w:styleId="13">
    <w:name w:val="Heading 2 Char"/>
    <w:basedOn w:val="8"/>
    <w:link w:val="3"/>
    <w:uiPriority w:val="9"/>
    <w:rPr>
      <w:rFonts w:ascii="Calibri Light" w:hAnsi="Calibri Light" w:eastAsia="Times New Roman" w:cs="Times New Roman"/>
      <w:color w:val="2F5496"/>
      <w:sz w:val="26"/>
      <w:szCs w:val="26"/>
    </w:rPr>
  </w:style>
  <w:style w:type="character" w:customStyle="1" w:styleId="14">
    <w:name w:val="Heading 3 Char"/>
    <w:basedOn w:val="8"/>
    <w:link w:val="4"/>
    <w:uiPriority w:val="9"/>
    <w:rPr>
      <w:rFonts w:ascii="Calibri Light" w:hAnsi="Calibri Light" w:eastAsia="Times New Roman" w:cs="Times New Roman"/>
      <w:color w:val="1F3763"/>
      <w:sz w:val="24"/>
      <w:szCs w:val="24"/>
    </w:rPr>
  </w:style>
  <w:style w:type="character" w:customStyle="1" w:styleId="15">
    <w:name w:val="Heading 4 Char"/>
    <w:basedOn w:val="8"/>
    <w:link w:val="5"/>
    <w:uiPriority w:val="9"/>
    <w:rPr>
      <w:rFonts w:ascii="Calibri Light" w:hAnsi="Calibri Light" w:eastAsia="Times New Roman" w:cs="Times New Roman"/>
      <w:i/>
      <w:iCs/>
      <w:color w:val="2F5496"/>
    </w:rPr>
  </w:style>
  <w:style w:type="character" w:customStyle="1" w:styleId="16">
    <w:name w:val="Heading 5 Char"/>
    <w:basedOn w:val="8"/>
    <w:link w:val="6"/>
    <w:uiPriority w:val="9"/>
    <w:rPr>
      <w:rFonts w:ascii="Calibri Light" w:hAnsi="Calibri Light" w:eastAsia="Times New Roman" w:cs="Times New Roman"/>
      <w:color w:val="2F5496"/>
    </w:rPr>
  </w:style>
  <w:style w:type="character" w:customStyle="1" w:styleId="17">
    <w:name w:val="Heading 6 Char"/>
    <w:basedOn w:val="8"/>
    <w:link w:val="7"/>
    <w:uiPriority w:val="9"/>
    <w:rPr>
      <w:rFonts w:ascii="Calibri Light" w:hAnsi="Calibri Light" w:eastAsia="Times New Roman" w:cs="Times New Roman"/>
      <w:color w:val="1F3763"/>
    </w:rPr>
  </w:style>
  <w:style w:type="paragraph" w:styleId="18">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13</Pages>
  <Words>3658</Words>
  <Characters>20854</Characters>
  <Lines>173</Lines>
  <Paragraphs>48</Paragraphs>
  <TotalTime>54</TotalTime>
  <ScaleCrop>false</ScaleCrop>
  <LinksUpToDate>false</LinksUpToDate>
  <CharactersWithSpaces>24464</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2026-03-15T14:58:00Z</dcterms:created>
  <dc:creator>hp</dc:creator>
  <cp:lastModifiedBy>hp</cp:lastModifiedBy>
  <dcterms:modified xsi:type="dcterms:W3CDTF">2026-03-16T22:00:50Z</dcterms:modified>
  <dc:title>ARPIT%20VERMA%20REPORT%20(1)%20(1)</dc:title>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6418d103-3534-4d47-9950-636551722ae5</vt:lpwstr>
  </property>
  <property fmtid="{D5CDD505-2E9C-101B-9397-08002B2CF9AE}" pid="3" name="KSOProductBuildVer">
    <vt:lpwstr>1033-12.2.0.23196</vt:lpwstr>
  </property>
  <property fmtid="{D5CDD505-2E9C-101B-9397-08002B2CF9AE}" pid="4" name="ICV">
    <vt:lpwstr>2B4829CD48C34797944C490CAF3AC620_12</vt:lpwstr>
  </property>
</Properties>
</file>