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3C145" w14:textId="77777777" w:rsidR="00405382" w:rsidRPr="00405382" w:rsidRDefault="00405382" w:rsidP="00405382">
      <w:pPr>
        <w:spacing w:after="0" w:line="240" w:lineRule="auto"/>
        <w:ind w:left="720"/>
        <w:rPr>
          <w:rFonts w:ascii="Arial" w:eastAsia="Arial" w:hAnsi="Arial" w:cs="Arial"/>
          <w:b/>
          <w:sz w:val="24"/>
          <w:szCs w:val="24"/>
          <w:lang w:eastAsia="zh-CN"/>
        </w:rPr>
      </w:pPr>
      <w:r w:rsidRPr="00405382">
        <w:rPr>
          <w:rFonts w:ascii="Arial" w:eastAsia="Arial" w:hAnsi="Arial" w:cs="Arial"/>
          <w:b/>
          <w:sz w:val="24"/>
          <w:szCs w:val="24"/>
          <w:lang w:eastAsia="zh-CN"/>
        </w:rPr>
        <w:t xml:space="preserve">Christine had recently turned 40 and her husband had arranged a surprise birthday party for her at their home. On the night of the party, Christine was very keen to show her guests the expensive gifts she had been given for her birthday, one being a designer handbag. One of Christine's friends, Paula had always been extremely jealous of the lavish gifts that Christine’s husband bought her and when no one was looking, she put the handbag inside her coat and took it outside. When Paula heard someone coming, she placed the handbag underneath her car with the intention of putting it into her car when the party had finished. </w:t>
      </w:r>
    </w:p>
    <w:p w14:paraId="48AA30E8" w14:textId="77777777" w:rsidR="00405382" w:rsidRPr="00405382" w:rsidRDefault="00405382" w:rsidP="00405382">
      <w:pPr>
        <w:spacing w:after="0" w:line="240" w:lineRule="auto"/>
        <w:ind w:left="720"/>
        <w:rPr>
          <w:rFonts w:ascii="Arial" w:eastAsia="Arial" w:hAnsi="Arial" w:cs="Arial"/>
          <w:b/>
          <w:sz w:val="24"/>
          <w:szCs w:val="24"/>
          <w:lang w:eastAsia="zh-CN"/>
        </w:rPr>
      </w:pPr>
      <w:r w:rsidRPr="00405382">
        <w:rPr>
          <w:rFonts w:ascii="Arial" w:eastAsia="Arial" w:hAnsi="Arial" w:cs="Arial"/>
          <w:b/>
          <w:sz w:val="24"/>
          <w:szCs w:val="24"/>
          <w:lang w:eastAsia="zh-CN"/>
        </w:rPr>
        <w:t xml:space="preserve">Also at the party were Leon and Harriet who had been recently introduced to one another. Harriet didn't drink alcohol </w:t>
      </w:r>
      <w:proofErr w:type="gramStart"/>
      <w:r w:rsidRPr="00405382">
        <w:rPr>
          <w:rFonts w:ascii="Arial" w:eastAsia="Arial" w:hAnsi="Arial" w:cs="Arial"/>
          <w:b/>
          <w:sz w:val="24"/>
          <w:szCs w:val="24"/>
          <w:lang w:eastAsia="zh-CN"/>
        </w:rPr>
        <w:t>due to the fact that</w:t>
      </w:r>
      <w:proofErr w:type="gramEnd"/>
      <w:r w:rsidRPr="00405382">
        <w:rPr>
          <w:rFonts w:ascii="Arial" w:eastAsia="Arial" w:hAnsi="Arial" w:cs="Arial"/>
          <w:b/>
          <w:sz w:val="24"/>
          <w:szCs w:val="24"/>
          <w:lang w:eastAsia="zh-CN"/>
        </w:rPr>
        <w:t xml:space="preserve"> she was allergic to it. When Harriet had popped to the toilet, Leon spiked Harriet's drink with vodka. When Harriet returned and drank the drink she began suffering from hallucinations. Harriet thought that fire was engulfing the house </w:t>
      </w:r>
      <w:proofErr w:type="gramStart"/>
      <w:r w:rsidRPr="00405382">
        <w:rPr>
          <w:rFonts w:ascii="Arial" w:eastAsia="Arial" w:hAnsi="Arial" w:cs="Arial"/>
          <w:b/>
          <w:sz w:val="24"/>
          <w:szCs w:val="24"/>
          <w:lang w:eastAsia="zh-CN"/>
        </w:rPr>
        <w:t>and in an attempt</w:t>
      </w:r>
      <w:proofErr w:type="gramEnd"/>
      <w:r w:rsidRPr="00405382">
        <w:rPr>
          <w:rFonts w:ascii="Arial" w:eastAsia="Arial" w:hAnsi="Arial" w:cs="Arial"/>
          <w:b/>
          <w:sz w:val="24"/>
          <w:szCs w:val="24"/>
          <w:lang w:eastAsia="zh-CN"/>
        </w:rPr>
        <w:t xml:space="preserve"> to get out, she began smashing the large panes of glass in the bi-fold doors of Christine's kitchen. She also hit one of the other guests (Daniel) in the face, causing a broken cheek bone. Christine and her husband managed to calm Harriet </w:t>
      </w:r>
      <w:proofErr w:type="gramStart"/>
      <w:r w:rsidRPr="00405382">
        <w:rPr>
          <w:rFonts w:ascii="Arial" w:eastAsia="Arial" w:hAnsi="Arial" w:cs="Arial"/>
          <w:b/>
          <w:sz w:val="24"/>
          <w:szCs w:val="24"/>
          <w:lang w:eastAsia="zh-CN"/>
        </w:rPr>
        <w:t>down, and</w:t>
      </w:r>
      <w:proofErr w:type="gramEnd"/>
      <w:r w:rsidRPr="00405382">
        <w:rPr>
          <w:rFonts w:ascii="Arial" w:eastAsia="Arial" w:hAnsi="Arial" w:cs="Arial"/>
          <w:b/>
          <w:sz w:val="24"/>
          <w:szCs w:val="24"/>
          <w:lang w:eastAsia="zh-CN"/>
        </w:rPr>
        <w:t xml:space="preserve"> asked everyone to leave. </w:t>
      </w:r>
    </w:p>
    <w:p w14:paraId="44232101" w14:textId="77777777" w:rsidR="00405382" w:rsidRPr="00405382" w:rsidRDefault="00405382" w:rsidP="00405382">
      <w:pPr>
        <w:spacing w:after="0" w:line="240" w:lineRule="auto"/>
        <w:ind w:left="720"/>
        <w:rPr>
          <w:rFonts w:ascii="Arial" w:eastAsia="Arial" w:hAnsi="Arial" w:cs="Arial"/>
          <w:b/>
          <w:sz w:val="24"/>
          <w:szCs w:val="24"/>
          <w:lang w:eastAsia="zh-CN"/>
        </w:rPr>
      </w:pPr>
      <w:r w:rsidRPr="00405382">
        <w:rPr>
          <w:rFonts w:ascii="Arial" w:eastAsia="Arial" w:hAnsi="Arial" w:cs="Arial"/>
          <w:b/>
          <w:sz w:val="24"/>
          <w:szCs w:val="24"/>
          <w:lang w:eastAsia="zh-CN"/>
        </w:rPr>
        <w:t xml:space="preserve">Upon leaving, Paula picked up the designer handbag from underneath her car, placed it in the foot well and drove home. </w:t>
      </w:r>
    </w:p>
    <w:p w14:paraId="12B5EC59" w14:textId="77777777" w:rsidR="00405382" w:rsidRPr="00405382" w:rsidRDefault="00405382" w:rsidP="00405382">
      <w:pPr>
        <w:spacing w:after="0" w:line="240" w:lineRule="auto"/>
        <w:ind w:left="720"/>
        <w:rPr>
          <w:rFonts w:ascii="Arial" w:eastAsia="Arial" w:hAnsi="Arial" w:cs="Arial"/>
          <w:b/>
          <w:sz w:val="24"/>
          <w:szCs w:val="24"/>
          <w:lang w:eastAsia="zh-CN"/>
        </w:rPr>
      </w:pPr>
    </w:p>
    <w:p w14:paraId="6838C2A9" w14:textId="77777777" w:rsidR="00405382" w:rsidRPr="00405382" w:rsidRDefault="00405382" w:rsidP="00405382">
      <w:pPr>
        <w:spacing w:after="0" w:line="240" w:lineRule="auto"/>
        <w:ind w:left="720"/>
        <w:rPr>
          <w:rFonts w:ascii="Arial" w:eastAsia="Arial" w:hAnsi="Arial" w:cs="Arial"/>
          <w:bCs/>
          <w:sz w:val="24"/>
          <w:szCs w:val="24"/>
          <w:u w:val="single"/>
          <w:lang w:eastAsia="zh-CN"/>
        </w:rPr>
      </w:pPr>
      <w:r w:rsidRPr="00405382">
        <w:rPr>
          <w:rFonts w:ascii="Arial" w:eastAsia="Arial" w:hAnsi="Arial" w:cs="Arial"/>
          <w:bCs/>
          <w:sz w:val="24"/>
          <w:szCs w:val="24"/>
          <w:u w:val="single"/>
          <w:lang w:eastAsia="zh-CN"/>
        </w:rPr>
        <w:t xml:space="preserve">Advise Paula and Harriet of their potential criminal liability, along with any defences that may apply. </w:t>
      </w:r>
    </w:p>
    <w:p w14:paraId="75FE6001" w14:textId="255F2E04" w:rsidR="000E335E" w:rsidRDefault="000E335E"/>
    <w:p w14:paraId="4F7518A9" w14:textId="7CCB97F5" w:rsidR="00405382" w:rsidRDefault="00933D1B">
      <w:r>
        <w:t>Both Paula and Harriet face a strong possibility of criminal charges following the events that took place at Christine’s party. Paula faces a charge of theft, whereas Harriet faces a charge of both criminal damage and grievous bodily harm.</w:t>
      </w:r>
      <w:r w:rsidR="00D238FF">
        <w:t xml:space="preserve"> </w:t>
      </w:r>
    </w:p>
    <w:p w14:paraId="299185B2" w14:textId="4EC2C286" w:rsidR="008D646A" w:rsidRDefault="008D646A"/>
    <w:p w14:paraId="20AD65C0" w14:textId="77EF0C49" w:rsidR="008D646A" w:rsidRDefault="008D646A">
      <w:r>
        <w:t xml:space="preserve">The current law in England and Wales regarding theft is </w:t>
      </w:r>
      <w:r w:rsidR="004B4F20">
        <w:t>laid out</w:t>
      </w:r>
      <w:r>
        <w:t xml:space="preserve"> in section 1 (1) of the Theft Act 1968. </w:t>
      </w:r>
      <w:r w:rsidR="004B4F20">
        <w:t>The actus reus for theft is defined as “</w:t>
      </w:r>
      <w:r w:rsidR="004B4F20" w:rsidRPr="004B4F20">
        <w:t>A person is guilty of theft if he dishonestly appropriates property belonging to another</w:t>
      </w:r>
      <w:r w:rsidR="004B4F20">
        <w:t xml:space="preserve">”, the </w:t>
      </w:r>
      <w:proofErr w:type="spellStart"/>
      <w:r w:rsidR="004B4F20">
        <w:t>mens</w:t>
      </w:r>
      <w:proofErr w:type="spellEnd"/>
      <w:r w:rsidR="004B4F20">
        <w:t xml:space="preserve"> rea is defined as “</w:t>
      </w:r>
      <w:r w:rsidR="004B4F20" w:rsidRPr="004B4F20">
        <w:t>with the intention of permanently depriving the other of it</w:t>
      </w:r>
      <w:r w:rsidR="004B4F20">
        <w:t>” (</w:t>
      </w:r>
      <w:r w:rsidR="004B4F20" w:rsidRPr="004B4F20">
        <w:rPr>
          <w:i/>
          <w:iCs/>
        </w:rPr>
        <w:t>Theft Act 1968</w:t>
      </w:r>
      <w:r w:rsidR="004B4F20">
        <w:t xml:space="preserve">). There are </w:t>
      </w:r>
      <w:proofErr w:type="gramStart"/>
      <w:r w:rsidR="004B4F20">
        <w:t>a number of</w:t>
      </w:r>
      <w:proofErr w:type="gramEnd"/>
      <w:r w:rsidR="004B4F20">
        <w:t xml:space="preserve"> precedents and tests </w:t>
      </w:r>
      <w:r w:rsidR="00605CF6">
        <w:t xml:space="preserve">to conclude if the actus reus and </w:t>
      </w:r>
      <w:proofErr w:type="spellStart"/>
      <w:r w:rsidR="00605CF6">
        <w:t>mens</w:t>
      </w:r>
      <w:proofErr w:type="spellEnd"/>
      <w:r w:rsidR="00605CF6">
        <w:t xml:space="preserve"> rea have been met laid out through case law.</w:t>
      </w:r>
    </w:p>
    <w:p w14:paraId="28B737E5" w14:textId="17E80AE9" w:rsidR="00605CF6" w:rsidRDefault="00605CF6"/>
    <w:p w14:paraId="6856E1A0" w14:textId="7196A731" w:rsidR="005E3A46" w:rsidRDefault="00605CF6">
      <w:r>
        <w:t xml:space="preserve">Firstly, the test for dishonesty is an ‘objective test’. </w:t>
      </w:r>
      <w:r w:rsidR="005E06C6">
        <w:t>This is where the defendant is held accountable according to the standards of what an ordinary person would define as ‘dishonesty’, regardless of what the defendant would deem dishonest. (McEvoy, 2017).</w:t>
      </w:r>
      <w:r>
        <w:t xml:space="preserve"> </w:t>
      </w:r>
      <w:r w:rsidR="006F383E">
        <w:t>The precedent for the use of the objective test alone is Ivey v Genting Casinos</w:t>
      </w:r>
      <w:r w:rsidR="004C3BE3">
        <w:t xml:space="preserve"> (2017)</w:t>
      </w:r>
      <w:r w:rsidR="006F383E">
        <w:t xml:space="preserve"> [UKSC 67]. </w:t>
      </w:r>
      <w:r w:rsidR="005E06C6">
        <w:t xml:space="preserve">From the facts of the </w:t>
      </w:r>
      <w:proofErr w:type="gramStart"/>
      <w:r w:rsidR="005E06C6">
        <w:t>case</w:t>
      </w:r>
      <w:proofErr w:type="gramEnd"/>
      <w:r w:rsidR="005E06C6">
        <w:t xml:space="preserve"> it is shown that Paula has clearly acted in a way that would be deemed dishonest by the vast majority of </w:t>
      </w:r>
      <w:r w:rsidR="009A201E">
        <w:t xml:space="preserve">people; Paula made sure that nobody was able to see her when she initially appropriated the handbag and then hid the handbag </w:t>
      </w:r>
      <w:r w:rsidR="00C01E12">
        <w:t xml:space="preserve">underneath her car when she feared that she may be caught with the item. Following the end of the party, Paula made no attempt to return the bag to Christine and brought it to her home. This would </w:t>
      </w:r>
      <w:r w:rsidR="00693E14">
        <w:t xml:space="preserve">certainly </w:t>
      </w:r>
      <w:r w:rsidR="00C01E12">
        <w:t>constitute dishonesty by the stand</w:t>
      </w:r>
      <w:r w:rsidR="00C37669">
        <w:t>ard</w:t>
      </w:r>
      <w:r w:rsidR="00C01E12">
        <w:t>s of most people</w:t>
      </w:r>
      <w:r w:rsidR="006F383E">
        <w:t>.</w:t>
      </w:r>
    </w:p>
    <w:p w14:paraId="345E8F06" w14:textId="77777777" w:rsidR="005E3A46" w:rsidRDefault="005E3A46"/>
    <w:p w14:paraId="3BF74165" w14:textId="1D173EC6" w:rsidR="00605CF6" w:rsidRDefault="005E3A46">
      <w:r>
        <w:lastRenderedPageBreak/>
        <w:t xml:space="preserve">Secondly, the case of </w:t>
      </w:r>
      <w:r w:rsidR="00981FEF">
        <w:t>R v Morris</w:t>
      </w:r>
      <w:r w:rsidR="004C3BE3">
        <w:t xml:space="preserve"> (1983)</w:t>
      </w:r>
      <w:r w:rsidR="00981FEF">
        <w:t xml:space="preserve"> [</w:t>
      </w:r>
      <w:r w:rsidR="00981FEF" w:rsidRPr="00981FEF">
        <w:t>3 WLR 697</w:t>
      </w:r>
      <w:r w:rsidR="00981FEF">
        <w:t>] sets the precedent for the definition of what constitutes ‘appropriation’ of property.</w:t>
      </w:r>
      <w:r w:rsidR="0002110F">
        <w:t xml:space="preserve"> The House of Lords concluded that assumption of at least some of the rights of ownership of a property constitutes appropriation. </w:t>
      </w:r>
      <w:r w:rsidR="004540ED">
        <w:t>This ruling was also reaffirmed in the case of DPP v Gomez</w:t>
      </w:r>
      <w:r w:rsidR="004C3BE3">
        <w:t xml:space="preserve"> (1993)</w:t>
      </w:r>
      <w:r w:rsidR="004540ED">
        <w:t xml:space="preserve"> [</w:t>
      </w:r>
      <w:r w:rsidR="004540ED" w:rsidRPr="004540ED">
        <w:t>AC 442</w:t>
      </w:r>
      <w:r w:rsidR="004540ED">
        <w:t>].</w:t>
      </w:r>
      <w:r w:rsidR="007352B7">
        <w:t xml:space="preserve"> The</w:t>
      </w:r>
      <w:r w:rsidR="00B21E3D">
        <w:t xml:space="preserve"> official</w:t>
      </w:r>
      <w:r w:rsidR="007352B7">
        <w:t xml:space="preserve"> definition for the appropriation </w:t>
      </w:r>
      <w:r w:rsidR="00B21E3D">
        <w:t xml:space="preserve">of property </w:t>
      </w:r>
      <w:proofErr w:type="gramStart"/>
      <w:r w:rsidR="00B21E3D">
        <w:t>is;</w:t>
      </w:r>
      <w:proofErr w:type="gramEnd"/>
      <w:r w:rsidR="00B21E3D">
        <w:t xml:space="preserve"> “</w:t>
      </w:r>
      <w:r w:rsidR="00B21E3D" w:rsidRPr="00B21E3D">
        <w:t>Any assumption by a person of the rights of an owner amounts to an appropriation, and this includes, where he has come by the property (innocently or not) without stealing it, any later assumption of a right to it by keeping or dealing with it as owner.</w:t>
      </w:r>
      <w:r w:rsidR="00B21E3D">
        <w:t xml:space="preserve">” (Section 3 (1), </w:t>
      </w:r>
      <w:r w:rsidR="00B21E3D">
        <w:rPr>
          <w:i/>
          <w:iCs/>
        </w:rPr>
        <w:t>Theft Act 1968</w:t>
      </w:r>
      <w:r w:rsidR="00B21E3D">
        <w:t xml:space="preserve">). </w:t>
      </w:r>
      <w:r w:rsidR="00DA5589">
        <w:t xml:space="preserve">It is shown from the facts of the case that Paula did in fact assume at least some of the rights of ownership over the item. During the party, Paula moves the handbag from Christine’s house to the underneath of her car, showing that she had assumed the right to move the property. Following the party, Paula takes the handbag back to her home, so it can be assumed that she has assumed the full rights of ownership as she had kept </w:t>
      </w:r>
      <w:r w:rsidR="00B4114D">
        <w:t>the item as its owner, as described by the Theft Act 1968.</w:t>
      </w:r>
    </w:p>
    <w:p w14:paraId="1FB13590" w14:textId="6C60991F" w:rsidR="00EB08A0" w:rsidRDefault="00EB08A0"/>
    <w:p w14:paraId="50DF22DC" w14:textId="2E6B449C" w:rsidR="00EB08A0" w:rsidRDefault="00EB08A0">
      <w:r>
        <w:t>From these two precedents, we can see in the case of Paula, the requirements for the actus reus for theft have been met.</w:t>
      </w:r>
    </w:p>
    <w:p w14:paraId="6433E4D8" w14:textId="35DF30F3" w:rsidR="00EB08A0" w:rsidRDefault="00EB08A0"/>
    <w:p w14:paraId="4E65A521" w14:textId="219EC8EA" w:rsidR="00EB08A0" w:rsidRDefault="00EB08A0">
      <w:r>
        <w:t xml:space="preserve">Lastly, from </w:t>
      </w:r>
      <w:r w:rsidR="00234225">
        <w:t xml:space="preserve">looking at the facts of the case, it can also be concluded that the requirements for the </w:t>
      </w:r>
      <w:proofErr w:type="spellStart"/>
      <w:r w:rsidR="00234225">
        <w:t>mens</w:t>
      </w:r>
      <w:proofErr w:type="spellEnd"/>
      <w:r w:rsidR="00234225">
        <w:t xml:space="preserve"> rea of theft have been met. Section 6 (1) of the Theft Act 1968 states; “</w:t>
      </w:r>
      <w:r w:rsidR="00234225" w:rsidRPr="00234225">
        <w:t>A person appropriating property belonging to another without meaning the other permanently to lose the thing itself is nevertheless to be regarded as having the intention of permanently depriving the other of it if his intention is to treat the thing as his own</w:t>
      </w:r>
      <w:r w:rsidR="00234225">
        <w:t>”</w:t>
      </w:r>
      <w:r w:rsidR="003E083D">
        <w:t xml:space="preserve"> (</w:t>
      </w:r>
      <w:r w:rsidR="003E083D">
        <w:rPr>
          <w:i/>
          <w:iCs/>
        </w:rPr>
        <w:t>Theft Act 1968</w:t>
      </w:r>
      <w:r w:rsidR="003E083D">
        <w:t>)</w:t>
      </w:r>
      <w:r w:rsidR="00234225">
        <w:t xml:space="preserve">. </w:t>
      </w:r>
      <w:r w:rsidR="003E083D">
        <w:t xml:space="preserve">Paula has in fact intended to treat the handbag as her own, as a result of this </w:t>
      </w:r>
      <w:r w:rsidR="006F4C37">
        <w:t>she cannot argue</w:t>
      </w:r>
      <w:r w:rsidR="003E083D">
        <w:t xml:space="preserve"> that she did not intend to permanently deprive Christine or her husband of the property.</w:t>
      </w:r>
    </w:p>
    <w:p w14:paraId="638E81D6" w14:textId="6D17DDDC" w:rsidR="00F3586A" w:rsidRDefault="00F3586A"/>
    <w:p w14:paraId="47A72912" w14:textId="683ADA8F" w:rsidR="00F3586A" w:rsidRDefault="008E5604">
      <w:r>
        <w:t xml:space="preserve">In conclusion, Paula is </w:t>
      </w:r>
      <w:r w:rsidR="00BE17D7">
        <w:t xml:space="preserve">almost certainly </w:t>
      </w:r>
      <w:r>
        <w:t xml:space="preserve">liable for theft as both actus reus and </w:t>
      </w:r>
      <w:proofErr w:type="spellStart"/>
      <w:r>
        <w:t>mens</w:t>
      </w:r>
      <w:proofErr w:type="spellEnd"/>
      <w:r>
        <w:t xml:space="preserve"> rea for the offence have been met</w:t>
      </w:r>
      <w:r w:rsidR="00BE17D7">
        <w:t>.</w:t>
      </w:r>
      <w:r>
        <w:t xml:space="preserve"> </w:t>
      </w:r>
      <w:r w:rsidR="00BE17D7">
        <w:t xml:space="preserve">In addition to this, Paula has no credible defence she could argue as she was fully aware that her actions were dishonest and did not return the handbag to Christine nor her husband. </w:t>
      </w:r>
    </w:p>
    <w:p w14:paraId="4022CA1B" w14:textId="11B04434" w:rsidR="00B4114D" w:rsidRDefault="00B4114D"/>
    <w:p w14:paraId="323542ED" w14:textId="755D1E8E" w:rsidR="00B4114D" w:rsidRDefault="00DF387F">
      <w:r>
        <w:t>The current law for Criminal Damage is enforced in England and Wales via the Criminal Damage Act 1971; section 1 (1) states; “</w:t>
      </w:r>
      <w:r w:rsidRPr="00DF387F">
        <w:t>A person who without lawful excuse destroys or damages any property belonging to another</w:t>
      </w:r>
      <w:r>
        <w:t>”</w:t>
      </w:r>
      <w:r w:rsidR="00084B63">
        <w:t xml:space="preserve"> (</w:t>
      </w:r>
      <w:r w:rsidR="00084B63">
        <w:rPr>
          <w:i/>
          <w:iCs/>
        </w:rPr>
        <w:t>Criminal Damage Act 1971</w:t>
      </w:r>
      <w:r w:rsidR="00084B63">
        <w:t>)</w:t>
      </w:r>
      <w:r>
        <w:t xml:space="preserve">, this is the actus reus of the offence. </w:t>
      </w:r>
      <w:r w:rsidR="00084B63">
        <w:t xml:space="preserve">The </w:t>
      </w:r>
      <w:proofErr w:type="spellStart"/>
      <w:r w:rsidR="00084B63">
        <w:t>mens</w:t>
      </w:r>
      <w:proofErr w:type="spellEnd"/>
      <w:r w:rsidR="00084B63">
        <w:t xml:space="preserve"> rea is defined as;</w:t>
      </w:r>
      <w:r w:rsidRPr="00DF387F">
        <w:t xml:space="preserve"> </w:t>
      </w:r>
      <w:r>
        <w:t>“</w:t>
      </w:r>
      <w:r w:rsidRPr="00DF387F">
        <w:t>intending to destroy or damage any such property or being reckless as to whether any such property would be destroyed or damaged shall be guilty of an offence</w:t>
      </w:r>
      <w:r>
        <w:t>” (</w:t>
      </w:r>
      <w:r>
        <w:rPr>
          <w:i/>
          <w:iCs/>
        </w:rPr>
        <w:t>Criminal Damage Act 1971</w:t>
      </w:r>
      <w:r>
        <w:t xml:space="preserve">). </w:t>
      </w:r>
      <w:r w:rsidR="00E2568B">
        <w:t xml:space="preserve">It is possible to conclude if Harriet’s actions have constituted criminal damage by judging her case according to the application of the </w:t>
      </w:r>
      <w:proofErr w:type="spellStart"/>
      <w:r w:rsidR="00E2568B">
        <w:t>mens</w:t>
      </w:r>
      <w:proofErr w:type="spellEnd"/>
      <w:r w:rsidR="00E2568B">
        <w:t xml:space="preserve"> rea and actus reus in case law.</w:t>
      </w:r>
    </w:p>
    <w:p w14:paraId="106A2420" w14:textId="2898B2C8" w:rsidR="00E2568B" w:rsidRDefault="00E2568B"/>
    <w:p w14:paraId="2C6C7E50" w14:textId="39768A85" w:rsidR="006D77A6" w:rsidRDefault="000C7643">
      <w:r>
        <w:t xml:space="preserve">Firstly, in the case of </w:t>
      </w:r>
      <w:proofErr w:type="spellStart"/>
      <w:r>
        <w:t>Gayford</w:t>
      </w:r>
      <w:proofErr w:type="spellEnd"/>
      <w:r>
        <w:t xml:space="preserve"> v </w:t>
      </w:r>
      <w:proofErr w:type="spellStart"/>
      <w:r>
        <w:t>Chouler</w:t>
      </w:r>
      <w:proofErr w:type="spellEnd"/>
      <w:r w:rsidR="004C3BE3">
        <w:t xml:space="preserve"> (1896)</w:t>
      </w:r>
      <w:r>
        <w:t xml:space="preserve"> [</w:t>
      </w:r>
      <w:r w:rsidRPr="000C7643">
        <w:t>1 QB 316</w:t>
      </w:r>
      <w:r>
        <w:t xml:space="preserve">], it was </w:t>
      </w:r>
      <w:r w:rsidR="004C3BE3">
        <w:t xml:space="preserve">established </w:t>
      </w:r>
      <w:r>
        <w:t xml:space="preserve">that any form of damage is sufficient to satisfy the actus reus of the offence of criminal damage. </w:t>
      </w:r>
      <w:r w:rsidR="004C3BE3">
        <w:t>From looking at the facts of the case, Harriet has certainly caused sufficient damage to satisfy the actus reus.</w:t>
      </w:r>
    </w:p>
    <w:p w14:paraId="13ACE49D" w14:textId="77777777" w:rsidR="00E16D81" w:rsidRDefault="00E16D81"/>
    <w:p w14:paraId="050F6738" w14:textId="5E35E46B" w:rsidR="000C7643" w:rsidRDefault="006D77A6">
      <w:r>
        <w:lastRenderedPageBreak/>
        <w:t xml:space="preserve">Despite this, it can be questioned if the requirements for the </w:t>
      </w:r>
      <w:proofErr w:type="spellStart"/>
      <w:r>
        <w:t>mens</w:t>
      </w:r>
      <w:proofErr w:type="spellEnd"/>
      <w:r>
        <w:t xml:space="preserve"> rea for criminal damage have been met. </w:t>
      </w:r>
    </w:p>
    <w:p w14:paraId="5488C492" w14:textId="1DE9FDDE" w:rsidR="006D77A6" w:rsidRDefault="006D77A6"/>
    <w:p w14:paraId="34BCE58C" w14:textId="7B2ABF55" w:rsidR="006D77A6" w:rsidRDefault="006D77A6">
      <w:r>
        <w:t xml:space="preserve">In the case of </w:t>
      </w:r>
      <w:r w:rsidR="00545504" w:rsidRPr="00545504">
        <w:t xml:space="preserve">R v G &amp; R </w:t>
      </w:r>
      <w:r w:rsidR="00545504">
        <w:t>(</w:t>
      </w:r>
      <w:r w:rsidR="00545504" w:rsidRPr="00545504">
        <w:t>2003</w:t>
      </w:r>
      <w:r w:rsidR="00545504">
        <w:t>)</w:t>
      </w:r>
      <w:r w:rsidR="00545504" w:rsidRPr="00545504">
        <w:t xml:space="preserve"> </w:t>
      </w:r>
      <w:r w:rsidR="00545504">
        <w:t>[</w:t>
      </w:r>
      <w:r w:rsidR="00545504" w:rsidRPr="00545504">
        <w:t>3 WLR</w:t>
      </w:r>
      <w:r w:rsidR="00545504">
        <w:t xml:space="preserve">], it was ruled that for an act to be reckless, the defendant must be aware that a risk exists and that it would be unreasonable to take said risk. In the case of Harriet, it could very much be argued that she was not aware of the risk that her actions could cause criminal damage due to her involuntary intoxication and the exceptional circumstances of her intoxication which led to adverse mental effects. </w:t>
      </w:r>
      <w:r w:rsidR="00C9130D">
        <w:t xml:space="preserve">Because of this, Harriet could use ‘Involuntary intoxication’ as a valid defence to a charge of criminal damage with success. </w:t>
      </w:r>
    </w:p>
    <w:p w14:paraId="31FB2C4C" w14:textId="0BDF2260" w:rsidR="00E709EA" w:rsidRDefault="00E709EA"/>
    <w:p w14:paraId="0A366A49" w14:textId="260ABA33" w:rsidR="00E709EA" w:rsidRDefault="00E709EA">
      <w:r>
        <w:t xml:space="preserve">In addition to this, it was established in the case of </w:t>
      </w:r>
      <w:r w:rsidR="004918B6" w:rsidRPr="004918B6">
        <w:t xml:space="preserve">R v Hardie </w:t>
      </w:r>
      <w:r w:rsidR="004918B6">
        <w:t>(</w:t>
      </w:r>
      <w:r w:rsidR="004918B6" w:rsidRPr="004918B6">
        <w:t>1985</w:t>
      </w:r>
      <w:r w:rsidR="004918B6">
        <w:t>)</w:t>
      </w:r>
      <w:r w:rsidR="004918B6" w:rsidRPr="004918B6">
        <w:t xml:space="preserve"> </w:t>
      </w:r>
      <w:r w:rsidR="004918B6">
        <w:t>[</w:t>
      </w:r>
      <w:r w:rsidR="004918B6" w:rsidRPr="004918B6">
        <w:t>1 WLR 64</w:t>
      </w:r>
      <w:r w:rsidR="004918B6">
        <w:t xml:space="preserve">], that when the defendant is intoxicated and cannot appreciate the risks that their actions have to property, the </w:t>
      </w:r>
      <w:r w:rsidR="00917ACC">
        <w:t xml:space="preserve">requirements for the </w:t>
      </w:r>
      <w:proofErr w:type="spellStart"/>
      <w:r w:rsidR="00917ACC">
        <w:t>mens</w:t>
      </w:r>
      <w:proofErr w:type="spellEnd"/>
      <w:r w:rsidR="00917ACC">
        <w:t xml:space="preserve"> rea for the offence of criminal damage cannot be met</w:t>
      </w:r>
      <w:r w:rsidR="004918B6">
        <w:t xml:space="preserve">. </w:t>
      </w:r>
      <w:r w:rsidR="004B5621">
        <w:t xml:space="preserve">Due to Harriet’s allergy to alcohol, she was unable to fully appreciate that her actions would risk causing criminal damage. </w:t>
      </w:r>
    </w:p>
    <w:p w14:paraId="27410653" w14:textId="59CC068C" w:rsidR="00E2568B" w:rsidRDefault="00E2568B"/>
    <w:p w14:paraId="0324191B" w14:textId="5EC6D7CC" w:rsidR="00271B7A" w:rsidRDefault="00271B7A">
      <w:r>
        <w:t xml:space="preserve">As a result of this, it is unlikely that Harriet is liable for criminal damage as she would be able to use the defence of involuntary intoxication with almost certain </w:t>
      </w:r>
      <w:r w:rsidR="00C8764D">
        <w:t xml:space="preserve">success; while her actions did constitute the actus reus for criminal damage, her involuntary intoxication and subsequent reaction mean that the </w:t>
      </w:r>
      <w:proofErr w:type="spellStart"/>
      <w:r w:rsidR="00C8764D">
        <w:t>mens</w:t>
      </w:r>
      <w:proofErr w:type="spellEnd"/>
      <w:r w:rsidR="00C8764D">
        <w:t xml:space="preserve"> rea is not fulfilled. </w:t>
      </w:r>
    </w:p>
    <w:p w14:paraId="0D5185E7" w14:textId="0B8AABC3" w:rsidR="00631121" w:rsidRDefault="00631121"/>
    <w:p w14:paraId="61EC1E32" w14:textId="0B3F409E" w:rsidR="00631121" w:rsidRDefault="00631121">
      <w:r>
        <w:t xml:space="preserve">However, Harriet may still possibly be liable for </w:t>
      </w:r>
      <w:r w:rsidR="009A3AE4">
        <w:t>grievous bodily harm, after she hit Daniel in the face</w:t>
      </w:r>
      <w:r w:rsidR="00213089">
        <w:t>,</w:t>
      </w:r>
      <w:r w:rsidR="009A3AE4">
        <w:t xml:space="preserve"> causing a broken cheek bone.</w:t>
      </w:r>
      <w:r w:rsidR="00E06089">
        <w:t xml:space="preserve"> </w:t>
      </w:r>
      <w:r w:rsidR="00FA60C7">
        <w:t xml:space="preserve">The actus reus for grievous bodily harm is found in </w:t>
      </w:r>
      <w:r w:rsidR="007B776E">
        <w:t>s</w:t>
      </w:r>
      <w:r w:rsidR="00FA60C7">
        <w:t xml:space="preserve">ection 20 of the </w:t>
      </w:r>
      <w:r w:rsidR="00EE683B">
        <w:t>O</w:t>
      </w:r>
      <w:r w:rsidR="00FA60C7">
        <w:t xml:space="preserve">ffences </w:t>
      </w:r>
      <w:r w:rsidR="00EE683B">
        <w:t>A</w:t>
      </w:r>
      <w:r w:rsidR="00FA60C7">
        <w:t xml:space="preserve">gainst the </w:t>
      </w:r>
      <w:r w:rsidR="00EE683B">
        <w:t>P</w:t>
      </w:r>
      <w:r w:rsidR="00FA60C7">
        <w:t xml:space="preserve">erson </w:t>
      </w:r>
      <w:r w:rsidR="00EE683B">
        <w:t>A</w:t>
      </w:r>
      <w:r w:rsidR="00FA60C7">
        <w:t xml:space="preserve">ct </w:t>
      </w:r>
      <w:r w:rsidR="00EE683B">
        <w:t>1861</w:t>
      </w:r>
      <w:r w:rsidR="002A7369">
        <w:t>; “</w:t>
      </w:r>
      <w:r w:rsidR="002A7369" w:rsidRPr="002A7369">
        <w:t>unlawfully and maliciously wound or inflict any grievous bodily harm upon any other person</w:t>
      </w:r>
      <w:r w:rsidR="002A7369">
        <w:t>” (</w:t>
      </w:r>
      <w:r w:rsidR="002A7369" w:rsidRPr="002A7369">
        <w:rPr>
          <w:i/>
          <w:iCs/>
        </w:rPr>
        <w:t>Offences Against the Person Act 1861</w:t>
      </w:r>
      <w:r w:rsidR="002A7369">
        <w:t xml:space="preserve">). The </w:t>
      </w:r>
      <w:proofErr w:type="spellStart"/>
      <w:r w:rsidR="002A7369">
        <w:t>mens</w:t>
      </w:r>
      <w:proofErr w:type="spellEnd"/>
      <w:r w:rsidR="002A7369">
        <w:t xml:space="preserve"> rea for this offence is found in </w:t>
      </w:r>
      <w:r w:rsidR="007B776E">
        <w:t xml:space="preserve">section 18 of the Offences Against the Person Act 1861; </w:t>
      </w:r>
      <w:r w:rsidR="00D13122">
        <w:t>“</w:t>
      </w:r>
      <w:r w:rsidR="007B776E" w:rsidRPr="007B776E">
        <w:t>with intent, to do some</w:t>
      </w:r>
      <w:r w:rsidR="007B776E">
        <w:t xml:space="preserve"> </w:t>
      </w:r>
      <w:r w:rsidR="007B776E" w:rsidRPr="007B776E">
        <w:t>grievous bodily harm to any person</w:t>
      </w:r>
      <w:r w:rsidR="007B776E">
        <w:t>”</w:t>
      </w:r>
      <w:r w:rsidR="00D13122">
        <w:t xml:space="preserve"> (</w:t>
      </w:r>
      <w:r w:rsidR="00D13122" w:rsidRPr="002A7369">
        <w:rPr>
          <w:i/>
          <w:iCs/>
        </w:rPr>
        <w:t>Offences Against the Person Act 1861</w:t>
      </w:r>
      <w:r w:rsidR="00D13122">
        <w:t>)</w:t>
      </w:r>
      <w:r w:rsidR="007B776E">
        <w:t xml:space="preserve">. </w:t>
      </w:r>
    </w:p>
    <w:p w14:paraId="1063B33A" w14:textId="5BDF655D" w:rsidR="007B776E" w:rsidRDefault="007B776E"/>
    <w:p w14:paraId="24408634" w14:textId="3DAB63D2" w:rsidR="007B776E" w:rsidRDefault="00870CBA">
      <w:r>
        <w:t>Firstly,</w:t>
      </w:r>
      <w:r w:rsidR="00820F9C">
        <w:t xml:space="preserve"> maliciousness is defined through case law. The ruling case for maliciousness is </w:t>
      </w:r>
      <w:r w:rsidR="00820F9C" w:rsidRPr="00820F9C">
        <w:t xml:space="preserve">R v Cunningham </w:t>
      </w:r>
      <w:r w:rsidR="00820F9C">
        <w:t>(</w:t>
      </w:r>
      <w:r w:rsidR="00820F9C" w:rsidRPr="00820F9C">
        <w:t>1957</w:t>
      </w:r>
      <w:r w:rsidR="00820F9C">
        <w:t>)</w:t>
      </w:r>
      <w:r w:rsidR="00820F9C" w:rsidRPr="00820F9C">
        <w:t xml:space="preserve"> </w:t>
      </w:r>
      <w:r w:rsidR="00820F9C">
        <w:t>[</w:t>
      </w:r>
      <w:r w:rsidR="00820F9C" w:rsidRPr="00820F9C">
        <w:t>2 QB 396</w:t>
      </w:r>
      <w:r w:rsidR="00820F9C">
        <w:t>], where it was established that intention or recklessness</w:t>
      </w:r>
      <w:r w:rsidR="00E16D81">
        <w:t xml:space="preserve"> would constitute maliciousness. Harriet could again cite </w:t>
      </w:r>
      <w:r w:rsidR="00E16D81" w:rsidRPr="00545504">
        <w:t xml:space="preserve">R v G &amp; R </w:t>
      </w:r>
      <w:r w:rsidR="00E16D81">
        <w:t>(</w:t>
      </w:r>
      <w:r w:rsidR="00E16D81" w:rsidRPr="00545504">
        <w:t>2003</w:t>
      </w:r>
      <w:r w:rsidR="00E16D81">
        <w:t>)</w:t>
      </w:r>
      <w:r w:rsidR="00E16D81" w:rsidRPr="00545504">
        <w:t xml:space="preserve"> </w:t>
      </w:r>
      <w:r w:rsidR="00E16D81">
        <w:t>[</w:t>
      </w:r>
      <w:r w:rsidR="00E16D81" w:rsidRPr="00545504">
        <w:t>3 WLR</w:t>
      </w:r>
      <w:r w:rsidR="00E16D81">
        <w:t>]</w:t>
      </w:r>
      <w:r w:rsidR="00D75102">
        <w:t xml:space="preserve"> to argue that her actions were not reckless, using the defence of involuntary intoxication.</w:t>
      </w:r>
      <w:r w:rsidR="00C03169">
        <w:t xml:space="preserve"> With regards to intention, Harriet could use the defence of ‘private defence’</w:t>
      </w:r>
      <w:r w:rsidR="00A245DF">
        <w:t xml:space="preserve"> or ‘public defence’</w:t>
      </w:r>
      <w:r w:rsidR="00C03169">
        <w:t xml:space="preserve"> as she could argue that her </w:t>
      </w:r>
      <w:r w:rsidR="00051C79">
        <w:t>hallucinations as a result of the</w:t>
      </w:r>
      <w:r w:rsidR="00C03169">
        <w:t xml:space="preserve"> intoxication </w:t>
      </w:r>
      <w:r w:rsidR="00A245DF">
        <w:t>led her to believe that she needed to use force to defend herself, another or property.</w:t>
      </w:r>
      <w:r w:rsidR="0062339A">
        <w:t xml:space="preserve"> For this defence, she could cite the case of </w:t>
      </w:r>
      <w:r w:rsidR="0062339A" w:rsidRPr="0062339A">
        <w:t xml:space="preserve">R v </w:t>
      </w:r>
      <w:proofErr w:type="spellStart"/>
      <w:r w:rsidR="0062339A" w:rsidRPr="0062339A">
        <w:t>Oye</w:t>
      </w:r>
      <w:proofErr w:type="spellEnd"/>
      <w:r w:rsidR="0062339A" w:rsidRPr="0062339A">
        <w:t xml:space="preserve"> </w:t>
      </w:r>
      <w:r w:rsidR="0062339A">
        <w:t>(</w:t>
      </w:r>
      <w:r w:rsidR="0062339A" w:rsidRPr="0062339A">
        <w:t>2013</w:t>
      </w:r>
      <w:r w:rsidR="0062339A">
        <w:t>)</w:t>
      </w:r>
      <w:r w:rsidR="0062339A" w:rsidRPr="0062339A">
        <w:t xml:space="preserve"> </w:t>
      </w:r>
      <w:r w:rsidR="0062339A">
        <w:t>[</w:t>
      </w:r>
      <w:r w:rsidR="0062339A" w:rsidRPr="0062339A">
        <w:t>EWCA Crim 1725</w:t>
      </w:r>
      <w:r w:rsidR="0062339A">
        <w:t xml:space="preserve">]. </w:t>
      </w:r>
      <w:r w:rsidR="00C96F5A">
        <w:t xml:space="preserve">As a result of this it is unclear whether the actus reus for grievous bodily harm has been met. </w:t>
      </w:r>
    </w:p>
    <w:p w14:paraId="4D5D173B" w14:textId="075108E8" w:rsidR="00C96F5A" w:rsidRDefault="00C96F5A"/>
    <w:p w14:paraId="4ACF50EC" w14:textId="204EF228" w:rsidR="00C96F5A" w:rsidRDefault="00C96F5A">
      <w:r>
        <w:t xml:space="preserve">Secondly, for </w:t>
      </w:r>
      <w:r w:rsidR="00C82677">
        <w:t xml:space="preserve">the </w:t>
      </w:r>
      <w:proofErr w:type="spellStart"/>
      <w:r w:rsidR="00C82677">
        <w:t>mens</w:t>
      </w:r>
      <w:proofErr w:type="spellEnd"/>
      <w:r w:rsidR="00C82677">
        <w:t xml:space="preserve"> rea of grievous bodily harm to be met, the defendant must be aware that their actions le</w:t>
      </w:r>
      <w:r w:rsidR="00E209CB">
        <w:t>d</w:t>
      </w:r>
      <w:r w:rsidR="00C82677">
        <w:t xml:space="preserve"> to grievous bodily harm being a certain outcome. This precedent was set by the case of </w:t>
      </w:r>
      <w:r w:rsidR="00C82677" w:rsidRPr="00C82677">
        <w:t xml:space="preserve">R v </w:t>
      </w:r>
      <w:proofErr w:type="spellStart"/>
      <w:r w:rsidR="00C82677" w:rsidRPr="00C82677">
        <w:t>Woollin</w:t>
      </w:r>
      <w:proofErr w:type="spellEnd"/>
      <w:r w:rsidR="00C82677" w:rsidRPr="00C82677">
        <w:t xml:space="preserve"> </w:t>
      </w:r>
      <w:r w:rsidR="00C82677">
        <w:t>(</w:t>
      </w:r>
      <w:r w:rsidR="00C82677" w:rsidRPr="00C82677">
        <w:t>1999</w:t>
      </w:r>
      <w:r w:rsidR="00C82677">
        <w:t>)</w:t>
      </w:r>
      <w:r w:rsidR="00C82677" w:rsidRPr="00C82677">
        <w:t xml:space="preserve"> </w:t>
      </w:r>
      <w:r w:rsidR="00C82677">
        <w:t>[</w:t>
      </w:r>
      <w:r w:rsidR="00C82677" w:rsidRPr="00C82677">
        <w:t>AC 82</w:t>
      </w:r>
      <w:r w:rsidR="00C82677">
        <w:t>]</w:t>
      </w:r>
      <w:r w:rsidR="00E209CB">
        <w:t xml:space="preserve">. Harriet could again argue that her intoxication meant that she </w:t>
      </w:r>
      <w:r w:rsidR="00E209CB">
        <w:lastRenderedPageBreak/>
        <w:t>was not aware that her actions would lead to Daniel suffering grievous bodily harm</w:t>
      </w:r>
      <w:r w:rsidR="00004623">
        <w:t>, however for this defence to succeed, she would need to convince the court that this was in fact as a result of the reaction she suffered as a result of the intoxication.</w:t>
      </w:r>
    </w:p>
    <w:p w14:paraId="06F56289" w14:textId="0ED1D5A0" w:rsidR="00004623" w:rsidRDefault="00004623"/>
    <w:p w14:paraId="22FD02EA" w14:textId="09F2397F" w:rsidR="00004623" w:rsidRDefault="00004623">
      <w:r>
        <w:t xml:space="preserve">Harriet could also use the defence of ‘mistake’. She could cite the case of </w:t>
      </w:r>
      <w:r w:rsidR="00911985" w:rsidRPr="00911985">
        <w:t xml:space="preserve">DPP v Morgan </w:t>
      </w:r>
      <w:r w:rsidR="00911985">
        <w:t>(</w:t>
      </w:r>
      <w:r w:rsidR="00911985" w:rsidRPr="00911985">
        <w:t>1976</w:t>
      </w:r>
      <w:r w:rsidR="00911985">
        <w:t>)</w:t>
      </w:r>
      <w:r w:rsidR="00911985" w:rsidRPr="00911985">
        <w:t xml:space="preserve"> </w:t>
      </w:r>
      <w:r w:rsidR="00911985">
        <w:t>[</w:t>
      </w:r>
      <w:r w:rsidR="00911985" w:rsidRPr="00911985">
        <w:t>AC 182</w:t>
      </w:r>
      <w:r w:rsidR="00911985">
        <w:t xml:space="preserve">], where it was established that a genuine and honest mistaken belief leading to a criminal act would prevent the formation of the </w:t>
      </w:r>
      <w:proofErr w:type="spellStart"/>
      <w:r w:rsidR="00911985">
        <w:t>mens</w:t>
      </w:r>
      <w:proofErr w:type="spellEnd"/>
      <w:r w:rsidR="00911985">
        <w:t xml:space="preserve"> rea of an offence and thus almost certainly absolve them of any criminal liability.</w:t>
      </w:r>
    </w:p>
    <w:p w14:paraId="2C9469A5" w14:textId="54A5B4BC" w:rsidR="00FB0E7D" w:rsidRDefault="00FB0E7D"/>
    <w:p w14:paraId="4CD0DDD9" w14:textId="5F31F677" w:rsidR="00911985" w:rsidRDefault="000D771E">
      <w:r>
        <w:t xml:space="preserve">Judging the facts of Harriet’s case according to the precedents set out by case law, it is unlikely that </w:t>
      </w:r>
      <w:r w:rsidR="007549E1">
        <w:t xml:space="preserve">she would be found to be criminally liable for grievous bodily harm as both actus reus and </w:t>
      </w:r>
      <w:proofErr w:type="spellStart"/>
      <w:r w:rsidR="007549E1">
        <w:t>mens</w:t>
      </w:r>
      <w:proofErr w:type="spellEnd"/>
      <w:r w:rsidR="007549E1">
        <w:t xml:space="preserve"> rea can be disproven </w:t>
      </w:r>
      <w:proofErr w:type="gramStart"/>
      <w:r w:rsidR="007549E1">
        <w:t>through the use of</w:t>
      </w:r>
      <w:proofErr w:type="gramEnd"/>
      <w:r w:rsidR="007549E1">
        <w:t xml:space="preserve"> a number of valid defences.</w:t>
      </w:r>
    </w:p>
    <w:p w14:paraId="1AC92E7D" w14:textId="33094388" w:rsidR="00883E11" w:rsidRDefault="00883E11"/>
    <w:p w14:paraId="0570953F" w14:textId="4B1A4763" w:rsidR="00883E11" w:rsidRDefault="00883E11"/>
    <w:p w14:paraId="4A316EF7" w14:textId="73845620" w:rsidR="00883E11" w:rsidRDefault="00883E11">
      <w:pPr>
        <w:rPr>
          <w:b/>
          <w:bCs/>
          <w:u w:val="single"/>
        </w:rPr>
      </w:pPr>
      <w:r w:rsidRPr="00883E11">
        <w:rPr>
          <w:b/>
          <w:bCs/>
          <w:u w:val="single"/>
        </w:rPr>
        <w:t>References</w:t>
      </w:r>
    </w:p>
    <w:p w14:paraId="36E909D4" w14:textId="252ADBC4" w:rsidR="00883E11" w:rsidRDefault="00883E11">
      <w:pPr>
        <w:rPr>
          <w:b/>
          <w:bCs/>
          <w:u w:val="single"/>
        </w:rPr>
      </w:pPr>
    </w:p>
    <w:p w14:paraId="0755F4E3" w14:textId="7E48C4A8" w:rsidR="00E913CB" w:rsidRDefault="00E913CB" w:rsidP="00E913CB">
      <w:r w:rsidRPr="00E913CB">
        <w:rPr>
          <w:i/>
          <w:iCs/>
        </w:rPr>
        <w:t>Criminal Damage Act 1971</w:t>
      </w:r>
      <w:r w:rsidR="009B7816">
        <w:rPr>
          <w:i/>
          <w:iCs/>
        </w:rPr>
        <w:t xml:space="preserve">, </w:t>
      </w:r>
      <w:r w:rsidR="009B7816">
        <w:t xml:space="preserve">Available at: </w:t>
      </w:r>
      <w:hyperlink r:id="rId4" w:history="1">
        <w:r w:rsidR="009B7816" w:rsidRPr="00392AF4">
          <w:rPr>
            <w:rStyle w:val="Hyperlink"/>
          </w:rPr>
          <w:t>https://www.legislation.gov.uk/ukpga/1971/48/contents</w:t>
        </w:r>
      </w:hyperlink>
    </w:p>
    <w:p w14:paraId="51BABF76" w14:textId="77777777" w:rsidR="00E913CB" w:rsidRDefault="00E913CB" w:rsidP="00E913CB"/>
    <w:p w14:paraId="07A0616A" w14:textId="52972454" w:rsidR="00E913CB" w:rsidRDefault="00E913CB" w:rsidP="00E913CB">
      <w:r>
        <w:t xml:space="preserve">McEvoy, </w:t>
      </w:r>
      <w:r w:rsidR="00C12841">
        <w:t>(</w:t>
      </w:r>
      <w:r>
        <w:t>2017</w:t>
      </w:r>
      <w:r w:rsidR="00C12841">
        <w:t xml:space="preserve">), </w:t>
      </w:r>
      <w:proofErr w:type="spellStart"/>
      <w:r w:rsidR="00C12841">
        <w:t>‘</w:t>
      </w:r>
      <w:r w:rsidR="00C12841" w:rsidRPr="00C12841">
        <w:t>Re</w:t>
      </w:r>
      <w:proofErr w:type="spellEnd"/>
      <w:r w:rsidR="00C12841" w:rsidRPr="00C12841">
        <w:t>-defining criminal dishonesty: why does it matter?</w:t>
      </w:r>
      <w:r w:rsidR="00C12841">
        <w:t xml:space="preserve">’, </w:t>
      </w:r>
      <w:r w:rsidR="00C12841" w:rsidRPr="00C12841">
        <w:rPr>
          <w:i/>
          <w:iCs/>
        </w:rPr>
        <w:t xml:space="preserve">Allen &amp; </w:t>
      </w:r>
      <w:proofErr w:type="spellStart"/>
      <w:r w:rsidR="00C12841" w:rsidRPr="00C12841">
        <w:rPr>
          <w:i/>
          <w:iCs/>
        </w:rPr>
        <w:t>Overy</w:t>
      </w:r>
      <w:proofErr w:type="spellEnd"/>
      <w:r w:rsidR="00C12841">
        <w:rPr>
          <w:i/>
          <w:iCs/>
        </w:rPr>
        <w:t xml:space="preserve">, </w:t>
      </w:r>
      <w:r w:rsidR="00C12841">
        <w:t xml:space="preserve">Available at: </w:t>
      </w:r>
      <w:hyperlink r:id="rId5" w:history="1">
        <w:r w:rsidR="00C12841" w:rsidRPr="00392AF4">
          <w:rPr>
            <w:rStyle w:val="Hyperlink"/>
          </w:rPr>
          <w:t>https://www.allenovery.com/en-gb/global/news-and-insights/publications/re-defining-criminal-dishonesty-why-does-it-matter</w:t>
        </w:r>
      </w:hyperlink>
    </w:p>
    <w:p w14:paraId="0C9607F3" w14:textId="77777777" w:rsidR="00E913CB" w:rsidRDefault="00E913CB" w:rsidP="00E913CB"/>
    <w:p w14:paraId="76E02369" w14:textId="4297F251" w:rsidR="009B7816" w:rsidRDefault="00E913CB" w:rsidP="00E913CB">
      <w:r w:rsidRPr="00E913CB">
        <w:rPr>
          <w:i/>
          <w:iCs/>
        </w:rPr>
        <w:t>Offences Against the Person Act 1861</w:t>
      </w:r>
      <w:r w:rsidR="009B7816">
        <w:rPr>
          <w:i/>
          <w:iCs/>
        </w:rPr>
        <w:t xml:space="preserve">, </w:t>
      </w:r>
      <w:r w:rsidR="009B7816">
        <w:t xml:space="preserve">Available at: </w:t>
      </w:r>
      <w:hyperlink r:id="rId6" w:history="1">
        <w:r w:rsidR="009B7816" w:rsidRPr="00392AF4">
          <w:rPr>
            <w:rStyle w:val="Hyperlink"/>
          </w:rPr>
          <w:t>https://www.legislation.gov.uk/ukpga/Vict/24-25/100/section/18</w:t>
        </w:r>
      </w:hyperlink>
    </w:p>
    <w:p w14:paraId="265F4D9A" w14:textId="77777777" w:rsidR="00E913CB" w:rsidRDefault="00E913CB" w:rsidP="00E913CB"/>
    <w:p w14:paraId="783DA832" w14:textId="6897D2C8" w:rsidR="00883E11" w:rsidRDefault="00E913CB" w:rsidP="00E913CB">
      <w:r w:rsidRPr="00E913CB">
        <w:rPr>
          <w:i/>
          <w:iCs/>
        </w:rPr>
        <w:t>Theft Act 1968</w:t>
      </w:r>
      <w:r w:rsidR="009B7816">
        <w:rPr>
          <w:i/>
          <w:iCs/>
        </w:rPr>
        <w:t xml:space="preserve">, </w:t>
      </w:r>
      <w:r w:rsidR="009B7816">
        <w:t xml:space="preserve">Available at: </w:t>
      </w:r>
      <w:hyperlink r:id="rId7" w:history="1">
        <w:r w:rsidR="009B7816" w:rsidRPr="00392AF4">
          <w:rPr>
            <w:rStyle w:val="Hyperlink"/>
          </w:rPr>
          <w:t>https://www.legislation.gov.uk/ukpga/1968/60/contents</w:t>
        </w:r>
      </w:hyperlink>
    </w:p>
    <w:p w14:paraId="0BF85DFE" w14:textId="77777777" w:rsidR="009B7816" w:rsidRPr="009B7816" w:rsidRDefault="009B7816" w:rsidP="00E913CB"/>
    <w:p w14:paraId="7F321B62" w14:textId="77777777" w:rsidR="00E913CB" w:rsidRDefault="00E913CB" w:rsidP="00E913CB"/>
    <w:p w14:paraId="3B82C529" w14:textId="4EE86D13" w:rsidR="00E913CB" w:rsidRDefault="006D71F8" w:rsidP="00E913CB">
      <w:pPr>
        <w:rPr>
          <w:b/>
          <w:bCs/>
          <w:u w:val="single"/>
        </w:rPr>
      </w:pPr>
      <w:r>
        <w:rPr>
          <w:b/>
          <w:bCs/>
          <w:u w:val="single"/>
        </w:rPr>
        <w:t>Case Law</w:t>
      </w:r>
    </w:p>
    <w:p w14:paraId="45AD4227" w14:textId="22CF9A40" w:rsidR="006D71F8" w:rsidRDefault="006D71F8" w:rsidP="00E913CB">
      <w:pPr>
        <w:rPr>
          <w:b/>
          <w:bCs/>
          <w:u w:val="single"/>
        </w:rPr>
      </w:pPr>
    </w:p>
    <w:p w14:paraId="0E275A2A" w14:textId="4E09FCA9" w:rsidR="006D71F8" w:rsidRDefault="006D71F8" w:rsidP="00E913CB">
      <w:r w:rsidRPr="006D71F8">
        <w:t>Ivey v Genting Casinos (2017) [UKSC 67]</w:t>
      </w:r>
    </w:p>
    <w:p w14:paraId="144020C8" w14:textId="4C511B49" w:rsidR="006D71F8" w:rsidRDefault="006D71F8" w:rsidP="00E913CB">
      <w:r w:rsidRPr="006D71F8">
        <w:t>R v Morris (1983) [3 WLR 697]</w:t>
      </w:r>
    </w:p>
    <w:p w14:paraId="757973AF" w14:textId="77777777" w:rsidR="00473D60" w:rsidRDefault="00473D60" w:rsidP="00473D60">
      <w:r>
        <w:t>DPP v Gomez (1993) [AC 442]</w:t>
      </w:r>
    </w:p>
    <w:p w14:paraId="4F57FD7B" w14:textId="77777777" w:rsidR="00473D60" w:rsidRDefault="00473D60" w:rsidP="00473D60">
      <w:proofErr w:type="spellStart"/>
      <w:r>
        <w:t>Gayford</w:t>
      </w:r>
      <w:proofErr w:type="spellEnd"/>
      <w:r>
        <w:t xml:space="preserve"> v </w:t>
      </w:r>
      <w:proofErr w:type="spellStart"/>
      <w:r>
        <w:t>Chouler</w:t>
      </w:r>
      <w:proofErr w:type="spellEnd"/>
      <w:r>
        <w:t xml:space="preserve"> (1896) [1 QB 316]</w:t>
      </w:r>
    </w:p>
    <w:p w14:paraId="7DA429BA" w14:textId="77777777" w:rsidR="00473D60" w:rsidRDefault="00473D60" w:rsidP="00473D60">
      <w:r>
        <w:lastRenderedPageBreak/>
        <w:t>R v G &amp; R (2003) [3 WLR]</w:t>
      </w:r>
    </w:p>
    <w:p w14:paraId="1DE1C0CE" w14:textId="77777777" w:rsidR="00473D60" w:rsidRDefault="00473D60" w:rsidP="00473D60">
      <w:r>
        <w:t>R v Hardie (1985) [1 WLR 64]</w:t>
      </w:r>
    </w:p>
    <w:p w14:paraId="78AE589A" w14:textId="77777777" w:rsidR="00473D60" w:rsidRDefault="00473D60" w:rsidP="00473D60">
      <w:r>
        <w:t>R v Cunningham (1957) [2 QB 396]</w:t>
      </w:r>
    </w:p>
    <w:p w14:paraId="538A0DDF" w14:textId="77777777" w:rsidR="00473D60" w:rsidRDefault="00473D60" w:rsidP="00473D60">
      <w:r>
        <w:t xml:space="preserve">R v </w:t>
      </w:r>
      <w:proofErr w:type="spellStart"/>
      <w:r>
        <w:t>Oye</w:t>
      </w:r>
      <w:proofErr w:type="spellEnd"/>
      <w:r>
        <w:t xml:space="preserve"> (2013) [EWCA Crim 1725]</w:t>
      </w:r>
    </w:p>
    <w:p w14:paraId="7242FCA6" w14:textId="77777777" w:rsidR="00473D60" w:rsidRDefault="00473D60" w:rsidP="00473D60">
      <w:r>
        <w:t xml:space="preserve">R v </w:t>
      </w:r>
      <w:proofErr w:type="spellStart"/>
      <w:r>
        <w:t>Woollin</w:t>
      </w:r>
      <w:proofErr w:type="spellEnd"/>
      <w:r>
        <w:t xml:space="preserve"> (1999) [AC 82]</w:t>
      </w:r>
    </w:p>
    <w:p w14:paraId="5E90A74B" w14:textId="0EE367F1" w:rsidR="00473D60" w:rsidRPr="006D71F8" w:rsidRDefault="00473D60" w:rsidP="00473D60">
      <w:r>
        <w:t>of DPP v Morgan (1976) [AC 182]</w:t>
      </w:r>
    </w:p>
    <w:p w14:paraId="1DFE34AD" w14:textId="77777777" w:rsidR="00911985" w:rsidRPr="002A7369" w:rsidRDefault="00911985"/>
    <w:sectPr w:rsidR="00911985" w:rsidRPr="002A73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382"/>
    <w:rsid w:val="00004623"/>
    <w:rsid w:val="0002110F"/>
    <w:rsid w:val="00051C79"/>
    <w:rsid w:val="00084B63"/>
    <w:rsid w:val="000C7643"/>
    <w:rsid w:val="000D771E"/>
    <w:rsid w:val="000E335E"/>
    <w:rsid w:val="00213089"/>
    <w:rsid w:val="00234225"/>
    <w:rsid w:val="00271B7A"/>
    <w:rsid w:val="002816FD"/>
    <w:rsid w:val="002A1AF1"/>
    <w:rsid w:val="002A7369"/>
    <w:rsid w:val="003152D1"/>
    <w:rsid w:val="003E083D"/>
    <w:rsid w:val="00405382"/>
    <w:rsid w:val="004540ED"/>
    <w:rsid w:val="00473D60"/>
    <w:rsid w:val="004918B6"/>
    <w:rsid w:val="004B4F20"/>
    <w:rsid w:val="004B5621"/>
    <w:rsid w:val="004C3BE3"/>
    <w:rsid w:val="004E58AE"/>
    <w:rsid w:val="00545504"/>
    <w:rsid w:val="005E06C6"/>
    <w:rsid w:val="005E3A46"/>
    <w:rsid w:val="00605CF6"/>
    <w:rsid w:val="0062339A"/>
    <w:rsid w:val="00631121"/>
    <w:rsid w:val="006609BB"/>
    <w:rsid w:val="00693E14"/>
    <w:rsid w:val="006D71F8"/>
    <w:rsid w:val="006D77A6"/>
    <w:rsid w:val="006F383E"/>
    <w:rsid w:val="006F4C37"/>
    <w:rsid w:val="007352B7"/>
    <w:rsid w:val="007549E1"/>
    <w:rsid w:val="007B776E"/>
    <w:rsid w:val="00820F9C"/>
    <w:rsid w:val="00870CBA"/>
    <w:rsid w:val="00883E11"/>
    <w:rsid w:val="008850B8"/>
    <w:rsid w:val="008D646A"/>
    <w:rsid w:val="008E5604"/>
    <w:rsid w:val="00911985"/>
    <w:rsid w:val="00917ACC"/>
    <w:rsid w:val="00933D1B"/>
    <w:rsid w:val="00981FEF"/>
    <w:rsid w:val="009A201E"/>
    <w:rsid w:val="009A3AE4"/>
    <w:rsid w:val="009A5247"/>
    <w:rsid w:val="009B7816"/>
    <w:rsid w:val="00A245DF"/>
    <w:rsid w:val="00B13E86"/>
    <w:rsid w:val="00B21E3D"/>
    <w:rsid w:val="00B4114D"/>
    <w:rsid w:val="00BC7015"/>
    <w:rsid w:val="00BE17D7"/>
    <w:rsid w:val="00C01E12"/>
    <w:rsid w:val="00C03169"/>
    <w:rsid w:val="00C12841"/>
    <w:rsid w:val="00C37669"/>
    <w:rsid w:val="00C82677"/>
    <w:rsid w:val="00C8764D"/>
    <w:rsid w:val="00C9130D"/>
    <w:rsid w:val="00C96F5A"/>
    <w:rsid w:val="00CE0B75"/>
    <w:rsid w:val="00D13122"/>
    <w:rsid w:val="00D238FF"/>
    <w:rsid w:val="00D75102"/>
    <w:rsid w:val="00DA5589"/>
    <w:rsid w:val="00DF387F"/>
    <w:rsid w:val="00E06089"/>
    <w:rsid w:val="00E16D81"/>
    <w:rsid w:val="00E209CB"/>
    <w:rsid w:val="00E2568B"/>
    <w:rsid w:val="00E709EA"/>
    <w:rsid w:val="00E913CB"/>
    <w:rsid w:val="00EB08A0"/>
    <w:rsid w:val="00EE683B"/>
    <w:rsid w:val="00F3586A"/>
    <w:rsid w:val="00FA60C7"/>
    <w:rsid w:val="00FB0E7D"/>
    <w:rsid w:val="00FE1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1A8B8"/>
  <w15:chartTrackingRefBased/>
  <w15:docId w15:val="{0C5DDFCA-57DC-4E31-A2D1-C6CF0A9F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7816"/>
    <w:rPr>
      <w:color w:val="0563C1" w:themeColor="hyperlink"/>
      <w:u w:val="single"/>
    </w:rPr>
  </w:style>
  <w:style w:type="character" w:styleId="UnresolvedMention">
    <w:name w:val="Unresolved Mention"/>
    <w:basedOn w:val="DefaultParagraphFont"/>
    <w:uiPriority w:val="99"/>
    <w:semiHidden/>
    <w:unhideWhenUsed/>
    <w:rsid w:val="009B78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776238">
      <w:bodyDiv w:val="1"/>
      <w:marLeft w:val="0"/>
      <w:marRight w:val="0"/>
      <w:marTop w:val="0"/>
      <w:marBottom w:val="0"/>
      <w:divBdr>
        <w:top w:val="none" w:sz="0" w:space="0" w:color="auto"/>
        <w:left w:val="none" w:sz="0" w:space="0" w:color="auto"/>
        <w:bottom w:val="none" w:sz="0" w:space="0" w:color="auto"/>
        <w:right w:val="none" w:sz="0" w:space="0" w:color="auto"/>
      </w:divBdr>
    </w:div>
    <w:div w:id="1038513219">
      <w:bodyDiv w:val="1"/>
      <w:marLeft w:val="0"/>
      <w:marRight w:val="0"/>
      <w:marTop w:val="0"/>
      <w:marBottom w:val="0"/>
      <w:divBdr>
        <w:top w:val="none" w:sz="0" w:space="0" w:color="auto"/>
        <w:left w:val="none" w:sz="0" w:space="0" w:color="auto"/>
        <w:bottom w:val="none" w:sz="0" w:space="0" w:color="auto"/>
        <w:right w:val="none" w:sz="0" w:space="0" w:color="auto"/>
      </w:divBdr>
    </w:div>
    <w:div w:id="1154102880">
      <w:bodyDiv w:val="1"/>
      <w:marLeft w:val="0"/>
      <w:marRight w:val="0"/>
      <w:marTop w:val="0"/>
      <w:marBottom w:val="0"/>
      <w:divBdr>
        <w:top w:val="none" w:sz="0" w:space="0" w:color="auto"/>
        <w:left w:val="none" w:sz="0" w:space="0" w:color="auto"/>
        <w:bottom w:val="none" w:sz="0" w:space="0" w:color="auto"/>
        <w:right w:val="none" w:sz="0" w:space="0" w:color="auto"/>
      </w:divBdr>
      <w:divsChild>
        <w:div w:id="408575451">
          <w:marLeft w:val="1166"/>
          <w:marRight w:val="0"/>
          <w:marTop w:val="200"/>
          <w:marBottom w:val="0"/>
          <w:divBdr>
            <w:top w:val="none" w:sz="0" w:space="0" w:color="auto"/>
            <w:left w:val="none" w:sz="0" w:space="0" w:color="auto"/>
            <w:bottom w:val="none" w:sz="0" w:space="0" w:color="auto"/>
            <w:right w:val="none" w:sz="0" w:space="0" w:color="auto"/>
          </w:divBdr>
        </w:div>
      </w:divsChild>
    </w:div>
    <w:div w:id="207076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egislation.gov.uk/ukpga/1968/60/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Vict/24-25/100/section/18" TargetMode="External"/><Relationship Id="rId5" Type="http://schemas.openxmlformats.org/officeDocument/2006/relationships/hyperlink" Target="https://www.allenovery.com/en-gb/global/news-and-insights/publications/re-defining-criminal-dishonesty-why-does-it-matter" TargetMode="External"/><Relationship Id="rId4" Type="http://schemas.openxmlformats.org/officeDocument/2006/relationships/hyperlink" Target="https://www.legislation.gov.uk/ukpga/1971/48/content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5</Pages>
  <Words>1715</Words>
  <Characters>9780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Thomas</dc:creator>
  <cp:keywords/>
  <dc:description/>
  <cp:lastModifiedBy>Luke Thomas</cp:lastModifiedBy>
  <cp:revision>46</cp:revision>
  <dcterms:created xsi:type="dcterms:W3CDTF">2021-12-27T14:49:00Z</dcterms:created>
  <dcterms:modified xsi:type="dcterms:W3CDTF">2021-12-31T12:01:00Z</dcterms:modified>
</cp:coreProperties>
</file>