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A3390C6" w14:textId="77777777" w:rsidR="0033113F" w:rsidRPr="00B63D5E" w:rsidRDefault="0033113F" w:rsidP="0020706C">
      <w:pPr>
        <w:pStyle w:val="p1"/>
        <w:spacing w:line="360" w:lineRule="auto"/>
        <w:jc w:val="both"/>
        <w:rPr>
          <w:rFonts w:ascii="Arial" w:hAnsi="Arial" w:cs="Arial"/>
          <w:b/>
          <w:bCs/>
          <w:color w:val="000000" w:themeColor="text1"/>
          <w:sz w:val="22"/>
          <w:szCs w:val="22"/>
        </w:rPr>
      </w:pPr>
      <w:r w:rsidRPr="00B63D5E">
        <w:rPr>
          <w:rStyle w:val="s1"/>
          <w:rFonts w:ascii="Arial" w:hAnsi="Arial" w:cs="Arial"/>
          <w:b/>
          <w:bCs/>
          <w:color w:val="000000" w:themeColor="text1"/>
          <w:sz w:val="22"/>
          <w:szCs w:val="22"/>
        </w:rPr>
        <w:t xml:space="preserve">Student Name: </w:t>
      </w:r>
      <w:proofErr w:type="spellStart"/>
      <w:r w:rsidRPr="00B63D5E">
        <w:rPr>
          <w:rStyle w:val="s1"/>
          <w:rFonts w:ascii="Arial" w:hAnsi="Arial" w:cs="Arial"/>
          <w:b/>
          <w:bCs/>
          <w:color w:val="000000" w:themeColor="text1"/>
          <w:sz w:val="22"/>
          <w:szCs w:val="22"/>
        </w:rPr>
        <w:t>Alexandru</w:t>
      </w:r>
      <w:proofErr w:type="spellEnd"/>
      <w:r w:rsidRPr="00B63D5E">
        <w:rPr>
          <w:rStyle w:val="s1"/>
          <w:rFonts w:ascii="Arial" w:hAnsi="Arial" w:cs="Arial"/>
          <w:b/>
          <w:bCs/>
          <w:color w:val="000000" w:themeColor="text1"/>
          <w:sz w:val="22"/>
          <w:szCs w:val="22"/>
        </w:rPr>
        <w:t xml:space="preserve"> </w:t>
      </w:r>
      <w:proofErr w:type="spellStart"/>
      <w:r w:rsidRPr="00B63D5E">
        <w:rPr>
          <w:rStyle w:val="s1"/>
          <w:rFonts w:ascii="Arial" w:hAnsi="Arial" w:cs="Arial"/>
          <w:b/>
          <w:bCs/>
          <w:color w:val="000000" w:themeColor="text1"/>
          <w:sz w:val="22"/>
          <w:szCs w:val="22"/>
        </w:rPr>
        <w:t>Lavinel</w:t>
      </w:r>
      <w:proofErr w:type="spellEnd"/>
      <w:r w:rsidRPr="00B63D5E">
        <w:rPr>
          <w:rStyle w:val="s1"/>
          <w:rFonts w:ascii="Arial" w:hAnsi="Arial" w:cs="Arial"/>
          <w:b/>
          <w:bCs/>
          <w:color w:val="000000" w:themeColor="text1"/>
          <w:sz w:val="22"/>
          <w:szCs w:val="22"/>
        </w:rPr>
        <w:t xml:space="preserve"> </w:t>
      </w:r>
      <w:proofErr w:type="spellStart"/>
      <w:r w:rsidRPr="00B63D5E">
        <w:rPr>
          <w:rStyle w:val="s1"/>
          <w:rFonts w:ascii="Arial" w:hAnsi="Arial" w:cs="Arial"/>
          <w:b/>
          <w:bCs/>
          <w:color w:val="000000" w:themeColor="text1"/>
          <w:sz w:val="22"/>
          <w:szCs w:val="22"/>
        </w:rPr>
        <w:t>Gaiu</w:t>
      </w:r>
      <w:proofErr w:type="spellEnd"/>
    </w:p>
    <w:p w14:paraId="274605E0" w14:textId="77777777" w:rsidR="0033113F" w:rsidRPr="00B63D5E" w:rsidRDefault="0033113F" w:rsidP="0020706C">
      <w:pPr>
        <w:pStyle w:val="p1"/>
        <w:spacing w:line="360" w:lineRule="auto"/>
        <w:jc w:val="both"/>
        <w:rPr>
          <w:rFonts w:ascii="Arial" w:hAnsi="Arial" w:cs="Arial"/>
          <w:b/>
          <w:bCs/>
          <w:color w:val="000000" w:themeColor="text1"/>
          <w:sz w:val="22"/>
          <w:szCs w:val="22"/>
        </w:rPr>
      </w:pPr>
      <w:r w:rsidRPr="00B63D5E">
        <w:rPr>
          <w:rStyle w:val="s1"/>
          <w:rFonts w:ascii="Arial" w:hAnsi="Arial" w:cs="Arial"/>
          <w:b/>
          <w:bCs/>
          <w:color w:val="000000" w:themeColor="text1"/>
          <w:sz w:val="22"/>
          <w:szCs w:val="22"/>
        </w:rPr>
        <w:t>Student Code: 2332587</w:t>
      </w:r>
    </w:p>
    <w:p w14:paraId="445C2549" w14:textId="5658555B" w:rsidR="0033113F" w:rsidRPr="00B63D5E" w:rsidRDefault="005B7ABE" w:rsidP="0020706C">
      <w:pPr>
        <w:pStyle w:val="p1"/>
        <w:spacing w:line="360" w:lineRule="auto"/>
        <w:jc w:val="both"/>
        <w:rPr>
          <w:rFonts w:ascii="Arial" w:hAnsi="Arial" w:cs="Arial"/>
          <w:b/>
          <w:bCs/>
          <w:color w:val="000000" w:themeColor="text1"/>
          <w:sz w:val="22"/>
          <w:szCs w:val="22"/>
        </w:rPr>
      </w:pPr>
      <w:r w:rsidRPr="00B63D5E">
        <w:rPr>
          <w:rStyle w:val="s1"/>
          <w:rFonts w:ascii="Arial" w:hAnsi="Arial" w:cs="Arial"/>
          <w:b/>
          <w:bCs/>
          <w:color w:val="000000" w:themeColor="text1"/>
          <w:sz w:val="22"/>
          <w:szCs w:val="22"/>
        </w:rPr>
        <w:t>L</w:t>
      </w:r>
      <w:r w:rsidR="0033113F" w:rsidRPr="00B63D5E">
        <w:rPr>
          <w:rStyle w:val="s1"/>
          <w:rFonts w:ascii="Arial" w:hAnsi="Arial" w:cs="Arial"/>
          <w:b/>
          <w:bCs/>
          <w:color w:val="000000" w:themeColor="text1"/>
          <w:sz w:val="22"/>
          <w:szCs w:val="22"/>
        </w:rPr>
        <w:t xml:space="preserve">ecturer Name: </w:t>
      </w:r>
      <w:proofErr w:type="spellStart"/>
      <w:r w:rsidR="0033113F" w:rsidRPr="00B63D5E">
        <w:rPr>
          <w:rStyle w:val="s1"/>
          <w:rFonts w:ascii="Arial" w:hAnsi="Arial" w:cs="Arial"/>
          <w:b/>
          <w:bCs/>
          <w:color w:val="000000" w:themeColor="text1"/>
          <w:sz w:val="22"/>
          <w:szCs w:val="22"/>
        </w:rPr>
        <w:t>Rizwan</w:t>
      </w:r>
      <w:proofErr w:type="spellEnd"/>
      <w:r w:rsidR="0033113F" w:rsidRPr="00B63D5E">
        <w:rPr>
          <w:rStyle w:val="s1"/>
          <w:rFonts w:ascii="Arial" w:hAnsi="Arial" w:cs="Arial"/>
          <w:b/>
          <w:bCs/>
          <w:color w:val="000000" w:themeColor="text1"/>
          <w:sz w:val="22"/>
          <w:szCs w:val="22"/>
        </w:rPr>
        <w:t xml:space="preserve"> </w:t>
      </w:r>
      <w:proofErr w:type="spellStart"/>
      <w:r w:rsidR="0033113F" w:rsidRPr="00B63D5E">
        <w:rPr>
          <w:rStyle w:val="s1"/>
          <w:rFonts w:ascii="Arial" w:hAnsi="Arial" w:cs="Arial"/>
          <w:b/>
          <w:bCs/>
          <w:color w:val="000000" w:themeColor="text1"/>
          <w:sz w:val="22"/>
          <w:szCs w:val="22"/>
        </w:rPr>
        <w:t>Nad</w:t>
      </w:r>
      <w:r w:rsidR="0020706C" w:rsidRPr="00B63D5E">
        <w:rPr>
          <w:rStyle w:val="s1"/>
          <w:rFonts w:ascii="Arial" w:hAnsi="Arial" w:cs="Arial"/>
          <w:b/>
          <w:bCs/>
          <w:color w:val="000000" w:themeColor="text1"/>
          <w:sz w:val="22"/>
          <w:szCs w:val="22"/>
        </w:rPr>
        <w:t>im</w:t>
      </w:r>
      <w:proofErr w:type="spellEnd"/>
    </w:p>
    <w:p w14:paraId="1E0F433A" w14:textId="502575E4" w:rsidR="0033113F" w:rsidRPr="00B63D5E" w:rsidRDefault="005B7ABE" w:rsidP="0020706C">
      <w:pPr>
        <w:pStyle w:val="p1"/>
        <w:spacing w:line="360" w:lineRule="auto"/>
        <w:jc w:val="both"/>
        <w:rPr>
          <w:rFonts w:ascii="Arial" w:hAnsi="Arial" w:cs="Arial"/>
          <w:b/>
          <w:bCs/>
          <w:color w:val="000000" w:themeColor="text1"/>
          <w:sz w:val="22"/>
          <w:szCs w:val="22"/>
        </w:rPr>
      </w:pPr>
      <w:r w:rsidRPr="00B63D5E">
        <w:rPr>
          <w:rStyle w:val="s1"/>
          <w:rFonts w:ascii="Arial" w:hAnsi="Arial" w:cs="Arial"/>
          <w:b/>
          <w:bCs/>
          <w:color w:val="000000" w:themeColor="text1"/>
          <w:sz w:val="22"/>
          <w:szCs w:val="22"/>
        </w:rPr>
        <w:t>M</w:t>
      </w:r>
      <w:r w:rsidR="0033113F" w:rsidRPr="00B63D5E">
        <w:rPr>
          <w:rStyle w:val="s1"/>
          <w:rFonts w:ascii="Arial" w:hAnsi="Arial" w:cs="Arial"/>
          <w:b/>
          <w:bCs/>
          <w:color w:val="000000" w:themeColor="text1"/>
          <w:sz w:val="22"/>
          <w:szCs w:val="22"/>
        </w:rPr>
        <w:t>odule Name: Introduction to Independent Research Ski</w:t>
      </w:r>
      <w:r w:rsidRPr="00B63D5E">
        <w:rPr>
          <w:rStyle w:val="s1"/>
          <w:rFonts w:ascii="Arial" w:hAnsi="Arial" w:cs="Arial"/>
          <w:b/>
          <w:bCs/>
          <w:color w:val="000000" w:themeColor="text1"/>
          <w:sz w:val="22"/>
          <w:szCs w:val="22"/>
        </w:rPr>
        <w:t>lls</w:t>
      </w:r>
    </w:p>
    <w:p w14:paraId="4A92DC84" w14:textId="77777777" w:rsidR="0033113F" w:rsidRPr="00B63D5E" w:rsidRDefault="0033113F" w:rsidP="0020706C">
      <w:pPr>
        <w:pStyle w:val="p1"/>
        <w:spacing w:line="360" w:lineRule="auto"/>
        <w:jc w:val="both"/>
        <w:rPr>
          <w:rFonts w:ascii="Arial" w:hAnsi="Arial" w:cs="Arial"/>
          <w:b/>
          <w:bCs/>
          <w:color w:val="000000" w:themeColor="text1"/>
          <w:sz w:val="22"/>
          <w:szCs w:val="22"/>
        </w:rPr>
      </w:pPr>
      <w:r w:rsidRPr="00B63D5E">
        <w:rPr>
          <w:rStyle w:val="s1"/>
          <w:rFonts w:ascii="Arial" w:hAnsi="Arial" w:cs="Arial"/>
          <w:b/>
          <w:bCs/>
          <w:color w:val="000000" w:themeColor="text1"/>
          <w:sz w:val="22"/>
          <w:szCs w:val="22"/>
        </w:rPr>
        <w:t>Module Code: BMHP5019</w:t>
      </w:r>
    </w:p>
    <w:p w14:paraId="7F2282A0" w14:textId="795954C8" w:rsidR="0033113F" w:rsidRPr="00B63D5E" w:rsidRDefault="0033113F" w:rsidP="0020706C">
      <w:pPr>
        <w:pStyle w:val="p1"/>
        <w:spacing w:line="360" w:lineRule="auto"/>
        <w:jc w:val="both"/>
        <w:rPr>
          <w:rFonts w:ascii="Arial" w:hAnsi="Arial" w:cs="Arial"/>
          <w:b/>
          <w:bCs/>
          <w:color w:val="000000" w:themeColor="text1"/>
          <w:sz w:val="22"/>
          <w:szCs w:val="22"/>
        </w:rPr>
      </w:pPr>
      <w:r w:rsidRPr="00B63D5E">
        <w:rPr>
          <w:rStyle w:val="s1"/>
          <w:rFonts w:ascii="Arial" w:hAnsi="Arial" w:cs="Arial"/>
          <w:b/>
          <w:bCs/>
          <w:color w:val="000000" w:themeColor="text1"/>
          <w:sz w:val="22"/>
          <w:szCs w:val="22"/>
        </w:rPr>
        <w:t xml:space="preserve">Component </w:t>
      </w:r>
      <w:r w:rsidR="005B7ABE" w:rsidRPr="00B63D5E">
        <w:rPr>
          <w:rStyle w:val="s1"/>
          <w:rFonts w:ascii="Arial" w:hAnsi="Arial" w:cs="Arial"/>
          <w:b/>
          <w:bCs/>
          <w:color w:val="000000" w:themeColor="text1"/>
          <w:sz w:val="22"/>
          <w:szCs w:val="22"/>
        </w:rPr>
        <w:t>2</w:t>
      </w:r>
      <w:r w:rsidRPr="00B63D5E">
        <w:rPr>
          <w:rStyle w:val="s1"/>
          <w:rFonts w:ascii="Arial" w:hAnsi="Arial" w:cs="Arial"/>
          <w:b/>
          <w:bCs/>
          <w:color w:val="000000" w:themeColor="text1"/>
          <w:sz w:val="22"/>
          <w:szCs w:val="22"/>
        </w:rPr>
        <w:t xml:space="preserve">: Research </w:t>
      </w:r>
    </w:p>
    <w:p w14:paraId="636C1BDA" w14:textId="77777777" w:rsidR="004D37FE" w:rsidRPr="00B63D5E" w:rsidRDefault="004D37FE" w:rsidP="0020706C">
      <w:pPr>
        <w:pStyle w:val="p1"/>
        <w:spacing w:line="360" w:lineRule="auto"/>
        <w:jc w:val="both"/>
        <w:rPr>
          <w:rStyle w:val="s1"/>
          <w:rFonts w:ascii="Arial" w:hAnsi="Arial" w:cs="Arial"/>
          <w:b/>
          <w:bCs/>
          <w:color w:val="000000" w:themeColor="text1"/>
          <w:sz w:val="22"/>
          <w:szCs w:val="22"/>
        </w:rPr>
      </w:pPr>
    </w:p>
    <w:p w14:paraId="41426DA6" w14:textId="77777777" w:rsidR="004D37FE" w:rsidRPr="00B63D5E" w:rsidRDefault="004D37FE" w:rsidP="0020706C">
      <w:pPr>
        <w:pStyle w:val="p1"/>
        <w:spacing w:line="360" w:lineRule="auto"/>
        <w:jc w:val="both"/>
        <w:rPr>
          <w:rStyle w:val="s1"/>
          <w:rFonts w:ascii="Arial" w:hAnsi="Arial" w:cs="Arial"/>
          <w:b/>
          <w:bCs/>
          <w:color w:val="000000" w:themeColor="text1"/>
          <w:sz w:val="22"/>
          <w:szCs w:val="22"/>
        </w:rPr>
      </w:pPr>
    </w:p>
    <w:p w14:paraId="2B8509CE" w14:textId="77777777" w:rsidR="004D37FE" w:rsidRPr="005B7ABE" w:rsidRDefault="004D37FE" w:rsidP="0020706C">
      <w:pPr>
        <w:pStyle w:val="p1"/>
        <w:spacing w:line="360" w:lineRule="auto"/>
        <w:jc w:val="both"/>
        <w:rPr>
          <w:rStyle w:val="s1"/>
          <w:rFonts w:ascii="Arial" w:hAnsi="Arial" w:cs="Arial"/>
          <w:color w:val="000000" w:themeColor="text1"/>
          <w:sz w:val="22"/>
          <w:szCs w:val="22"/>
        </w:rPr>
      </w:pPr>
    </w:p>
    <w:p w14:paraId="0FCDFA68" w14:textId="77777777" w:rsidR="004D37FE" w:rsidRPr="005B7ABE" w:rsidRDefault="004D37FE" w:rsidP="0020706C">
      <w:pPr>
        <w:pStyle w:val="p1"/>
        <w:spacing w:line="360" w:lineRule="auto"/>
        <w:jc w:val="both"/>
        <w:rPr>
          <w:rStyle w:val="s1"/>
          <w:rFonts w:ascii="Arial" w:hAnsi="Arial" w:cs="Arial"/>
          <w:color w:val="000000" w:themeColor="text1"/>
          <w:sz w:val="22"/>
          <w:szCs w:val="22"/>
        </w:rPr>
      </w:pPr>
    </w:p>
    <w:p w14:paraId="259B9A61" w14:textId="77777777" w:rsidR="004D37FE" w:rsidRPr="005B7ABE" w:rsidRDefault="004D37FE" w:rsidP="0020706C">
      <w:pPr>
        <w:pStyle w:val="p1"/>
        <w:spacing w:line="360" w:lineRule="auto"/>
        <w:jc w:val="both"/>
        <w:rPr>
          <w:rStyle w:val="s1"/>
          <w:rFonts w:ascii="Arial" w:hAnsi="Arial" w:cs="Arial"/>
          <w:color w:val="000000" w:themeColor="text1"/>
          <w:sz w:val="22"/>
          <w:szCs w:val="22"/>
        </w:rPr>
      </w:pPr>
    </w:p>
    <w:p w14:paraId="4D06B1D3" w14:textId="77777777" w:rsidR="004D37FE" w:rsidRPr="005B7ABE" w:rsidRDefault="004D37FE" w:rsidP="0020706C">
      <w:pPr>
        <w:pStyle w:val="p1"/>
        <w:spacing w:line="360" w:lineRule="auto"/>
        <w:jc w:val="both"/>
        <w:rPr>
          <w:rStyle w:val="s1"/>
          <w:rFonts w:ascii="Arial" w:hAnsi="Arial" w:cs="Arial"/>
          <w:color w:val="000000" w:themeColor="text1"/>
          <w:sz w:val="22"/>
          <w:szCs w:val="22"/>
        </w:rPr>
      </w:pPr>
    </w:p>
    <w:p w14:paraId="0E55C0D4" w14:textId="77777777" w:rsidR="004D37FE" w:rsidRPr="005B7ABE" w:rsidRDefault="004D37FE" w:rsidP="0020706C">
      <w:pPr>
        <w:pStyle w:val="p1"/>
        <w:spacing w:line="360" w:lineRule="auto"/>
        <w:jc w:val="both"/>
        <w:rPr>
          <w:rStyle w:val="s1"/>
          <w:rFonts w:ascii="Arial" w:hAnsi="Arial" w:cs="Arial"/>
          <w:color w:val="000000" w:themeColor="text1"/>
          <w:sz w:val="22"/>
          <w:szCs w:val="22"/>
        </w:rPr>
      </w:pPr>
    </w:p>
    <w:p w14:paraId="69FA29AF" w14:textId="14E0C798" w:rsidR="0033113F" w:rsidRPr="00B63D5E" w:rsidRDefault="0033113F" w:rsidP="0020706C">
      <w:pPr>
        <w:pStyle w:val="p1"/>
        <w:spacing w:line="360" w:lineRule="auto"/>
        <w:jc w:val="both"/>
        <w:rPr>
          <w:rFonts w:ascii="Arial" w:hAnsi="Arial" w:cs="Arial"/>
          <w:b/>
          <w:bCs/>
          <w:color w:val="000000" w:themeColor="text1"/>
          <w:sz w:val="22"/>
          <w:szCs w:val="22"/>
        </w:rPr>
      </w:pPr>
      <w:r w:rsidRPr="00B63D5E">
        <w:rPr>
          <w:rStyle w:val="s1"/>
          <w:rFonts w:ascii="Arial" w:hAnsi="Arial" w:cs="Arial"/>
          <w:b/>
          <w:bCs/>
          <w:color w:val="000000" w:themeColor="text1"/>
          <w:sz w:val="22"/>
          <w:szCs w:val="22"/>
        </w:rPr>
        <w:t>Title</w:t>
      </w:r>
    </w:p>
    <w:p w14:paraId="3D1E1EA1" w14:textId="77777777" w:rsidR="0033113F" w:rsidRPr="00B63D5E" w:rsidRDefault="0033113F" w:rsidP="0020706C">
      <w:pPr>
        <w:pStyle w:val="p1"/>
        <w:spacing w:line="360" w:lineRule="auto"/>
        <w:jc w:val="both"/>
        <w:rPr>
          <w:rFonts w:ascii="Arial" w:hAnsi="Arial" w:cs="Arial"/>
          <w:b/>
          <w:bCs/>
          <w:color w:val="000000" w:themeColor="text1"/>
          <w:sz w:val="22"/>
          <w:szCs w:val="22"/>
        </w:rPr>
      </w:pPr>
      <w:r w:rsidRPr="00B63D5E">
        <w:rPr>
          <w:rStyle w:val="s1"/>
          <w:rFonts w:ascii="Arial" w:hAnsi="Arial" w:cs="Arial"/>
          <w:b/>
          <w:bCs/>
          <w:color w:val="000000" w:themeColor="text1"/>
          <w:sz w:val="22"/>
          <w:szCs w:val="22"/>
        </w:rPr>
        <w:t>A Scoping Review of Treatment Effectiveness and Service Barriers for Obesity in Working-Age Adults (18-65) in the UK</w:t>
      </w:r>
    </w:p>
    <w:p w14:paraId="57D6DA43" w14:textId="77777777" w:rsidR="0033113F" w:rsidRPr="00B63D5E" w:rsidRDefault="0033113F" w:rsidP="0020706C">
      <w:pPr>
        <w:spacing w:line="360" w:lineRule="auto"/>
        <w:jc w:val="both"/>
        <w:rPr>
          <w:rFonts w:ascii="Arial" w:hAnsi="Arial" w:cs="Arial"/>
          <w:b/>
          <w:bCs/>
          <w:color w:val="000000" w:themeColor="text1"/>
          <w:sz w:val="22"/>
          <w:szCs w:val="22"/>
        </w:rPr>
      </w:pPr>
    </w:p>
    <w:p w14:paraId="7FDD0543" w14:textId="77777777" w:rsidR="00020071" w:rsidRPr="00B63D5E" w:rsidRDefault="00020071" w:rsidP="0020706C">
      <w:pPr>
        <w:spacing w:before="100" w:beforeAutospacing="1" w:after="100" w:afterAutospacing="1" w:line="360" w:lineRule="auto"/>
        <w:jc w:val="both"/>
        <w:outlineLvl w:val="1"/>
        <w:rPr>
          <w:rFonts w:ascii="Arial" w:eastAsia="Times New Roman" w:hAnsi="Arial" w:cs="Arial"/>
          <w:b/>
          <w:bCs/>
          <w:color w:val="000000" w:themeColor="text1"/>
          <w:kern w:val="0"/>
          <w:sz w:val="22"/>
          <w:szCs w:val="22"/>
          <w14:ligatures w14:val="none"/>
        </w:rPr>
      </w:pPr>
      <w:r w:rsidRPr="00B63D5E">
        <w:rPr>
          <w:rFonts w:ascii="Arial" w:eastAsia="Times New Roman" w:hAnsi="Arial" w:cs="Arial"/>
          <w:b/>
          <w:bCs/>
          <w:color w:val="000000" w:themeColor="text1"/>
          <w:kern w:val="0"/>
          <w:sz w:val="22"/>
          <w:szCs w:val="22"/>
          <w14:ligatures w14:val="none"/>
        </w:rPr>
        <w:t>Introduction</w:t>
      </w:r>
    </w:p>
    <w:p w14:paraId="44E98CBF" w14:textId="77777777" w:rsidR="002D2A41" w:rsidRPr="005B7ABE" w:rsidRDefault="002D2A41" w:rsidP="0020706C">
      <w:pPr>
        <w:spacing w:before="100" w:beforeAutospacing="1" w:after="100" w:afterAutospacing="1" w:line="360" w:lineRule="auto"/>
        <w:jc w:val="both"/>
        <w:rPr>
          <w:rFonts w:ascii="Arial" w:hAnsi="Arial" w:cs="Arial"/>
          <w:color w:val="000000" w:themeColor="text1"/>
          <w:kern w:val="0"/>
          <w:sz w:val="22"/>
          <w:szCs w:val="22"/>
          <w14:ligatures w14:val="none"/>
        </w:rPr>
      </w:pPr>
      <w:r w:rsidRPr="005B7ABE">
        <w:rPr>
          <w:rFonts w:ascii="Arial" w:hAnsi="Arial" w:cs="Arial"/>
          <w:color w:val="000000" w:themeColor="text1"/>
          <w:kern w:val="0"/>
          <w:sz w:val="22"/>
          <w:szCs w:val="22"/>
          <w14:ligatures w14:val="none"/>
        </w:rPr>
        <w:t>Obesity represents a complex and escalating public health challenge in the United Kingdom (UK), with significant implications for individual health, population wellbeing, and the sustainability of healthcare systems (</w:t>
      </w:r>
      <w:proofErr w:type="spellStart"/>
      <w:r w:rsidRPr="005B7ABE">
        <w:rPr>
          <w:rFonts w:ascii="Arial" w:hAnsi="Arial" w:cs="Arial"/>
          <w:color w:val="000000" w:themeColor="text1"/>
          <w:kern w:val="0"/>
          <w:sz w:val="22"/>
          <w:szCs w:val="22"/>
          <w14:ligatures w14:val="none"/>
        </w:rPr>
        <w:t>Lulia</w:t>
      </w:r>
      <w:proofErr w:type="spellEnd"/>
      <w:r w:rsidRPr="005B7ABE">
        <w:rPr>
          <w:rFonts w:ascii="Arial" w:hAnsi="Arial" w:cs="Arial"/>
          <w:color w:val="000000" w:themeColor="text1"/>
          <w:kern w:val="0"/>
          <w:sz w:val="22"/>
          <w:szCs w:val="22"/>
          <w14:ligatures w14:val="none"/>
        </w:rPr>
        <w:t xml:space="preserve"> et al., 2023; </w:t>
      </w:r>
      <w:proofErr w:type="spellStart"/>
      <w:r w:rsidRPr="005B7ABE">
        <w:rPr>
          <w:rFonts w:ascii="Arial" w:hAnsi="Arial" w:cs="Arial"/>
          <w:color w:val="000000" w:themeColor="text1"/>
          <w:kern w:val="0"/>
          <w:sz w:val="22"/>
          <w:szCs w:val="22"/>
          <w14:ligatures w14:val="none"/>
        </w:rPr>
        <w:t>Heald</w:t>
      </w:r>
      <w:proofErr w:type="spellEnd"/>
      <w:r w:rsidRPr="005B7ABE">
        <w:rPr>
          <w:rFonts w:ascii="Arial" w:hAnsi="Arial" w:cs="Arial"/>
          <w:color w:val="000000" w:themeColor="text1"/>
          <w:kern w:val="0"/>
          <w:sz w:val="22"/>
          <w:szCs w:val="22"/>
          <w14:ligatures w14:val="none"/>
        </w:rPr>
        <w:t xml:space="preserve"> et al., 2024). Commonly defined as an excessive accumulation of body fat measured using body mass index (BMI) (National Health Service, 2023), obesity is associated with a wide range of adverse outcomes, including cardiovascular disease, type 2 diabetes, respiratory illness, certain cancers, reduced quality of life, and poorer mental health (Ahmed and Mohammed, 2025; </w:t>
      </w:r>
      <w:proofErr w:type="spellStart"/>
      <w:r w:rsidRPr="005B7ABE">
        <w:rPr>
          <w:rFonts w:ascii="Arial" w:hAnsi="Arial" w:cs="Arial"/>
          <w:color w:val="000000" w:themeColor="text1"/>
          <w:kern w:val="0"/>
          <w:sz w:val="22"/>
          <w:szCs w:val="22"/>
          <w14:ligatures w14:val="none"/>
        </w:rPr>
        <w:t>Haase</w:t>
      </w:r>
      <w:proofErr w:type="spellEnd"/>
      <w:r w:rsidRPr="005B7ABE">
        <w:rPr>
          <w:rFonts w:ascii="Arial" w:hAnsi="Arial" w:cs="Arial"/>
          <w:color w:val="000000" w:themeColor="text1"/>
          <w:kern w:val="0"/>
          <w:sz w:val="22"/>
          <w:szCs w:val="22"/>
          <w14:ligatures w14:val="none"/>
        </w:rPr>
        <w:t xml:space="preserve"> et al., 2021). Increasingly, obesity is understood not as a product of individual behaviour alone, but as a multidimensional condition shaped by biological, behavioural, environmental, and social determinants (</w:t>
      </w:r>
      <w:proofErr w:type="spellStart"/>
      <w:r w:rsidRPr="005B7ABE">
        <w:rPr>
          <w:rFonts w:ascii="Arial" w:hAnsi="Arial" w:cs="Arial"/>
          <w:color w:val="000000" w:themeColor="text1"/>
          <w:kern w:val="0"/>
          <w:sz w:val="22"/>
          <w:szCs w:val="22"/>
          <w14:ligatures w14:val="none"/>
        </w:rPr>
        <w:t>Haase</w:t>
      </w:r>
      <w:proofErr w:type="spellEnd"/>
      <w:r w:rsidRPr="005B7ABE">
        <w:rPr>
          <w:rFonts w:ascii="Arial" w:hAnsi="Arial" w:cs="Arial"/>
          <w:color w:val="000000" w:themeColor="text1"/>
          <w:kern w:val="0"/>
          <w:sz w:val="22"/>
          <w:szCs w:val="22"/>
          <w14:ligatures w14:val="none"/>
        </w:rPr>
        <w:t xml:space="preserve"> et al., 2021).</w:t>
      </w:r>
    </w:p>
    <w:p w14:paraId="4EC959B9" w14:textId="77777777" w:rsidR="002D2A41" w:rsidRPr="005B7ABE" w:rsidRDefault="002D2A41" w:rsidP="0020706C">
      <w:pPr>
        <w:spacing w:before="100" w:beforeAutospacing="1" w:after="100" w:afterAutospacing="1" w:line="360" w:lineRule="auto"/>
        <w:jc w:val="both"/>
        <w:rPr>
          <w:rFonts w:ascii="Arial" w:hAnsi="Arial" w:cs="Arial"/>
          <w:color w:val="000000" w:themeColor="text1"/>
          <w:kern w:val="0"/>
          <w:sz w:val="22"/>
          <w:szCs w:val="22"/>
          <w14:ligatures w14:val="none"/>
        </w:rPr>
      </w:pPr>
    </w:p>
    <w:p w14:paraId="1D83DBFC" w14:textId="77777777" w:rsidR="002D2A41" w:rsidRPr="005B7ABE" w:rsidRDefault="002D2A41" w:rsidP="0020706C">
      <w:pPr>
        <w:spacing w:before="100" w:beforeAutospacing="1" w:after="100" w:afterAutospacing="1" w:line="360" w:lineRule="auto"/>
        <w:jc w:val="both"/>
        <w:rPr>
          <w:rFonts w:ascii="Arial" w:hAnsi="Arial" w:cs="Arial"/>
          <w:color w:val="000000" w:themeColor="text1"/>
          <w:kern w:val="0"/>
          <w:sz w:val="22"/>
          <w:szCs w:val="22"/>
          <w14:ligatures w14:val="none"/>
        </w:rPr>
      </w:pPr>
      <w:r w:rsidRPr="005B7ABE">
        <w:rPr>
          <w:rFonts w:ascii="Arial" w:hAnsi="Arial" w:cs="Arial"/>
          <w:color w:val="000000" w:themeColor="text1"/>
          <w:kern w:val="0"/>
          <w:sz w:val="22"/>
          <w:szCs w:val="22"/>
          <w14:ligatures w14:val="none"/>
        </w:rPr>
        <w:t xml:space="preserve">The scale of the issue is substantial and continues to grow. In England, 66% of adults were classified as overweight or living with obesity in 2024, including 30% living with obesity alone (Office for Health Improvement and Disparities, 2024; NHS Digital, 2026). Prevalence rises with age and is highest among adults aged 55–64 (Office for Health Improvement and Disparities, 2024). However, these patterns are not evenly distributed. Obesity is strongly </w:t>
      </w:r>
      <w:r w:rsidRPr="005B7ABE">
        <w:rPr>
          <w:rFonts w:ascii="Arial" w:hAnsi="Arial" w:cs="Arial"/>
          <w:color w:val="000000" w:themeColor="text1"/>
          <w:kern w:val="0"/>
          <w:sz w:val="22"/>
          <w:szCs w:val="22"/>
          <w14:ligatures w14:val="none"/>
        </w:rPr>
        <w:lastRenderedPageBreak/>
        <w:t>associated with socioeconomic inequality, with significantly higher prevalence observed in more deprived populations and variation across ethnic groups (Office for Health Improvement and Disparities, 2024; The Health Foundation, 2025; Higgins, 2022). For example, 71.2% of adults in the most deprived areas are overweight or obese compared to 59.4% in the least deprived areas (The Health Foundation, 2025). Such disparities indicate that obesity is embedded within broader structural and social contexts rather than functioning solely as an individual-level issue.</w:t>
      </w:r>
    </w:p>
    <w:p w14:paraId="669B1ADA" w14:textId="77777777" w:rsidR="002D2A41" w:rsidRPr="005B7ABE" w:rsidRDefault="002D2A41" w:rsidP="0020706C">
      <w:pPr>
        <w:spacing w:before="100" w:beforeAutospacing="1" w:after="100" w:afterAutospacing="1" w:line="360" w:lineRule="auto"/>
        <w:jc w:val="both"/>
        <w:rPr>
          <w:rFonts w:ascii="Arial" w:hAnsi="Arial" w:cs="Arial"/>
          <w:color w:val="000000" w:themeColor="text1"/>
          <w:kern w:val="0"/>
          <w:sz w:val="22"/>
          <w:szCs w:val="22"/>
          <w14:ligatures w14:val="none"/>
        </w:rPr>
      </w:pPr>
    </w:p>
    <w:p w14:paraId="676201E6" w14:textId="77777777" w:rsidR="002D2A41" w:rsidRPr="005B7ABE" w:rsidRDefault="002D2A41" w:rsidP="0020706C">
      <w:pPr>
        <w:spacing w:before="100" w:beforeAutospacing="1" w:after="100" w:afterAutospacing="1" w:line="360" w:lineRule="auto"/>
        <w:jc w:val="both"/>
        <w:rPr>
          <w:rFonts w:ascii="Arial" w:hAnsi="Arial" w:cs="Arial"/>
          <w:color w:val="000000" w:themeColor="text1"/>
          <w:kern w:val="0"/>
          <w:sz w:val="22"/>
          <w:szCs w:val="22"/>
          <w14:ligatures w14:val="none"/>
        </w:rPr>
      </w:pPr>
      <w:r w:rsidRPr="005B7ABE">
        <w:rPr>
          <w:rFonts w:ascii="Arial" w:hAnsi="Arial" w:cs="Arial"/>
          <w:color w:val="000000" w:themeColor="text1"/>
          <w:kern w:val="0"/>
          <w:sz w:val="22"/>
          <w:szCs w:val="22"/>
          <w14:ligatures w14:val="none"/>
        </w:rPr>
        <w:t xml:space="preserve">Despite the availability of behavioural, pharmacological, and surgical interventions, obesity remains difficult to manage effectively at both individual and population levels (Martins et al., 2020; </w:t>
      </w:r>
      <w:proofErr w:type="spellStart"/>
      <w:r w:rsidRPr="005B7ABE">
        <w:rPr>
          <w:rFonts w:ascii="Arial" w:hAnsi="Arial" w:cs="Arial"/>
          <w:color w:val="000000" w:themeColor="text1"/>
          <w:kern w:val="0"/>
          <w:sz w:val="22"/>
          <w:szCs w:val="22"/>
          <w14:ligatures w14:val="none"/>
        </w:rPr>
        <w:t>Coulman</w:t>
      </w:r>
      <w:proofErr w:type="spellEnd"/>
      <w:r w:rsidRPr="005B7ABE">
        <w:rPr>
          <w:rFonts w:ascii="Arial" w:hAnsi="Arial" w:cs="Arial"/>
          <w:color w:val="000000" w:themeColor="text1"/>
          <w:kern w:val="0"/>
          <w:sz w:val="22"/>
          <w:szCs w:val="22"/>
          <w14:ligatures w14:val="none"/>
        </w:rPr>
        <w:t xml:space="preserve"> et al., 2023; Flint et al., 2021). Evidence suggests that treatment outcomes are inconsistent and influenced by wider behavioural and systemic factors rather than intervention type alone (Martins et al., 2020; </w:t>
      </w:r>
      <w:proofErr w:type="spellStart"/>
      <w:r w:rsidRPr="005B7ABE">
        <w:rPr>
          <w:rFonts w:ascii="Arial" w:hAnsi="Arial" w:cs="Arial"/>
          <w:color w:val="000000" w:themeColor="text1"/>
          <w:kern w:val="0"/>
          <w:sz w:val="22"/>
          <w:szCs w:val="22"/>
          <w14:ligatures w14:val="none"/>
        </w:rPr>
        <w:t>Coulman</w:t>
      </w:r>
      <w:proofErr w:type="spellEnd"/>
      <w:r w:rsidRPr="005B7ABE">
        <w:rPr>
          <w:rFonts w:ascii="Arial" w:hAnsi="Arial" w:cs="Arial"/>
          <w:color w:val="000000" w:themeColor="text1"/>
          <w:kern w:val="0"/>
          <w:sz w:val="22"/>
          <w:szCs w:val="22"/>
          <w14:ligatures w14:val="none"/>
        </w:rPr>
        <w:t xml:space="preserve"> et al., 2023). Furthermore, access to obesity-related healthcare is uneven, with barriers including stigma, limited service provision, and unequal access to specialist care, particularly among disadvantaged groups (Flint et al., 2021; </w:t>
      </w:r>
      <w:proofErr w:type="spellStart"/>
      <w:r w:rsidRPr="005B7ABE">
        <w:rPr>
          <w:rFonts w:ascii="Arial" w:hAnsi="Arial" w:cs="Arial"/>
          <w:color w:val="000000" w:themeColor="text1"/>
          <w:kern w:val="0"/>
          <w:sz w:val="22"/>
          <w:szCs w:val="22"/>
          <w14:ligatures w14:val="none"/>
        </w:rPr>
        <w:t>Coulman</w:t>
      </w:r>
      <w:proofErr w:type="spellEnd"/>
      <w:r w:rsidRPr="005B7ABE">
        <w:rPr>
          <w:rFonts w:ascii="Arial" w:hAnsi="Arial" w:cs="Arial"/>
          <w:color w:val="000000" w:themeColor="text1"/>
          <w:kern w:val="0"/>
          <w:sz w:val="22"/>
          <w:szCs w:val="22"/>
          <w14:ligatures w14:val="none"/>
        </w:rPr>
        <w:t xml:space="preserve"> et al., 2023). These challenges are reinforced by broader health behaviours, including low dietary quality and higher levels of physical inactivity in deprived populations (Office for Health Improvement and Disparities, 2024).</w:t>
      </w:r>
    </w:p>
    <w:p w14:paraId="35EFB331" w14:textId="77777777" w:rsidR="002D2A41" w:rsidRPr="005B7ABE" w:rsidRDefault="002D2A41" w:rsidP="0020706C">
      <w:pPr>
        <w:spacing w:before="100" w:beforeAutospacing="1" w:after="100" w:afterAutospacing="1" w:line="360" w:lineRule="auto"/>
        <w:jc w:val="both"/>
        <w:rPr>
          <w:rFonts w:ascii="Arial" w:hAnsi="Arial" w:cs="Arial"/>
          <w:color w:val="000000" w:themeColor="text1"/>
          <w:kern w:val="0"/>
          <w:sz w:val="22"/>
          <w:szCs w:val="22"/>
          <w14:ligatures w14:val="none"/>
        </w:rPr>
      </w:pPr>
    </w:p>
    <w:p w14:paraId="47BA2216" w14:textId="77777777" w:rsidR="002D2A41" w:rsidRPr="005B7ABE" w:rsidRDefault="002D2A41" w:rsidP="0020706C">
      <w:pPr>
        <w:spacing w:before="100" w:beforeAutospacing="1" w:after="100" w:afterAutospacing="1" w:line="360" w:lineRule="auto"/>
        <w:jc w:val="both"/>
        <w:rPr>
          <w:rFonts w:ascii="Arial" w:hAnsi="Arial" w:cs="Arial"/>
          <w:color w:val="000000" w:themeColor="text1"/>
          <w:kern w:val="0"/>
          <w:sz w:val="22"/>
          <w:szCs w:val="22"/>
          <w14:ligatures w14:val="none"/>
        </w:rPr>
      </w:pPr>
      <w:r w:rsidRPr="005B7ABE">
        <w:rPr>
          <w:rFonts w:ascii="Arial" w:hAnsi="Arial" w:cs="Arial"/>
          <w:color w:val="000000" w:themeColor="text1"/>
          <w:kern w:val="0"/>
          <w:sz w:val="22"/>
          <w:szCs w:val="22"/>
          <w14:ligatures w14:val="none"/>
        </w:rPr>
        <w:t>A scoping review is an appropriate methodological approach for examining such a complex issue, as it allows for the mapping of diverse evidence, identification of key themes, and recognition of gaps in the literature (</w:t>
      </w:r>
      <w:proofErr w:type="spellStart"/>
      <w:r w:rsidRPr="005B7ABE">
        <w:rPr>
          <w:rFonts w:ascii="Arial" w:hAnsi="Arial" w:cs="Arial"/>
          <w:color w:val="000000" w:themeColor="text1"/>
          <w:kern w:val="0"/>
          <w:sz w:val="22"/>
          <w:szCs w:val="22"/>
          <w14:ligatures w14:val="none"/>
        </w:rPr>
        <w:t>Arksey</w:t>
      </w:r>
      <w:proofErr w:type="spellEnd"/>
      <w:r w:rsidRPr="005B7ABE">
        <w:rPr>
          <w:rFonts w:ascii="Arial" w:hAnsi="Arial" w:cs="Arial"/>
          <w:color w:val="000000" w:themeColor="text1"/>
          <w:kern w:val="0"/>
          <w:sz w:val="22"/>
          <w:szCs w:val="22"/>
          <w14:ligatures w14:val="none"/>
        </w:rPr>
        <w:t xml:space="preserve"> and O’Malley, 2005). In the context of obesity, this approach enables simultaneous consideration of treatment effectiveness and the structural factors influencing access to care.</w:t>
      </w:r>
    </w:p>
    <w:p w14:paraId="4ABA842D" w14:textId="77777777" w:rsidR="002D2A41" w:rsidRPr="005B7ABE" w:rsidRDefault="002D2A41" w:rsidP="0020706C">
      <w:pPr>
        <w:spacing w:before="100" w:beforeAutospacing="1" w:after="100" w:afterAutospacing="1" w:line="360" w:lineRule="auto"/>
        <w:jc w:val="both"/>
        <w:rPr>
          <w:rFonts w:ascii="Arial" w:hAnsi="Arial" w:cs="Arial"/>
          <w:color w:val="000000" w:themeColor="text1"/>
          <w:kern w:val="0"/>
          <w:sz w:val="22"/>
          <w:szCs w:val="22"/>
          <w14:ligatures w14:val="none"/>
        </w:rPr>
      </w:pPr>
    </w:p>
    <w:p w14:paraId="706D988C" w14:textId="77777777" w:rsidR="002D2A41" w:rsidRPr="005B7ABE" w:rsidRDefault="002D2A41" w:rsidP="0020706C">
      <w:pPr>
        <w:spacing w:before="100" w:beforeAutospacing="1" w:after="100" w:afterAutospacing="1" w:line="360" w:lineRule="auto"/>
        <w:jc w:val="both"/>
        <w:rPr>
          <w:rFonts w:ascii="Arial" w:hAnsi="Arial" w:cs="Arial"/>
          <w:color w:val="000000" w:themeColor="text1"/>
          <w:kern w:val="0"/>
          <w:sz w:val="22"/>
          <w:szCs w:val="22"/>
          <w14:ligatures w14:val="none"/>
        </w:rPr>
      </w:pPr>
      <w:r w:rsidRPr="005B7ABE">
        <w:rPr>
          <w:rFonts w:ascii="Arial" w:hAnsi="Arial" w:cs="Arial"/>
          <w:color w:val="000000" w:themeColor="text1"/>
          <w:kern w:val="0"/>
          <w:sz w:val="22"/>
          <w:szCs w:val="22"/>
          <w14:ligatures w14:val="none"/>
        </w:rPr>
        <w:t>Taken together, the evidence indicates that obesity is shaped by interrelated clinical, social, and systemic factors. There remains a need to critically synthesise current literature to understand both the effectiveness of available treatments and the structural barriers that limit equitable access among working-age adults in the UK. Such analysis is essential for informing future research, improving service design, and strengthening public health policy.</w:t>
      </w:r>
    </w:p>
    <w:p w14:paraId="3C680699" w14:textId="77777777" w:rsidR="00020071" w:rsidRPr="005B7ABE" w:rsidRDefault="00020071" w:rsidP="0020706C">
      <w:pPr>
        <w:spacing w:before="100" w:beforeAutospacing="1" w:after="100" w:afterAutospacing="1" w:line="360" w:lineRule="auto"/>
        <w:jc w:val="both"/>
        <w:rPr>
          <w:rFonts w:ascii="Arial" w:hAnsi="Arial" w:cs="Arial"/>
          <w:color w:val="000000" w:themeColor="text1"/>
          <w:kern w:val="0"/>
          <w:sz w:val="22"/>
          <w:szCs w:val="22"/>
          <w14:ligatures w14:val="none"/>
        </w:rPr>
      </w:pPr>
    </w:p>
    <w:p w14:paraId="7DD1E96E" w14:textId="77777777" w:rsidR="00020071" w:rsidRPr="005B7ABE" w:rsidRDefault="00020071" w:rsidP="0020706C">
      <w:pPr>
        <w:spacing w:before="100" w:beforeAutospacing="1" w:after="100" w:afterAutospacing="1" w:line="360" w:lineRule="auto"/>
        <w:jc w:val="both"/>
        <w:rPr>
          <w:rFonts w:ascii="Arial" w:hAnsi="Arial" w:cs="Arial"/>
          <w:color w:val="000000" w:themeColor="text1"/>
          <w:kern w:val="0"/>
          <w:sz w:val="22"/>
          <w:szCs w:val="22"/>
          <w14:ligatures w14:val="none"/>
        </w:rPr>
      </w:pPr>
      <w:r w:rsidRPr="005B7ABE">
        <w:rPr>
          <w:rFonts w:ascii="Arial" w:hAnsi="Arial" w:cs="Arial"/>
          <w:color w:val="000000" w:themeColor="text1"/>
          <w:kern w:val="0"/>
          <w:sz w:val="22"/>
          <w:szCs w:val="22"/>
          <w14:ligatures w14:val="none"/>
        </w:rPr>
        <w:lastRenderedPageBreak/>
        <w:t>This scoping review is guided by the following review question:</w:t>
      </w:r>
    </w:p>
    <w:p w14:paraId="78F51698" w14:textId="77777777" w:rsidR="00020071" w:rsidRPr="005B7ABE" w:rsidRDefault="00020071" w:rsidP="0020706C">
      <w:pPr>
        <w:spacing w:before="100" w:beforeAutospacing="1" w:after="100" w:afterAutospacing="1" w:line="360" w:lineRule="auto"/>
        <w:jc w:val="both"/>
        <w:rPr>
          <w:rFonts w:ascii="Arial" w:hAnsi="Arial" w:cs="Arial"/>
          <w:color w:val="000000" w:themeColor="text1"/>
          <w:kern w:val="0"/>
          <w:sz w:val="22"/>
          <w:szCs w:val="22"/>
          <w14:ligatures w14:val="none"/>
        </w:rPr>
      </w:pPr>
    </w:p>
    <w:p w14:paraId="6D70CC2A" w14:textId="77777777" w:rsidR="00020071" w:rsidRPr="00B63D5E" w:rsidRDefault="00020071" w:rsidP="0020706C">
      <w:pPr>
        <w:spacing w:before="100" w:beforeAutospacing="1" w:after="100" w:afterAutospacing="1" w:line="360" w:lineRule="auto"/>
        <w:jc w:val="both"/>
        <w:rPr>
          <w:rFonts w:ascii="Arial" w:hAnsi="Arial" w:cs="Arial"/>
          <w:b/>
          <w:bCs/>
          <w:color w:val="000000" w:themeColor="text1"/>
          <w:kern w:val="0"/>
          <w:sz w:val="22"/>
          <w:szCs w:val="22"/>
          <w14:ligatures w14:val="none"/>
        </w:rPr>
      </w:pPr>
      <w:r w:rsidRPr="00B63D5E">
        <w:rPr>
          <w:rFonts w:ascii="Arial" w:hAnsi="Arial" w:cs="Arial"/>
          <w:b/>
          <w:bCs/>
          <w:color w:val="000000" w:themeColor="text1"/>
          <w:kern w:val="0"/>
          <w:sz w:val="22"/>
          <w:szCs w:val="22"/>
          <w14:ligatures w14:val="none"/>
        </w:rPr>
        <w:t>What is the effectiveness of obesity treatments, and what structural factors influence access to these interventions among working-age adults (18–65) in the UK?</w:t>
      </w:r>
    </w:p>
    <w:p w14:paraId="1B554658" w14:textId="77777777" w:rsidR="00020071" w:rsidRPr="005B7ABE" w:rsidRDefault="00020071" w:rsidP="0020706C">
      <w:pPr>
        <w:spacing w:before="100" w:beforeAutospacing="1" w:after="100" w:afterAutospacing="1" w:line="360" w:lineRule="auto"/>
        <w:jc w:val="both"/>
        <w:rPr>
          <w:rFonts w:ascii="Arial" w:hAnsi="Arial" w:cs="Arial"/>
          <w:color w:val="000000" w:themeColor="text1"/>
          <w:kern w:val="0"/>
          <w:sz w:val="22"/>
          <w:szCs w:val="22"/>
          <w14:ligatures w14:val="none"/>
        </w:rPr>
      </w:pPr>
    </w:p>
    <w:p w14:paraId="317864C7" w14:textId="77777777" w:rsidR="00020071" w:rsidRPr="005B7ABE" w:rsidRDefault="00020071" w:rsidP="0020706C">
      <w:pPr>
        <w:spacing w:before="100" w:beforeAutospacing="1" w:after="100" w:afterAutospacing="1" w:line="360" w:lineRule="auto"/>
        <w:jc w:val="both"/>
        <w:rPr>
          <w:rFonts w:ascii="Arial" w:hAnsi="Arial" w:cs="Arial"/>
          <w:color w:val="000000" w:themeColor="text1"/>
          <w:kern w:val="0"/>
          <w:sz w:val="22"/>
          <w:szCs w:val="22"/>
          <w14:ligatures w14:val="none"/>
        </w:rPr>
      </w:pPr>
      <w:r w:rsidRPr="005B7ABE">
        <w:rPr>
          <w:rFonts w:ascii="Arial" w:hAnsi="Arial" w:cs="Arial"/>
          <w:color w:val="000000" w:themeColor="text1"/>
          <w:kern w:val="0"/>
          <w:sz w:val="22"/>
          <w:szCs w:val="22"/>
          <w14:ligatures w14:val="none"/>
        </w:rPr>
        <w:t>The objectives of this review are:</w:t>
      </w:r>
    </w:p>
    <w:p w14:paraId="72BEF2B8" w14:textId="77777777" w:rsidR="00020071" w:rsidRPr="005B7ABE" w:rsidRDefault="00020071" w:rsidP="0020706C">
      <w:pPr>
        <w:numPr>
          <w:ilvl w:val="0"/>
          <w:numId w:val="2"/>
        </w:numPr>
        <w:spacing w:before="100" w:beforeAutospacing="1" w:after="100" w:afterAutospacing="1" w:line="360" w:lineRule="auto"/>
        <w:jc w:val="both"/>
        <w:rPr>
          <w:rFonts w:ascii="Arial" w:hAnsi="Arial" w:cs="Arial"/>
          <w:color w:val="000000" w:themeColor="text1"/>
          <w:kern w:val="0"/>
          <w:sz w:val="22"/>
          <w:szCs w:val="22"/>
          <w14:ligatures w14:val="none"/>
        </w:rPr>
      </w:pPr>
      <w:r w:rsidRPr="005B7ABE">
        <w:rPr>
          <w:rFonts w:ascii="Arial" w:hAnsi="Arial" w:cs="Arial"/>
          <w:color w:val="000000" w:themeColor="text1"/>
          <w:kern w:val="0"/>
          <w:sz w:val="22"/>
          <w:szCs w:val="22"/>
          <w14:ligatures w14:val="none"/>
        </w:rPr>
        <w:t>to identify and evaluate the effectiveness of obesity treatments, including behavioural, pharmacological, and surgical interventions;</w:t>
      </w:r>
    </w:p>
    <w:p w14:paraId="2272612D" w14:textId="77777777" w:rsidR="00020071" w:rsidRPr="005B7ABE" w:rsidRDefault="00020071" w:rsidP="0020706C">
      <w:pPr>
        <w:numPr>
          <w:ilvl w:val="0"/>
          <w:numId w:val="2"/>
        </w:numPr>
        <w:spacing w:before="100" w:beforeAutospacing="1" w:after="100" w:afterAutospacing="1" w:line="360" w:lineRule="auto"/>
        <w:jc w:val="both"/>
        <w:rPr>
          <w:rFonts w:ascii="Arial" w:hAnsi="Arial" w:cs="Arial"/>
          <w:color w:val="000000" w:themeColor="text1"/>
          <w:kern w:val="0"/>
          <w:sz w:val="22"/>
          <w:szCs w:val="22"/>
          <w14:ligatures w14:val="none"/>
        </w:rPr>
      </w:pPr>
      <w:r w:rsidRPr="005B7ABE">
        <w:rPr>
          <w:rFonts w:ascii="Arial" w:hAnsi="Arial" w:cs="Arial"/>
          <w:color w:val="000000" w:themeColor="text1"/>
          <w:kern w:val="0"/>
          <w:sz w:val="22"/>
          <w:szCs w:val="22"/>
          <w14:ligatures w14:val="none"/>
        </w:rPr>
        <w:t>to examine structural and service-level barriers that influence access to obesity treatment services;</w:t>
      </w:r>
    </w:p>
    <w:p w14:paraId="1906B738" w14:textId="77777777" w:rsidR="00020071" w:rsidRPr="005B7ABE" w:rsidRDefault="00020071" w:rsidP="0020706C">
      <w:pPr>
        <w:numPr>
          <w:ilvl w:val="0"/>
          <w:numId w:val="2"/>
        </w:numPr>
        <w:spacing w:before="100" w:beforeAutospacing="1" w:after="100" w:afterAutospacing="1" w:line="360" w:lineRule="auto"/>
        <w:jc w:val="both"/>
        <w:rPr>
          <w:rFonts w:ascii="Arial" w:hAnsi="Arial" w:cs="Arial"/>
          <w:color w:val="000000" w:themeColor="text1"/>
          <w:kern w:val="0"/>
          <w:sz w:val="22"/>
          <w:szCs w:val="22"/>
          <w14:ligatures w14:val="none"/>
        </w:rPr>
      </w:pPr>
      <w:r w:rsidRPr="005B7ABE">
        <w:rPr>
          <w:rFonts w:ascii="Arial" w:hAnsi="Arial" w:cs="Arial"/>
          <w:color w:val="000000" w:themeColor="text1"/>
          <w:kern w:val="0"/>
          <w:sz w:val="22"/>
          <w:szCs w:val="22"/>
          <w14:ligatures w14:val="none"/>
        </w:rPr>
        <w:t>to explore the impact of socioeconomic inequalities on treatment outcomes and healthcare accessibility; and</w:t>
      </w:r>
    </w:p>
    <w:p w14:paraId="31AF97D7" w14:textId="77777777" w:rsidR="00020071" w:rsidRPr="005B7ABE" w:rsidRDefault="00020071" w:rsidP="0020706C">
      <w:pPr>
        <w:numPr>
          <w:ilvl w:val="0"/>
          <w:numId w:val="2"/>
        </w:numPr>
        <w:spacing w:before="100" w:beforeAutospacing="1" w:after="100" w:afterAutospacing="1" w:line="360" w:lineRule="auto"/>
        <w:jc w:val="both"/>
        <w:rPr>
          <w:rFonts w:ascii="Arial" w:hAnsi="Arial" w:cs="Arial"/>
          <w:color w:val="000000" w:themeColor="text1"/>
          <w:kern w:val="0"/>
          <w:sz w:val="22"/>
          <w:szCs w:val="22"/>
          <w14:ligatures w14:val="none"/>
        </w:rPr>
      </w:pPr>
      <w:r w:rsidRPr="005B7ABE">
        <w:rPr>
          <w:rFonts w:ascii="Arial" w:hAnsi="Arial" w:cs="Arial"/>
          <w:color w:val="000000" w:themeColor="text1"/>
          <w:kern w:val="0"/>
          <w:sz w:val="22"/>
          <w:szCs w:val="22"/>
          <w14:ligatures w14:val="none"/>
        </w:rPr>
        <w:t>to identify gaps in the current literature in order to inform future research, policy, and practice.</w:t>
      </w:r>
    </w:p>
    <w:p w14:paraId="60DE0A39" w14:textId="77777777" w:rsidR="00E9447C" w:rsidRPr="005B7ABE" w:rsidRDefault="00E9447C" w:rsidP="0020706C">
      <w:pPr>
        <w:spacing w:line="360" w:lineRule="auto"/>
        <w:jc w:val="both"/>
        <w:rPr>
          <w:rFonts w:ascii="Arial" w:hAnsi="Arial" w:cs="Arial"/>
          <w:color w:val="000000" w:themeColor="text1"/>
          <w:sz w:val="22"/>
          <w:szCs w:val="22"/>
        </w:rPr>
      </w:pPr>
    </w:p>
    <w:p w14:paraId="1508E5E6" w14:textId="77777777" w:rsidR="00E9447C" w:rsidRPr="005B7ABE" w:rsidRDefault="00E9447C" w:rsidP="0020706C">
      <w:pPr>
        <w:spacing w:line="360" w:lineRule="auto"/>
        <w:jc w:val="both"/>
        <w:rPr>
          <w:rFonts w:ascii="Arial" w:hAnsi="Arial" w:cs="Arial"/>
          <w:color w:val="000000" w:themeColor="text1"/>
          <w:sz w:val="22"/>
          <w:szCs w:val="22"/>
        </w:rPr>
      </w:pPr>
    </w:p>
    <w:p w14:paraId="4BE9EB2F" w14:textId="77777777" w:rsidR="00E9447C" w:rsidRPr="00B63D5E" w:rsidRDefault="00E9447C" w:rsidP="0020706C">
      <w:pPr>
        <w:spacing w:before="100" w:beforeAutospacing="1" w:after="100" w:afterAutospacing="1" w:line="360" w:lineRule="auto"/>
        <w:jc w:val="both"/>
        <w:outlineLvl w:val="1"/>
        <w:rPr>
          <w:rFonts w:ascii="Arial" w:eastAsia="Times New Roman" w:hAnsi="Arial" w:cs="Arial"/>
          <w:b/>
          <w:bCs/>
          <w:color w:val="000000" w:themeColor="text1"/>
          <w:kern w:val="0"/>
          <w:sz w:val="22"/>
          <w:szCs w:val="22"/>
          <w14:ligatures w14:val="none"/>
        </w:rPr>
      </w:pPr>
      <w:r w:rsidRPr="00B63D5E">
        <w:rPr>
          <w:rFonts w:ascii="Arial" w:eastAsia="Times New Roman" w:hAnsi="Arial" w:cs="Arial"/>
          <w:b/>
          <w:bCs/>
          <w:color w:val="000000" w:themeColor="text1"/>
          <w:kern w:val="0"/>
          <w:sz w:val="22"/>
          <w:szCs w:val="22"/>
          <w14:ligatures w14:val="none"/>
        </w:rPr>
        <w:t>Background</w:t>
      </w:r>
    </w:p>
    <w:p w14:paraId="67F03F1E" w14:textId="77777777" w:rsidR="00E9447C" w:rsidRPr="005B7ABE" w:rsidRDefault="00E9447C" w:rsidP="0020706C">
      <w:pPr>
        <w:spacing w:before="100" w:beforeAutospacing="1" w:after="100" w:afterAutospacing="1" w:line="360" w:lineRule="auto"/>
        <w:jc w:val="both"/>
        <w:rPr>
          <w:rFonts w:ascii="Arial" w:hAnsi="Arial" w:cs="Arial"/>
          <w:color w:val="000000" w:themeColor="text1"/>
          <w:kern w:val="0"/>
          <w:sz w:val="22"/>
          <w:szCs w:val="22"/>
          <w14:ligatures w14:val="none"/>
        </w:rPr>
      </w:pPr>
    </w:p>
    <w:p w14:paraId="06B241F6" w14:textId="513B3CC5" w:rsidR="00E9447C" w:rsidRPr="005B7ABE" w:rsidRDefault="00E9447C" w:rsidP="0020706C">
      <w:pPr>
        <w:spacing w:before="100" w:beforeAutospacing="1" w:after="100" w:afterAutospacing="1" w:line="360" w:lineRule="auto"/>
        <w:jc w:val="both"/>
        <w:rPr>
          <w:rFonts w:ascii="Arial" w:hAnsi="Arial" w:cs="Arial"/>
          <w:color w:val="000000" w:themeColor="text1"/>
          <w:kern w:val="0"/>
          <w:sz w:val="22"/>
          <w:szCs w:val="22"/>
          <w14:ligatures w14:val="none"/>
        </w:rPr>
      </w:pPr>
      <w:r w:rsidRPr="005B7ABE">
        <w:rPr>
          <w:rFonts w:ascii="Arial" w:hAnsi="Arial" w:cs="Arial"/>
          <w:color w:val="000000" w:themeColor="text1"/>
          <w:kern w:val="0"/>
          <w:sz w:val="22"/>
          <w:szCs w:val="22"/>
          <w14:ligatures w14:val="none"/>
        </w:rPr>
        <w:t xml:space="preserve">Obesity is a key public health priority within the United Kingdom, reflecting both its high prevalence and its significant impact on health outcomes and healthcare systems. National data indicate that 66% of adults in England are overweight or living with obesity, with 30% classified as obese, and prevalence increasing with age (NHS Digital, 2026). Furthermore, obesity is unevenly distributed across the population, with higher rates observed among individuals living in deprived areas, older adults, and certain ethnic groups, highlighting its strong association with socioeconomic and demographic inequalities (The Health Foundation, 2025; </w:t>
      </w:r>
      <w:r w:rsidR="005B04F1" w:rsidRPr="005B7ABE">
        <w:rPr>
          <w:rFonts w:ascii="Arial" w:hAnsi="Arial" w:cs="Arial"/>
          <w:color w:val="000000" w:themeColor="text1"/>
          <w:kern w:val="0"/>
          <w:sz w:val="22"/>
          <w:szCs w:val="22"/>
          <w14:ligatures w14:val="none"/>
        </w:rPr>
        <w:t>Ghosh, Khan and Vohra,</w:t>
      </w:r>
      <w:r w:rsidRPr="005B7ABE">
        <w:rPr>
          <w:rFonts w:ascii="Arial" w:hAnsi="Arial" w:cs="Arial"/>
          <w:color w:val="000000" w:themeColor="text1"/>
          <w:kern w:val="0"/>
          <w:sz w:val="22"/>
          <w:szCs w:val="22"/>
          <w14:ligatures w14:val="none"/>
        </w:rPr>
        <w:t xml:space="preserve"> 2023; Higgins, 2022). These patterns suggest that obesity should be understood within a broader public health and inequality framework rather than as an individual-level issue alone.</w:t>
      </w:r>
    </w:p>
    <w:p w14:paraId="7F992898" w14:textId="02DF3F3C" w:rsidR="00E9447C" w:rsidRPr="005B7ABE" w:rsidRDefault="00E9447C" w:rsidP="0020706C">
      <w:pPr>
        <w:spacing w:after="0" w:line="360" w:lineRule="auto"/>
        <w:jc w:val="both"/>
        <w:rPr>
          <w:rFonts w:ascii="Arial" w:eastAsia="Times New Roman" w:hAnsi="Arial" w:cs="Arial"/>
          <w:color w:val="000000" w:themeColor="text1"/>
          <w:kern w:val="0"/>
          <w:sz w:val="22"/>
          <w:szCs w:val="22"/>
          <w14:ligatures w14:val="none"/>
        </w:rPr>
      </w:pPr>
    </w:p>
    <w:p w14:paraId="31B75232" w14:textId="77777777" w:rsidR="00E9447C" w:rsidRPr="00B63D5E" w:rsidRDefault="00E9447C" w:rsidP="0020706C">
      <w:pPr>
        <w:spacing w:before="100" w:beforeAutospacing="1" w:after="100" w:afterAutospacing="1" w:line="360" w:lineRule="auto"/>
        <w:jc w:val="both"/>
        <w:outlineLvl w:val="1"/>
        <w:rPr>
          <w:rFonts w:ascii="Arial" w:hAnsi="Arial" w:cs="Arial"/>
          <w:b/>
          <w:bCs/>
          <w:color w:val="000000" w:themeColor="text1"/>
          <w:kern w:val="0"/>
          <w:sz w:val="22"/>
          <w:szCs w:val="22"/>
          <w14:ligatures w14:val="none"/>
        </w:rPr>
      </w:pPr>
      <w:r w:rsidRPr="00B63D5E">
        <w:rPr>
          <w:rFonts w:ascii="Arial" w:eastAsia="Times New Roman" w:hAnsi="Arial" w:cs="Arial"/>
          <w:b/>
          <w:bCs/>
          <w:color w:val="000000" w:themeColor="text1"/>
          <w:kern w:val="0"/>
          <w:sz w:val="22"/>
          <w:szCs w:val="22"/>
          <w14:ligatures w14:val="none"/>
        </w:rPr>
        <w:lastRenderedPageBreak/>
        <w:t>Policy and Guideline Context</w:t>
      </w:r>
    </w:p>
    <w:p w14:paraId="60D90F1F" w14:textId="77777777" w:rsidR="00E9447C" w:rsidRPr="005B7ABE" w:rsidRDefault="00E9447C" w:rsidP="0020706C">
      <w:pPr>
        <w:spacing w:before="100" w:beforeAutospacing="1" w:after="100" w:afterAutospacing="1" w:line="360" w:lineRule="auto"/>
        <w:jc w:val="both"/>
        <w:rPr>
          <w:rFonts w:ascii="Arial" w:hAnsi="Arial" w:cs="Arial"/>
          <w:color w:val="000000" w:themeColor="text1"/>
          <w:kern w:val="0"/>
          <w:sz w:val="22"/>
          <w:szCs w:val="22"/>
          <w14:ligatures w14:val="none"/>
        </w:rPr>
      </w:pPr>
    </w:p>
    <w:p w14:paraId="0225F2A1" w14:textId="416FB85C" w:rsidR="00E9447C" w:rsidRPr="005B7ABE" w:rsidRDefault="00E9447C" w:rsidP="0020706C">
      <w:pPr>
        <w:spacing w:before="100" w:beforeAutospacing="1" w:after="100" w:afterAutospacing="1" w:line="360" w:lineRule="auto"/>
        <w:jc w:val="both"/>
        <w:rPr>
          <w:rFonts w:ascii="Arial" w:hAnsi="Arial" w:cs="Arial"/>
          <w:color w:val="000000" w:themeColor="text1"/>
          <w:kern w:val="0"/>
          <w:sz w:val="22"/>
          <w:szCs w:val="22"/>
          <w14:ligatures w14:val="none"/>
        </w:rPr>
      </w:pPr>
      <w:r w:rsidRPr="005B7ABE">
        <w:rPr>
          <w:rFonts w:ascii="Arial" w:hAnsi="Arial" w:cs="Arial"/>
          <w:color w:val="000000" w:themeColor="text1"/>
          <w:kern w:val="0"/>
          <w:sz w:val="22"/>
          <w:szCs w:val="22"/>
          <w14:ligatures w14:val="none"/>
        </w:rPr>
        <w:t xml:space="preserve">In response to the growing burden of obesity, UK policy has increasingly adopted a whole-system and integrated approach to prevention and management. The </w:t>
      </w:r>
      <w:r w:rsidR="008156D2" w:rsidRPr="005B7ABE">
        <w:rPr>
          <w:rFonts w:ascii="Arial" w:hAnsi="Arial" w:cs="Arial"/>
          <w:color w:val="000000" w:themeColor="text1"/>
          <w:kern w:val="0"/>
          <w:sz w:val="22"/>
          <w:szCs w:val="22"/>
          <w14:ligatures w14:val="none"/>
        </w:rPr>
        <w:t xml:space="preserve">Public Health England </w:t>
      </w:r>
      <w:r w:rsidRPr="005B7ABE">
        <w:rPr>
          <w:rFonts w:ascii="Arial" w:hAnsi="Arial" w:cs="Arial"/>
          <w:color w:val="000000" w:themeColor="text1"/>
          <w:kern w:val="0"/>
          <w:sz w:val="22"/>
          <w:szCs w:val="22"/>
          <w14:ligatures w14:val="none"/>
        </w:rPr>
        <w:t>(20</w:t>
      </w:r>
      <w:r w:rsidR="00AA7425" w:rsidRPr="005B7ABE">
        <w:rPr>
          <w:rFonts w:ascii="Arial" w:hAnsi="Arial" w:cs="Arial"/>
          <w:color w:val="000000" w:themeColor="text1"/>
          <w:kern w:val="0"/>
          <w:sz w:val="22"/>
          <w:szCs w:val="22"/>
          <w14:ligatures w14:val="none"/>
        </w:rPr>
        <w:t>20</w:t>
      </w:r>
      <w:r w:rsidRPr="005B7ABE">
        <w:rPr>
          <w:rFonts w:ascii="Arial" w:hAnsi="Arial" w:cs="Arial"/>
          <w:color w:val="000000" w:themeColor="text1"/>
          <w:kern w:val="0"/>
          <w:sz w:val="22"/>
          <w:szCs w:val="22"/>
          <w14:ligatures w14:val="none"/>
        </w:rPr>
        <w:t xml:space="preserve">) introduced a </w:t>
      </w:r>
      <w:r w:rsidR="00AA7425" w:rsidRPr="005B7ABE">
        <w:rPr>
          <w:rFonts w:ascii="Arial" w:hAnsi="Arial" w:cs="Arial"/>
          <w:color w:val="000000" w:themeColor="text1"/>
          <w:kern w:val="0"/>
          <w:sz w:val="22"/>
          <w:szCs w:val="22"/>
          <w14:ligatures w14:val="none"/>
        </w:rPr>
        <w:t>‘W</w:t>
      </w:r>
      <w:r w:rsidRPr="005B7ABE">
        <w:rPr>
          <w:rFonts w:ascii="Arial" w:hAnsi="Arial" w:cs="Arial"/>
          <w:color w:val="000000" w:themeColor="text1"/>
          <w:kern w:val="0"/>
          <w:sz w:val="22"/>
          <w:szCs w:val="22"/>
          <w14:ligatures w14:val="none"/>
        </w:rPr>
        <w:t>hole systems approach to obesity</w:t>
      </w:r>
      <w:r w:rsidR="00AA7425" w:rsidRPr="005B7ABE">
        <w:rPr>
          <w:rFonts w:ascii="Arial" w:hAnsi="Arial" w:cs="Arial"/>
          <w:color w:val="000000" w:themeColor="text1"/>
          <w:kern w:val="0"/>
          <w:sz w:val="22"/>
          <w:szCs w:val="22"/>
          <w14:ligatures w14:val="none"/>
        </w:rPr>
        <w:t>’</w:t>
      </w:r>
      <w:r w:rsidRPr="005B7ABE">
        <w:rPr>
          <w:rFonts w:ascii="Arial" w:hAnsi="Arial" w:cs="Arial"/>
          <w:color w:val="000000" w:themeColor="text1"/>
          <w:kern w:val="0"/>
          <w:sz w:val="22"/>
          <w:szCs w:val="22"/>
          <w14:ligatures w14:val="none"/>
        </w:rPr>
        <w:t>, emphasising the need to address environmental, social, and behavioural determinants of health through coordinated action across sectors. This reflects a shift away from individual-focused interventions towards recognising the wider structural influences on obesity.</w:t>
      </w:r>
    </w:p>
    <w:p w14:paraId="04D9C037" w14:textId="41B00F57" w:rsidR="00E9447C" w:rsidRPr="00B63D5E" w:rsidRDefault="00E97409" w:rsidP="00B63D5E">
      <w:pPr>
        <w:spacing w:after="0" w:line="360" w:lineRule="auto"/>
        <w:jc w:val="both"/>
        <w:rPr>
          <w:rFonts w:ascii="Arial" w:eastAsia="Times New Roman" w:hAnsi="Arial" w:cs="Arial"/>
          <w:color w:val="000000" w:themeColor="text1"/>
          <w:kern w:val="0"/>
          <w:sz w:val="22"/>
          <w:szCs w:val="22"/>
          <w14:ligatures w14:val="none"/>
        </w:rPr>
      </w:pPr>
      <w:r w:rsidRPr="005B7ABE">
        <w:rPr>
          <w:rFonts w:ascii="Arial" w:eastAsia="Times New Roman" w:hAnsi="Arial" w:cs="Arial"/>
          <w:color w:val="000000" w:themeColor="text1"/>
          <w:kern w:val="0"/>
          <w:sz w:val="22"/>
          <w:szCs w:val="22"/>
          <w14:ligatures w14:val="none"/>
        </w:rPr>
        <w:t>In addition, the NHS Long Term Plan emphasises prevention and early intervention as central to improving population health, with a specific focus on expanding weight management services and supporting individuals at risk of obesity-related conditions (NHS</w:t>
      </w:r>
      <w:r w:rsidR="0084774B" w:rsidRPr="005B7ABE">
        <w:rPr>
          <w:rFonts w:ascii="Arial" w:eastAsia="Times New Roman" w:hAnsi="Arial" w:cs="Arial"/>
          <w:color w:val="000000" w:themeColor="text1"/>
          <w:kern w:val="0"/>
          <w:sz w:val="22"/>
          <w:szCs w:val="22"/>
          <w14:ligatures w14:val="none"/>
        </w:rPr>
        <w:t xml:space="preserve"> Long Term Plan, 2025</w:t>
      </w:r>
      <w:r w:rsidRPr="005B7ABE">
        <w:rPr>
          <w:rFonts w:ascii="Arial" w:eastAsia="Times New Roman" w:hAnsi="Arial" w:cs="Arial"/>
          <w:color w:val="000000" w:themeColor="text1"/>
          <w:kern w:val="0"/>
          <w:sz w:val="22"/>
          <w:szCs w:val="22"/>
          <w14:ligatures w14:val="none"/>
        </w:rPr>
        <w:t>). The plan highlights the importance of integrating services and increasing access to interventions, including digital and community-based programmes, to improve health outcomes.</w:t>
      </w:r>
    </w:p>
    <w:p w14:paraId="60938E86" w14:textId="1A49460A" w:rsidR="00E9447C" w:rsidRPr="005B7ABE" w:rsidRDefault="00E9447C" w:rsidP="0020706C">
      <w:pPr>
        <w:spacing w:before="100" w:beforeAutospacing="1" w:after="100" w:afterAutospacing="1" w:line="360" w:lineRule="auto"/>
        <w:jc w:val="both"/>
        <w:rPr>
          <w:rFonts w:ascii="Arial" w:hAnsi="Arial" w:cs="Arial"/>
          <w:color w:val="000000" w:themeColor="text1"/>
          <w:kern w:val="0"/>
          <w:sz w:val="22"/>
          <w:szCs w:val="22"/>
          <w14:ligatures w14:val="none"/>
        </w:rPr>
      </w:pPr>
      <w:r w:rsidRPr="005B7ABE">
        <w:rPr>
          <w:rFonts w:ascii="Arial" w:hAnsi="Arial" w:cs="Arial"/>
          <w:color w:val="000000" w:themeColor="text1"/>
          <w:kern w:val="0"/>
          <w:sz w:val="22"/>
          <w:szCs w:val="22"/>
          <w14:ligatures w14:val="none"/>
        </w:rPr>
        <w:t xml:space="preserve">Similarly, national clinical guidance from the </w:t>
      </w:r>
      <w:r w:rsidR="00765024" w:rsidRPr="005B7ABE">
        <w:rPr>
          <w:rFonts w:ascii="Arial" w:hAnsi="Arial" w:cs="Arial"/>
          <w:color w:val="000000" w:themeColor="text1"/>
          <w:kern w:val="0"/>
          <w:sz w:val="22"/>
          <w:szCs w:val="22"/>
          <w14:ligatures w14:val="none"/>
        </w:rPr>
        <w:t>NG</w:t>
      </w:r>
      <w:r w:rsidR="00EA77C1" w:rsidRPr="005B7ABE">
        <w:rPr>
          <w:rFonts w:ascii="Arial" w:hAnsi="Arial" w:cs="Arial"/>
          <w:color w:val="000000" w:themeColor="text1"/>
          <w:kern w:val="0"/>
          <w:sz w:val="22"/>
          <w:szCs w:val="22"/>
          <w14:ligatures w14:val="none"/>
        </w:rPr>
        <w:t xml:space="preserve">246 </w:t>
      </w:r>
      <w:r w:rsidRPr="005B7ABE">
        <w:rPr>
          <w:rFonts w:ascii="Arial" w:hAnsi="Arial" w:cs="Arial"/>
          <w:color w:val="000000" w:themeColor="text1"/>
          <w:kern w:val="0"/>
          <w:sz w:val="22"/>
          <w:szCs w:val="22"/>
          <w14:ligatures w14:val="none"/>
        </w:rPr>
        <w:t>(NICE, 2026) recommends a combination of behavioural, pharmacological, and surgical interventions for obesity management. These guidelines promote a multidisciplinary and patient-centred approach, incorporating lifestyle modification alongside medical treatment.</w:t>
      </w:r>
    </w:p>
    <w:p w14:paraId="124C0F43" w14:textId="010D0055" w:rsidR="00E9447C" w:rsidRPr="00B63D5E" w:rsidRDefault="00E9447C" w:rsidP="00B63D5E">
      <w:pPr>
        <w:spacing w:before="100" w:beforeAutospacing="1" w:after="100" w:afterAutospacing="1" w:line="360" w:lineRule="auto"/>
        <w:jc w:val="both"/>
        <w:rPr>
          <w:rFonts w:ascii="Arial" w:hAnsi="Arial" w:cs="Arial"/>
          <w:color w:val="000000" w:themeColor="text1"/>
          <w:kern w:val="0"/>
          <w:sz w:val="22"/>
          <w:szCs w:val="22"/>
          <w14:ligatures w14:val="none"/>
        </w:rPr>
      </w:pPr>
      <w:r w:rsidRPr="005B7ABE">
        <w:rPr>
          <w:rFonts w:ascii="Arial" w:hAnsi="Arial" w:cs="Arial"/>
          <w:color w:val="000000" w:themeColor="text1"/>
          <w:kern w:val="0"/>
          <w:sz w:val="22"/>
          <w:szCs w:val="22"/>
          <w14:ligatures w14:val="none"/>
        </w:rPr>
        <w:t>However, despite the existence of comprehensive policy frameworks, evidence suggests that implementation remains inconsistent. Research indicates that integrated clinical pathways for obesity management are not uniformly developed across the NHS, limiting the effectiveness of policy recommendations in practice (Hazlehurst et al., 2020). This highlights a gap between policy intentions and real-world service delivery.</w:t>
      </w:r>
    </w:p>
    <w:p w14:paraId="0AF24340" w14:textId="77777777" w:rsidR="00E9447C" w:rsidRPr="00B63D5E" w:rsidRDefault="00E9447C" w:rsidP="0020706C">
      <w:pPr>
        <w:spacing w:before="100" w:beforeAutospacing="1" w:after="100" w:afterAutospacing="1" w:line="360" w:lineRule="auto"/>
        <w:jc w:val="both"/>
        <w:outlineLvl w:val="1"/>
        <w:rPr>
          <w:rFonts w:ascii="Arial" w:hAnsi="Arial" w:cs="Arial"/>
          <w:b/>
          <w:bCs/>
          <w:color w:val="000000" w:themeColor="text1"/>
          <w:kern w:val="0"/>
          <w:sz w:val="22"/>
          <w:szCs w:val="22"/>
          <w14:ligatures w14:val="none"/>
        </w:rPr>
      </w:pPr>
      <w:r w:rsidRPr="00B63D5E">
        <w:rPr>
          <w:rFonts w:ascii="Arial" w:eastAsia="Times New Roman" w:hAnsi="Arial" w:cs="Arial"/>
          <w:b/>
          <w:bCs/>
          <w:color w:val="000000" w:themeColor="text1"/>
          <w:kern w:val="0"/>
          <w:sz w:val="22"/>
          <w:szCs w:val="22"/>
          <w14:ligatures w14:val="none"/>
        </w:rPr>
        <w:t>Existing Services and Practice</w:t>
      </w:r>
    </w:p>
    <w:p w14:paraId="0B0AB3C9" w14:textId="77777777" w:rsidR="00E9447C" w:rsidRPr="005B7ABE" w:rsidRDefault="00E9447C" w:rsidP="0020706C">
      <w:pPr>
        <w:spacing w:before="100" w:beforeAutospacing="1" w:after="100" w:afterAutospacing="1" w:line="360" w:lineRule="auto"/>
        <w:jc w:val="both"/>
        <w:rPr>
          <w:rFonts w:ascii="Arial" w:hAnsi="Arial" w:cs="Arial"/>
          <w:color w:val="000000" w:themeColor="text1"/>
          <w:kern w:val="0"/>
          <w:sz w:val="22"/>
          <w:szCs w:val="22"/>
          <w14:ligatures w14:val="none"/>
        </w:rPr>
      </w:pPr>
    </w:p>
    <w:p w14:paraId="668AA7B7" w14:textId="6AD25F6B" w:rsidR="00421DEB" w:rsidRPr="005B7ABE" w:rsidRDefault="00421DEB" w:rsidP="0020706C">
      <w:pPr>
        <w:spacing w:before="100" w:beforeAutospacing="1" w:after="100" w:afterAutospacing="1" w:line="360" w:lineRule="auto"/>
        <w:jc w:val="both"/>
        <w:rPr>
          <w:rFonts w:ascii="Arial" w:hAnsi="Arial" w:cs="Arial"/>
          <w:color w:val="000000" w:themeColor="text1"/>
          <w:kern w:val="0"/>
          <w:sz w:val="22"/>
          <w:szCs w:val="22"/>
          <w14:ligatures w14:val="none"/>
        </w:rPr>
      </w:pPr>
      <w:r w:rsidRPr="005B7ABE">
        <w:rPr>
          <w:rFonts w:ascii="Arial" w:hAnsi="Arial" w:cs="Arial"/>
          <w:color w:val="000000" w:themeColor="text1"/>
          <w:kern w:val="0"/>
          <w:sz w:val="22"/>
          <w:szCs w:val="22"/>
          <w14:ligatures w14:val="none"/>
        </w:rPr>
        <w:t xml:space="preserve">Obesity management in England is delivered through a tiered system of care, including primary care, community-based programmes, and specialist services (BOMSS, 2024; Hazlehurst et al., 2020). Behavioural interventions, such as structured diet and physical activity programmes, remain the first-line approach, while pharmacological therapies and bariatric surgery are typically reserved for individuals with more severe obesity or related </w:t>
      </w:r>
      <w:proofErr w:type="spellStart"/>
      <w:r w:rsidRPr="005B7ABE">
        <w:rPr>
          <w:rFonts w:ascii="Arial" w:hAnsi="Arial" w:cs="Arial"/>
          <w:color w:val="000000" w:themeColor="text1"/>
          <w:kern w:val="0"/>
          <w:sz w:val="22"/>
          <w:szCs w:val="22"/>
          <w14:ligatures w14:val="none"/>
        </w:rPr>
        <w:lastRenderedPageBreak/>
        <w:t>comorbidities</w:t>
      </w:r>
      <w:proofErr w:type="spellEnd"/>
      <w:r w:rsidRPr="005B7ABE">
        <w:rPr>
          <w:rFonts w:ascii="Arial" w:hAnsi="Arial" w:cs="Arial"/>
          <w:color w:val="000000" w:themeColor="text1"/>
          <w:kern w:val="0"/>
          <w:sz w:val="22"/>
          <w:szCs w:val="22"/>
          <w14:ligatures w14:val="none"/>
        </w:rPr>
        <w:t xml:space="preserve"> (NICE, 2026). This reflects a stepped-care model; however, it assumes clear progression between service levels, which is not consistently evident in practice.</w:t>
      </w:r>
    </w:p>
    <w:p w14:paraId="6F9C620C" w14:textId="23A381F6" w:rsidR="00421DEB" w:rsidRPr="005B7ABE" w:rsidRDefault="00421DEB" w:rsidP="0020706C">
      <w:pPr>
        <w:spacing w:before="100" w:beforeAutospacing="1" w:after="100" w:afterAutospacing="1" w:line="360" w:lineRule="auto"/>
        <w:jc w:val="both"/>
        <w:rPr>
          <w:rFonts w:ascii="Arial" w:hAnsi="Arial" w:cs="Arial"/>
          <w:color w:val="000000" w:themeColor="text1"/>
          <w:kern w:val="0"/>
          <w:sz w:val="22"/>
          <w:szCs w:val="22"/>
          <w14:ligatures w14:val="none"/>
        </w:rPr>
      </w:pPr>
      <w:r w:rsidRPr="005B7ABE">
        <w:rPr>
          <w:rFonts w:ascii="Arial" w:hAnsi="Arial" w:cs="Arial"/>
          <w:color w:val="000000" w:themeColor="text1"/>
          <w:kern w:val="0"/>
          <w:sz w:val="22"/>
          <w:szCs w:val="22"/>
          <w14:ligatures w14:val="none"/>
        </w:rPr>
        <w:t>Recent developments indicate a shift towards expanding digital and pharmacological approaches. The NHS Digital Weight Management Programme aims to improve accessibility through remote behavioural support (NHS England, 2026), while policy developments increasingly position weight-loss medications as a key component of obesity care (UK Parliament, 2025). Nevertheless, access to these interventions remains restricted by eligibility criteria, service capacity, and cost considerations, raising concerns regarding equitable implementation across different population groups (UK Parliament, 2025).</w:t>
      </w:r>
    </w:p>
    <w:p w14:paraId="6DB82265" w14:textId="4B6D63A3" w:rsidR="00E9447C" w:rsidRPr="00B63D5E" w:rsidRDefault="00421DEB" w:rsidP="00B63D5E">
      <w:pPr>
        <w:spacing w:before="100" w:beforeAutospacing="1" w:after="100" w:afterAutospacing="1" w:line="360" w:lineRule="auto"/>
        <w:jc w:val="both"/>
        <w:rPr>
          <w:rFonts w:ascii="Arial" w:hAnsi="Arial" w:cs="Arial"/>
          <w:color w:val="000000" w:themeColor="text1"/>
          <w:kern w:val="0"/>
          <w:sz w:val="22"/>
          <w:szCs w:val="22"/>
          <w14:ligatures w14:val="none"/>
        </w:rPr>
      </w:pPr>
      <w:r w:rsidRPr="005B7ABE">
        <w:rPr>
          <w:rFonts w:ascii="Arial" w:hAnsi="Arial" w:cs="Arial"/>
          <w:color w:val="000000" w:themeColor="text1"/>
          <w:kern w:val="0"/>
          <w:sz w:val="22"/>
          <w:szCs w:val="22"/>
          <w14:ligatures w14:val="none"/>
        </w:rPr>
        <w:t xml:space="preserve">Despite these advancements, treatment effectiveness remains variable and context-dependent. Evidence suggests that outcomes are shaped not only by intervention type but by behavioural, environmental, and systemic factors (Martins et al., 2020; </w:t>
      </w:r>
      <w:proofErr w:type="spellStart"/>
      <w:r w:rsidRPr="005B7ABE">
        <w:rPr>
          <w:rFonts w:ascii="Arial" w:hAnsi="Arial" w:cs="Arial"/>
          <w:color w:val="000000" w:themeColor="text1"/>
          <w:kern w:val="0"/>
          <w:sz w:val="22"/>
          <w:szCs w:val="22"/>
          <w14:ligatures w14:val="none"/>
        </w:rPr>
        <w:t>Coulman</w:t>
      </w:r>
      <w:proofErr w:type="spellEnd"/>
      <w:r w:rsidRPr="005B7ABE">
        <w:rPr>
          <w:rFonts w:ascii="Arial" w:hAnsi="Arial" w:cs="Arial"/>
          <w:color w:val="000000" w:themeColor="text1"/>
          <w:kern w:val="0"/>
          <w:sz w:val="22"/>
          <w:szCs w:val="22"/>
          <w14:ligatures w14:val="none"/>
        </w:rPr>
        <w:t xml:space="preserve"> et al., 2023; Sutcliffe et al., 2018). Furthermore, stigma and negative healthcare experiences can act as significant barriers to engagement, limiting both uptake and sustained participation in treatment (Flint et al., 2021; </w:t>
      </w:r>
      <w:proofErr w:type="spellStart"/>
      <w:r w:rsidRPr="005B7ABE">
        <w:rPr>
          <w:rFonts w:ascii="Arial" w:hAnsi="Arial" w:cs="Arial"/>
          <w:color w:val="000000" w:themeColor="text1"/>
          <w:kern w:val="0"/>
          <w:sz w:val="22"/>
          <w:szCs w:val="22"/>
          <w14:ligatures w14:val="none"/>
        </w:rPr>
        <w:t>Coulman</w:t>
      </w:r>
      <w:proofErr w:type="spellEnd"/>
      <w:r w:rsidRPr="005B7ABE">
        <w:rPr>
          <w:rFonts w:ascii="Arial" w:hAnsi="Arial" w:cs="Arial"/>
          <w:color w:val="000000" w:themeColor="text1"/>
          <w:kern w:val="0"/>
          <w:sz w:val="22"/>
          <w:szCs w:val="22"/>
          <w14:ligatures w14:val="none"/>
        </w:rPr>
        <w:t xml:space="preserve"> et al., 2023; </w:t>
      </w:r>
      <w:proofErr w:type="spellStart"/>
      <w:r w:rsidRPr="005B7ABE">
        <w:rPr>
          <w:rFonts w:ascii="Arial" w:hAnsi="Arial" w:cs="Arial"/>
          <w:color w:val="000000" w:themeColor="text1"/>
          <w:kern w:val="0"/>
          <w:sz w:val="22"/>
          <w:szCs w:val="22"/>
          <w14:ligatures w14:val="none"/>
        </w:rPr>
        <w:t>Lulia</w:t>
      </w:r>
      <w:proofErr w:type="spellEnd"/>
      <w:r w:rsidRPr="005B7ABE">
        <w:rPr>
          <w:rFonts w:ascii="Arial" w:hAnsi="Arial" w:cs="Arial"/>
          <w:color w:val="000000" w:themeColor="text1"/>
          <w:kern w:val="0"/>
          <w:sz w:val="22"/>
          <w:szCs w:val="22"/>
          <w14:ligatures w14:val="none"/>
        </w:rPr>
        <w:t xml:space="preserve"> et al., 2023; Sutcliffe et al., 2018). Consequently, while service provision has expanded, its impact is constrained by inconsistencies in access, delivery, and patient experience.</w:t>
      </w:r>
    </w:p>
    <w:p w14:paraId="4C0C5C39" w14:textId="77777777" w:rsidR="00E9447C" w:rsidRPr="00B63D5E" w:rsidRDefault="00E9447C" w:rsidP="0020706C">
      <w:pPr>
        <w:spacing w:before="100" w:beforeAutospacing="1" w:after="100" w:afterAutospacing="1" w:line="360" w:lineRule="auto"/>
        <w:jc w:val="both"/>
        <w:outlineLvl w:val="1"/>
        <w:rPr>
          <w:rFonts w:ascii="Arial" w:hAnsi="Arial" w:cs="Arial"/>
          <w:b/>
          <w:bCs/>
          <w:color w:val="000000" w:themeColor="text1"/>
          <w:kern w:val="0"/>
          <w:sz w:val="22"/>
          <w:szCs w:val="22"/>
          <w14:ligatures w14:val="none"/>
        </w:rPr>
      </w:pPr>
      <w:r w:rsidRPr="00B63D5E">
        <w:rPr>
          <w:rFonts w:ascii="Arial" w:eastAsia="Times New Roman" w:hAnsi="Arial" w:cs="Arial"/>
          <w:b/>
          <w:bCs/>
          <w:color w:val="000000" w:themeColor="text1"/>
          <w:kern w:val="0"/>
          <w:sz w:val="22"/>
          <w:szCs w:val="22"/>
          <w14:ligatures w14:val="none"/>
        </w:rPr>
        <w:t>Key Challenges and Gaps</w:t>
      </w:r>
    </w:p>
    <w:p w14:paraId="113AE754" w14:textId="77777777" w:rsidR="00E9447C" w:rsidRPr="005B7ABE" w:rsidRDefault="00E9447C" w:rsidP="0020706C">
      <w:pPr>
        <w:spacing w:before="100" w:beforeAutospacing="1" w:after="100" w:afterAutospacing="1" w:line="360" w:lineRule="auto"/>
        <w:jc w:val="both"/>
        <w:rPr>
          <w:rFonts w:ascii="Arial" w:hAnsi="Arial" w:cs="Arial"/>
          <w:color w:val="000000" w:themeColor="text1"/>
          <w:kern w:val="0"/>
          <w:sz w:val="22"/>
          <w:szCs w:val="22"/>
          <w14:ligatures w14:val="none"/>
        </w:rPr>
      </w:pPr>
    </w:p>
    <w:p w14:paraId="52B31825" w14:textId="3E9437C3" w:rsidR="00FF3559" w:rsidRPr="005B7ABE" w:rsidRDefault="00FF3559" w:rsidP="0020706C">
      <w:pPr>
        <w:spacing w:before="100" w:beforeAutospacing="1" w:after="100" w:afterAutospacing="1" w:line="360" w:lineRule="auto"/>
        <w:jc w:val="both"/>
        <w:rPr>
          <w:rFonts w:ascii="Arial" w:hAnsi="Arial" w:cs="Arial"/>
          <w:color w:val="000000" w:themeColor="text1"/>
          <w:kern w:val="0"/>
          <w:sz w:val="22"/>
          <w:szCs w:val="22"/>
          <w14:ligatures w14:val="none"/>
        </w:rPr>
      </w:pPr>
      <w:r w:rsidRPr="005B7ABE">
        <w:rPr>
          <w:rFonts w:ascii="Arial" w:hAnsi="Arial" w:cs="Arial"/>
          <w:color w:val="000000" w:themeColor="text1"/>
          <w:kern w:val="0"/>
          <w:sz w:val="22"/>
          <w:szCs w:val="22"/>
          <w14:ligatures w14:val="none"/>
        </w:rPr>
        <w:t>Despite developments in policy and service provision, significant challenges remain in addressing obesity effectively. Structural inequalities continue to shape both the prevalence of obesity and access to treatment, with individuals in more deprived areas experiencing higher rates of obesity while being less likely to engage with or benefit from available services (The Health Foundation, 2025; Martins et al., 2020). These disparities are reinforced by broader patterns of health behaviour, including lower levels of physical activity and poorer dietary intake in disadvantaged populations (Office for Health Improvement and Disparities, 2024).</w:t>
      </w:r>
    </w:p>
    <w:p w14:paraId="3B8A3FC9" w14:textId="572BFB9F" w:rsidR="00FF3559" w:rsidRPr="005B7ABE" w:rsidRDefault="00FF3559" w:rsidP="0020706C">
      <w:pPr>
        <w:spacing w:before="100" w:beforeAutospacing="1" w:after="100" w:afterAutospacing="1" w:line="360" w:lineRule="auto"/>
        <w:jc w:val="both"/>
        <w:rPr>
          <w:rFonts w:ascii="Arial" w:hAnsi="Arial" w:cs="Arial"/>
          <w:color w:val="000000" w:themeColor="text1"/>
          <w:kern w:val="0"/>
          <w:sz w:val="22"/>
          <w:szCs w:val="22"/>
          <w14:ligatures w14:val="none"/>
        </w:rPr>
      </w:pPr>
      <w:r w:rsidRPr="005B7ABE">
        <w:rPr>
          <w:rFonts w:ascii="Arial" w:hAnsi="Arial" w:cs="Arial"/>
          <w:color w:val="000000" w:themeColor="text1"/>
          <w:kern w:val="0"/>
          <w:sz w:val="22"/>
          <w:szCs w:val="22"/>
          <w14:ligatures w14:val="none"/>
        </w:rPr>
        <w:t>Obesity likewise places a substantial economic burden on healthcare systems, with long-term costs driven by obesity-related conditions and healthcare utilisation (</w:t>
      </w:r>
      <w:proofErr w:type="spellStart"/>
      <w:r w:rsidRPr="005B7ABE">
        <w:rPr>
          <w:rFonts w:ascii="Arial" w:hAnsi="Arial" w:cs="Arial"/>
          <w:color w:val="000000" w:themeColor="text1"/>
          <w:kern w:val="0"/>
          <w:sz w:val="22"/>
          <w:szCs w:val="22"/>
          <w14:ligatures w14:val="none"/>
        </w:rPr>
        <w:t>Heald</w:t>
      </w:r>
      <w:proofErr w:type="spellEnd"/>
      <w:r w:rsidRPr="005B7ABE">
        <w:rPr>
          <w:rFonts w:ascii="Arial" w:hAnsi="Arial" w:cs="Arial"/>
          <w:color w:val="000000" w:themeColor="text1"/>
          <w:kern w:val="0"/>
          <w:sz w:val="22"/>
          <w:szCs w:val="22"/>
          <w14:ligatures w14:val="none"/>
        </w:rPr>
        <w:t xml:space="preserve"> et al., 2024). This underscores the importance of interventions that are not only effective, but also accessible and sustainable at a population level.</w:t>
      </w:r>
    </w:p>
    <w:p w14:paraId="2A8045EA" w14:textId="4D60DD0D" w:rsidR="00FF3559" w:rsidRPr="005B7ABE" w:rsidRDefault="00FF3559" w:rsidP="0020706C">
      <w:pPr>
        <w:spacing w:before="100" w:beforeAutospacing="1" w:after="100" w:afterAutospacing="1" w:line="360" w:lineRule="auto"/>
        <w:jc w:val="both"/>
        <w:rPr>
          <w:rFonts w:ascii="Arial" w:hAnsi="Arial" w:cs="Arial"/>
          <w:color w:val="000000" w:themeColor="text1"/>
          <w:kern w:val="0"/>
          <w:sz w:val="22"/>
          <w:szCs w:val="22"/>
          <w14:ligatures w14:val="none"/>
        </w:rPr>
      </w:pPr>
      <w:r w:rsidRPr="005B7ABE">
        <w:rPr>
          <w:rFonts w:ascii="Arial" w:hAnsi="Arial" w:cs="Arial"/>
          <w:color w:val="000000" w:themeColor="text1"/>
          <w:kern w:val="0"/>
          <w:sz w:val="22"/>
          <w:szCs w:val="22"/>
          <w14:ligatures w14:val="none"/>
        </w:rPr>
        <w:lastRenderedPageBreak/>
        <w:t xml:space="preserve">However, important gaps remain within the evidence base. Service-user perspectives are often underrepresented, despite their central role in shaping engagement and treatment outcomes (Sutcliffe et al., 2018). Furthermore, longitudinal evidence indicates that obesity is associated with progressive increases in </w:t>
      </w:r>
      <w:proofErr w:type="spellStart"/>
      <w:r w:rsidRPr="005B7ABE">
        <w:rPr>
          <w:rFonts w:ascii="Arial" w:hAnsi="Arial" w:cs="Arial"/>
          <w:color w:val="000000" w:themeColor="text1"/>
          <w:kern w:val="0"/>
          <w:sz w:val="22"/>
          <w:szCs w:val="22"/>
          <w14:ligatures w14:val="none"/>
        </w:rPr>
        <w:t>multimorbidity</w:t>
      </w:r>
      <w:proofErr w:type="spellEnd"/>
      <w:r w:rsidRPr="005B7ABE">
        <w:rPr>
          <w:rFonts w:ascii="Arial" w:hAnsi="Arial" w:cs="Arial"/>
          <w:color w:val="000000" w:themeColor="text1"/>
          <w:kern w:val="0"/>
          <w:sz w:val="22"/>
          <w:szCs w:val="22"/>
          <w14:ligatures w14:val="none"/>
        </w:rPr>
        <w:t xml:space="preserve"> and health complications over time, highlighting the need for earlier and more effective intervention (</w:t>
      </w:r>
      <w:proofErr w:type="spellStart"/>
      <w:r w:rsidRPr="005B7ABE">
        <w:rPr>
          <w:rFonts w:ascii="Arial" w:hAnsi="Arial" w:cs="Arial"/>
          <w:color w:val="000000" w:themeColor="text1"/>
          <w:kern w:val="0"/>
          <w:sz w:val="22"/>
          <w:szCs w:val="22"/>
          <w14:ligatures w14:val="none"/>
        </w:rPr>
        <w:t>Pearson-Stuttard</w:t>
      </w:r>
      <w:proofErr w:type="spellEnd"/>
      <w:r w:rsidRPr="005B7ABE">
        <w:rPr>
          <w:rFonts w:ascii="Arial" w:hAnsi="Arial" w:cs="Arial"/>
          <w:color w:val="000000" w:themeColor="text1"/>
          <w:kern w:val="0"/>
          <w:sz w:val="22"/>
          <w:szCs w:val="22"/>
          <w14:ligatures w14:val="none"/>
        </w:rPr>
        <w:t xml:space="preserve"> et al., 2024). Together, these gaps suggest that current approaches insufficiently capture both the lived experience of obesity and its long-term trajectory.</w:t>
      </w:r>
    </w:p>
    <w:p w14:paraId="25462204" w14:textId="180D10D8" w:rsidR="00FF3559" w:rsidRPr="005B7ABE" w:rsidRDefault="00FF3559" w:rsidP="0020706C">
      <w:pPr>
        <w:spacing w:before="100" w:beforeAutospacing="1" w:after="100" w:afterAutospacing="1" w:line="360" w:lineRule="auto"/>
        <w:jc w:val="both"/>
        <w:rPr>
          <w:rFonts w:ascii="Arial" w:hAnsi="Arial" w:cs="Arial"/>
          <w:color w:val="000000" w:themeColor="text1"/>
          <w:kern w:val="0"/>
          <w:sz w:val="22"/>
          <w:szCs w:val="22"/>
          <w14:ligatures w14:val="none"/>
        </w:rPr>
      </w:pPr>
      <w:r w:rsidRPr="005B7ABE">
        <w:rPr>
          <w:rFonts w:ascii="Arial" w:hAnsi="Arial" w:cs="Arial"/>
          <w:color w:val="000000" w:themeColor="text1"/>
          <w:kern w:val="0"/>
          <w:sz w:val="22"/>
          <w:szCs w:val="22"/>
          <w14:ligatures w14:val="none"/>
        </w:rPr>
        <w:t>Research further indicates that obesity is experienced unevenly across population groups. Evidence shows that health outcomes, wellbeing, and access to care vary according to age, ethnicity, and area-level deprivation (Ghosh, Khan and Vohra, 2023; Higgins, 2022; The Health Foundation, 2025). However, existing studies often examine these factors in isolation, with limited intersectional analysis of how multiple forms of disadvantage interact to shape obesity risk and access to care.</w:t>
      </w:r>
    </w:p>
    <w:p w14:paraId="0E93AA4E" w14:textId="77777777" w:rsidR="00FF3559" w:rsidRPr="005B7ABE" w:rsidRDefault="00FF3559" w:rsidP="0020706C">
      <w:pPr>
        <w:spacing w:before="100" w:beforeAutospacing="1" w:after="100" w:afterAutospacing="1" w:line="360" w:lineRule="auto"/>
        <w:jc w:val="both"/>
        <w:rPr>
          <w:rFonts w:ascii="Arial" w:hAnsi="Arial" w:cs="Arial"/>
          <w:color w:val="000000" w:themeColor="text1"/>
          <w:kern w:val="0"/>
          <w:sz w:val="22"/>
          <w:szCs w:val="22"/>
          <w14:ligatures w14:val="none"/>
        </w:rPr>
      </w:pPr>
      <w:r w:rsidRPr="005B7ABE">
        <w:rPr>
          <w:rFonts w:ascii="Arial" w:hAnsi="Arial" w:cs="Arial"/>
          <w:color w:val="000000" w:themeColor="text1"/>
          <w:kern w:val="0"/>
          <w:sz w:val="22"/>
          <w:szCs w:val="22"/>
          <w14:ligatures w14:val="none"/>
        </w:rPr>
        <w:t>Overall, despite increasing policy attention and a growing range of interventions, there remains limited synthesis of evidence integrating treatment effectiveness with structural barriers to access. This gap highlights the need for a scoping review to provide a more comprehensive understanding of obesity management and to inform future research, policy, and practice within the UK context.</w:t>
      </w:r>
    </w:p>
    <w:p w14:paraId="09D1B2CC" w14:textId="77777777" w:rsidR="00F67C06" w:rsidRPr="00B63D5E" w:rsidRDefault="00F67C06" w:rsidP="0020706C">
      <w:pPr>
        <w:spacing w:before="100" w:beforeAutospacing="1" w:after="100" w:afterAutospacing="1" w:line="360" w:lineRule="auto"/>
        <w:jc w:val="both"/>
        <w:outlineLvl w:val="1"/>
        <w:rPr>
          <w:rFonts w:ascii="Arial" w:eastAsia="Times New Roman" w:hAnsi="Arial" w:cs="Arial"/>
          <w:b/>
          <w:bCs/>
          <w:color w:val="000000" w:themeColor="text1"/>
          <w:kern w:val="0"/>
          <w:sz w:val="22"/>
          <w:szCs w:val="22"/>
          <w14:ligatures w14:val="none"/>
        </w:rPr>
      </w:pPr>
      <w:r w:rsidRPr="00B63D5E">
        <w:rPr>
          <w:rFonts w:ascii="Arial" w:eastAsia="Times New Roman" w:hAnsi="Arial" w:cs="Arial"/>
          <w:b/>
          <w:bCs/>
          <w:color w:val="000000" w:themeColor="text1"/>
          <w:kern w:val="0"/>
          <w:sz w:val="22"/>
          <w:szCs w:val="22"/>
          <w14:ligatures w14:val="none"/>
        </w:rPr>
        <w:t>METHODS</w:t>
      </w:r>
    </w:p>
    <w:p w14:paraId="4CC4E372" w14:textId="77777777" w:rsidR="00F67C06" w:rsidRPr="005B7ABE" w:rsidRDefault="00F67C06" w:rsidP="0020706C">
      <w:pPr>
        <w:spacing w:before="100" w:beforeAutospacing="1" w:after="100" w:afterAutospacing="1" w:line="360" w:lineRule="auto"/>
        <w:jc w:val="both"/>
        <w:rPr>
          <w:rFonts w:ascii="Arial" w:hAnsi="Arial" w:cs="Arial"/>
          <w:color w:val="000000" w:themeColor="text1"/>
          <w:kern w:val="0"/>
          <w:sz w:val="22"/>
          <w:szCs w:val="22"/>
          <w14:ligatures w14:val="none"/>
        </w:rPr>
      </w:pPr>
    </w:p>
    <w:p w14:paraId="3856741E" w14:textId="77777777" w:rsidR="00F67C06" w:rsidRPr="005B7ABE" w:rsidRDefault="00F67C06" w:rsidP="0020706C">
      <w:pPr>
        <w:spacing w:before="100" w:beforeAutospacing="1" w:after="100" w:afterAutospacing="1" w:line="360" w:lineRule="auto"/>
        <w:jc w:val="both"/>
        <w:rPr>
          <w:rFonts w:ascii="Arial" w:hAnsi="Arial" w:cs="Arial"/>
          <w:color w:val="000000" w:themeColor="text1"/>
          <w:kern w:val="0"/>
          <w:sz w:val="22"/>
          <w:szCs w:val="22"/>
          <w14:ligatures w14:val="none"/>
        </w:rPr>
      </w:pPr>
      <w:r w:rsidRPr="005B7ABE">
        <w:rPr>
          <w:rFonts w:ascii="Arial" w:hAnsi="Arial" w:cs="Arial"/>
          <w:color w:val="000000" w:themeColor="text1"/>
          <w:kern w:val="0"/>
          <w:sz w:val="22"/>
          <w:szCs w:val="22"/>
          <w14:ligatures w14:val="none"/>
        </w:rPr>
        <w:t>This study employed a scoping review methodology to examine the effectiveness of obesity treatments and the structural factors affecting access to these interventions among working-age adults (18–65) in the United Kingdom (UK). Scoping reviews are particularly useful for exploring complex health issues, as they allow for the mapping of existing research, identification of key themes, and recognition of gaps within the literature (</w:t>
      </w:r>
      <w:proofErr w:type="spellStart"/>
      <w:r w:rsidRPr="005B7ABE">
        <w:rPr>
          <w:rFonts w:ascii="Arial" w:hAnsi="Arial" w:cs="Arial"/>
          <w:color w:val="000000" w:themeColor="text1"/>
          <w:kern w:val="0"/>
          <w:sz w:val="22"/>
          <w:szCs w:val="22"/>
          <w14:ligatures w14:val="none"/>
        </w:rPr>
        <w:t>Arksey</w:t>
      </w:r>
      <w:proofErr w:type="spellEnd"/>
      <w:r w:rsidRPr="005B7ABE">
        <w:rPr>
          <w:rFonts w:ascii="Arial" w:hAnsi="Arial" w:cs="Arial"/>
          <w:color w:val="000000" w:themeColor="text1"/>
          <w:kern w:val="0"/>
          <w:sz w:val="22"/>
          <w:szCs w:val="22"/>
          <w14:ligatures w14:val="none"/>
        </w:rPr>
        <w:t xml:space="preserve"> and O’Malley, 2005; </w:t>
      </w:r>
      <w:proofErr w:type="spellStart"/>
      <w:r w:rsidRPr="005B7ABE">
        <w:rPr>
          <w:rFonts w:ascii="Arial" w:hAnsi="Arial" w:cs="Arial"/>
          <w:color w:val="000000" w:themeColor="text1"/>
          <w:kern w:val="0"/>
          <w:sz w:val="22"/>
          <w:szCs w:val="22"/>
          <w14:ligatures w14:val="none"/>
        </w:rPr>
        <w:t>Aveyard</w:t>
      </w:r>
      <w:proofErr w:type="spellEnd"/>
      <w:r w:rsidRPr="005B7ABE">
        <w:rPr>
          <w:rFonts w:ascii="Arial" w:hAnsi="Arial" w:cs="Arial"/>
          <w:color w:val="000000" w:themeColor="text1"/>
          <w:kern w:val="0"/>
          <w:sz w:val="22"/>
          <w:szCs w:val="22"/>
          <w14:ligatures w14:val="none"/>
        </w:rPr>
        <w:t>, 2014).</w:t>
      </w:r>
    </w:p>
    <w:p w14:paraId="67B1655C" w14:textId="77777777" w:rsidR="00F67C06" w:rsidRPr="005B7ABE" w:rsidRDefault="00F67C06" w:rsidP="0020706C">
      <w:pPr>
        <w:spacing w:before="100" w:beforeAutospacing="1" w:after="100" w:afterAutospacing="1" w:line="360" w:lineRule="auto"/>
        <w:jc w:val="both"/>
        <w:rPr>
          <w:rFonts w:ascii="Arial" w:hAnsi="Arial" w:cs="Arial"/>
          <w:color w:val="000000" w:themeColor="text1"/>
          <w:kern w:val="0"/>
          <w:sz w:val="22"/>
          <w:szCs w:val="22"/>
          <w14:ligatures w14:val="none"/>
        </w:rPr>
      </w:pPr>
    </w:p>
    <w:p w14:paraId="2578F862" w14:textId="2421BBD4" w:rsidR="00F67C06" w:rsidRPr="00B63D5E" w:rsidRDefault="00F67C06" w:rsidP="00B63D5E">
      <w:pPr>
        <w:spacing w:before="100" w:beforeAutospacing="1" w:after="100" w:afterAutospacing="1" w:line="360" w:lineRule="auto"/>
        <w:jc w:val="both"/>
        <w:rPr>
          <w:rFonts w:ascii="Arial" w:hAnsi="Arial" w:cs="Arial"/>
          <w:color w:val="000000" w:themeColor="text1"/>
          <w:kern w:val="0"/>
          <w:sz w:val="22"/>
          <w:szCs w:val="22"/>
          <w14:ligatures w14:val="none"/>
        </w:rPr>
      </w:pPr>
      <w:r w:rsidRPr="005B7ABE">
        <w:rPr>
          <w:rFonts w:ascii="Arial" w:hAnsi="Arial" w:cs="Arial"/>
          <w:color w:val="000000" w:themeColor="text1"/>
          <w:kern w:val="0"/>
          <w:sz w:val="22"/>
          <w:szCs w:val="22"/>
          <w14:ligatures w14:val="none"/>
        </w:rPr>
        <w:t xml:space="preserve">The review followed a structured process based on </w:t>
      </w:r>
      <w:proofErr w:type="spellStart"/>
      <w:r w:rsidRPr="005B7ABE">
        <w:rPr>
          <w:rFonts w:ascii="Arial" w:hAnsi="Arial" w:cs="Arial"/>
          <w:color w:val="000000" w:themeColor="text1"/>
          <w:kern w:val="0"/>
          <w:sz w:val="22"/>
          <w:szCs w:val="22"/>
          <w14:ligatures w14:val="none"/>
        </w:rPr>
        <w:t>Arksey</w:t>
      </w:r>
      <w:proofErr w:type="spellEnd"/>
      <w:r w:rsidRPr="005B7ABE">
        <w:rPr>
          <w:rFonts w:ascii="Arial" w:hAnsi="Arial" w:cs="Arial"/>
          <w:color w:val="000000" w:themeColor="text1"/>
          <w:kern w:val="0"/>
          <w:sz w:val="22"/>
          <w:szCs w:val="22"/>
          <w14:ligatures w14:val="none"/>
        </w:rPr>
        <w:t xml:space="preserve"> and O’Malley’s</w:t>
      </w:r>
      <w:r w:rsidR="000A223D" w:rsidRPr="005B7ABE">
        <w:rPr>
          <w:rFonts w:ascii="Arial" w:hAnsi="Arial" w:cs="Arial"/>
          <w:color w:val="000000" w:themeColor="text1"/>
          <w:kern w:val="0"/>
          <w:sz w:val="22"/>
          <w:szCs w:val="22"/>
          <w14:ligatures w14:val="none"/>
        </w:rPr>
        <w:t xml:space="preserve"> (2005)</w:t>
      </w:r>
      <w:r w:rsidRPr="005B7ABE">
        <w:rPr>
          <w:rFonts w:ascii="Arial" w:hAnsi="Arial" w:cs="Arial"/>
          <w:color w:val="000000" w:themeColor="text1"/>
          <w:kern w:val="0"/>
          <w:sz w:val="22"/>
          <w:szCs w:val="22"/>
          <w14:ligatures w14:val="none"/>
        </w:rPr>
        <w:t xml:space="preserve"> framework, which includes defining the research question, identifying relevant studies, applying inclusion and exclusion criteria, organising the data,</w:t>
      </w:r>
      <w:r w:rsidR="00573061" w:rsidRPr="005B7ABE">
        <w:rPr>
          <w:rFonts w:ascii="Arial" w:hAnsi="Arial" w:cs="Arial"/>
          <w:color w:val="000000" w:themeColor="text1"/>
          <w:kern w:val="0"/>
          <w:sz w:val="22"/>
          <w:szCs w:val="22"/>
          <w14:ligatures w14:val="none"/>
        </w:rPr>
        <w:t xml:space="preserve"> attributing themes </w:t>
      </w:r>
      <w:r w:rsidRPr="005B7ABE">
        <w:rPr>
          <w:rFonts w:ascii="Arial" w:hAnsi="Arial" w:cs="Arial"/>
          <w:color w:val="000000" w:themeColor="text1"/>
          <w:kern w:val="0"/>
          <w:sz w:val="22"/>
          <w:szCs w:val="22"/>
          <w14:ligatures w14:val="none"/>
        </w:rPr>
        <w:t xml:space="preserve">and summarising the findings. </w:t>
      </w:r>
      <w:r w:rsidRPr="005B7ABE">
        <w:rPr>
          <w:rFonts w:ascii="Arial" w:hAnsi="Arial" w:cs="Arial"/>
          <w:color w:val="000000" w:themeColor="text1"/>
          <w:kern w:val="0"/>
          <w:sz w:val="22"/>
          <w:szCs w:val="22"/>
          <w14:ligatures w14:val="none"/>
        </w:rPr>
        <w:lastRenderedPageBreak/>
        <w:t>This approach ensured that the review was conducted in a systematic and transparent manner.</w:t>
      </w:r>
    </w:p>
    <w:p w14:paraId="4B84B4DF" w14:textId="3D2F6AA4" w:rsidR="00F67C06" w:rsidRPr="00B63D5E" w:rsidRDefault="00F67C06" w:rsidP="00B63D5E">
      <w:pPr>
        <w:spacing w:before="100" w:beforeAutospacing="1" w:after="100" w:afterAutospacing="1" w:line="360" w:lineRule="auto"/>
        <w:jc w:val="both"/>
        <w:outlineLvl w:val="1"/>
        <w:rPr>
          <w:rFonts w:ascii="Arial" w:hAnsi="Arial" w:cs="Arial"/>
          <w:b/>
          <w:bCs/>
          <w:color w:val="000000" w:themeColor="text1"/>
          <w:kern w:val="0"/>
          <w:sz w:val="22"/>
          <w:szCs w:val="22"/>
          <w14:ligatures w14:val="none"/>
        </w:rPr>
      </w:pPr>
      <w:r w:rsidRPr="00B63D5E">
        <w:rPr>
          <w:rFonts w:ascii="Arial" w:eastAsia="Times New Roman" w:hAnsi="Arial" w:cs="Arial"/>
          <w:b/>
          <w:bCs/>
          <w:color w:val="000000" w:themeColor="text1"/>
          <w:kern w:val="0"/>
          <w:sz w:val="22"/>
          <w:szCs w:val="22"/>
          <w14:ligatures w14:val="none"/>
        </w:rPr>
        <w:t>Data Collection Approach</w:t>
      </w:r>
    </w:p>
    <w:p w14:paraId="3D1BB12B" w14:textId="1C011878" w:rsidR="00F67C06" w:rsidRPr="005B7ABE" w:rsidRDefault="00F67C06" w:rsidP="0020706C">
      <w:pPr>
        <w:spacing w:before="100" w:beforeAutospacing="1" w:after="100" w:afterAutospacing="1" w:line="360" w:lineRule="auto"/>
        <w:jc w:val="both"/>
        <w:rPr>
          <w:rFonts w:ascii="Arial" w:hAnsi="Arial" w:cs="Arial"/>
          <w:color w:val="000000" w:themeColor="text1"/>
          <w:kern w:val="0"/>
          <w:sz w:val="22"/>
          <w:szCs w:val="22"/>
          <w14:ligatures w14:val="none"/>
        </w:rPr>
      </w:pPr>
      <w:r w:rsidRPr="005B7ABE">
        <w:rPr>
          <w:rFonts w:ascii="Arial" w:hAnsi="Arial" w:cs="Arial"/>
          <w:color w:val="000000" w:themeColor="text1"/>
          <w:kern w:val="0"/>
          <w:sz w:val="22"/>
          <w:szCs w:val="22"/>
          <w14:ligatures w14:val="none"/>
        </w:rPr>
        <w:t>A systematic search of the literature was conducted to identify relevant peer-reviewed studies published between 201</w:t>
      </w:r>
      <w:r w:rsidR="00C40BE6" w:rsidRPr="005B7ABE">
        <w:rPr>
          <w:rFonts w:ascii="Arial" w:hAnsi="Arial" w:cs="Arial"/>
          <w:color w:val="000000" w:themeColor="text1"/>
          <w:kern w:val="0"/>
          <w:sz w:val="22"/>
          <w:szCs w:val="22"/>
          <w14:ligatures w14:val="none"/>
        </w:rPr>
        <w:t>6</w:t>
      </w:r>
      <w:r w:rsidRPr="005B7ABE">
        <w:rPr>
          <w:rFonts w:ascii="Arial" w:hAnsi="Arial" w:cs="Arial"/>
          <w:color w:val="000000" w:themeColor="text1"/>
          <w:kern w:val="0"/>
          <w:sz w:val="22"/>
          <w:szCs w:val="22"/>
          <w14:ligatures w14:val="none"/>
        </w:rPr>
        <w:t xml:space="preserve"> and 2026. The following academic databases were used:</w:t>
      </w:r>
    </w:p>
    <w:p w14:paraId="6A689682" w14:textId="77777777" w:rsidR="00F67C06" w:rsidRPr="005B7ABE" w:rsidRDefault="00F67C06" w:rsidP="0020706C">
      <w:pPr>
        <w:numPr>
          <w:ilvl w:val="0"/>
          <w:numId w:val="3"/>
        </w:numPr>
        <w:spacing w:before="100" w:beforeAutospacing="1" w:after="100" w:afterAutospacing="1" w:line="360" w:lineRule="auto"/>
        <w:jc w:val="both"/>
        <w:rPr>
          <w:rFonts w:ascii="Arial" w:hAnsi="Arial" w:cs="Arial"/>
          <w:color w:val="000000" w:themeColor="text1"/>
          <w:kern w:val="0"/>
          <w:sz w:val="22"/>
          <w:szCs w:val="22"/>
          <w14:ligatures w14:val="none"/>
        </w:rPr>
      </w:pPr>
      <w:r w:rsidRPr="005B7ABE">
        <w:rPr>
          <w:rFonts w:ascii="Arial" w:hAnsi="Arial" w:cs="Arial"/>
          <w:color w:val="000000" w:themeColor="text1"/>
          <w:kern w:val="0"/>
          <w:sz w:val="22"/>
          <w:szCs w:val="22"/>
          <w14:ligatures w14:val="none"/>
        </w:rPr>
        <w:t>PubMed</w:t>
      </w:r>
    </w:p>
    <w:p w14:paraId="7CD640A1" w14:textId="0105D749" w:rsidR="00F67C06" w:rsidRPr="005B7ABE" w:rsidRDefault="00AA4586" w:rsidP="0020706C">
      <w:pPr>
        <w:numPr>
          <w:ilvl w:val="0"/>
          <w:numId w:val="3"/>
        </w:numPr>
        <w:spacing w:before="100" w:beforeAutospacing="1" w:after="100" w:afterAutospacing="1" w:line="360" w:lineRule="auto"/>
        <w:jc w:val="both"/>
        <w:rPr>
          <w:rFonts w:ascii="Arial" w:hAnsi="Arial" w:cs="Arial"/>
          <w:color w:val="000000" w:themeColor="text1"/>
          <w:kern w:val="0"/>
          <w:sz w:val="22"/>
          <w:szCs w:val="22"/>
          <w14:ligatures w14:val="none"/>
        </w:rPr>
      </w:pPr>
      <w:r w:rsidRPr="005B7ABE">
        <w:rPr>
          <w:rFonts w:ascii="Arial" w:hAnsi="Arial" w:cs="Arial"/>
          <w:color w:val="000000" w:themeColor="text1"/>
          <w:kern w:val="0"/>
          <w:sz w:val="22"/>
          <w:szCs w:val="22"/>
          <w14:ligatures w14:val="none"/>
        </w:rPr>
        <w:t>Wiley</w:t>
      </w:r>
    </w:p>
    <w:p w14:paraId="6BF8F6C0" w14:textId="678DF1C6" w:rsidR="00F67C06" w:rsidRPr="00B63D5E" w:rsidRDefault="00F67C06" w:rsidP="0020706C">
      <w:pPr>
        <w:numPr>
          <w:ilvl w:val="0"/>
          <w:numId w:val="3"/>
        </w:numPr>
        <w:spacing w:before="100" w:beforeAutospacing="1" w:after="100" w:afterAutospacing="1" w:line="360" w:lineRule="auto"/>
        <w:jc w:val="both"/>
        <w:rPr>
          <w:rFonts w:ascii="Arial" w:hAnsi="Arial" w:cs="Arial"/>
          <w:color w:val="000000" w:themeColor="text1"/>
          <w:kern w:val="0"/>
          <w:sz w:val="22"/>
          <w:szCs w:val="22"/>
          <w14:ligatures w14:val="none"/>
        </w:rPr>
      </w:pPr>
      <w:r w:rsidRPr="005B7ABE">
        <w:rPr>
          <w:rFonts w:ascii="Arial" w:hAnsi="Arial" w:cs="Arial"/>
          <w:color w:val="000000" w:themeColor="text1"/>
          <w:kern w:val="0"/>
          <w:sz w:val="22"/>
          <w:szCs w:val="22"/>
          <w14:ligatures w14:val="none"/>
        </w:rPr>
        <w:t>UWTSD Library Database</w:t>
      </w:r>
    </w:p>
    <w:p w14:paraId="4B3FF2FA" w14:textId="32CAF4F4" w:rsidR="00F67C06" w:rsidRPr="00B63D5E" w:rsidRDefault="00F67C06" w:rsidP="00B63D5E">
      <w:pPr>
        <w:spacing w:before="100" w:beforeAutospacing="1" w:after="100" w:afterAutospacing="1" w:line="360" w:lineRule="auto"/>
        <w:jc w:val="both"/>
        <w:rPr>
          <w:rFonts w:ascii="Arial" w:hAnsi="Arial" w:cs="Arial"/>
          <w:color w:val="000000" w:themeColor="text1"/>
          <w:kern w:val="0"/>
          <w:sz w:val="22"/>
          <w:szCs w:val="22"/>
          <w14:ligatures w14:val="none"/>
        </w:rPr>
      </w:pPr>
      <w:r w:rsidRPr="005B7ABE">
        <w:rPr>
          <w:rFonts w:ascii="Arial" w:hAnsi="Arial" w:cs="Arial"/>
          <w:color w:val="000000" w:themeColor="text1"/>
          <w:kern w:val="0"/>
          <w:sz w:val="22"/>
          <w:szCs w:val="22"/>
          <w14:ligatures w14:val="none"/>
        </w:rPr>
        <w:t>These databases were selected due to their comprehensive coverage of research related to healthcare, public health, and behavioural sciences.</w:t>
      </w:r>
    </w:p>
    <w:p w14:paraId="4B96E94D" w14:textId="2F24062A" w:rsidR="00F67C06" w:rsidRPr="00B63D5E" w:rsidRDefault="00F67C06" w:rsidP="00B63D5E">
      <w:pPr>
        <w:spacing w:before="100" w:beforeAutospacing="1" w:after="100" w:afterAutospacing="1" w:line="360" w:lineRule="auto"/>
        <w:jc w:val="both"/>
        <w:outlineLvl w:val="1"/>
        <w:rPr>
          <w:rFonts w:ascii="Arial" w:hAnsi="Arial" w:cs="Arial"/>
          <w:b/>
          <w:bCs/>
          <w:color w:val="000000" w:themeColor="text1"/>
          <w:kern w:val="0"/>
          <w:sz w:val="22"/>
          <w:szCs w:val="22"/>
          <w14:ligatures w14:val="none"/>
        </w:rPr>
      </w:pPr>
      <w:r w:rsidRPr="00B63D5E">
        <w:rPr>
          <w:rFonts w:ascii="Arial" w:eastAsia="Times New Roman" w:hAnsi="Arial" w:cs="Arial"/>
          <w:b/>
          <w:bCs/>
          <w:color w:val="000000" w:themeColor="text1"/>
          <w:kern w:val="0"/>
          <w:sz w:val="22"/>
          <w:szCs w:val="22"/>
          <w14:ligatures w14:val="none"/>
        </w:rPr>
        <w:t>Search Strategy</w:t>
      </w:r>
    </w:p>
    <w:p w14:paraId="77810E0E" w14:textId="77777777" w:rsidR="00F67C06" w:rsidRPr="005B7ABE" w:rsidRDefault="00F67C06" w:rsidP="0020706C">
      <w:pPr>
        <w:spacing w:before="100" w:beforeAutospacing="1" w:after="100" w:afterAutospacing="1" w:line="360" w:lineRule="auto"/>
        <w:jc w:val="both"/>
        <w:rPr>
          <w:rFonts w:ascii="Arial" w:hAnsi="Arial" w:cs="Arial"/>
          <w:color w:val="000000" w:themeColor="text1"/>
          <w:kern w:val="0"/>
          <w:sz w:val="22"/>
          <w:szCs w:val="22"/>
          <w14:ligatures w14:val="none"/>
        </w:rPr>
      </w:pPr>
      <w:r w:rsidRPr="005B7ABE">
        <w:rPr>
          <w:rFonts w:ascii="Arial" w:hAnsi="Arial" w:cs="Arial"/>
          <w:color w:val="000000" w:themeColor="text1"/>
          <w:kern w:val="0"/>
          <w:sz w:val="22"/>
          <w:szCs w:val="22"/>
          <w14:ligatures w14:val="none"/>
        </w:rPr>
        <w:t>A range of keywords was developed in line with the research question. These terms were combined using Boolean operators to improve the accuracy and relevance of search results. The search strategy included combinations such as:</w:t>
      </w:r>
    </w:p>
    <w:p w14:paraId="42F34409" w14:textId="77777777" w:rsidR="00B34765" w:rsidRPr="005B7ABE" w:rsidRDefault="00B34765" w:rsidP="0020706C">
      <w:pPr>
        <w:numPr>
          <w:ilvl w:val="0"/>
          <w:numId w:val="10"/>
        </w:numPr>
        <w:spacing w:before="100" w:beforeAutospacing="1" w:after="100" w:afterAutospacing="1" w:line="360" w:lineRule="auto"/>
        <w:jc w:val="both"/>
        <w:rPr>
          <w:rFonts w:ascii="Arial" w:hAnsi="Arial" w:cs="Arial"/>
          <w:color w:val="000000" w:themeColor="text1"/>
          <w:kern w:val="0"/>
          <w:sz w:val="22"/>
          <w:szCs w:val="22"/>
          <w14:ligatures w14:val="none"/>
        </w:rPr>
      </w:pPr>
      <w:r w:rsidRPr="005B7ABE">
        <w:rPr>
          <w:rFonts w:ascii="Arial" w:hAnsi="Arial" w:cs="Arial"/>
          <w:color w:val="000000" w:themeColor="text1"/>
          <w:kern w:val="0"/>
          <w:sz w:val="22"/>
          <w:szCs w:val="22"/>
          <w14:ligatures w14:val="none"/>
        </w:rPr>
        <w:t>(“obesity” OR “overweight”) AND (“treatment” OR “interventions”) AND (“adults” OR “working-age adults”)</w:t>
      </w:r>
    </w:p>
    <w:p w14:paraId="0985D55B" w14:textId="77777777" w:rsidR="00B34765" w:rsidRPr="005B7ABE" w:rsidRDefault="00B34765" w:rsidP="0020706C">
      <w:pPr>
        <w:numPr>
          <w:ilvl w:val="0"/>
          <w:numId w:val="10"/>
        </w:numPr>
        <w:spacing w:before="100" w:beforeAutospacing="1" w:after="100" w:afterAutospacing="1" w:line="360" w:lineRule="auto"/>
        <w:jc w:val="both"/>
        <w:rPr>
          <w:rFonts w:ascii="Arial" w:hAnsi="Arial" w:cs="Arial"/>
          <w:color w:val="000000" w:themeColor="text1"/>
          <w:kern w:val="0"/>
          <w:sz w:val="22"/>
          <w:szCs w:val="22"/>
          <w14:ligatures w14:val="none"/>
        </w:rPr>
      </w:pPr>
      <w:r w:rsidRPr="005B7ABE">
        <w:rPr>
          <w:rFonts w:ascii="Arial" w:hAnsi="Arial" w:cs="Arial"/>
          <w:color w:val="000000" w:themeColor="text1"/>
          <w:kern w:val="0"/>
          <w:sz w:val="22"/>
          <w:szCs w:val="22"/>
          <w14:ligatures w14:val="none"/>
        </w:rPr>
        <w:t>(“obesity” AND “UK” AND “access to healthcare” AND “adults”)</w:t>
      </w:r>
    </w:p>
    <w:p w14:paraId="6E56AD7E" w14:textId="77777777" w:rsidR="00B34765" w:rsidRPr="005B7ABE" w:rsidRDefault="00B34765" w:rsidP="0020706C">
      <w:pPr>
        <w:numPr>
          <w:ilvl w:val="0"/>
          <w:numId w:val="10"/>
        </w:numPr>
        <w:spacing w:before="100" w:beforeAutospacing="1" w:after="100" w:afterAutospacing="1" w:line="360" w:lineRule="auto"/>
        <w:jc w:val="both"/>
        <w:rPr>
          <w:rFonts w:ascii="Arial" w:hAnsi="Arial" w:cs="Arial"/>
          <w:color w:val="000000" w:themeColor="text1"/>
          <w:kern w:val="0"/>
          <w:sz w:val="22"/>
          <w:szCs w:val="22"/>
          <w14:ligatures w14:val="none"/>
        </w:rPr>
      </w:pPr>
      <w:r w:rsidRPr="005B7ABE">
        <w:rPr>
          <w:rFonts w:ascii="Arial" w:hAnsi="Arial" w:cs="Arial"/>
          <w:color w:val="000000" w:themeColor="text1"/>
          <w:kern w:val="0"/>
          <w:sz w:val="22"/>
          <w:szCs w:val="22"/>
          <w14:ligatures w14:val="none"/>
        </w:rPr>
        <w:t>(“weight management” AND “barriers” AND “adults”)</w:t>
      </w:r>
    </w:p>
    <w:p w14:paraId="0E4AA5C6" w14:textId="77777777" w:rsidR="00B34765" w:rsidRPr="005B7ABE" w:rsidRDefault="00B34765" w:rsidP="0020706C">
      <w:pPr>
        <w:numPr>
          <w:ilvl w:val="0"/>
          <w:numId w:val="10"/>
        </w:numPr>
        <w:spacing w:before="100" w:beforeAutospacing="1" w:after="100" w:afterAutospacing="1" w:line="360" w:lineRule="auto"/>
        <w:jc w:val="both"/>
        <w:rPr>
          <w:rFonts w:ascii="Arial" w:hAnsi="Arial" w:cs="Arial"/>
          <w:color w:val="000000" w:themeColor="text1"/>
          <w:kern w:val="0"/>
          <w:sz w:val="22"/>
          <w:szCs w:val="22"/>
          <w14:ligatures w14:val="none"/>
        </w:rPr>
      </w:pPr>
      <w:r w:rsidRPr="005B7ABE">
        <w:rPr>
          <w:rFonts w:ascii="Arial" w:hAnsi="Arial" w:cs="Arial"/>
          <w:color w:val="000000" w:themeColor="text1"/>
          <w:kern w:val="0"/>
          <w:sz w:val="22"/>
          <w:szCs w:val="22"/>
          <w14:ligatures w14:val="none"/>
        </w:rPr>
        <w:t>(“obesity” AND (“inequalities” OR “socioeconomic factors”) AND “adults”)</w:t>
      </w:r>
    </w:p>
    <w:p w14:paraId="60C65F17" w14:textId="77777777" w:rsidR="00B34765" w:rsidRPr="005B7ABE" w:rsidRDefault="00B34765" w:rsidP="0020706C">
      <w:pPr>
        <w:numPr>
          <w:ilvl w:val="0"/>
          <w:numId w:val="10"/>
        </w:numPr>
        <w:spacing w:before="100" w:beforeAutospacing="1" w:after="100" w:afterAutospacing="1" w:line="360" w:lineRule="auto"/>
        <w:jc w:val="both"/>
        <w:rPr>
          <w:rFonts w:ascii="Arial" w:hAnsi="Arial" w:cs="Arial"/>
          <w:color w:val="000000" w:themeColor="text1"/>
          <w:kern w:val="0"/>
          <w:sz w:val="22"/>
          <w:szCs w:val="22"/>
          <w14:ligatures w14:val="none"/>
        </w:rPr>
      </w:pPr>
      <w:r w:rsidRPr="005B7ABE">
        <w:rPr>
          <w:rFonts w:ascii="Arial" w:hAnsi="Arial" w:cs="Arial"/>
          <w:color w:val="000000" w:themeColor="text1"/>
          <w:kern w:val="0"/>
          <w:sz w:val="22"/>
          <w:szCs w:val="22"/>
          <w14:ligatures w14:val="none"/>
        </w:rPr>
        <w:t>(“weight loss programmes” OR “obesity interventions”) AND (“engagement” OR “access”) AND “adults”</w:t>
      </w:r>
    </w:p>
    <w:p w14:paraId="5F57A515" w14:textId="5C11D095" w:rsidR="00F67C06" w:rsidRPr="00B63D5E" w:rsidRDefault="00F67C06" w:rsidP="00B63D5E">
      <w:pPr>
        <w:spacing w:before="100" w:beforeAutospacing="1" w:after="100" w:afterAutospacing="1" w:line="360" w:lineRule="auto"/>
        <w:jc w:val="both"/>
        <w:rPr>
          <w:rFonts w:ascii="Arial" w:hAnsi="Arial" w:cs="Arial"/>
          <w:color w:val="000000" w:themeColor="text1"/>
          <w:kern w:val="0"/>
          <w:sz w:val="22"/>
          <w:szCs w:val="22"/>
          <w14:ligatures w14:val="none"/>
        </w:rPr>
      </w:pPr>
      <w:r w:rsidRPr="005B7ABE">
        <w:rPr>
          <w:rFonts w:ascii="Arial" w:hAnsi="Arial" w:cs="Arial"/>
          <w:color w:val="000000" w:themeColor="text1"/>
          <w:kern w:val="0"/>
          <w:sz w:val="22"/>
          <w:szCs w:val="22"/>
          <w14:ligatures w14:val="none"/>
        </w:rPr>
        <w:t>Boolean operators such as AND, OR, and NOT were applied to refine the results and focus on studies relevant to the research aim.</w:t>
      </w:r>
    </w:p>
    <w:p w14:paraId="7F77AE93" w14:textId="327BD57F" w:rsidR="00F67C06" w:rsidRPr="00B63D5E" w:rsidRDefault="00F67C06" w:rsidP="00B63D5E">
      <w:pPr>
        <w:spacing w:before="100" w:beforeAutospacing="1" w:after="100" w:afterAutospacing="1" w:line="360" w:lineRule="auto"/>
        <w:jc w:val="both"/>
        <w:outlineLvl w:val="1"/>
        <w:rPr>
          <w:rFonts w:ascii="Arial" w:hAnsi="Arial" w:cs="Arial"/>
          <w:b/>
          <w:bCs/>
          <w:color w:val="000000" w:themeColor="text1"/>
          <w:kern w:val="0"/>
          <w:sz w:val="22"/>
          <w:szCs w:val="22"/>
          <w14:ligatures w14:val="none"/>
        </w:rPr>
      </w:pPr>
      <w:r w:rsidRPr="00B63D5E">
        <w:rPr>
          <w:rFonts w:ascii="Arial" w:eastAsia="Times New Roman" w:hAnsi="Arial" w:cs="Arial"/>
          <w:b/>
          <w:bCs/>
          <w:color w:val="000000" w:themeColor="text1"/>
          <w:kern w:val="0"/>
          <w:sz w:val="22"/>
          <w:szCs w:val="22"/>
          <w14:ligatures w14:val="none"/>
        </w:rPr>
        <w:t>Inclusion and Exclusion Criteria</w:t>
      </w:r>
    </w:p>
    <w:p w14:paraId="6D88C724" w14:textId="53BA3C28" w:rsidR="00F67C06" w:rsidRPr="005B7ABE" w:rsidRDefault="00F67C06" w:rsidP="0020706C">
      <w:pPr>
        <w:spacing w:before="100" w:beforeAutospacing="1" w:after="100" w:afterAutospacing="1" w:line="360" w:lineRule="auto"/>
        <w:jc w:val="both"/>
        <w:rPr>
          <w:rFonts w:ascii="Arial" w:hAnsi="Arial" w:cs="Arial"/>
          <w:color w:val="000000" w:themeColor="text1"/>
          <w:kern w:val="0"/>
          <w:sz w:val="22"/>
          <w:szCs w:val="22"/>
          <w14:ligatures w14:val="none"/>
        </w:rPr>
      </w:pPr>
      <w:r w:rsidRPr="005B7ABE">
        <w:rPr>
          <w:rFonts w:ascii="Arial" w:hAnsi="Arial" w:cs="Arial"/>
          <w:color w:val="000000" w:themeColor="text1"/>
          <w:kern w:val="0"/>
          <w:sz w:val="22"/>
          <w:szCs w:val="22"/>
          <w14:ligatures w14:val="none"/>
        </w:rPr>
        <w:t>To ensure that the selected studies were relevant and of sufficient quality, clear inclusion and exclusion criteria were applied.</w:t>
      </w:r>
    </w:p>
    <w:p w14:paraId="334C9CE0" w14:textId="77777777" w:rsidR="00F67C06" w:rsidRPr="005B7ABE" w:rsidRDefault="00F67C06" w:rsidP="0020706C">
      <w:pPr>
        <w:spacing w:before="100" w:beforeAutospacing="1" w:after="100" w:afterAutospacing="1" w:line="360" w:lineRule="auto"/>
        <w:jc w:val="both"/>
        <w:outlineLvl w:val="2"/>
        <w:rPr>
          <w:rFonts w:ascii="Arial" w:eastAsia="Times New Roman" w:hAnsi="Arial" w:cs="Arial"/>
          <w:color w:val="000000" w:themeColor="text1"/>
          <w:kern w:val="0"/>
          <w:sz w:val="22"/>
          <w:szCs w:val="22"/>
          <w14:ligatures w14:val="none"/>
        </w:rPr>
      </w:pPr>
      <w:r w:rsidRPr="005B7ABE">
        <w:rPr>
          <w:rFonts w:ascii="Arial" w:eastAsia="Times New Roman" w:hAnsi="Arial" w:cs="Arial"/>
          <w:color w:val="000000" w:themeColor="text1"/>
          <w:kern w:val="0"/>
          <w:sz w:val="22"/>
          <w:szCs w:val="22"/>
          <w14:ligatures w14:val="none"/>
        </w:rPr>
        <w:t>Inclusion criteria:</w:t>
      </w:r>
    </w:p>
    <w:p w14:paraId="1D2B0D53" w14:textId="77777777" w:rsidR="00F67C06" w:rsidRPr="005B7ABE" w:rsidRDefault="00F67C06" w:rsidP="0020706C">
      <w:pPr>
        <w:numPr>
          <w:ilvl w:val="0"/>
          <w:numId w:val="5"/>
        </w:numPr>
        <w:spacing w:before="100" w:beforeAutospacing="1" w:after="100" w:afterAutospacing="1" w:line="360" w:lineRule="auto"/>
        <w:jc w:val="both"/>
        <w:rPr>
          <w:rFonts w:ascii="Arial" w:hAnsi="Arial" w:cs="Arial"/>
          <w:color w:val="000000" w:themeColor="text1"/>
          <w:kern w:val="0"/>
          <w:sz w:val="22"/>
          <w:szCs w:val="22"/>
          <w14:ligatures w14:val="none"/>
        </w:rPr>
      </w:pPr>
      <w:r w:rsidRPr="005B7ABE">
        <w:rPr>
          <w:rFonts w:ascii="Arial" w:hAnsi="Arial" w:cs="Arial"/>
          <w:color w:val="000000" w:themeColor="text1"/>
          <w:kern w:val="0"/>
          <w:sz w:val="22"/>
          <w:szCs w:val="22"/>
          <w14:ligatures w14:val="none"/>
        </w:rPr>
        <w:t>Peer-reviewed journal articles</w:t>
      </w:r>
    </w:p>
    <w:p w14:paraId="17AAFBBA" w14:textId="2A7DCD0C" w:rsidR="00F67C06" w:rsidRPr="005B7ABE" w:rsidRDefault="00F67C06" w:rsidP="0020706C">
      <w:pPr>
        <w:numPr>
          <w:ilvl w:val="0"/>
          <w:numId w:val="5"/>
        </w:numPr>
        <w:spacing w:before="100" w:beforeAutospacing="1" w:after="100" w:afterAutospacing="1" w:line="360" w:lineRule="auto"/>
        <w:jc w:val="both"/>
        <w:rPr>
          <w:rFonts w:ascii="Arial" w:hAnsi="Arial" w:cs="Arial"/>
          <w:color w:val="000000" w:themeColor="text1"/>
          <w:kern w:val="0"/>
          <w:sz w:val="22"/>
          <w:szCs w:val="22"/>
          <w14:ligatures w14:val="none"/>
        </w:rPr>
      </w:pPr>
      <w:r w:rsidRPr="005B7ABE">
        <w:rPr>
          <w:rFonts w:ascii="Arial" w:hAnsi="Arial" w:cs="Arial"/>
          <w:color w:val="000000" w:themeColor="text1"/>
          <w:kern w:val="0"/>
          <w:sz w:val="22"/>
          <w:szCs w:val="22"/>
          <w14:ligatures w14:val="none"/>
        </w:rPr>
        <w:lastRenderedPageBreak/>
        <w:t>Published between 201</w:t>
      </w:r>
      <w:r w:rsidR="003758AA" w:rsidRPr="005B7ABE">
        <w:rPr>
          <w:rFonts w:ascii="Arial" w:hAnsi="Arial" w:cs="Arial"/>
          <w:color w:val="000000" w:themeColor="text1"/>
          <w:kern w:val="0"/>
          <w:sz w:val="22"/>
          <w:szCs w:val="22"/>
          <w14:ligatures w14:val="none"/>
        </w:rPr>
        <w:t xml:space="preserve">6 </w:t>
      </w:r>
      <w:r w:rsidRPr="005B7ABE">
        <w:rPr>
          <w:rFonts w:ascii="Arial" w:hAnsi="Arial" w:cs="Arial"/>
          <w:color w:val="000000" w:themeColor="text1"/>
          <w:kern w:val="0"/>
          <w:sz w:val="22"/>
          <w:szCs w:val="22"/>
          <w14:ligatures w14:val="none"/>
        </w:rPr>
        <w:t xml:space="preserve"> and 2026</w:t>
      </w:r>
    </w:p>
    <w:p w14:paraId="1587C87E" w14:textId="77777777" w:rsidR="00F67C06" w:rsidRPr="005B7ABE" w:rsidRDefault="00F67C06" w:rsidP="0020706C">
      <w:pPr>
        <w:numPr>
          <w:ilvl w:val="0"/>
          <w:numId w:val="5"/>
        </w:numPr>
        <w:spacing w:before="100" w:beforeAutospacing="1" w:after="100" w:afterAutospacing="1" w:line="360" w:lineRule="auto"/>
        <w:jc w:val="both"/>
        <w:rPr>
          <w:rFonts w:ascii="Arial" w:hAnsi="Arial" w:cs="Arial"/>
          <w:color w:val="000000" w:themeColor="text1"/>
          <w:kern w:val="0"/>
          <w:sz w:val="22"/>
          <w:szCs w:val="22"/>
          <w14:ligatures w14:val="none"/>
        </w:rPr>
      </w:pPr>
      <w:r w:rsidRPr="005B7ABE">
        <w:rPr>
          <w:rFonts w:ascii="Arial" w:hAnsi="Arial" w:cs="Arial"/>
          <w:color w:val="000000" w:themeColor="text1"/>
          <w:kern w:val="0"/>
          <w:sz w:val="22"/>
          <w:szCs w:val="22"/>
          <w14:ligatures w14:val="none"/>
        </w:rPr>
        <w:t>Studies focusing on obesity treatment and/or access to services</w:t>
      </w:r>
    </w:p>
    <w:p w14:paraId="15234CEA" w14:textId="77777777" w:rsidR="00F67C06" w:rsidRPr="005B7ABE" w:rsidRDefault="00F67C06" w:rsidP="0020706C">
      <w:pPr>
        <w:numPr>
          <w:ilvl w:val="0"/>
          <w:numId w:val="5"/>
        </w:numPr>
        <w:spacing w:before="100" w:beforeAutospacing="1" w:after="100" w:afterAutospacing="1" w:line="360" w:lineRule="auto"/>
        <w:jc w:val="both"/>
        <w:rPr>
          <w:rFonts w:ascii="Arial" w:hAnsi="Arial" w:cs="Arial"/>
          <w:color w:val="000000" w:themeColor="text1"/>
          <w:kern w:val="0"/>
          <w:sz w:val="22"/>
          <w:szCs w:val="22"/>
          <w14:ligatures w14:val="none"/>
        </w:rPr>
      </w:pPr>
      <w:r w:rsidRPr="005B7ABE">
        <w:rPr>
          <w:rFonts w:ascii="Arial" w:hAnsi="Arial" w:cs="Arial"/>
          <w:color w:val="000000" w:themeColor="text1"/>
          <w:kern w:val="0"/>
          <w:sz w:val="22"/>
          <w:szCs w:val="22"/>
          <w14:ligatures w14:val="none"/>
        </w:rPr>
        <w:t>Adult populations aged 18–65</w:t>
      </w:r>
    </w:p>
    <w:p w14:paraId="064A56E6" w14:textId="77777777" w:rsidR="00F67C06" w:rsidRPr="005B7ABE" w:rsidRDefault="00F67C06" w:rsidP="0020706C">
      <w:pPr>
        <w:numPr>
          <w:ilvl w:val="0"/>
          <w:numId w:val="5"/>
        </w:numPr>
        <w:spacing w:before="100" w:beforeAutospacing="1" w:after="100" w:afterAutospacing="1" w:line="360" w:lineRule="auto"/>
        <w:jc w:val="both"/>
        <w:rPr>
          <w:rFonts w:ascii="Arial" w:hAnsi="Arial" w:cs="Arial"/>
          <w:color w:val="000000" w:themeColor="text1"/>
          <w:kern w:val="0"/>
          <w:sz w:val="22"/>
          <w:szCs w:val="22"/>
          <w14:ligatures w14:val="none"/>
        </w:rPr>
      </w:pPr>
      <w:r w:rsidRPr="005B7ABE">
        <w:rPr>
          <w:rFonts w:ascii="Arial" w:hAnsi="Arial" w:cs="Arial"/>
          <w:color w:val="000000" w:themeColor="text1"/>
          <w:kern w:val="0"/>
          <w:sz w:val="22"/>
          <w:szCs w:val="22"/>
          <w14:ligatures w14:val="none"/>
        </w:rPr>
        <w:t>Research conducted within the UK or comparable healthcare systems</w:t>
      </w:r>
    </w:p>
    <w:p w14:paraId="6CF45745" w14:textId="77777777" w:rsidR="00F67C06" w:rsidRPr="005B7ABE" w:rsidRDefault="00F67C06" w:rsidP="0020706C">
      <w:pPr>
        <w:numPr>
          <w:ilvl w:val="0"/>
          <w:numId w:val="5"/>
        </w:numPr>
        <w:spacing w:before="100" w:beforeAutospacing="1" w:after="100" w:afterAutospacing="1" w:line="360" w:lineRule="auto"/>
        <w:jc w:val="both"/>
        <w:rPr>
          <w:rFonts w:ascii="Arial" w:hAnsi="Arial" w:cs="Arial"/>
          <w:color w:val="000000" w:themeColor="text1"/>
          <w:kern w:val="0"/>
          <w:sz w:val="22"/>
          <w:szCs w:val="22"/>
          <w14:ligatures w14:val="none"/>
        </w:rPr>
      </w:pPr>
      <w:r w:rsidRPr="005B7ABE">
        <w:rPr>
          <w:rFonts w:ascii="Arial" w:hAnsi="Arial" w:cs="Arial"/>
          <w:color w:val="000000" w:themeColor="text1"/>
          <w:kern w:val="0"/>
          <w:sz w:val="22"/>
          <w:szCs w:val="22"/>
          <w14:ligatures w14:val="none"/>
        </w:rPr>
        <w:t>Qualitative, quantitative, or mixed-method studies</w:t>
      </w:r>
    </w:p>
    <w:p w14:paraId="410DE425" w14:textId="24962420" w:rsidR="00F67C06" w:rsidRPr="00B63D5E" w:rsidRDefault="00F67C06" w:rsidP="0020706C">
      <w:pPr>
        <w:numPr>
          <w:ilvl w:val="0"/>
          <w:numId w:val="5"/>
        </w:numPr>
        <w:spacing w:before="100" w:beforeAutospacing="1" w:after="100" w:afterAutospacing="1" w:line="360" w:lineRule="auto"/>
        <w:jc w:val="both"/>
        <w:rPr>
          <w:rFonts w:ascii="Arial" w:hAnsi="Arial" w:cs="Arial"/>
          <w:color w:val="000000" w:themeColor="text1"/>
          <w:kern w:val="0"/>
          <w:sz w:val="22"/>
          <w:szCs w:val="22"/>
          <w14:ligatures w14:val="none"/>
        </w:rPr>
      </w:pPr>
      <w:r w:rsidRPr="005B7ABE">
        <w:rPr>
          <w:rFonts w:ascii="Arial" w:hAnsi="Arial" w:cs="Arial"/>
          <w:color w:val="000000" w:themeColor="text1"/>
          <w:kern w:val="0"/>
          <w:sz w:val="22"/>
          <w:szCs w:val="22"/>
          <w14:ligatures w14:val="none"/>
        </w:rPr>
        <w:t>Full-text articles available</w:t>
      </w:r>
    </w:p>
    <w:p w14:paraId="4CF628A5" w14:textId="77777777" w:rsidR="00F67C06" w:rsidRPr="00B63D5E" w:rsidRDefault="00F67C06" w:rsidP="0020706C">
      <w:pPr>
        <w:spacing w:before="100" w:beforeAutospacing="1" w:after="100" w:afterAutospacing="1" w:line="360" w:lineRule="auto"/>
        <w:jc w:val="both"/>
        <w:outlineLvl w:val="2"/>
        <w:rPr>
          <w:rFonts w:ascii="Arial" w:eastAsia="Times New Roman" w:hAnsi="Arial" w:cs="Arial"/>
          <w:b/>
          <w:bCs/>
          <w:color w:val="000000" w:themeColor="text1"/>
          <w:kern w:val="0"/>
          <w:sz w:val="22"/>
          <w:szCs w:val="22"/>
          <w14:ligatures w14:val="none"/>
        </w:rPr>
      </w:pPr>
      <w:r w:rsidRPr="00B63D5E">
        <w:rPr>
          <w:rFonts w:ascii="Arial" w:eastAsia="Times New Roman" w:hAnsi="Arial" w:cs="Arial"/>
          <w:b/>
          <w:bCs/>
          <w:color w:val="000000" w:themeColor="text1"/>
          <w:kern w:val="0"/>
          <w:sz w:val="22"/>
          <w:szCs w:val="22"/>
          <w14:ligatures w14:val="none"/>
        </w:rPr>
        <w:t>Exclusion criteria:</w:t>
      </w:r>
    </w:p>
    <w:p w14:paraId="1A822D8B" w14:textId="77777777" w:rsidR="00F67C06" w:rsidRPr="005B7ABE" w:rsidRDefault="00F67C06" w:rsidP="0020706C">
      <w:pPr>
        <w:numPr>
          <w:ilvl w:val="0"/>
          <w:numId w:val="6"/>
        </w:numPr>
        <w:spacing w:before="100" w:beforeAutospacing="1" w:after="100" w:afterAutospacing="1" w:line="360" w:lineRule="auto"/>
        <w:jc w:val="both"/>
        <w:rPr>
          <w:rFonts w:ascii="Arial" w:hAnsi="Arial" w:cs="Arial"/>
          <w:color w:val="000000" w:themeColor="text1"/>
          <w:kern w:val="0"/>
          <w:sz w:val="22"/>
          <w:szCs w:val="22"/>
          <w14:ligatures w14:val="none"/>
        </w:rPr>
      </w:pPr>
      <w:r w:rsidRPr="005B7ABE">
        <w:rPr>
          <w:rFonts w:ascii="Arial" w:hAnsi="Arial" w:cs="Arial"/>
          <w:color w:val="000000" w:themeColor="text1"/>
          <w:kern w:val="0"/>
          <w:sz w:val="22"/>
          <w:szCs w:val="22"/>
          <w14:ligatures w14:val="none"/>
        </w:rPr>
        <w:t>Studies conducted outside relevant healthcare contexts</w:t>
      </w:r>
    </w:p>
    <w:p w14:paraId="0F19DAAE" w14:textId="77777777" w:rsidR="00F67C06" w:rsidRPr="005B7ABE" w:rsidRDefault="00F67C06" w:rsidP="0020706C">
      <w:pPr>
        <w:numPr>
          <w:ilvl w:val="0"/>
          <w:numId w:val="6"/>
        </w:numPr>
        <w:spacing w:before="100" w:beforeAutospacing="1" w:after="100" w:afterAutospacing="1" w:line="360" w:lineRule="auto"/>
        <w:jc w:val="both"/>
        <w:rPr>
          <w:rFonts w:ascii="Arial" w:hAnsi="Arial" w:cs="Arial"/>
          <w:color w:val="000000" w:themeColor="text1"/>
          <w:kern w:val="0"/>
          <w:sz w:val="22"/>
          <w:szCs w:val="22"/>
          <w14:ligatures w14:val="none"/>
        </w:rPr>
      </w:pPr>
      <w:r w:rsidRPr="005B7ABE">
        <w:rPr>
          <w:rFonts w:ascii="Arial" w:hAnsi="Arial" w:cs="Arial"/>
          <w:color w:val="000000" w:themeColor="text1"/>
          <w:kern w:val="0"/>
          <w:sz w:val="22"/>
          <w:szCs w:val="22"/>
          <w14:ligatures w14:val="none"/>
        </w:rPr>
        <w:t>Research focusing solely on children or adolescents</w:t>
      </w:r>
    </w:p>
    <w:p w14:paraId="6DE70CFD" w14:textId="77777777" w:rsidR="00F67C06" w:rsidRPr="005B7ABE" w:rsidRDefault="00F67C06" w:rsidP="0020706C">
      <w:pPr>
        <w:numPr>
          <w:ilvl w:val="0"/>
          <w:numId w:val="6"/>
        </w:numPr>
        <w:spacing w:before="100" w:beforeAutospacing="1" w:after="100" w:afterAutospacing="1" w:line="360" w:lineRule="auto"/>
        <w:jc w:val="both"/>
        <w:rPr>
          <w:rFonts w:ascii="Arial" w:hAnsi="Arial" w:cs="Arial"/>
          <w:color w:val="000000" w:themeColor="text1"/>
          <w:kern w:val="0"/>
          <w:sz w:val="22"/>
          <w:szCs w:val="22"/>
          <w14:ligatures w14:val="none"/>
        </w:rPr>
      </w:pPr>
      <w:r w:rsidRPr="005B7ABE">
        <w:rPr>
          <w:rFonts w:ascii="Arial" w:hAnsi="Arial" w:cs="Arial"/>
          <w:color w:val="000000" w:themeColor="text1"/>
          <w:kern w:val="0"/>
          <w:sz w:val="22"/>
          <w:szCs w:val="22"/>
          <w14:ligatures w14:val="none"/>
        </w:rPr>
        <w:t>Non-peer-reviewed sources such as opinion pieces or blogs</w:t>
      </w:r>
    </w:p>
    <w:p w14:paraId="53EA4690" w14:textId="77777777" w:rsidR="00F67C06" w:rsidRPr="005B7ABE" w:rsidRDefault="00F67C06" w:rsidP="0020706C">
      <w:pPr>
        <w:numPr>
          <w:ilvl w:val="0"/>
          <w:numId w:val="6"/>
        </w:numPr>
        <w:spacing w:before="100" w:beforeAutospacing="1" w:after="100" w:afterAutospacing="1" w:line="360" w:lineRule="auto"/>
        <w:jc w:val="both"/>
        <w:rPr>
          <w:rFonts w:ascii="Arial" w:hAnsi="Arial" w:cs="Arial"/>
          <w:color w:val="000000" w:themeColor="text1"/>
          <w:kern w:val="0"/>
          <w:sz w:val="22"/>
          <w:szCs w:val="22"/>
          <w14:ligatures w14:val="none"/>
        </w:rPr>
      </w:pPr>
      <w:r w:rsidRPr="005B7ABE">
        <w:rPr>
          <w:rFonts w:ascii="Arial" w:hAnsi="Arial" w:cs="Arial"/>
          <w:color w:val="000000" w:themeColor="text1"/>
          <w:kern w:val="0"/>
          <w:sz w:val="22"/>
          <w:szCs w:val="22"/>
          <w14:ligatures w14:val="none"/>
        </w:rPr>
        <w:t>Studies not addressing treatment outcomes or access issues</w:t>
      </w:r>
    </w:p>
    <w:p w14:paraId="24D55DDC" w14:textId="7CE132E6" w:rsidR="00F67C06" w:rsidRPr="00B63D5E" w:rsidRDefault="00F67C06" w:rsidP="0020706C">
      <w:pPr>
        <w:numPr>
          <w:ilvl w:val="0"/>
          <w:numId w:val="6"/>
        </w:numPr>
        <w:spacing w:before="100" w:beforeAutospacing="1" w:after="100" w:afterAutospacing="1" w:line="360" w:lineRule="auto"/>
        <w:jc w:val="both"/>
        <w:rPr>
          <w:rFonts w:ascii="Arial" w:hAnsi="Arial" w:cs="Arial"/>
          <w:color w:val="000000" w:themeColor="text1"/>
          <w:kern w:val="0"/>
          <w:sz w:val="22"/>
          <w:szCs w:val="22"/>
          <w14:ligatures w14:val="none"/>
        </w:rPr>
      </w:pPr>
      <w:r w:rsidRPr="005B7ABE">
        <w:rPr>
          <w:rFonts w:ascii="Arial" w:hAnsi="Arial" w:cs="Arial"/>
          <w:color w:val="000000" w:themeColor="text1"/>
          <w:kern w:val="0"/>
          <w:sz w:val="22"/>
          <w:szCs w:val="22"/>
          <w14:ligatures w14:val="none"/>
        </w:rPr>
        <w:t>Duplicate articles or studies without full-text access</w:t>
      </w:r>
    </w:p>
    <w:p w14:paraId="19FE93CB" w14:textId="24E6148D" w:rsidR="00F67C06" w:rsidRPr="00B63D5E" w:rsidRDefault="00F67C06" w:rsidP="00B63D5E">
      <w:pPr>
        <w:spacing w:before="100" w:beforeAutospacing="1" w:after="100" w:afterAutospacing="1" w:line="360" w:lineRule="auto"/>
        <w:jc w:val="both"/>
        <w:rPr>
          <w:rFonts w:ascii="Arial" w:hAnsi="Arial" w:cs="Arial"/>
          <w:color w:val="000000" w:themeColor="text1"/>
          <w:kern w:val="0"/>
          <w:sz w:val="22"/>
          <w:szCs w:val="22"/>
          <w14:ligatures w14:val="none"/>
        </w:rPr>
      </w:pPr>
      <w:r w:rsidRPr="005B7ABE">
        <w:rPr>
          <w:rFonts w:ascii="Arial" w:hAnsi="Arial" w:cs="Arial"/>
          <w:color w:val="000000" w:themeColor="text1"/>
          <w:kern w:val="0"/>
          <w:sz w:val="22"/>
          <w:szCs w:val="22"/>
          <w14:ligatures w14:val="none"/>
        </w:rPr>
        <w:t>Following the application of these criteria, relevant studies were selected for detailed review and analysis.</w:t>
      </w:r>
    </w:p>
    <w:p w14:paraId="6A9F34E9" w14:textId="29AF315A" w:rsidR="00F67C06" w:rsidRPr="00B63D5E" w:rsidRDefault="00F67C06" w:rsidP="00B63D5E">
      <w:pPr>
        <w:spacing w:before="100" w:beforeAutospacing="1" w:after="100" w:afterAutospacing="1" w:line="360" w:lineRule="auto"/>
        <w:jc w:val="both"/>
        <w:outlineLvl w:val="1"/>
        <w:rPr>
          <w:rFonts w:ascii="Arial" w:hAnsi="Arial" w:cs="Arial"/>
          <w:b/>
          <w:bCs/>
          <w:color w:val="000000" w:themeColor="text1"/>
          <w:kern w:val="0"/>
          <w:sz w:val="22"/>
          <w:szCs w:val="22"/>
          <w14:ligatures w14:val="none"/>
        </w:rPr>
      </w:pPr>
      <w:r w:rsidRPr="00B63D5E">
        <w:rPr>
          <w:rFonts w:ascii="Arial" w:eastAsia="Times New Roman" w:hAnsi="Arial" w:cs="Arial"/>
          <w:b/>
          <w:bCs/>
          <w:color w:val="000000" w:themeColor="text1"/>
          <w:kern w:val="0"/>
          <w:sz w:val="22"/>
          <w:szCs w:val="22"/>
          <w14:ligatures w14:val="none"/>
        </w:rPr>
        <w:t>Data Analysis Approach</w:t>
      </w:r>
    </w:p>
    <w:p w14:paraId="1FDB6460" w14:textId="41051227" w:rsidR="00F67C06" w:rsidRPr="005B7ABE" w:rsidRDefault="00F67C06" w:rsidP="0020706C">
      <w:pPr>
        <w:spacing w:before="100" w:beforeAutospacing="1" w:after="100" w:afterAutospacing="1" w:line="360" w:lineRule="auto"/>
        <w:jc w:val="both"/>
        <w:rPr>
          <w:rFonts w:ascii="Arial" w:hAnsi="Arial" w:cs="Arial"/>
          <w:color w:val="000000" w:themeColor="text1"/>
          <w:kern w:val="0"/>
          <w:sz w:val="22"/>
          <w:szCs w:val="22"/>
          <w14:ligatures w14:val="none"/>
        </w:rPr>
      </w:pPr>
      <w:r w:rsidRPr="005B7ABE">
        <w:rPr>
          <w:rFonts w:ascii="Arial" w:hAnsi="Arial" w:cs="Arial"/>
          <w:color w:val="000000" w:themeColor="text1"/>
          <w:kern w:val="0"/>
          <w:sz w:val="22"/>
          <w:szCs w:val="22"/>
          <w14:ligatures w14:val="none"/>
        </w:rPr>
        <w:t xml:space="preserve">The selected studies were analysed using thematic analysis, as outlined by </w:t>
      </w:r>
      <w:proofErr w:type="spellStart"/>
      <w:r w:rsidRPr="005B7ABE">
        <w:rPr>
          <w:rFonts w:ascii="Arial" w:hAnsi="Arial" w:cs="Arial"/>
          <w:color w:val="000000" w:themeColor="text1"/>
          <w:kern w:val="0"/>
          <w:sz w:val="22"/>
          <w:szCs w:val="22"/>
          <w14:ligatures w14:val="none"/>
        </w:rPr>
        <w:t>Aveyard</w:t>
      </w:r>
      <w:proofErr w:type="spellEnd"/>
      <w:r w:rsidRPr="005B7ABE">
        <w:rPr>
          <w:rFonts w:ascii="Arial" w:hAnsi="Arial" w:cs="Arial"/>
          <w:color w:val="000000" w:themeColor="text1"/>
          <w:kern w:val="0"/>
          <w:sz w:val="22"/>
          <w:szCs w:val="22"/>
          <w14:ligatures w14:val="none"/>
        </w:rPr>
        <w:t xml:space="preserve"> (2014). This method was chosen because it allows for the identification of recurring patterns and themes across diverse types of research.</w:t>
      </w:r>
    </w:p>
    <w:p w14:paraId="138F763F" w14:textId="7A962E71" w:rsidR="00F67C06" w:rsidRPr="005B7ABE" w:rsidRDefault="00F67C06" w:rsidP="0020706C">
      <w:pPr>
        <w:spacing w:before="100" w:beforeAutospacing="1" w:after="100" w:afterAutospacing="1" w:line="360" w:lineRule="auto"/>
        <w:jc w:val="both"/>
        <w:rPr>
          <w:rFonts w:ascii="Arial" w:hAnsi="Arial" w:cs="Arial"/>
          <w:color w:val="000000" w:themeColor="text1"/>
          <w:kern w:val="0"/>
          <w:sz w:val="22"/>
          <w:szCs w:val="22"/>
          <w14:ligatures w14:val="none"/>
        </w:rPr>
      </w:pPr>
      <w:r w:rsidRPr="005B7ABE">
        <w:rPr>
          <w:rFonts w:ascii="Arial" w:hAnsi="Arial" w:cs="Arial"/>
          <w:color w:val="000000" w:themeColor="text1"/>
          <w:kern w:val="0"/>
          <w:sz w:val="22"/>
          <w:szCs w:val="22"/>
          <w14:ligatures w14:val="none"/>
        </w:rPr>
        <w:t>The analysis was carried out in several stages. Initially, all studies were read thoroughly to gain familiarity with the data. Key ideas and concepts were then identified and coded. These codes were grouped into broader themes reflecting common patterns across the literature.</w:t>
      </w:r>
    </w:p>
    <w:p w14:paraId="01B80D75" w14:textId="77777777" w:rsidR="00F67C06" w:rsidRPr="00B63D5E" w:rsidRDefault="00F67C06" w:rsidP="0020706C">
      <w:pPr>
        <w:spacing w:before="100" w:beforeAutospacing="1" w:after="100" w:afterAutospacing="1" w:line="360" w:lineRule="auto"/>
        <w:jc w:val="both"/>
        <w:rPr>
          <w:rFonts w:ascii="Arial" w:hAnsi="Arial" w:cs="Arial"/>
          <w:b/>
          <w:bCs/>
          <w:color w:val="000000" w:themeColor="text1"/>
          <w:kern w:val="0"/>
          <w:sz w:val="22"/>
          <w:szCs w:val="22"/>
          <w14:ligatures w14:val="none"/>
        </w:rPr>
      </w:pPr>
      <w:r w:rsidRPr="00B63D5E">
        <w:rPr>
          <w:rFonts w:ascii="Arial" w:hAnsi="Arial" w:cs="Arial"/>
          <w:b/>
          <w:bCs/>
          <w:color w:val="000000" w:themeColor="text1"/>
          <w:kern w:val="0"/>
          <w:sz w:val="22"/>
          <w:szCs w:val="22"/>
          <w14:ligatures w14:val="none"/>
        </w:rPr>
        <w:t>The main themes identified included:</w:t>
      </w:r>
    </w:p>
    <w:p w14:paraId="0CE8E852" w14:textId="77777777" w:rsidR="00F67C06" w:rsidRPr="00B63D5E" w:rsidRDefault="00F67C06" w:rsidP="0020706C">
      <w:pPr>
        <w:numPr>
          <w:ilvl w:val="0"/>
          <w:numId w:val="7"/>
        </w:numPr>
        <w:spacing w:before="100" w:beforeAutospacing="1" w:after="100" w:afterAutospacing="1" w:line="360" w:lineRule="auto"/>
        <w:jc w:val="both"/>
        <w:rPr>
          <w:rFonts w:ascii="Arial" w:hAnsi="Arial" w:cs="Arial"/>
          <w:b/>
          <w:bCs/>
          <w:color w:val="000000" w:themeColor="text1"/>
          <w:kern w:val="0"/>
          <w:sz w:val="22"/>
          <w:szCs w:val="22"/>
          <w14:ligatures w14:val="none"/>
        </w:rPr>
      </w:pPr>
      <w:r w:rsidRPr="00B63D5E">
        <w:rPr>
          <w:rFonts w:ascii="Arial" w:hAnsi="Arial" w:cs="Arial"/>
          <w:b/>
          <w:bCs/>
          <w:color w:val="000000" w:themeColor="text1"/>
          <w:kern w:val="0"/>
          <w:sz w:val="22"/>
          <w:szCs w:val="22"/>
          <w14:ligatures w14:val="none"/>
        </w:rPr>
        <w:t>Effectiveness of obesity treatments</w:t>
      </w:r>
    </w:p>
    <w:p w14:paraId="5E2548B6" w14:textId="77777777" w:rsidR="00F67C06" w:rsidRPr="00B63D5E" w:rsidRDefault="00F67C06" w:rsidP="0020706C">
      <w:pPr>
        <w:numPr>
          <w:ilvl w:val="0"/>
          <w:numId w:val="7"/>
        </w:numPr>
        <w:spacing w:before="100" w:beforeAutospacing="1" w:after="100" w:afterAutospacing="1" w:line="360" w:lineRule="auto"/>
        <w:jc w:val="both"/>
        <w:rPr>
          <w:rFonts w:ascii="Arial" w:hAnsi="Arial" w:cs="Arial"/>
          <w:b/>
          <w:bCs/>
          <w:color w:val="000000" w:themeColor="text1"/>
          <w:kern w:val="0"/>
          <w:sz w:val="22"/>
          <w:szCs w:val="22"/>
          <w14:ligatures w14:val="none"/>
        </w:rPr>
      </w:pPr>
      <w:r w:rsidRPr="00B63D5E">
        <w:rPr>
          <w:rFonts w:ascii="Arial" w:hAnsi="Arial" w:cs="Arial"/>
          <w:b/>
          <w:bCs/>
          <w:color w:val="000000" w:themeColor="text1"/>
          <w:kern w:val="0"/>
          <w:sz w:val="22"/>
          <w:szCs w:val="22"/>
          <w14:ligatures w14:val="none"/>
        </w:rPr>
        <w:t>Access to weight management services</w:t>
      </w:r>
    </w:p>
    <w:p w14:paraId="5763646B" w14:textId="77777777" w:rsidR="00F67C06" w:rsidRPr="00B63D5E" w:rsidRDefault="00F67C06" w:rsidP="0020706C">
      <w:pPr>
        <w:numPr>
          <w:ilvl w:val="0"/>
          <w:numId w:val="7"/>
        </w:numPr>
        <w:spacing w:before="100" w:beforeAutospacing="1" w:after="100" w:afterAutospacing="1" w:line="360" w:lineRule="auto"/>
        <w:jc w:val="both"/>
        <w:rPr>
          <w:rFonts w:ascii="Arial" w:hAnsi="Arial" w:cs="Arial"/>
          <w:b/>
          <w:bCs/>
          <w:color w:val="000000" w:themeColor="text1"/>
          <w:kern w:val="0"/>
          <w:sz w:val="22"/>
          <w:szCs w:val="22"/>
          <w14:ligatures w14:val="none"/>
        </w:rPr>
      </w:pPr>
      <w:r w:rsidRPr="00B63D5E">
        <w:rPr>
          <w:rFonts w:ascii="Arial" w:hAnsi="Arial" w:cs="Arial"/>
          <w:b/>
          <w:bCs/>
          <w:color w:val="000000" w:themeColor="text1"/>
          <w:kern w:val="0"/>
          <w:sz w:val="22"/>
          <w:szCs w:val="22"/>
          <w14:ligatures w14:val="none"/>
        </w:rPr>
        <w:t>Socioeconomic and structural barriers</w:t>
      </w:r>
    </w:p>
    <w:p w14:paraId="1B104686" w14:textId="77777777" w:rsidR="00F67C06" w:rsidRPr="00B63D5E" w:rsidRDefault="00F67C06" w:rsidP="0020706C">
      <w:pPr>
        <w:numPr>
          <w:ilvl w:val="0"/>
          <w:numId w:val="7"/>
        </w:numPr>
        <w:spacing w:before="100" w:beforeAutospacing="1" w:after="100" w:afterAutospacing="1" w:line="360" w:lineRule="auto"/>
        <w:jc w:val="both"/>
        <w:rPr>
          <w:rFonts w:ascii="Arial" w:hAnsi="Arial" w:cs="Arial"/>
          <w:b/>
          <w:bCs/>
          <w:color w:val="000000" w:themeColor="text1"/>
          <w:kern w:val="0"/>
          <w:sz w:val="22"/>
          <w:szCs w:val="22"/>
          <w14:ligatures w14:val="none"/>
        </w:rPr>
      </w:pPr>
      <w:r w:rsidRPr="00B63D5E">
        <w:rPr>
          <w:rFonts w:ascii="Arial" w:hAnsi="Arial" w:cs="Arial"/>
          <w:b/>
          <w:bCs/>
          <w:color w:val="000000" w:themeColor="text1"/>
          <w:kern w:val="0"/>
          <w:sz w:val="22"/>
          <w:szCs w:val="22"/>
          <w14:ligatures w14:val="none"/>
        </w:rPr>
        <w:t>Digital and pharmacological interventions</w:t>
      </w:r>
    </w:p>
    <w:p w14:paraId="5A6E3A80" w14:textId="77777777" w:rsidR="00F67C06" w:rsidRPr="005B7ABE" w:rsidRDefault="00F67C06" w:rsidP="0020706C">
      <w:pPr>
        <w:spacing w:before="100" w:beforeAutospacing="1" w:after="100" w:afterAutospacing="1" w:line="360" w:lineRule="auto"/>
        <w:jc w:val="both"/>
        <w:rPr>
          <w:rFonts w:ascii="Arial" w:hAnsi="Arial" w:cs="Arial"/>
          <w:color w:val="000000" w:themeColor="text1"/>
          <w:kern w:val="0"/>
          <w:sz w:val="22"/>
          <w:szCs w:val="22"/>
          <w14:ligatures w14:val="none"/>
        </w:rPr>
      </w:pPr>
    </w:p>
    <w:p w14:paraId="51C726B4" w14:textId="77777777" w:rsidR="00F67C06" w:rsidRPr="005B7ABE" w:rsidRDefault="00F67C06" w:rsidP="0020706C">
      <w:pPr>
        <w:spacing w:before="100" w:beforeAutospacing="1" w:after="100" w:afterAutospacing="1" w:line="360" w:lineRule="auto"/>
        <w:jc w:val="both"/>
        <w:rPr>
          <w:rFonts w:ascii="Arial" w:hAnsi="Arial" w:cs="Arial"/>
          <w:color w:val="000000" w:themeColor="text1"/>
          <w:kern w:val="0"/>
          <w:sz w:val="22"/>
          <w:szCs w:val="22"/>
          <w14:ligatures w14:val="none"/>
        </w:rPr>
      </w:pPr>
      <w:r w:rsidRPr="005B7ABE">
        <w:rPr>
          <w:rFonts w:ascii="Arial" w:hAnsi="Arial" w:cs="Arial"/>
          <w:color w:val="000000" w:themeColor="text1"/>
          <w:kern w:val="0"/>
          <w:sz w:val="22"/>
          <w:szCs w:val="22"/>
          <w14:ligatures w14:val="none"/>
        </w:rPr>
        <w:t>These themes were reviewed and refined to ensure consistency and alignment with the research question. The final themes were then used to organise and present the findings.</w:t>
      </w:r>
    </w:p>
    <w:p w14:paraId="6D293EDC" w14:textId="77777777" w:rsidR="00E9447C" w:rsidRPr="005B7ABE" w:rsidRDefault="00E9447C" w:rsidP="0020706C">
      <w:pPr>
        <w:spacing w:line="360" w:lineRule="auto"/>
        <w:jc w:val="both"/>
        <w:rPr>
          <w:rFonts w:ascii="Arial" w:hAnsi="Arial" w:cs="Arial"/>
          <w:color w:val="000000" w:themeColor="text1"/>
          <w:sz w:val="22"/>
          <w:szCs w:val="22"/>
        </w:rPr>
      </w:pPr>
    </w:p>
    <w:p w14:paraId="2047C4B6" w14:textId="6E80A1CE" w:rsidR="00BC04CE" w:rsidRPr="00B63D5E" w:rsidRDefault="00BC04CE" w:rsidP="00B63D5E">
      <w:pPr>
        <w:spacing w:before="100" w:beforeAutospacing="1" w:after="100" w:afterAutospacing="1" w:line="360" w:lineRule="auto"/>
        <w:jc w:val="both"/>
        <w:outlineLvl w:val="1"/>
        <w:rPr>
          <w:rFonts w:ascii="Arial" w:eastAsia="Times New Roman" w:hAnsi="Arial" w:cs="Arial"/>
          <w:b/>
          <w:bCs/>
          <w:color w:val="000000" w:themeColor="text1"/>
          <w:kern w:val="0"/>
          <w:sz w:val="22"/>
          <w:szCs w:val="22"/>
          <w14:ligatures w14:val="none"/>
        </w:rPr>
      </w:pPr>
      <w:r w:rsidRPr="00B63D5E">
        <w:rPr>
          <w:rFonts w:ascii="Arial" w:eastAsia="Times New Roman" w:hAnsi="Arial" w:cs="Arial"/>
          <w:b/>
          <w:bCs/>
          <w:color w:val="000000" w:themeColor="text1"/>
          <w:kern w:val="0"/>
          <w:sz w:val="22"/>
          <w:szCs w:val="22"/>
          <w14:ligatures w14:val="none"/>
        </w:rPr>
        <w:t>Ethical Considerations</w:t>
      </w:r>
    </w:p>
    <w:p w14:paraId="77C010FB" w14:textId="57CC464F" w:rsidR="00BC04CE" w:rsidRPr="005B7ABE" w:rsidRDefault="00BC04CE" w:rsidP="0020706C">
      <w:pPr>
        <w:spacing w:before="100" w:beforeAutospacing="1" w:after="100" w:afterAutospacing="1" w:line="360" w:lineRule="auto"/>
        <w:jc w:val="both"/>
        <w:rPr>
          <w:rFonts w:ascii="Arial" w:hAnsi="Arial" w:cs="Arial"/>
          <w:color w:val="000000" w:themeColor="text1"/>
          <w:kern w:val="0"/>
          <w:sz w:val="22"/>
          <w:szCs w:val="22"/>
          <w14:ligatures w14:val="none"/>
        </w:rPr>
      </w:pPr>
      <w:r w:rsidRPr="005B7ABE">
        <w:rPr>
          <w:rFonts w:ascii="Arial" w:hAnsi="Arial" w:cs="Arial"/>
          <w:color w:val="000000" w:themeColor="text1"/>
          <w:kern w:val="0"/>
          <w:sz w:val="22"/>
          <w:szCs w:val="22"/>
          <w14:ligatures w14:val="none"/>
        </w:rPr>
        <w:t>As this study involved a scoping review of secondary data from publicly available peer-reviewed literature, no direct interaction with human participants occurred, and formal ethical approval was not required.</w:t>
      </w:r>
    </w:p>
    <w:p w14:paraId="1E587688" w14:textId="77777777" w:rsidR="00BC04CE" w:rsidRPr="005B7ABE" w:rsidRDefault="00BC04CE" w:rsidP="0020706C">
      <w:pPr>
        <w:spacing w:before="100" w:beforeAutospacing="1" w:after="100" w:afterAutospacing="1" w:line="360" w:lineRule="auto"/>
        <w:jc w:val="both"/>
        <w:rPr>
          <w:rFonts w:ascii="Arial" w:hAnsi="Arial" w:cs="Arial"/>
          <w:color w:val="000000" w:themeColor="text1"/>
          <w:kern w:val="0"/>
          <w:sz w:val="22"/>
          <w:szCs w:val="22"/>
          <w14:ligatures w14:val="none"/>
        </w:rPr>
      </w:pPr>
      <w:r w:rsidRPr="005B7ABE">
        <w:rPr>
          <w:rFonts w:ascii="Arial" w:hAnsi="Arial" w:cs="Arial"/>
          <w:color w:val="000000" w:themeColor="text1"/>
          <w:kern w:val="0"/>
          <w:sz w:val="22"/>
          <w:szCs w:val="22"/>
          <w14:ligatures w14:val="none"/>
        </w:rPr>
        <w:t>However, ethical principles were carefully maintained throughout the research process to ensure academic integrity and transparency. The following measures were applied:</w:t>
      </w:r>
    </w:p>
    <w:p w14:paraId="42C7F0EF" w14:textId="77777777" w:rsidR="00BC04CE" w:rsidRPr="005B7ABE" w:rsidRDefault="00BC04CE" w:rsidP="0020706C">
      <w:pPr>
        <w:numPr>
          <w:ilvl w:val="0"/>
          <w:numId w:val="8"/>
        </w:numPr>
        <w:spacing w:before="100" w:beforeAutospacing="1" w:after="100" w:afterAutospacing="1" w:line="360" w:lineRule="auto"/>
        <w:jc w:val="both"/>
        <w:rPr>
          <w:rFonts w:ascii="Arial" w:hAnsi="Arial" w:cs="Arial"/>
          <w:color w:val="000000" w:themeColor="text1"/>
          <w:kern w:val="0"/>
          <w:sz w:val="22"/>
          <w:szCs w:val="22"/>
          <w14:ligatures w14:val="none"/>
        </w:rPr>
      </w:pPr>
      <w:r w:rsidRPr="005B7ABE">
        <w:rPr>
          <w:rFonts w:ascii="Arial" w:hAnsi="Arial" w:cs="Arial"/>
          <w:color w:val="000000" w:themeColor="text1"/>
          <w:kern w:val="0"/>
          <w:sz w:val="22"/>
          <w:szCs w:val="22"/>
          <w14:ligatures w14:val="none"/>
        </w:rPr>
        <w:t>Only studies from reputable, peer-reviewed journals and academic sources were included to ensure the credibility and reliability of the evidence.</w:t>
      </w:r>
    </w:p>
    <w:p w14:paraId="0B72DD24" w14:textId="77777777" w:rsidR="00BC04CE" w:rsidRPr="005B7ABE" w:rsidRDefault="00BC04CE" w:rsidP="0020706C">
      <w:pPr>
        <w:numPr>
          <w:ilvl w:val="0"/>
          <w:numId w:val="8"/>
        </w:numPr>
        <w:spacing w:before="100" w:beforeAutospacing="1" w:after="100" w:afterAutospacing="1" w:line="360" w:lineRule="auto"/>
        <w:jc w:val="both"/>
        <w:rPr>
          <w:rFonts w:ascii="Arial" w:hAnsi="Arial" w:cs="Arial"/>
          <w:color w:val="000000" w:themeColor="text1"/>
          <w:kern w:val="0"/>
          <w:sz w:val="22"/>
          <w:szCs w:val="22"/>
          <w14:ligatures w14:val="none"/>
        </w:rPr>
      </w:pPr>
      <w:r w:rsidRPr="005B7ABE">
        <w:rPr>
          <w:rFonts w:ascii="Arial" w:hAnsi="Arial" w:cs="Arial"/>
          <w:color w:val="000000" w:themeColor="text1"/>
          <w:kern w:val="0"/>
          <w:sz w:val="22"/>
          <w:szCs w:val="22"/>
          <w14:ligatures w14:val="none"/>
        </w:rPr>
        <w:t>A clear and structured inclusion and exclusion process was followed to minimise selection bias.</w:t>
      </w:r>
    </w:p>
    <w:p w14:paraId="509A5929" w14:textId="239BC8FD" w:rsidR="00BC04CE" w:rsidRPr="005B7ABE" w:rsidRDefault="00BC04CE" w:rsidP="0020706C">
      <w:pPr>
        <w:numPr>
          <w:ilvl w:val="0"/>
          <w:numId w:val="8"/>
        </w:numPr>
        <w:spacing w:before="100" w:beforeAutospacing="1" w:after="100" w:afterAutospacing="1" w:line="360" w:lineRule="auto"/>
        <w:jc w:val="both"/>
        <w:rPr>
          <w:rFonts w:ascii="Arial" w:hAnsi="Arial" w:cs="Arial"/>
          <w:color w:val="000000" w:themeColor="text1"/>
          <w:kern w:val="0"/>
          <w:sz w:val="22"/>
          <w:szCs w:val="22"/>
          <w14:ligatures w14:val="none"/>
        </w:rPr>
      </w:pPr>
      <w:r w:rsidRPr="005B7ABE">
        <w:rPr>
          <w:rFonts w:ascii="Arial" w:hAnsi="Arial" w:cs="Arial"/>
          <w:color w:val="000000" w:themeColor="text1"/>
          <w:kern w:val="0"/>
          <w:sz w:val="22"/>
          <w:szCs w:val="22"/>
          <w14:ligatures w14:val="none"/>
        </w:rPr>
        <w:t>All sources were accurately referenced using Harvard referencing, ensuring appropriate acknowledgment of original authors</w:t>
      </w:r>
      <w:r w:rsidR="00A21A37" w:rsidRPr="005B7ABE">
        <w:rPr>
          <w:rFonts w:ascii="Arial" w:hAnsi="Arial" w:cs="Arial"/>
          <w:color w:val="000000" w:themeColor="text1"/>
          <w:kern w:val="0"/>
          <w:sz w:val="22"/>
          <w:szCs w:val="22"/>
          <w14:ligatures w14:val="none"/>
        </w:rPr>
        <w:t>.</w:t>
      </w:r>
    </w:p>
    <w:p w14:paraId="4C5B64BE" w14:textId="77777777" w:rsidR="00BC04CE" w:rsidRPr="005B7ABE" w:rsidRDefault="00BC04CE" w:rsidP="0020706C">
      <w:pPr>
        <w:numPr>
          <w:ilvl w:val="0"/>
          <w:numId w:val="8"/>
        </w:numPr>
        <w:spacing w:before="100" w:beforeAutospacing="1" w:after="100" w:afterAutospacing="1" w:line="360" w:lineRule="auto"/>
        <w:jc w:val="both"/>
        <w:rPr>
          <w:rFonts w:ascii="Arial" w:hAnsi="Arial" w:cs="Arial"/>
          <w:color w:val="000000" w:themeColor="text1"/>
          <w:kern w:val="0"/>
          <w:sz w:val="22"/>
          <w:szCs w:val="22"/>
          <w14:ligatures w14:val="none"/>
        </w:rPr>
      </w:pPr>
      <w:r w:rsidRPr="005B7ABE">
        <w:rPr>
          <w:rFonts w:ascii="Arial" w:hAnsi="Arial" w:cs="Arial"/>
          <w:color w:val="000000" w:themeColor="text1"/>
          <w:kern w:val="0"/>
          <w:sz w:val="22"/>
          <w:szCs w:val="22"/>
          <w14:ligatures w14:val="none"/>
        </w:rPr>
        <w:t>Findings were presented objectively, including both effective and ineffective interventions, as well as barriers to access, to provide a balanced representation of the evidence.</w:t>
      </w:r>
    </w:p>
    <w:p w14:paraId="6934A79C" w14:textId="77777777" w:rsidR="00BC04CE" w:rsidRPr="005B7ABE" w:rsidRDefault="00BC04CE" w:rsidP="0020706C">
      <w:pPr>
        <w:numPr>
          <w:ilvl w:val="0"/>
          <w:numId w:val="8"/>
        </w:numPr>
        <w:spacing w:before="100" w:beforeAutospacing="1" w:after="100" w:afterAutospacing="1" w:line="360" w:lineRule="auto"/>
        <w:jc w:val="both"/>
        <w:rPr>
          <w:rFonts w:ascii="Arial" w:hAnsi="Arial" w:cs="Arial"/>
          <w:color w:val="000000" w:themeColor="text1"/>
          <w:kern w:val="0"/>
          <w:sz w:val="22"/>
          <w:szCs w:val="22"/>
          <w14:ligatures w14:val="none"/>
        </w:rPr>
      </w:pPr>
      <w:r w:rsidRPr="005B7ABE">
        <w:rPr>
          <w:rFonts w:ascii="Arial" w:hAnsi="Arial" w:cs="Arial"/>
          <w:color w:val="000000" w:themeColor="text1"/>
          <w:kern w:val="0"/>
          <w:sz w:val="22"/>
          <w:szCs w:val="22"/>
          <w14:ligatures w14:val="none"/>
        </w:rPr>
        <w:t>No personal or sensitive data were accessed, ensuring that participant confidentiality from the original studies was respected.</w:t>
      </w:r>
    </w:p>
    <w:p w14:paraId="1FFCF144" w14:textId="79504E13" w:rsidR="0089052F" w:rsidRPr="005B7ABE" w:rsidRDefault="0089052F" w:rsidP="0020706C">
      <w:pPr>
        <w:numPr>
          <w:ilvl w:val="0"/>
          <w:numId w:val="8"/>
        </w:numPr>
        <w:spacing w:before="100" w:beforeAutospacing="1" w:after="100" w:afterAutospacing="1" w:line="360" w:lineRule="auto"/>
        <w:jc w:val="both"/>
        <w:rPr>
          <w:rFonts w:ascii="Arial" w:hAnsi="Arial" w:cs="Arial"/>
          <w:color w:val="000000" w:themeColor="text1"/>
          <w:kern w:val="0"/>
          <w:sz w:val="22"/>
          <w:szCs w:val="22"/>
          <w14:ligatures w14:val="none"/>
        </w:rPr>
      </w:pPr>
      <w:r w:rsidRPr="005B7ABE">
        <w:rPr>
          <w:rFonts w:ascii="Arial" w:hAnsi="Arial" w:cs="Arial"/>
          <w:color w:val="000000" w:themeColor="text1"/>
          <w:kern w:val="0"/>
          <w:sz w:val="22"/>
          <w:szCs w:val="22"/>
          <w14:ligatures w14:val="none"/>
        </w:rPr>
        <w:t>Consideration was given to potential conflicts of interest within the included studies.</w:t>
      </w:r>
    </w:p>
    <w:p w14:paraId="240EFCAA" w14:textId="77777777" w:rsidR="00BC04CE" w:rsidRPr="005B7ABE" w:rsidRDefault="00BC04CE" w:rsidP="0020706C">
      <w:pPr>
        <w:spacing w:before="100" w:beforeAutospacing="1" w:after="100" w:afterAutospacing="1" w:line="360" w:lineRule="auto"/>
        <w:jc w:val="both"/>
        <w:rPr>
          <w:rFonts w:ascii="Arial" w:hAnsi="Arial" w:cs="Arial"/>
          <w:color w:val="000000" w:themeColor="text1"/>
          <w:kern w:val="0"/>
          <w:sz w:val="22"/>
          <w:szCs w:val="22"/>
          <w14:ligatures w14:val="none"/>
        </w:rPr>
      </w:pPr>
    </w:p>
    <w:p w14:paraId="6DFFDC4C" w14:textId="77777777" w:rsidR="00BC04CE" w:rsidRPr="005B7ABE" w:rsidRDefault="00BC04CE" w:rsidP="0020706C">
      <w:pPr>
        <w:spacing w:before="100" w:beforeAutospacing="1" w:after="100" w:afterAutospacing="1" w:line="360" w:lineRule="auto"/>
        <w:jc w:val="both"/>
        <w:rPr>
          <w:rFonts w:ascii="Arial" w:hAnsi="Arial" w:cs="Arial"/>
          <w:color w:val="000000" w:themeColor="text1"/>
          <w:kern w:val="0"/>
          <w:sz w:val="22"/>
          <w:szCs w:val="22"/>
          <w14:ligatures w14:val="none"/>
        </w:rPr>
      </w:pPr>
      <w:r w:rsidRPr="005B7ABE">
        <w:rPr>
          <w:rFonts w:ascii="Arial" w:hAnsi="Arial" w:cs="Arial"/>
          <w:color w:val="000000" w:themeColor="text1"/>
          <w:kern w:val="0"/>
          <w:sz w:val="22"/>
          <w:szCs w:val="22"/>
          <w14:ligatures w14:val="none"/>
        </w:rPr>
        <w:t>This approach ensured that the review was conducted in a transparent, ethical, and academically rigorous manner.</w:t>
      </w:r>
    </w:p>
    <w:p w14:paraId="34DE8083" w14:textId="52B222E2" w:rsidR="00F67C06" w:rsidRPr="00B63D5E" w:rsidRDefault="00775C11" w:rsidP="00B63D5E">
      <w:pPr>
        <w:spacing w:after="0" w:line="360" w:lineRule="auto"/>
        <w:jc w:val="both"/>
        <w:rPr>
          <w:rFonts w:ascii="Arial" w:eastAsia="Times New Roman" w:hAnsi="Arial" w:cs="Arial"/>
          <w:color w:val="000000" w:themeColor="text1"/>
          <w:kern w:val="0"/>
          <w:sz w:val="22"/>
          <w:szCs w:val="22"/>
          <w14:ligatures w14:val="none"/>
        </w:rPr>
      </w:pPr>
      <w:r w:rsidRPr="005B7ABE">
        <w:rPr>
          <w:rFonts w:ascii="Arial" w:eastAsia="Times New Roman" w:hAnsi="Arial" w:cs="Arial"/>
          <w:color w:val="000000" w:themeColor="text1"/>
          <w:kern w:val="0"/>
          <w:sz w:val="22"/>
          <w:szCs w:val="22"/>
          <w14:ligatures w14:val="none"/>
        </w:rPr>
        <w:t>Additionally, efforts were made to present findings in a balanced and respectful manner, acknowledging barriers such as stigma</w:t>
      </w:r>
      <w:r w:rsidR="00282D5D" w:rsidRPr="005B7ABE">
        <w:rPr>
          <w:rFonts w:ascii="Arial" w:eastAsia="Times New Roman" w:hAnsi="Arial" w:cs="Arial"/>
          <w:color w:val="000000" w:themeColor="text1"/>
          <w:kern w:val="0"/>
          <w:sz w:val="22"/>
          <w:szCs w:val="22"/>
          <w14:ligatures w14:val="none"/>
        </w:rPr>
        <w:t xml:space="preserve"> </w:t>
      </w:r>
      <w:r w:rsidRPr="005B7ABE">
        <w:rPr>
          <w:rFonts w:ascii="Arial" w:eastAsia="Times New Roman" w:hAnsi="Arial" w:cs="Arial"/>
          <w:color w:val="000000" w:themeColor="text1"/>
          <w:kern w:val="0"/>
          <w:sz w:val="22"/>
          <w:szCs w:val="22"/>
          <w14:ligatures w14:val="none"/>
        </w:rPr>
        <w:t>and limited access to services. The review aims to contribute constructively to understanding obesity</w:t>
      </w:r>
      <w:r w:rsidR="00F50E53" w:rsidRPr="005B7ABE">
        <w:rPr>
          <w:rFonts w:ascii="Arial" w:eastAsia="Times New Roman" w:hAnsi="Arial" w:cs="Arial"/>
          <w:color w:val="000000" w:themeColor="text1"/>
          <w:kern w:val="0"/>
          <w:sz w:val="22"/>
          <w:szCs w:val="22"/>
          <w14:ligatures w14:val="none"/>
        </w:rPr>
        <w:t xml:space="preserve"> for adults in the UK </w:t>
      </w:r>
      <w:r w:rsidRPr="005B7ABE">
        <w:rPr>
          <w:rFonts w:ascii="Arial" w:eastAsia="Times New Roman" w:hAnsi="Arial" w:cs="Arial"/>
          <w:color w:val="000000" w:themeColor="text1"/>
          <w:kern w:val="0"/>
          <w:sz w:val="22"/>
          <w:szCs w:val="22"/>
          <w14:ligatures w14:val="none"/>
        </w:rPr>
        <w:t xml:space="preserve"> and informing future research and practice.</w:t>
      </w:r>
    </w:p>
    <w:p w14:paraId="449F9EC5" w14:textId="77777777" w:rsidR="008D05D8" w:rsidRPr="005B7ABE" w:rsidRDefault="008D05D8" w:rsidP="0020706C">
      <w:pPr>
        <w:spacing w:line="360" w:lineRule="auto"/>
        <w:jc w:val="both"/>
        <w:rPr>
          <w:rFonts w:ascii="Arial" w:hAnsi="Arial" w:cs="Arial"/>
          <w:color w:val="000000" w:themeColor="text1"/>
          <w:sz w:val="22"/>
          <w:szCs w:val="22"/>
        </w:rPr>
      </w:pPr>
    </w:p>
    <w:p w14:paraId="5DBC6227" w14:textId="4A13C00E" w:rsidR="008D05D8" w:rsidRPr="00B63D5E" w:rsidRDefault="00E957AB" w:rsidP="0020706C">
      <w:pPr>
        <w:spacing w:line="360" w:lineRule="auto"/>
        <w:jc w:val="both"/>
        <w:rPr>
          <w:rFonts w:ascii="Arial" w:hAnsi="Arial" w:cs="Arial"/>
          <w:b/>
          <w:bCs/>
          <w:color w:val="000000" w:themeColor="text1"/>
          <w:sz w:val="22"/>
          <w:szCs w:val="22"/>
        </w:rPr>
      </w:pPr>
      <w:r w:rsidRPr="00B63D5E">
        <w:rPr>
          <w:rFonts w:ascii="Arial" w:hAnsi="Arial" w:cs="Arial"/>
          <w:b/>
          <w:bCs/>
          <w:color w:val="000000" w:themeColor="text1"/>
          <w:sz w:val="22"/>
          <w:szCs w:val="22"/>
        </w:rPr>
        <w:t>Results Table</w:t>
      </w:r>
    </w:p>
    <w:p w14:paraId="23847A06" w14:textId="77777777" w:rsidR="00E957AB" w:rsidRPr="005B7ABE" w:rsidRDefault="00E957AB" w:rsidP="0020706C">
      <w:pPr>
        <w:spacing w:line="360" w:lineRule="auto"/>
        <w:jc w:val="both"/>
        <w:rPr>
          <w:rFonts w:ascii="Arial" w:hAnsi="Arial" w:cs="Arial"/>
          <w:color w:val="000000" w:themeColor="text1"/>
          <w:sz w:val="22"/>
          <w:szCs w:val="22"/>
        </w:rPr>
      </w:pPr>
    </w:p>
    <w:tbl>
      <w:tblPr>
        <w:tblStyle w:val="TableGrid"/>
        <w:tblW w:w="0" w:type="auto"/>
        <w:tblLook w:val="04A0" w:firstRow="1" w:lastRow="0" w:firstColumn="1" w:lastColumn="0" w:noHBand="0" w:noVBand="1"/>
      </w:tblPr>
      <w:tblGrid>
        <w:gridCol w:w="1602"/>
        <w:gridCol w:w="1753"/>
        <w:gridCol w:w="2039"/>
        <w:gridCol w:w="1880"/>
        <w:gridCol w:w="1742"/>
      </w:tblGrid>
      <w:tr w:rsidR="003F66D7" w:rsidRPr="005B7ABE" w14:paraId="6332ADB5" w14:textId="77777777" w:rsidTr="003F66D7">
        <w:tc>
          <w:tcPr>
            <w:tcW w:w="1803" w:type="dxa"/>
          </w:tcPr>
          <w:p w14:paraId="6B239330" w14:textId="578EB274" w:rsidR="003F66D7" w:rsidRPr="005B7ABE" w:rsidRDefault="00BB6913" w:rsidP="0020706C">
            <w:pPr>
              <w:spacing w:line="360" w:lineRule="auto"/>
              <w:jc w:val="both"/>
              <w:rPr>
                <w:rFonts w:ascii="Arial" w:hAnsi="Arial" w:cs="Arial"/>
                <w:color w:val="000000" w:themeColor="text1"/>
                <w:sz w:val="22"/>
                <w:szCs w:val="22"/>
              </w:rPr>
            </w:pPr>
            <w:r w:rsidRPr="005B7ABE">
              <w:rPr>
                <w:rFonts w:ascii="Arial" w:hAnsi="Arial" w:cs="Arial"/>
                <w:color w:val="000000" w:themeColor="text1"/>
                <w:sz w:val="22"/>
                <w:szCs w:val="22"/>
              </w:rPr>
              <w:lastRenderedPageBreak/>
              <w:t>Author(s), year</w:t>
            </w:r>
          </w:p>
        </w:tc>
        <w:tc>
          <w:tcPr>
            <w:tcW w:w="1803" w:type="dxa"/>
          </w:tcPr>
          <w:p w14:paraId="4ED286F5" w14:textId="786FDE6D" w:rsidR="003F66D7" w:rsidRPr="005B7ABE" w:rsidRDefault="00BB6913" w:rsidP="0020706C">
            <w:pPr>
              <w:spacing w:line="360" w:lineRule="auto"/>
              <w:jc w:val="both"/>
              <w:rPr>
                <w:rFonts w:ascii="Arial" w:hAnsi="Arial" w:cs="Arial"/>
                <w:color w:val="000000" w:themeColor="text1"/>
                <w:sz w:val="22"/>
                <w:szCs w:val="22"/>
              </w:rPr>
            </w:pPr>
            <w:r w:rsidRPr="005B7ABE">
              <w:rPr>
                <w:rFonts w:ascii="Arial" w:hAnsi="Arial" w:cs="Arial"/>
                <w:color w:val="000000" w:themeColor="text1"/>
                <w:sz w:val="22"/>
                <w:szCs w:val="22"/>
              </w:rPr>
              <w:t>Research Objective</w:t>
            </w:r>
            <w:r w:rsidR="00DA6AF8" w:rsidRPr="005B7ABE">
              <w:rPr>
                <w:rFonts w:ascii="Arial" w:hAnsi="Arial" w:cs="Arial"/>
                <w:color w:val="000000" w:themeColor="text1"/>
                <w:sz w:val="22"/>
                <w:szCs w:val="22"/>
              </w:rPr>
              <w:t>s</w:t>
            </w:r>
          </w:p>
        </w:tc>
        <w:tc>
          <w:tcPr>
            <w:tcW w:w="1803" w:type="dxa"/>
          </w:tcPr>
          <w:p w14:paraId="7D903BD8" w14:textId="318A00BC" w:rsidR="003F66D7" w:rsidRPr="005B7ABE" w:rsidRDefault="00DA6AF8" w:rsidP="0020706C">
            <w:pPr>
              <w:spacing w:line="360" w:lineRule="auto"/>
              <w:jc w:val="both"/>
              <w:rPr>
                <w:rFonts w:ascii="Arial" w:hAnsi="Arial" w:cs="Arial"/>
                <w:color w:val="000000" w:themeColor="text1"/>
                <w:sz w:val="22"/>
                <w:szCs w:val="22"/>
              </w:rPr>
            </w:pPr>
            <w:r w:rsidRPr="005B7ABE">
              <w:rPr>
                <w:rFonts w:ascii="Arial" w:hAnsi="Arial" w:cs="Arial"/>
                <w:color w:val="000000" w:themeColor="text1"/>
                <w:sz w:val="22"/>
                <w:szCs w:val="22"/>
              </w:rPr>
              <w:t>Methods</w:t>
            </w:r>
          </w:p>
        </w:tc>
        <w:tc>
          <w:tcPr>
            <w:tcW w:w="1803" w:type="dxa"/>
          </w:tcPr>
          <w:p w14:paraId="2154BB51" w14:textId="1CF03785" w:rsidR="003F66D7" w:rsidRPr="005B7ABE" w:rsidRDefault="00DA6AF8" w:rsidP="0020706C">
            <w:pPr>
              <w:spacing w:line="360" w:lineRule="auto"/>
              <w:jc w:val="both"/>
              <w:rPr>
                <w:rFonts w:ascii="Arial" w:hAnsi="Arial" w:cs="Arial"/>
                <w:color w:val="000000" w:themeColor="text1"/>
                <w:sz w:val="22"/>
                <w:szCs w:val="22"/>
              </w:rPr>
            </w:pPr>
            <w:r w:rsidRPr="005B7ABE">
              <w:rPr>
                <w:rFonts w:ascii="Arial" w:hAnsi="Arial" w:cs="Arial"/>
                <w:color w:val="000000" w:themeColor="text1"/>
                <w:sz w:val="22"/>
                <w:szCs w:val="22"/>
              </w:rPr>
              <w:t>Key Findings</w:t>
            </w:r>
          </w:p>
        </w:tc>
        <w:tc>
          <w:tcPr>
            <w:tcW w:w="1804" w:type="dxa"/>
          </w:tcPr>
          <w:p w14:paraId="4AA2D0D7" w14:textId="0391DBB3" w:rsidR="003F66D7" w:rsidRPr="005B7ABE" w:rsidRDefault="00DA6AF8" w:rsidP="0020706C">
            <w:pPr>
              <w:spacing w:line="360" w:lineRule="auto"/>
              <w:jc w:val="both"/>
              <w:rPr>
                <w:rFonts w:ascii="Arial" w:hAnsi="Arial" w:cs="Arial"/>
                <w:color w:val="000000" w:themeColor="text1"/>
                <w:sz w:val="22"/>
                <w:szCs w:val="22"/>
              </w:rPr>
            </w:pPr>
            <w:r w:rsidRPr="005B7ABE">
              <w:rPr>
                <w:rFonts w:ascii="Arial" w:hAnsi="Arial" w:cs="Arial"/>
                <w:color w:val="000000" w:themeColor="text1"/>
                <w:sz w:val="22"/>
                <w:szCs w:val="22"/>
              </w:rPr>
              <w:t xml:space="preserve">Relevance to </w:t>
            </w:r>
            <w:r w:rsidR="00FB60A6" w:rsidRPr="005B7ABE">
              <w:rPr>
                <w:rFonts w:ascii="Arial" w:hAnsi="Arial" w:cs="Arial"/>
                <w:color w:val="000000" w:themeColor="text1"/>
                <w:sz w:val="22"/>
                <w:szCs w:val="22"/>
              </w:rPr>
              <w:t>Review Question</w:t>
            </w:r>
          </w:p>
        </w:tc>
      </w:tr>
      <w:tr w:rsidR="003F66D7" w:rsidRPr="005B7ABE" w14:paraId="75CD5133" w14:textId="77777777" w:rsidTr="003F66D7">
        <w:tc>
          <w:tcPr>
            <w:tcW w:w="1803" w:type="dxa"/>
          </w:tcPr>
          <w:p w14:paraId="2A3EDE49" w14:textId="6682E388" w:rsidR="003F66D7" w:rsidRPr="005B7ABE" w:rsidRDefault="00053262" w:rsidP="0020706C">
            <w:pPr>
              <w:pStyle w:val="p1"/>
              <w:spacing w:line="360" w:lineRule="auto"/>
              <w:jc w:val="both"/>
              <w:rPr>
                <w:rFonts w:ascii="Arial" w:hAnsi="Arial" w:cs="Arial"/>
                <w:color w:val="000000" w:themeColor="text1"/>
                <w:sz w:val="22"/>
                <w:szCs w:val="22"/>
              </w:rPr>
            </w:pPr>
            <w:r w:rsidRPr="005B7ABE">
              <w:rPr>
                <w:rStyle w:val="s1"/>
                <w:rFonts w:ascii="Arial" w:hAnsi="Arial" w:cs="Arial"/>
                <w:color w:val="000000" w:themeColor="text1"/>
                <w:sz w:val="22"/>
                <w:szCs w:val="22"/>
              </w:rPr>
              <w:t>Martins et al. (2020)</w:t>
            </w:r>
          </w:p>
        </w:tc>
        <w:tc>
          <w:tcPr>
            <w:tcW w:w="1803" w:type="dxa"/>
          </w:tcPr>
          <w:p w14:paraId="48E24EB7" w14:textId="61642D82" w:rsidR="003F66D7" w:rsidRPr="005B7ABE" w:rsidRDefault="00453AFD" w:rsidP="0020706C">
            <w:pPr>
              <w:pStyle w:val="p1"/>
              <w:spacing w:line="360" w:lineRule="auto"/>
              <w:jc w:val="both"/>
              <w:rPr>
                <w:rFonts w:ascii="Arial" w:hAnsi="Arial" w:cs="Arial"/>
                <w:color w:val="000000" w:themeColor="text1"/>
                <w:sz w:val="22"/>
                <w:szCs w:val="22"/>
              </w:rPr>
            </w:pPr>
            <w:r w:rsidRPr="005B7ABE">
              <w:rPr>
                <w:rStyle w:val="s1"/>
                <w:rFonts w:ascii="Arial" w:hAnsi="Arial" w:cs="Arial"/>
                <w:color w:val="000000" w:themeColor="text1"/>
                <w:sz w:val="22"/>
                <w:szCs w:val="22"/>
              </w:rPr>
              <w:t>Evaluate effectiveness of long-term weight management services for adults with severe obesity in the UK</w:t>
            </w:r>
          </w:p>
        </w:tc>
        <w:tc>
          <w:tcPr>
            <w:tcW w:w="1803" w:type="dxa"/>
          </w:tcPr>
          <w:p w14:paraId="2CF2A52A" w14:textId="595323F0" w:rsidR="003F66D7" w:rsidRPr="005B7ABE" w:rsidRDefault="005F5654" w:rsidP="0020706C">
            <w:pPr>
              <w:pStyle w:val="p1"/>
              <w:spacing w:line="360" w:lineRule="auto"/>
              <w:jc w:val="both"/>
              <w:rPr>
                <w:rFonts w:ascii="Arial" w:hAnsi="Arial" w:cs="Arial"/>
                <w:color w:val="000000" w:themeColor="text1"/>
                <w:sz w:val="22"/>
                <w:szCs w:val="22"/>
              </w:rPr>
            </w:pPr>
            <w:r w:rsidRPr="005B7ABE">
              <w:rPr>
                <w:rStyle w:val="s1"/>
                <w:rFonts w:ascii="Arial" w:hAnsi="Arial" w:cs="Arial"/>
                <w:color w:val="000000" w:themeColor="text1"/>
                <w:sz w:val="22"/>
                <w:szCs w:val="22"/>
              </w:rPr>
              <w:t>Systematic review (20 studies; NHS primary care, secondary care, and commercial settings)</w:t>
            </w:r>
          </w:p>
        </w:tc>
        <w:tc>
          <w:tcPr>
            <w:tcW w:w="1803" w:type="dxa"/>
          </w:tcPr>
          <w:p w14:paraId="32AC4EBB" w14:textId="77777777" w:rsidR="006F5110" w:rsidRPr="005B7ABE" w:rsidRDefault="006F5110" w:rsidP="0020706C">
            <w:pPr>
              <w:pStyle w:val="p1"/>
              <w:spacing w:line="360" w:lineRule="auto"/>
              <w:jc w:val="both"/>
              <w:rPr>
                <w:rFonts w:ascii="Arial" w:hAnsi="Arial" w:cs="Arial"/>
                <w:color w:val="000000" w:themeColor="text1"/>
                <w:sz w:val="22"/>
                <w:szCs w:val="22"/>
              </w:rPr>
            </w:pPr>
            <w:r w:rsidRPr="005B7ABE">
              <w:rPr>
                <w:rStyle w:val="s1"/>
                <w:rFonts w:ascii="Arial" w:hAnsi="Arial" w:cs="Arial"/>
                <w:color w:val="000000" w:themeColor="text1"/>
                <w:sz w:val="22"/>
                <w:szCs w:val="22"/>
              </w:rPr>
              <w:t>Low-energy diet programmes showed the greatest weight loss (–12.4 kg at 12 months), but high dropout rates and inconsistent reporting limited comparisons; overall effectiveness varied across services</w:t>
            </w:r>
          </w:p>
          <w:p w14:paraId="73B6F833" w14:textId="77777777" w:rsidR="003F66D7" w:rsidRPr="005B7ABE" w:rsidRDefault="003F66D7" w:rsidP="0020706C">
            <w:pPr>
              <w:spacing w:line="360" w:lineRule="auto"/>
              <w:jc w:val="both"/>
              <w:rPr>
                <w:rFonts w:ascii="Arial" w:hAnsi="Arial" w:cs="Arial"/>
                <w:color w:val="000000" w:themeColor="text1"/>
                <w:sz w:val="22"/>
                <w:szCs w:val="22"/>
              </w:rPr>
            </w:pPr>
          </w:p>
        </w:tc>
        <w:tc>
          <w:tcPr>
            <w:tcW w:w="1804" w:type="dxa"/>
          </w:tcPr>
          <w:p w14:paraId="1F6F23E4" w14:textId="77777777" w:rsidR="00424B4E" w:rsidRPr="005B7ABE" w:rsidRDefault="00424B4E" w:rsidP="0020706C">
            <w:pPr>
              <w:pStyle w:val="p1"/>
              <w:spacing w:line="360" w:lineRule="auto"/>
              <w:jc w:val="both"/>
              <w:rPr>
                <w:rFonts w:ascii="Arial" w:hAnsi="Arial" w:cs="Arial"/>
                <w:color w:val="000000" w:themeColor="text1"/>
                <w:sz w:val="22"/>
                <w:szCs w:val="22"/>
              </w:rPr>
            </w:pPr>
            <w:r w:rsidRPr="005B7ABE">
              <w:rPr>
                <w:rStyle w:val="s1"/>
                <w:rFonts w:ascii="Arial" w:hAnsi="Arial" w:cs="Arial"/>
                <w:color w:val="000000" w:themeColor="text1"/>
                <w:sz w:val="22"/>
                <w:szCs w:val="22"/>
              </w:rPr>
              <w:t>Demonstrates that behavioural interventions can be effective but highlights limitations in consistency, adherence, and service delivery</w:t>
            </w:r>
          </w:p>
          <w:p w14:paraId="4D5CA25B" w14:textId="77777777" w:rsidR="003F66D7" w:rsidRPr="005B7ABE" w:rsidRDefault="003F66D7" w:rsidP="0020706C">
            <w:pPr>
              <w:spacing w:line="360" w:lineRule="auto"/>
              <w:jc w:val="both"/>
              <w:rPr>
                <w:rFonts w:ascii="Arial" w:hAnsi="Arial" w:cs="Arial"/>
                <w:color w:val="000000" w:themeColor="text1"/>
                <w:sz w:val="22"/>
                <w:szCs w:val="22"/>
              </w:rPr>
            </w:pPr>
          </w:p>
        </w:tc>
      </w:tr>
      <w:tr w:rsidR="003F66D7" w:rsidRPr="005B7ABE" w14:paraId="66D338D6" w14:textId="77777777" w:rsidTr="003F66D7">
        <w:tc>
          <w:tcPr>
            <w:tcW w:w="1803" w:type="dxa"/>
          </w:tcPr>
          <w:p w14:paraId="1AA2E178" w14:textId="77777777" w:rsidR="000234B3" w:rsidRPr="005B7ABE" w:rsidRDefault="000234B3" w:rsidP="0020706C">
            <w:pPr>
              <w:pStyle w:val="p1"/>
              <w:spacing w:line="360" w:lineRule="auto"/>
              <w:jc w:val="both"/>
              <w:rPr>
                <w:rFonts w:ascii="Arial" w:hAnsi="Arial" w:cs="Arial"/>
                <w:color w:val="000000" w:themeColor="text1"/>
                <w:sz w:val="22"/>
                <w:szCs w:val="22"/>
              </w:rPr>
            </w:pPr>
            <w:r w:rsidRPr="005B7ABE">
              <w:rPr>
                <w:rStyle w:val="s1"/>
                <w:rFonts w:ascii="Arial" w:hAnsi="Arial" w:cs="Arial"/>
                <w:color w:val="000000" w:themeColor="text1"/>
                <w:sz w:val="22"/>
                <w:szCs w:val="22"/>
              </w:rPr>
              <w:t>Ahmed and Mohammed (2025)</w:t>
            </w:r>
          </w:p>
          <w:p w14:paraId="60B1110E" w14:textId="77777777" w:rsidR="003F66D7" w:rsidRPr="005B7ABE" w:rsidRDefault="003F66D7" w:rsidP="0020706C">
            <w:pPr>
              <w:spacing w:line="360" w:lineRule="auto"/>
              <w:jc w:val="both"/>
              <w:rPr>
                <w:rFonts w:ascii="Arial" w:hAnsi="Arial" w:cs="Arial"/>
                <w:color w:val="000000" w:themeColor="text1"/>
                <w:sz w:val="22"/>
                <w:szCs w:val="22"/>
              </w:rPr>
            </w:pPr>
          </w:p>
        </w:tc>
        <w:tc>
          <w:tcPr>
            <w:tcW w:w="1803" w:type="dxa"/>
          </w:tcPr>
          <w:p w14:paraId="03E825C6" w14:textId="39F42DE8" w:rsidR="003F66D7" w:rsidRPr="005B7ABE" w:rsidRDefault="00447771" w:rsidP="0020706C">
            <w:pPr>
              <w:pStyle w:val="p1"/>
              <w:spacing w:line="360" w:lineRule="auto"/>
              <w:jc w:val="both"/>
              <w:rPr>
                <w:rFonts w:ascii="Arial" w:hAnsi="Arial" w:cs="Arial"/>
                <w:color w:val="000000" w:themeColor="text1"/>
                <w:sz w:val="22"/>
                <w:szCs w:val="22"/>
              </w:rPr>
            </w:pPr>
            <w:r w:rsidRPr="005B7ABE">
              <w:rPr>
                <w:rStyle w:val="s1"/>
                <w:rFonts w:ascii="Arial" w:hAnsi="Arial" w:cs="Arial"/>
                <w:color w:val="000000" w:themeColor="text1"/>
                <w:sz w:val="22"/>
                <w:szCs w:val="22"/>
              </w:rPr>
              <w:t>Review the prevalence, causes, consequences, management, preventive strategies, and future directions of obesity</w:t>
            </w:r>
          </w:p>
        </w:tc>
        <w:tc>
          <w:tcPr>
            <w:tcW w:w="1803"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1"/>
              <w:gridCol w:w="66"/>
              <w:gridCol w:w="1359"/>
              <w:gridCol w:w="81"/>
            </w:tblGrid>
            <w:tr w:rsidR="002B0CC8" w:rsidRPr="005B7ABE" w14:paraId="287C4F67" w14:textId="77777777">
              <w:trPr>
                <w:tblCellSpacing w:w="15" w:type="dxa"/>
              </w:trPr>
              <w:tc>
                <w:tcPr>
                  <w:tcW w:w="0" w:type="auto"/>
                  <w:vAlign w:val="center"/>
                  <w:hideMark/>
                </w:tcPr>
                <w:p w14:paraId="0E510629" w14:textId="77777777" w:rsidR="002B0CC8" w:rsidRPr="005B7ABE" w:rsidRDefault="002B0CC8" w:rsidP="0020706C">
                  <w:pPr>
                    <w:spacing w:after="0" w:line="360" w:lineRule="auto"/>
                    <w:jc w:val="both"/>
                    <w:rPr>
                      <w:rFonts w:ascii="Arial" w:hAnsi="Arial" w:cs="Arial"/>
                      <w:color w:val="000000" w:themeColor="text1"/>
                      <w:kern w:val="0"/>
                      <w:sz w:val="22"/>
                      <w:szCs w:val="22"/>
                      <w14:ligatures w14:val="none"/>
                    </w:rPr>
                  </w:pPr>
                </w:p>
              </w:tc>
              <w:tc>
                <w:tcPr>
                  <w:tcW w:w="0" w:type="auto"/>
                  <w:vAlign w:val="center"/>
                  <w:hideMark/>
                </w:tcPr>
                <w:p w14:paraId="556604DF" w14:textId="77777777" w:rsidR="002B0CC8" w:rsidRPr="005B7ABE" w:rsidRDefault="002B0CC8" w:rsidP="0020706C">
                  <w:pPr>
                    <w:spacing w:after="0" w:line="360" w:lineRule="auto"/>
                    <w:jc w:val="both"/>
                    <w:rPr>
                      <w:rFonts w:ascii="Arial" w:eastAsia="Times New Roman" w:hAnsi="Arial" w:cs="Arial"/>
                      <w:color w:val="000000" w:themeColor="text1"/>
                      <w:kern w:val="0"/>
                      <w:sz w:val="22"/>
                      <w:szCs w:val="22"/>
                      <w14:ligatures w14:val="none"/>
                    </w:rPr>
                  </w:pPr>
                </w:p>
              </w:tc>
              <w:tc>
                <w:tcPr>
                  <w:tcW w:w="0" w:type="auto"/>
                  <w:vAlign w:val="center"/>
                  <w:hideMark/>
                </w:tcPr>
                <w:p w14:paraId="45D5BEC5" w14:textId="77777777" w:rsidR="002B0CC8" w:rsidRPr="005B7ABE" w:rsidRDefault="002B0CC8" w:rsidP="0020706C">
                  <w:pPr>
                    <w:spacing w:before="100" w:beforeAutospacing="1" w:after="100" w:afterAutospacing="1" w:line="360" w:lineRule="auto"/>
                    <w:jc w:val="both"/>
                    <w:rPr>
                      <w:rFonts w:ascii="Arial" w:hAnsi="Arial" w:cs="Arial"/>
                      <w:color w:val="000000" w:themeColor="text1"/>
                      <w:kern w:val="0"/>
                      <w:sz w:val="22"/>
                      <w:szCs w:val="22"/>
                      <w14:ligatures w14:val="none"/>
                    </w:rPr>
                  </w:pPr>
                  <w:r w:rsidRPr="005B7ABE">
                    <w:rPr>
                      <w:rFonts w:ascii="Arial" w:hAnsi="Arial" w:cs="Arial"/>
                      <w:color w:val="000000" w:themeColor="text1"/>
                      <w:kern w:val="0"/>
                      <w:sz w:val="22"/>
                      <w:szCs w:val="22"/>
                      <w14:ligatures w14:val="none"/>
                    </w:rPr>
                    <w:t>Narrative review</w:t>
                  </w:r>
                </w:p>
              </w:tc>
              <w:tc>
                <w:tcPr>
                  <w:tcW w:w="0" w:type="auto"/>
                  <w:vAlign w:val="center"/>
                  <w:hideMark/>
                </w:tcPr>
                <w:p w14:paraId="34046AA7" w14:textId="77777777" w:rsidR="002B0CC8" w:rsidRPr="005B7ABE" w:rsidRDefault="002B0CC8" w:rsidP="0020706C">
                  <w:pPr>
                    <w:spacing w:after="0" w:line="360" w:lineRule="auto"/>
                    <w:jc w:val="both"/>
                    <w:rPr>
                      <w:rFonts w:ascii="Arial" w:hAnsi="Arial" w:cs="Arial"/>
                      <w:color w:val="000000" w:themeColor="text1"/>
                      <w:kern w:val="0"/>
                      <w:sz w:val="22"/>
                      <w:szCs w:val="22"/>
                      <w14:ligatures w14:val="none"/>
                    </w:rPr>
                  </w:pPr>
                </w:p>
              </w:tc>
            </w:tr>
          </w:tbl>
          <w:p w14:paraId="7BFDCEAE" w14:textId="77777777" w:rsidR="003F66D7" w:rsidRPr="005B7ABE" w:rsidRDefault="003F66D7" w:rsidP="0020706C">
            <w:pPr>
              <w:spacing w:line="360" w:lineRule="auto"/>
              <w:jc w:val="both"/>
              <w:rPr>
                <w:rFonts w:ascii="Arial" w:hAnsi="Arial" w:cs="Arial"/>
                <w:color w:val="000000" w:themeColor="text1"/>
                <w:sz w:val="22"/>
                <w:szCs w:val="22"/>
              </w:rPr>
            </w:pPr>
          </w:p>
        </w:tc>
        <w:tc>
          <w:tcPr>
            <w:tcW w:w="1803" w:type="dxa"/>
          </w:tcPr>
          <w:p w14:paraId="52EEDA6D" w14:textId="593DC0B1" w:rsidR="003F66D7" w:rsidRPr="005B7ABE" w:rsidRDefault="00442172" w:rsidP="0020706C">
            <w:pPr>
              <w:pStyle w:val="p1"/>
              <w:spacing w:line="360" w:lineRule="auto"/>
              <w:jc w:val="both"/>
              <w:rPr>
                <w:rFonts w:ascii="Arial" w:hAnsi="Arial" w:cs="Arial"/>
                <w:color w:val="000000" w:themeColor="text1"/>
                <w:sz w:val="22"/>
                <w:szCs w:val="22"/>
              </w:rPr>
            </w:pPr>
            <w:r w:rsidRPr="005B7ABE">
              <w:rPr>
                <w:rStyle w:val="s1"/>
                <w:rFonts w:ascii="Arial" w:hAnsi="Arial" w:cs="Arial"/>
                <w:color w:val="000000" w:themeColor="text1"/>
                <w:sz w:val="22"/>
                <w:szCs w:val="22"/>
              </w:rPr>
              <w:t xml:space="preserve">Obesity is driven by interacting biological, behavioural, environmental, and socioeconomic factors; behavioural, pharmacological, and surgical interventions all have roles in management, but long-term prevention and sustained </w:t>
            </w:r>
            <w:r w:rsidRPr="005B7ABE">
              <w:rPr>
                <w:rStyle w:val="s1"/>
                <w:rFonts w:ascii="Arial" w:hAnsi="Arial" w:cs="Arial"/>
                <w:color w:val="000000" w:themeColor="text1"/>
                <w:sz w:val="22"/>
                <w:szCs w:val="22"/>
              </w:rPr>
              <w:lastRenderedPageBreak/>
              <w:t>support are essential</w:t>
            </w:r>
          </w:p>
        </w:tc>
        <w:tc>
          <w:tcPr>
            <w:tcW w:w="1804" w:type="dxa"/>
          </w:tcPr>
          <w:p w14:paraId="65EBFFF5" w14:textId="77777777" w:rsidR="00016593" w:rsidRPr="005B7ABE" w:rsidRDefault="00016593" w:rsidP="0020706C">
            <w:pPr>
              <w:pStyle w:val="p1"/>
              <w:spacing w:line="360" w:lineRule="auto"/>
              <w:jc w:val="both"/>
              <w:rPr>
                <w:rFonts w:ascii="Arial" w:hAnsi="Arial" w:cs="Arial"/>
                <w:color w:val="000000" w:themeColor="text1"/>
                <w:sz w:val="22"/>
                <w:szCs w:val="22"/>
              </w:rPr>
            </w:pPr>
            <w:r w:rsidRPr="005B7ABE">
              <w:rPr>
                <w:rStyle w:val="s1"/>
                <w:rFonts w:ascii="Arial" w:hAnsi="Arial" w:cs="Arial"/>
                <w:color w:val="000000" w:themeColor="text1"/>
                <w:sz w:val="22"/>
                <w:szCs w:val="22"/>
              </w:rPr>
              <w:lastRenderedPageBreak/>
              <w:t>Supports the need for multi-component obesity treatment and highlights broader structural factors shaping obesity management</w:t>
            </w:r>
          </w:p>
          <w:p w14:paraId="303E731F" w14:textId="77777777" w:rsidR="003F66D7" w:rsidRPr="005B7ABE" w:rsidRDefault="003F66D7" w:rsidP="0020706C">
            <w:pPr>
              <w:spacing w:line="360" w:lineRule="auto"/>
              <w:jc w:val="both"/>
              <w:rPr>
                <w:rFonts w:ascii="Arial" w:hAnsi="Arial" w:cs="Arial"/>
                <w:color w:val="000000" w:themeColor="text1"/>
                <w:sz w:val="22"/>
                <w:szCs w:val="22"/>
              </w:rPr>
            </w:pPr>
          </w:p>
        </w:tc>
      </w:tr>
      <w:tr w:rsidR="003F66D7" w:rsidRPr="005B7ABE" w14:paraId="69932572" w14:textId="77777777" w:rsidTr="003F66D7">
        <w:tc>
          <w:tcPr>
            <w:tcW w:w="1803" w:type="dxa"/>
          </w:tcPr>
          <w:p w14:paraId="50385C02" w14:textId="3110FE3B" w:rsidR="003F66D7" w:rsidRPr="005B7ABE" w:rsidRDefault="00DB0BCE" w:rsidP="0020706C">
            <w:pPr>
              <w:pStyle w:val="p1"/>
              <w:spacing w:line="360" w:lineRule="auto"/>
              <w:jc w:val="both"/>
              <w:rPr>
                <w:rFonts w:ascii="Arial" w:hAnsi="Arial" w:cs="Arial"/>
                <w:color w:val="000000" w:themeColor="text1"/>
                <w:sz w:val="22"/>
                <w:szCs w:val="22"/>
              </w:rPr>
            </w:pPr>
            <w:r w:rsidRPr="005B7ABE">
              <w:rPr>
                <w:rStyle w:val="s1"/>
                <w:rFonts w:ascii="Arial" w:hAnsi="Arial" w:cs="Arial"/>
                <w:color w:val="000000" w:themeColor="text1"/>
                <w:sz w:val="22"/>
                <w:szCs w:val="22"/>
              </w:rPr>
              <w:lastRenderedPageBreak/>
              <w:t>Sutcliffe et al. (2018)</w:t>
            </w:r>
          </w:p>
        </w:tc>
        <w:tc>
          <w:tcPr>
            <w:tcW w:w="1803" w:type="dxa"/>
          </w:tcPr>
          <w:p w14:paraId="1D2E92A5" w14:textId="0D25987E" w:rsidR="003F66D7" w:rsidRPr="005B7ABE" w:rsidRDefault="002345E3" w:rsidP="0020706C">
            <w:pPr>
              <w:pStyle w:val="p1"/>
              <w:spacing w:line="360" w:lineRule="auto"/>
              <w:jc w:val="both"/>
              <w:rPr>
                <w:rFonts w:ascii="Arial" w:hAnsi="Arial" w:cs="Arial"/>
                <w:color w:val="000000" w:themeColor="text1"/>
                <w:sz w:val="22"/>
                <w:szCs w:val="22"/>
              </w:rPr>
            </w:pPr>
            <w:r w:rsidRPr="005B7ABE">
              <w:rPr>
                <w:rStyle w:val="s1"/>
                <w:rFonts w:ascii="Arial" w:hAnsi="Arial" w:cs="Arial"/>
                <w:color w:val="000000" w:themeColor="text1"/>
                <w:sz w:val="22"/>
                <w:szCs w:val="22"/>
              </w:rPr>
              <w:t>To explore service-user perspectives on weight management programmes (WMPs) and identify key features influencing effectiveness</w:t>
            </w:r>
          </w:p>
        </w:tc>
        <w:tc>
          <w:tcPr>
            <w:tcW w:w="1803" w:type="dxa"/>
          </w:tcPr>
          <w:p w14:paraId="1EBC7638" w14:textId="365F2678" w:rsidR="003F66D7" w:rsidRPr="005B7ABE" w:rsidRDefault="00E42A57" w:rsidP="0020706C">
            <w:pPr>
              <w:pStyle w:val="p1"/>
              <w:spacing w:line="360" w:lineRule="auto"/>
              <w:jc w:val="both"/>
              <w:rPr>
                <w:rFonts w:ascii="Arial" w:hAnsi="Arial" w:cs="Arial"/>
                <w:color w:val="000000" w:themeColor="text1"/>
                <w:sz w:val="22"/>
                <w:szCs w:val="22"/>
              </w:rPr>
            </w:pPr>
            <w:r w:rsidRPr="005B7ABE">
              <w:rPr>
                <w:rStyle w:val="s1"/>
                <w:rFonts w:ascii="Arial" w:hAnsi="Arial" w:cs="Arial"/>
                <w:color w:val="000000" w:themeColor="text1"/>
                <w:sz w:val="22"/>
                <w:szCs w:val="22"/>
              </w:rPr>
              <w:t>Systematic review of qualitative UK studies with thematic analysis</w:t>
            </w:r>
          </w:p>
        </w:tc>
        <w:tc>
          <w:tcPr>
            <w:tcW w:w="1803" w:type="dxa"/>
          </w:tcPr>
          <w:p w14:paraId="3F10179D" w14:textId="2226A853" w:rsidR="003F66D7" w:rsidRPr="005B7ABE" w:rsidRDefault="00C60C9C" w:rsidP="0020706C">
            <w:pPr>
              <w:pStyle w:val="p1"/>
              <w:spacing w:line="360" w:lineRule="auto"/>
              <w:jc w:val="both"/>
              <w:rPr>
                <w:rFonts w:ascii="Arial" w:hAnsi="Arial" w:cs="Arial"/>
                <w:color w:val="000000" w:themeColor="text1"/>
                <w:sz w:val="22"/>
                <w:szCs w:val="22"/>
              </w:rPr>
            </w:pPr>
            <w:r w:rsidRPr="005B7ABE">
              <w:rPr>
                <w:rStyle w:val="s1"/>
                <w:rFonts w:ascii="Arial" w:hAnsi="Arial" w:cs="Arial"/>
                <w:color w:val="000000" w:themeColor="text1"/>
                <w:sz w:val="22"/>
                <w:szCs w:val="22"/>
              </w:rPr>
              <w:t>Supportive relationships with providers and peers were the most critical factor for engagement and success; educational components (diet/exercise advice) were less influential than motivation and social support</w:t>
            </w:r>
          </w:p>
        </w:tc>
        <w:tc>
          <w:tcPr>
            <w:tcW w:w="1804" w:type="dxa"/>
          </w:tcPr>
          <w:p w14:paraId="6766B0A2" w14:textId="0ED1BD15" w:rsidR="003F66D7" w:rsidRPr="005B7ABE" w:rsidRDefault="000F1F89" w:rsidP="0020706C">
            <w:pPr>
              <w:pStyle w:val="p1"/>
              <w:spacing w:line="360" w:lineRule="auto"/>
              <w:jc w:val="both"/>
              <w:rPr>
                <w:rFonts w:ascii="Arial" w:hAnsi="Arial" w:cs="Arial"/>
                <w:color w:val="000000" w:themeColor="text1"/>
                <w:sz w:val="22"/>
                <w:szCs w:val="22"/>
              </w:rPr>
            </w:pPr>
            <w:r w:rsidRPr="005B7ABE">
              <w:rPr>
                <w:rStyle w:val="s1"/>
                <w:rFonts w:ascii="Arial" w:hAnsi="Arial" w:cs="Arial"/>
                <w:color w:val="000000" w:themeColor="text1"/>
                <w:sz w:val="22"/>
                <w:szCs w:val="22"/>
              </w:rPr>
              <w:t>Highlights service-level barriers and facilitators to engagement, showing that psychosocial factors strongly influence treatment effectiveness</w:t>
            </w:r>
          </w:p>
        </w:tc>
      </w:tr>
      <w:tr w:rsidR="003F66D7" w:rsidRPr="005B7ABE" w14:paraId="5E286450" w14:textId="77777777" w:rsidTr="003F66D7">
        <w:tc>
          <w:tcPr>
            <w:tcW w:w="1803" w:type="dxa"/>
          </w:tcPr>
          <w:p w14:paraId="4D106426" w14:textId="10965EC3" w:rsidR="003F66D7" w:rsidRPr="005B7ABE" w:rsidRDefault="00DB3FD9" w:rsidP="0020706C">
            <w:pPr>
              <w:pStyle w:val="p1"/>
              <w:spacing w:line="360" w:lineRule="auto"/>
              <w:jc w:val="both"/>
              <w:rPr>
                <w:rFonts w:ascii="Arial" w:hAnsi="Arial" w:cs="Arial"/>
                <w:color w:val="000000" w:themeColor="text1"/>
                <w:sz w:val="22"/>
                <w:szCs w:val="22"/>
              </w:rPr>
            </w:pPr>
            <w:r w:rsidRPr="005B7ABE">
              <w:rPr>
                <w:rStyle w:val="s1"/>
                <w:rFonts w:ascii="Arial" w:hAnsi="Arial" w:cs="Arial"/>
                <w:color w:val="000000" w:themeColor="text1"/>
                <w:sz w:val="22"/>
                <w:szCs w:val="22"/>
              </w:rPr>
              <w:t>Ghosh, Khan and Vohra (2023)</w:t>
            </w:r>
          </w:p>
        </w:tc>
        <w:tc>
          <w:tcPr>
            <w:tcW w:w="1803" w:type="dxa"/>
          </w:tcPr>
          <w:p w14:paraId="08DEE890" w14:textId="17638B91" w:rsidR="003F66D7" w:rsidRPr="005B7ABE" w:rsidRDefault="00DB34D8" w:rsidP="0020706C">
            <w:pPr>
              <w:pStyle w:val="p1"/>
              <w:spacing w:line="360" w:lineRule="auto"/>
              <w:jc w:val="both"/>
              <w:rPr>
                <w:rFonts w:ascii="Arial" w:hAnsi="Arial" w:cs="Arial"/>
                <w:color w:val="000000" w:themeColor="text1"/>
                <w:sz w:val="22"/>
                <w:szCs w:val="22"/>
              </w:rPr>
            </w:pPr>
            <w:r w:rsidRPr="005B7ABE">
              <w:rPr>
                <w:rStyle w:val="s1"/>
                <w:rFonts w:ascii="Arial" w:hAnsi="Arial" w:cs="Arial"/>
                <w:color w:val="000000" w:themeColor="text1"/>
                <w:sz w:val="22"/>
                <w:szCs w:val="22"/>
              </w:rPr>
              <w:t>To explore the relationship between obesity, health status, and wellbeing in older adults in England</w:t>
            </w:r>
          </w:p>
        </w:tc>
        <w:tc>
          <w:tcPr>
            <w:tcW w:w="1803" w:type="dxa"/>
          </w:tcPr>
          <w:p w14:paraId="6A8C9F39" w14:textId="3923C2F1" w:rsidR="003F66D7" w:rsidRPr="005B7ABE" w:rsidRDefault="00005204" w:rsidP="0020706C">
            <w:pPr>
              <w:pStyle w:val="p1"/>
              <w:spacing w:line="360" w:lineRule="auto"/>
              <w:jc w:val="both"/>
              <w:rPr>
                <w:rFonts w:ascii="Arial" w:hAnsi="Arial" w:cs="Arial"/>
                <w:color w:val="000000" w:themeColor="text1"/>
                <w:sz w:val="22"/>
                <w:szCs w:val="22"/>
              </w:rPr>
            </w:pPr>
            <w:r w:rsidRPr="005B7ABE">
              <w:rPr>
                <w:rStyle w:val="s1"/>
                <w:rFonts w:ascii="Arial" w:hAnsi="Arial" w:cs="Arial"/>
                <w:color w:val="000000" w:themeColor="text1"/>
                <w:sz w:val="22"/>
                <w:szCs w:val="22"/>
              </w:rPr>
              <w:t>Cross-sectional analysis using Wave 8 of the English Longitudinal Study of Ageing (n = 5,640)</w:t>
            </w:r>
          </w:p>
        </w:tc>
        <w:tc>
          <w:tcPr>
            <w:tcW w:w="1803" w:type="dxa"/>
          </w:tcPr>
          <w:p w14:paraId="2FC52F6A" w14:textId="4FBC3E61" w:rsidR="003F66D7" w:rsidRPr="005B7ABE" w:rsidRDefault="00907CBF" w:rsidP="0020706C">
            <w:pPr>
              <w:pStyle w:val="p1"/>
              <w:spacing w:line="360" w:lineRule="auto"/>
              <w:jc w:val="both"/>
              <w:rPr>
                <w:rFonts w:ascii="Arial" w:hAnsi="Arial" w:cs="Arial"/>
                <w:color w:val="000000" w:themeColor="text1"/>
                <w:sz w:val="22"/>
                <w:szCs w:val="22"/>
              </w:rPr>
            </w:pPr>
            <w:r w:rsidRPr="005B7ABE">
              <w:rPr>
                <w:rStyle w:val="s1"/>
                <w:rFonts w:ascii="Arial" w:hAnsi="Arial" w:cs="Arial"/>
                <w:color w:val="000000" w:themeColor="text1"/>
                <w:sz w:val="22"/>
                <w:szCs w:val="22"/>
              </w:rPr>
              <w:t xml:space="preserve">Obesity was associated with poorer subjective health, increased comorbidity and </w:t>
            </w:r>
            <w:proofErr w:type="spellStart"/>
            <w:r w:rsidRPr="005B7ABE">
              <w:rPr>
                <w:rStyle w:val="s1"/>
                <w:rFonts w:ascii="Arial" w:hAnsi="Arial" w:cs="Arial"/>
                <w:color w:val="000000" w:themeColor="text1"/>
                <w:sz w:val="22"/>
                <w:szCs w:val="22"/>
              </w:rPr>
              <w:t>multimorbidity</w:t>
            </w:r>
            <w:proofErr w:type="spellEnd"/>
            <w:r w:rsidRPr="005B7ABE">
              <w:rPr>
                <w:rStyle w:val="s1"/>
                <w:rFonts w:ascii="Arial" w:hAnsi="Arial" w:cs="Arial"/>
                <w:color w:val="000000" w:themeColor="text1"/>
                <w:sz w:val="22"/>
                <w:szCs w:val="22"/>
              </w:rPr>
              <w:t>, and lower wellbeing, showing that obesity has significant health consequences beyond weight alone</w:t>
            </w:r>
          </w:p>
        </w:tc>
        <w:tc>
          <w:tcPr>
            <w:tcW w:w="1804" w:type="dxa"/>
          </w:tcPr>
          <w:p w14:paraId="3AB8C9F4" w14:textId="34BDE1C1" w:rsidR="003F66D7" w:rsidRPr="005B7ABE" w:rsidRDefault="008A58A2" w:rsidP="0020706C">
            <w:pPr>
              <w:pStyle w:val="p1"/>
              <w:spacing w:line="360" w:lineRule="auto"/>
              <w:jc w:val="both"/>
              <w:rPr>
                <w:rFonts w:ascii="Arial" w:hAnsi="Arial" w:cs="Arial"/>
                <w:color w:val="000000" w:themeColor="text1"/>
                <w:sz w:val="22"/>
                <w:szCs w:val="22"/>
              </w:rPr>
            </w:pPr>
            <w:r w:rsidRPr="005B7ABE">
              <w:rPr>
                <w:rStyle w:val="s1"/>
                <w:rFonts w:ascii="Arial" w:hAnsi="Arial" w:cs="Arial"/>
                <w:color w:val="000000" w:themeColor="text1"/>
                <w:sz w:val="22"/>
                <w:szCs w:val="22"/>
              </w:rPr>
              <w:t>Supports the argument that obesity outcomes differ across demographic groups and reinforces the need for effective and accessible interventions</w:t>
            </w:r>
          </w:p>
        </w:tc>
      </w:tr>
      <w:tr w:rsidR="003F66D7" w:rsidRPr="005B7ABE" w14:paraId="079C9CAC" w14:textId="77777777" w:rsidTr="003F66D7">
        <w:tc>
          <w:tcPr>
            <w:tcW w:w="1803" w:type="dxa"/>
          </w:tcPr>
          <w:p w14:paraId="4E9D46A0" w14:textId="31682EA7" w:rsidR="003F66D7" w:rsidRPr="005B7ABE" w:rsidRDefault="00AE0731" w:rsidP="0020706C">
            <w:pPr>
              <w:pStyle w:val="p1"/>
              <w:spacing w:line="360" w:lineRule="auto"/>
              <w:jc w:val="both"/>
              <w:rPr>
                <w:rFonts w:ascii="Arial" w:hAnsi="Arial" w:cs="Arial"/>
                <w:color w:val="000000" w:themeColor="text1"/>
                <w:sz w:val="22"/>
                <w:szCs w:val="22"/>
              </w:rPr>
            </w:pPr>
            <w:proofErr w:type="spellStart"/>
            <w:r w:rsidRPr="005B7ABE">
              <w:rPr>
                <w:rStyle w:val="s1"/>
                <w:rFonts w:ascii="Arial" w:hAnsi="Arial" w:cs="Arial"/>
                <w:color w:val="000000" w:themeColor="text1"/>
                <w:sz w:val="22"/>
                <w:szCs w:val="22"/>
              </w:rPr>
              <w:t>Heald</w:t>
            </w:r>
            <w:proofErr w:type="spellEnd"/>
            <w:r w:rsidRPr="005B7ABE">
              <w:rPr>
                <w:rStyle w:val="s1"/>
                <w:rFonts w:ascii="Arial" w:hAnsi="Arial" w:cs="Arial"/>
                <w:color w:val="000000" w:themeColor="text1"/>
                <w:sz w:val="22"/>
                <w:szCs w:val="22"/>
              </w:rPr>
              <w:t xml:space="preserve"> et al. (2024)</w:t>
            </w:r>
          </w:p>
        </w:tc>
        <w:tc>
          <w:tcPr>
            <w:tcW w:w="1803" w:type="dxa"/>
          </w:tcPr>
          <w:p w14:paraId="02AB41BE" w14:textId="1FE7BEBD" w:rsidR="003F66D7" w:rsidRPr="005B7ABE" w:rsidRDefault="00E61133" w:rsidP="0020706C">
            <w:pPr>
              <w:pStyle w:val="p1"/>
              <w:spacing w:line="360" w:lineRule="auto"/>
              <w:jc w:val="both"/>
              <w:rPr>
                <w:rFonts w:ascii="Arial" w:hAnsi="Arial" w:cs="Arial"/>
                <w:color w:val="000000" w:themeColor="text1"/>
                <w:sz w:val="22"/>
                <w:szCs w:val="22"/>
              </w:rPr>
            </w:pPr>
            <w:r w:rsidRPr="005B7ABE">
              <w:rPr>
                <w:rStyle w:val="s1"/>
                <w:rFonts w:ascii="Arial" w:hAnsi="Arial" w:cs="Arial"/>
                <w:color w:val="000000" w:themeColor="text1"/>
                <w:sz w:val="22"/>
                <w:szCs w:val="22"/>
              </w:rPr>
              <w:t xml:space="preserve">To estimate the lifetime economic cost of obesity in </w:t>
            </w:r>
            <w:r w:rsidRPr="005B7ABE">
              <w:rPr>
                <w:rStyle w:val="s1"/>
                <w:rFonts w:ascii="Arial" w:hAnsi="Arial" w:cs="Arial"/>
                <w:color w:val="000000" w:themeColor="text1"/>
                <w:sz w:val="22"/>
                <w:szCs w:val="22"/>
              </w:rPr>
              <w:lastRenderedPageBreak/>
              <w:t>England by age, sex, deprivation, and region</w:t>
            </w:r>
          </w:p>
        </w:tc>
        <w:tc>
          <w:tcPr>
            <w:tcW w:w="1803" w:type="dxa"/>
          </w:tcPr>
          <w:p w14:paraId="7F05D2C9" w14:textId="45A5F0D7" w:rsidR="003F66D7" w:rsidRPr="005B7ABE" w:rsidRDefault="00377D95" w:rsidP="0020706C">
            <w:pPr>
              <w:pStyle w:val="p1"/>
              <w:spacing w:line="360" w:lineRule="auto"/>
              <w:jc w:val="both"/>
              <w:rPr>
                <w:rFonts w:ascii="Arial" w:hAnsi="Arial" w:cs="Arial"/>
                <w:color w:val="000000" w:themeColor="text1"/>
                <w:sz w:val="22"/>
                <w:szCs w:val="22"/>
              </w:rPr>
            </w:pPr>
            <w:r w:rsidRPr="005B7ABE">
              <w:rPr>
                <w:rStyle w:val="s1"/>
                <w:rFonts w:ascii="Arial" w:hAnsi="Arial" w:cs="Arial"/>
                <w:color w:val="000000" w:themeColor="text1"/>
                <w:sz w:val="22"/>
                <w:szCs w:val="22"/>
              </w:rPr>
              <w:lastRenderedPageBreak/>
              <w:t xml:space="preserve">Quantitative modelling study using national England data for </w:t>
            </w:r>
            <w:r w:rsidRPr="005B7ABE">
              <w:rPr>
                <w:rStyle w:val="s1"/>
                <w:rFonts w:ascii="Arial" w:hAnsi="Arial" w:cs="Arial"/>
                <w:color w:val="000000" w:themeColor="text1"/>
                <w:sz w:val="22"/>
                <w:szCs w:val="22"/>
              </w:rPr>
              <w:lastRenderedPageBreak/>
              <w:t>45.5 million adults aged over 16</w:t>
            </w:r>
          </w:p>
        </w:tc>
        <w:tc>
          <w:tcPr>
            <w:tcW w:w="1803" w:type="dxa"/>
          </w:tcPr>
          <w:p w14:paraId="1D747524" w14:textId="49ACFA88" w:rsidR="003F66D7" w:rsidRPr="005B7ABE" w:rsidRDefault="00A10F8B" w:rsidP="0020706C">
            <w:pPr>
              <w:pStyle w:val="p1"/>
              <w:spacing w:line="360" w:lineRule="auto"/>
              <w:jc w:val="both"/>
              <w:rPr>
                <w:rFonts w:ascii="Arial" w:hAnsi="Arial" w:cs="Arial"/>
                <w:color w:val="000000" w:themeColor="text1"/>
                <w:sz w:val="22"/>
                <w:szCs w:val="22"/>
              </w:rPr>
            </w:pPr>
            <w:r w:rsidRPr="005B7ABE">
              <w:rPr>
                <w:rStyle w:val="s1"/>
                <w:rFonts w:ascii="Arial" w:hAnsi="Arial" w:cs="Arial"/>
                <w:color w:val="000000" w:themeColor="text1"/>
                <w:sz w:val="22"/>
                <w:szCs w:val="22"/>
              </w:rPr>
              <w:lastRenderedPageBreak/>
              <w:t xml:space="preserve">Obesity was associated with substantial excess mortality, </w:t>
            </w:r>
            <w:r w:rsidRPr="005B7ABE">
              <w:rPr>
                <w:rStyle w:val="s1"/>
                <w:rFonts w:ascii="Arial" w:hAnsi="Arial" w:cs="Arial"/>
                <w:color w:val="000000" w:themeColor="text1"/>
                <w:sz w:val="22"/>
                <w:szCs w:val="22"/>
              </w:rPr>
              <w:lastRenderedPageBreak/>
              <w:t>reduced life expectancy, higher healthcare resource use, and major economic costs, with the greatest burden seen in more deprived areas and some regions of northern England and the Midlands</w:t>
            </w:r>
          </w:p>
        </w:tc>
        <w:tc>
          <w:tcPr>
            <w:tcW w:w="1804" w:type="dxa"/>
          </w:tcPr>
          <w:p w14:paraId="17BEA3BF" w14:textId="2FC79DC5" w:rsidR="003F66D7" w:rsidRPr="005B7ABE" w:rsidRDefault="00A42D17" w:rsidP="0020706C">
            <w:pPr>
              <w:pStyle w:val="p1"/>
              <w:spacing w:line="360" w:lineRule="auto"/>
              <w:jc w:val="both"/>
              <w:rPr>
                <w:rFonts w:ascii="Arial" w:hAnsi="Arial" w:cs="Arial"/>
                <w:color w:val="000000" w:themeColor="text1"/>
                <w:sz w:val="22"/>
                <w:szCs w:val="22"/>
              </w:rPr>
            </w:pPr>
            <w:r w:rsidRPr="005B7ABE">
              <w:rPr>
                <w:rStyle w:val="s1"/>
                <w:rFonts w:ascii="Arial" w:hAnsi="Arial" w:cs="Arial"/>
                <w:color w:val="000000" w:themeColor="text1"/>
                <w:sz w:val="22"/>
                <w:szCs w:val="22"/>
              </w:rPr>
              <w:lastRenderedPageBreak/>
              <w:t xml:space="preserve">Demonstrates the wider health and economic impact of </w:t>
            </w:r>
            <w:r w:rsidRPr="005B7ABE">
              <w:rPr>
                <w:rStyle w:val="s1"/>
                <w:rFonts w:ascii="Arial" w:hAnsi="Arial" w:cs="Arial"/>
                <w:color w:val="000000" w:themeColor="text1"/>
                <w:sz w:val="22"/>
                <w:szCs w:val="22"/>
              </w:rPr>
              <w:lastRenderedPageBreak/>
              <w:t>obesity and highlights regional and socioeconomic inequalities relevant to access and service planning</w:t>
            </w:r>
          </w:p>
        </w:tc>
      </w:tr>
      <w:tr w:rsidR="003F66D7" w:rsidRPr="005B7ABE" w14:paraId="0349811A" w14:textId="77777777" w:rsidTr="003F66D7">
        <w:tc>
          <w:tcPr>
            <w:tcW w:w="1803" w:type="dxa"/>
          </w:tcPr>
          <w:p w14:paraId="1E333480" w14:textId="054D62B8" w:rsidR="003F66D7" w:rsidRPr="005B7ABE" w:rsidRDefault="00810B56" w:rsidP="0020706C">
            <w:pPr>
              <w:pStyle w:val="p1"/>
              <w:spacing w:line="360" w:lineRule="auto"/>
              <w:jc w:val="both"/>
              <w:rPr>
                <w:rFonts w:ascii="Arial" w:hAnsi="Arial" w:cs="Arial"/>
                <w:color w:val="000000" w:themeColor="text1"/>
                <w:sz w:val="22"/>
                <w:szCs w:val="22"/>
              </w:rPr>
            </w:pPr>
            <w:proofErr w:type="spellStart"/>
            <w:r w:rsidRPr="005B7ABE">
              <w:rPr>
                <w:rStyle w:val="s1"/>
                <w:rFonts w:ascii="Arial" w:hAnsi="Arial" w:cs="Arial"/>
                <w:color w:val="000000" w:themeColor="text1"/>
                <w:sz w:val="22"/>
                <w:szCs w:val="22"/>
              </w:rPr>
              <w:lastRenderedPageBreak/>
              <w:t>Haase</w:t>
            </w:r>
            <w:proofErr w:type="spellEnd"/>
            <w:r w:rsidRPr="005B7ABE">
              <w:rPr>
                <w:rStyle w:val="s1"/>
                <w:rFonts w:ascii="Arial" w:hAnsi="Arial" w:cs="Arial"/>
                <w:color w:val="000000" w:themeColor="text1"/>
                <w:sz w:val="22"/>
                <w:szCs w:val="22"/>
              </w:rPr>
              <w:t xml:space="preserve"> et al. (2021)</w:t>
            </w:r>
          </w:p>
        </w:tc>
        <w:tc>
          <w:tcPr>
            <w:tcW w:w="1803" w:type="dxa"/>
          </w:tcPr>
          <w:p w14:paraId="2D71C6F4" w14:textId="706FB15D" w:rsidR="003F66D7" w:rsidRPr="005B7ABE" w:rsidRDefault="00DE1DEA" w:rsidP="0020706C">
            <w:pPr>
              <w:pStyle w:val="p1"/>
              <w:spacing w:line="360" w:lineRule="auto"/>
              <w:jc w:val="both"/>
              <w:rPr>
                <w:rFonts w:ascii="Arial" w:hAnsi="Arial" w:cs="Arial"/>
                <w:color w:val="000000" w:themeColor="text1"/>
                <w:sz w:val="22"/>
                <w:szCs w:val="22"/>
              </w:rPr>
            </w:pPr>
            <w:r w:rsidRPr="005B7ABE">
              <w:rPr>
                <w:rStyle w:val="s1"/>
                <w:rFonts w:ascii="Arial" w:hAnsi="Arial" w:cs="Arial"/>
                <w:color w:val="000000" w:themeColor="text1"/>
                <w:sz w:val="22"/>
                <w:szCs w:val="22"/>
              </w:rPr>
              <w:t>To examine the association between BMI and a wide range of obesity-related health conditions in a large UK population</w:t>
            </w:r>
          </w:p>
        </w:tc>
        <w:tc>
          <w:tcPr>
            <w:tcW w:w="1803" w:type="dxa"/>
          </w:tcPr>
          <w:p w14:paraId="00EA37D1" w14:textId="6E88927F" w:rsidR="003F66D7" w:rsidRPr="005B7ABE" w:rsidRDefault="001134CB" w:rsidP="0020706C">
            <w:pPr>
              <w:pStyle w:val="p1"/>
              <w:spacing w:line="360" w:lineRule="auto"/>
              <w:jc w:val="both"/>
              <w:rPr>
                <w:rFonts w:ascii="Arial" w:hAnsi="Arial" w:cs="Arial"/>
                <w:color w:val="000000" w:themeColor="text1"/>
                <w:sz w:val="22"/>
                <w:szCs w:val="22"/>
              </w:rPr>
            </w:pPr>
            <w:r w:rsidRPr="005B7ABE">
              <w:rPr>
                <w:rStyle w:val="s1"/>
                <w:rFonts w:ascii="Arial" w:hAnsi="Arial" w:cs="Arial"/>
                <w:color w:val="000000" w:themeColor="text1"/>
                <w:sz w:val="22"/>
                <w:szCs w:val="22"/>
              </w:rPr>
              <w:t>Retrospective longitudinal cohort study using UK primary care data (CPRD) including 2.9 million adults followed for a median of 11.4 years</w:t>
            </w:r>
          </w:p>
        </w:tc>
        <w:tc>
          <w:tcPr>
            <w:tcW w:w="1803" w:type="dxa"/>
          </w:tcPr>
          <w:p w14:paraId="346BF0BE" w14:textId="061C134A" w:rsidR="003F66D7" w:rsidRPr="005B7ABE" w:rsidRDefault="00C0569B" w:rsidP="0020706C">
            <w:pPr>
              <w:pStyle w:val="p1"/>
              <w:spacing w:line="360" w:lineRule="auto"/>
              <w:jc w:val="both"/>
              <w:rPr>
                <w:rFonts w:ascii="Arial" w:hAnsi="Arial" w:cs="Arial"/>
                <w:color w:val="000000" w:themeColor="text1"/>
                <w:sz w:val="22"/>
                <w:szCs w:val="22"/>
              </w:rPr>
            </w:pPr>
            <w:r w:rsidRPr="005B7ABE">
              <w:rPr>
                <w:rStyle w:val="s1"/>
                <w:rFonts w:ascii="Arial" w:hAnsi="Arial" w:cs="Arial"/>
                <w:color w:val="000000" w:themeColor="text1"/>
                <w:sz w:val="22"/>
                <w:szCs w:val="22"/>
              </w:rPr>
              <w:t>Higher BMI was associated with a stepwise increase in risk of multiple conditions including type 2 diabetes, sleep apnoea, hypertension, heart failure and cardiovascular disease, with particularly high risks at BMI ≥40</w:t>
            </w:r>
          </w:p>
        </w:tc>
        <w:tc>
          <w:tcPr>
            <w:tcW w:w="1804" w:type="dxa"/>
          </w:tcPr>
          <w:p w14:paraId="2BFF7C1F" w14:textId="3B6F0DC4" w:rsidR="003F66D7" w:rsidRPr="005B7ABE" w:rsidRDefault="00E53604" w:rsidP="0020706C">
            <w:pPr>
              <w:pStyle w:val="p1"/>
              <w:spacing w:line="360" w:lineRule="auto"/>
              <w:jc w:val="both"/>
              <w:rPr>
                <w:rFonts w:ascii="Arial" w:hAnsi="Arial" w:cs="Arial"/>
                <w:color w:val="000000" w:themeColor="text1"/>
                <w:sz w:val="22"/>
                <w:szCs w:val="22"/>
              </w:rPr>
            </w:pPr>
            <w:r w:rsidRPr="005B7ABE">
              <w:rPr>
                <w:rStyle w:val="s1"/>
                <w:rFonts w:ascii="Arial" w:hAnsi="Arial" w:cs="Arial"/>
                <w:color w:val="000000" w:themeColor="text1"/>
                <w:sz w:val="22"/>
                <w:szCs w:val="22"/>
              </w:rPr>
              <w:t xml:space="preserve">Demonstrates the substantial clinical burden of obesity and its link to multiple </w:t>
            </w:r>
            <w:proofErr w:type="spellStart"/>
            <w:r w:rsidRPr="005B7ABE">
              <w:rPr>
                <w:rStyle w:val="s1"/>
                <w:rFonts w:ascii="Arial" w:hAnsi="Arial" w:cs="Arial"/>
                <w:color w:val="000000" w:themeColor="text1"/>
                <w:sz w:val="22"/>
                <w:szCs w:val="22"/>
              </w:rPr>
              <w:t>comorbidities</w:t>
            </w:r>
            <w:proofErr w:type="spellEnd"/>
            <w:r w:rsidRPr="005B7ABE">
              <w:rPr>
                <w:rStyle w:val="s1"/>
                <w:rFonts w:ascii="Arial" w:hAnsi="Arial" w:cs="Arial"/>
                <w:color w:val="000000" w:themeColor="text1"/>
                <w:sz w:val="22"/>
                <w:szCs w:val="22"/>
              </w:rPr>
              <w:t>, highlighting the importance of effective weight management interventions</w:t>
            </w:r>
          </w:p>
        </w:tc>
      </w:tr>
      <w:tr w:rsidR="003F66D7" w:rsidRPr="005B7ABE" w14:paraId="2D5AF934" w14:textId="77777777" w:rsidTr="003F66D7">
        <w:tc>
          <w:tcPr>
            <w:tcW w:w="1803" w:type="dxa"/>
          </w:tcPr>
          <w:p w14:paraId="35EA7762" w14:textId="3ED5BFE7" w:rsidR="003F66D7" w:rsidRPr="005B7ABE" w:rsidRDefault="000D1D53" w:rsidP="0020706C">
            <w:pPr>
              <w:pStyle w:val="p1"/>
              <w:spacing w:line="360" w:lineRule="auto"/>
              <w:jc w:val="both"/>
              <w:rPr>
                <w:rFonts w:ascii="Arial" w:hAnsi="Arial" w:cs="Arial"/>
                <w:color w:val="000000" w:themeColor="text1"/>
                <w:sz w:val="22"/>
                <w:szCs w:val="22"/>
              </w:rPr>
            </w:pPr>
            <w:r w:rsidRPr="005B7ABE">
              <w:rPr>
                <w:rStyle w:val="s1"/>
                <w:rFonts w:ascii="Arial" w:hAnsi="Arial" w:cs="Arial"/>
                <w:color w:val="000000" w:themeColor="text1"/>
                <w:sz w:val="22"/>
                <w:szCs w:val="22"/>
              </w:rPr>
              <w:t>Higgins (2022)</w:t>
            </w:r>
          </w:p>
        </w:tc>
        <w:tc>
          <w:tcPr>
            <w:tcW w:w="1803" w:type="dxa"/>
          </w:tcPr>
          <w:p w14:paraId="7EF2BDE2" w14:textId="1971F192" w:rsidR="003F66D7" w:rsidRPr="005B7ABE" w:rsidRDefault="002D5EC4" w:rsidP="0020706C">
            <w:pPr>
              <w:pStyle w:val="p1"/>
              <w:spacing w:line="360" w:lineRule="auto"/>
              <w:jc w:val="both"/>
              <w:rPr>
                <w:rFonts w:ascii="Arial" w:hAnsi="Arial" w:cs="Arial"/>
                <w:color w:val="000000" w:themeColor="text1"/>
                <w:sz w:val="22"/>
                <w:szCs w:val="22"/>
              </w:rPr>
            </w:pPr>
            <w:r w:rsidRPr="005B7ABE">
              <w:rPr>
                <w:rStyle w:val="s1"/>
                <w:rFonts w:ascii="Arial" w:hAnsi="Arial" w:cs="Arial"/>
                <w:color w:val="000000" w:themeColor="text1"/>
                <w:sz w:val="22"/>
                <w:szCs w:val="22"/>
              </w:rPr>
              <w:t xml:space="preserve">To examine whether co-ethnic density and area deprivation are associated with </w:t>
            </w:r>
            <w:r w:rsidRPr="005B7ABE">
              <w:rPr>
                <w:rStyle w:val="s1"/>
                <w:rFonts w:ascii="Arial" w:hAnsi="Arial" w:cs="Arial"/>
                <w:color w:val="000000" w:themeColor="text1"/>
                <w:sz w:val="22"/>
                <w:szCs w:val="22"/>
              </w:rPr>
              <w:lastRenderedPageBreak/>
              <w:t>central obesity across ethnic groups in England</w:t>
            </w:r>
          </w:p>
        </w:tc>
        <w:tc>
          <w:tcPr>
            <w:tcW w:w="1803" w:type="dxa"/>
          </w:tcPr>
          <w:p w14:paraId="416B8701" w14:textId="70FF3BA3" w:rsidR="003F66D7" w:rsidRPr="005B7ABE" w:rsidRDefault="00517B08" w:rsidP="0020706C">
            <w:pPr>
              <w:pStyle w:val="p1"/>
              <w:spacing w:line="360" w:lineRule="auto"/>
              <w:jc w:val="both"/>
              <w:rPr>
                <w:rFonts w:ascii="Arial" w:hAnsi="Arial" w:cs="Arial"/>
                <w:color w:val="000000" w:themeColor="text1"/>
                <w:sz w:val="22"/>
                <w:szCs w:val="22"/>
              </w:rPr>
            </w:pPr>
            <w:r w:rsidRPr="005B7ABE">
              <w:rPr>
                <w:rStyle w:val="s1"/>
                <w:rFonts w:ascii="Arial" w:hAnsi="Arial" w:cs="Arial"/>
                <w:color w:val="000000" w:themeColor="text1"/>
                <w:sz w:val="22"/>
                <w:szCs w:val="22"/>
              </w:rPr>
              <w:lastRenderedPageBreak/>
              <w:t xml:space="preserve">Cross-sectional multi-level analysis using Health Survey for England and 2001 Census data; </w:t>
            </w:r>
            <w:r w:rsidRPr="005B7ABE">
              <w:rPr>
                <w:rStyle w:val="s1"/>
                <w:rFonts w:ascii="Arial" w:hAnsi="Arial" w:cs="Arial"/>
                <w:color w:val="000000" w:themeColor="text1"/>
                <w:sz w:val="22"/>
                <w:szCs w:val="22"/>
              </w:rPr>
              <w:lastRenderedPageBreak/>
              <w:t>27,892 adults aged 16–74</w:t>
            </w:r>
          </w:p>
        </w:tc>
        <w:tc>
          <w:tcPr>
            <w:tcW w:w="1803" w:type="dxa"/>
          </w:tcPr>
          <w:p w14:paraId="55270D99" w14:textId="4C32BB82" w:rsidR="003F66D7" w:rsidRPr="005B7ABE" w:rsidRDefault="00BD1960" w:rsidP="0020706C">
            <w:pPr>
              <w:pStyle w:val="p1"/>
              <w:spacing w:line="360" w:lineRule="auto"/>
              <w:jc w:val="both"/>
              <w:rPr>
                <w:rFonts w:ascii="Arial" w:hAnsi="Arial" w:cs="Arial"/>
                <w:color w:val="000000" w:themeColor="text1"/>
                <w:sz w:val="22"/>
                <w:szCs w:val="22"/>
              </w:rPr>
            </w:pPr>
            <w:r w:rsidRPr="005B7ABE">
              <w:rPr>
                <w:rStyle w:val="s1"/>
                <w:rFonts w:ascii="Arial" w:hAnsi="Arial" w:cs="Arial"/>
                <w:color w:val="000000" w:themeColor="text1"/>
                <w:sz w:val="22"/>
                <w:szCs w:val="22"/>
              </w:rPr>
              <w:lastRenderedPageBreak/>
              <w:t xml:space="preserve">Central obesity varied by ethnicity, deprivation, and area context. Bangladeshi and </w:t>
            </w:r>
            <w:r w:rsidRPr="005B7ABE">
              <w:rPr>
                <w:rStyle w:val="s1"/>
                <w:rFonts w:ascii="Arial" w:hAnsi="Arial" w:cs="Arial"/>
                <w:color w:val="000000" w:themeColor="text1"/>
                <w:sz w:val="22"/>
                <w:szCs w:val="22"/>
              </w:rPr>
              <w:lastRenderedPageBreak/>
              <w:t>Pakistani groups were more likely to live in the most deprived areas, and some ethnic groups showed different waist circumference patterns depending on co-ethnic density and deprivation</w:t>
            </w:r>
          </w:p>
        </w:tc>
        <w:tc>
          <w:tcPr>
            <w:tcW w:w="1804" w:type="dxa"/>
          </w:tcPr>
          <w:p w14:paraId="5641976C" w14:textId="6167401A" w:rsidR="003F66D7" w:rsidRPr="005B7ABE" w:rsidRDefault="007C5996" w:rsidP="0020706C">
            <w:pPr>
              <w:pStyle w:val="p1"/>
              <w:spacing w:line="360" w:lineRule="auto"/>
              <w:jc w:val="both"/>
              <w:rPr>
                <w:rFonts w:ascii="Arial" w:hAnsi="Arial" w:cs="Arial"/>
                <w:color w:val="000000" w:themeColor="text1"/>
                <w:sz w:val="22"/>
                <w:szCs w:val="22"/>
              </w:rPr>
            </w:pPr>
            <w:r w:rsidRPr="005B7ABE">
              <w:rPr>
                <w:rStyle w:val="s1"/>
                <w:rFonts w:ascii="Arial" w:hAnsi="Arial" w:cs="Arial"/>
                <w:color w:val="000000" w:themeColor="text1"/>
                <w:sz w:val="22"/>
                <w:szCs w:val="22"/>
              </w:rPr>
              <w:lastRenderedPageBreak/>
              <w:t xml:space="preserve">Highlights how ethnicity and socioeconomic environment shape obesity risk, supporting </w:t>
            </w:r>
            <w:r w:rsidRPr="005B7ABE">
              <w:rPr>
                <w:rStyle w:val="s1"/>
                <w:rFonts w:ascii="Arial" w:hAnsi="Arial" w:cs="Arial"/>
                <w:color w:val="000000" w:themeColor="text1"/>
                <w:sz w:val="22"/>
                <w:szCs w:val="22"/>
              </w:rPr>
              <w:lastRenderedPageBreak/>
              <w:t>the inequalities and structural barriers themes</w:t>
            </w:r>
          </w:p>
        </w:tc>
      </w:tr>
      <w:tr w:rsidR="003F66D7" w:rsidRPr="005B7ABE" w14:paraId="29BD69A9" w14:textId="77777777" w:rsidTr="003F66D7">
        <w:tc>
          <w:tcPr>
            <w:tcW w:w="1803" w:type="dxa"/>
          </w:tcPr>
          <w:p w14:paraId="16171A1B" w14:textId="3530E359" w:rsidR="003F66D7" w:rsidRPr="005B7ABE" w:rsidRDefault="007C1D2F" w:rsidP="0020706C">
            <w:pPr>
              <w:spacing w:line="360" w:lineRule="auto"/>
              <w:jc w:val="both"/>
              <w:rPr>
                <w:rFonts w:ascii="Arial" w:hAnsi="Arial" w:cs="Arial"/>
                <w:color w:val="000000" w:themeColor="text1"/>
                <w:sz w:val="22"/>
                <w:szCs w:val="22"/>
              </w:rPr>
            </w:pPr>
            <w:proofErr w:type="spellStart"/>
            <w:r w:rsidRPr="005B7ABE">
              <w:rPr>
                <w:rFonts w:ascii="Arial" w:hAnsi="Arial" w:cs="Arial"/>
                <w:color w:val="000000" w:themeColor="text1"/>
                <w:sz w:val="22"/>
                <w:szCs w:val="22"/>
              </w:rPr>
              <w:lastRenderedPageBreak/>
              <w:t>Coulman</w:t>
            </w:r>
            <w:proofErr w:type="spellEnd"/>
            <w:r w:rsidRPr="005B7ABE">
              <w:rPr>
                <w:rFonts w:ascii="Arial" w:hAnsi="Arial" w:cs="Arial"/>
                <w:color w:val="000000" w:themeColor="text1"/>
                <w:sz w:val="22"/>
                <w:szCs w:val="22"/>
              </w:rPr>
              <w:t xml:space="preserve"> et al. (2023)</w:t>
            </w:r>
          </w:p>
        </w:tc>
        <w:tc>
          <w:tcPr>
            <w:tcW w:w="1803" w:type="dxa"/>
          </w:tcPr>
          <w:p w14:paraId="0F514BF6" w14:textId="1A7F6051" w:rsidR="00C110D8" w:rsidRPr="005B7ABE" w:rsidRDefault="00C110D8" w:rsidP="0020706C">
            <w:pPr>
              <w:pStyle w:val="p1"/>
              <w:spacing w:line="360" w:lineRule="auto"/>
              <w:jc w:val="both"/>
              <w:rPr>
                <w:rFonts w:ascii="Arial" w:hAnsi="Arial" w:cs="Arial"/>
                <w:color w:val="000000" w:themeColor="text1"/>
                <w:sz w:val="22"/>
                <w:szCs w:val="22"/>
              </w:rPr>
            </w:pPr>
            <w:r w:rsidRPr="005B7ABE">
              <w:rPr>
                <w:rStyle w:val="s1"/>
                <w:rFonts w:ascii="Arial" w:hAnsi="Arial" w:cs="Arial"/>
                <w:color w:val="000000" w:themeColor="text1"/>
                <w:sz w:val="22"/>
                <w:szCs w:val="22"/>
              </w:rPr>
              <w:t>To examine access to publicly funded weight management (WM) services and bariatric surgery in England and identify factors associated with access</w:t>
            </w:r>
          </w:p>
        </w:tc>
        <w:tc>
          <w:tcPr>
            <w:tcW w:w="1803" w:type="dxa"/>
          </w:tcPr>
          <w:p w14:paraId="3CDBE127" w14:textId="0D83F655" w:rsidR="003F66D7" w:rsidRPr="005B7ABE" w:rsidRDefault="00EF069F" w:rsidP="0020706C">
            <w:pPr>
              <w:pStyle w:val="p1"/>
              <w:spacing w:line="360" w:lineRule="auto"/>
              <w:jc w:val="both"/>
              <w:rPr>
                <w:rFonts w:ascii="Arial" w:hAnsi="Arial" w:cs="Arial"/>
                <w:color w:val="000000" w:themeColor="text1"/>
                <w:sz w:val="22"/>
                <w:szCs w:val="22"/>
              </w:rPr>
            </w:pPr>
            <w:r w:rsidRPr="005B7ABE">
              <w:rPr>
                <w:rStyle w:val="s1"/>
                <w:rFonts w:ascii="Arial" w:hAnsi="Arial" w:cs="Arial"/>
                <w:color w:val="000000" w:themeColor="text1"/>
                <w:sz w:val="22"/>
                <w:szCs w:val="22"/>
              </w:rPr>
              <w:t>Observational cohort study using CPRD primary care data linked with Hospital Episode Statistics (2007–2020); n = 1,811,587 adults with overweight/obesity</w:t>
            </w:r>
          </w:p>
        </w:tc>
        <w:tc>
          <w:tcPr>
            <w:tcW w:w="1803" w:type="dxa"/>
          </w:tcPr>
          <w:p w14:paraId="5A596544" w14:textId="58BF5FDE" w:rsidR="003F66D7" w:rsidRPr="005B7ABE" w:rsidRDefault="00D6594B" w:rsidP="0020706C">
            <w:pPr>
              <w:pStyle w:val="p1"/>
              <w:spacing w:line="360" w:lineRule="auto"/>
              <w:jc w:val="both"/>
              <w:rPr>
                <w:rFonts w:ascii="Arial" w:hAnsi="Arial" w:cs="Arial"/>
                <w:color w:val="000000" w:themeColor="text1"/>
                <w:sz w:val="22"/>
                <w:szCs w:val="22"/>
              </w:rPr>
            </w:pPr>
            <w:r w:rsidRPr="005B7ABE">
              <w:rPr>
                <w:rStyle w:val="s1"/>
                <w:rFonts w:ascii="Arial" w:hAnsi="Arial" w:cs="Arial"/>
                <w:color w:val="000000" w:themeColor="text1"/>
                <w:sz w:val="22"/>
                <w:szCs w:val="22"/>
              </w:rPr>
              <w:t>Very low access to services: only 3.13% received WM referrals and ~1% of eligible patients underwent bariatric surgery. Higher BMI and GP practice region were the strongest predictors. Significant regional inequalities existed, with large variation in referral and surgery rates across England</w:t>
            </w:r>
          </w:p>
        </w:tc>
        <w:tc>
          <w:tcPr>
            <w:tcW w:w="1804" w:type="dxa"/>
          </w:tcPr>
          <w:p w14:paraId="328EC236" w14:textId="4E2D5B92" w:rsidR="003F66D7" w:rsidRPr="005B7ABE" w:rsidRDefault="000F7017" w:rsidP="0020706C">
            <w:pPr>
              <w:pStyle w:val="p1"/>
              <w:spacing w:line="360" w:lineRule="auto"/>
              <w:jc w:val="both"/>
              <w:rPr>
                <w:rFonts w:ascii="Arial" w:hAnsi="Arial" w:cs="Arial"/>
                <w:color w:val="000000" w:themeColor="text1"/>
                <w:sz w:val="22"/>
                <w:szCs w:val="22"/>
              </w:rPr>
            </w:pPr>
            <w:r w:rsidRPr="005B7ABE">
              <w:rPr>
                <w:rStyle w:val="s1"/>
                <w:rFonts w:ascii="Arial" w:hAnsi="Arial" w:cs="Arial"/>
                <w:color w:val="000000" w:themeColor="text1"/>
                <w:sz w:val="22"/>
                <w:szCs w:val="22"/>
              </w:rPr>
              <w:t>Demonstrates major gaps in access to obesity treatment and highlights structural and geographical inequalities in healthcare provision</w:t>
            </w:r>
          </w:p>
        </w:tc>
      </w:tr>
      <w:tr w:rsidR="003F66D7" w:rsidRPr="005B7ABE" w14:paraId="2C7892F7" w14:textId="77777777" w:rsidTr="003F66D7">
        <w:tc>
          <w:tcPr>
            <w:tcW w:w="1803" w:type="dxa"/>
          </w:tcPr>
          <w:p w14:paraId="628B3C47" w14:textId="2A55E588" w:rsidR="003F66D7" w:rsidRPr="005B7ABE" w:rsidRDefault="00B87333" w:rsidP="0020706C">
            <w:pPr>
              <w:pStyle w:val="p1"/>
              <w:spacing w:line="360" w:lineRule="auto"/>
              <w:jc w:val="both"/>
              <w:rPr>
                <w:rFonts w:ascii="Arial" w:hAnsi="Arial" w:cs="Arial"/>
                <w:color w:val="000000" w:themeColor="text1"/>
                <w:sz w:val="22"/>
                <w:szCs w:val="22"/>
              </w:rPr>
            </w:pPr>
            <w:proofErr w:type="spellStart"/>
            <w:r w:rsidRPr="005B7ABE">
              <w:rPr>
                <w:rStyle w:val="s1"/>
                <w:rFonts w:ascii="Arial" w:hAnsi="Arial" w:cs="Arial"/>
                <w:color w:val="000000" w:themeColor="text1"/>
                <w:sz w:val="22"/>
                <w:szCs w:val="22"/>
              </w:rPr>
              <w:t>Pearson-Stuttard</w:t>
            </w:r>
            <w:proofErr w:type="spellEnd"/>
            <w:r w:rsidRPr="005B7ABE">
              <w:rPr>
                <w:rStyle w:val="s1"/>
                <w:rFonts w:ascii="Arial" w:hAnsi="Arial" w:cs="Arial"/>
                <w:color w:val="000000" w:themeColor="text1"/>
                <w:sz w:val="22"/>
                <w:szCs w:val="22"/>
              </w:rPr>
              <w:t xml:space="preserve"> et al. (202</w:t>
            </w:r>
            <w:r w:rsidR="00B421B5" w:rsidRPr="005B7ABE">
              <w:rPr>
                <w:rStyle w:val="s1"/>
                <w:rFonts w:ascii="Arial" w:hAnsi="Arial" w:cs="Arial"/>
                <w:color w:val="000000" w:themeColor="text1"/>
                <w:sz w:val="22"/>
                <w:szCs w:val="22"/>
              </w:rPr>
              <w:t>4</w:t>
            </w:r>
            <w:r w:rsidRPr="005B7ABE">
              <w:rPr>
                <w:rStyle w:val="s1"/>
                <w:rFonts w:ascii="Arial" w:hAnsi="Arial" w:cs="Arial"/>
                <w:color w:val="000000" w:themeColor="text1"/>
                <w:sz w:val="22"/>
                <w:szCs w:val="22"/>
              </w:rPr>
              <w:t>)</w:t>
            </w:r>
          </w:p>
        </w:tc>
        <w:tc>
          <w:tcPr>
            <w:tcW w:w="1803" w:type="dxa"/>
          </w:tcPr>
          <w:p w14:paraId="12945F5D" w14:textId="45CDD730" w:rsidR="003F66D7" w:rsidRPr="005B7ABE" w:rsidRDefault="00881AA1" w:rsidP="0020706C">
            <w:pPr>
              <w:pStyle w:val="p1"/>
              <w:spacing w:line="360" w:lineRule="auto"/>
              <w:jc w:val="both"/>
              <w:rPr>
                <w:rFonts w:ascii="Arial" w:hAnsi="Arial" w:cs="Arial"/>
                <w:color w:val="000000" w:themeColor="text1"/>
                <w:sz w:val="22"/>
                <w:szCs w:val="22"/>
              </w:rPr>
            </w:pPr>
            <w:r w:rsidRPr="005B7ABE">
              <w:rPr>
                <w:rStyle w:val="s1"/>
                <w:rFonts w:ascii="Arial" w:hAnsi="Arial" w:cs="Arial"/>
                <w:color w:val="000000" w:themeColor="text1"/>
                <w:sz w:val="22"/>
                <w:szCs w:val="22"/>
              </w:rPr>
              <w:t xml:space="preserve">To examine progression of obesity-related </w:t>
            </w:r>
            <w:r w:rsidRPr="005B7ABE">
              <w:rPr>
                <w:rStyle w:val="s1"/>
                <w:rFonts w:ascii="Arial" w:hAnsi="Arial" w:cs="Arial"/>
                <w:color w:val="000000" w:themeColor="text1"/>
                <w:sz w:val="22"/>
                <w:szCs w:val="22"/>
              </w:rPr>
              <w:lastRenderedPageBreak/>
              <w:t>complications over 10 years</w:t>
            </w:r>
          </w:p>
        </w:tc>
        <w:tc>
          <w:tcPr>
            <w:tcW w:w="1803" w:type="dxa"/>
          </w:tcPr>
          <w:p w14:paraId="611B3804" w14:textId="5C8B3AFC" w:rsidR="003F66D7" w:rsidRPr="005B7ABE" w:rsidRDefault="00BC6EF8" w:rsidP="0020706C">
            <w:pPr>
              <w:pStyle w:val="p1"/>
              <w:spacing w:line="360" w:lineRule="auto"/>
              <w:jc w:val="both"/>
              <w:rPr>
                <w:rFonts w:ascii="Arial" w:hAnsi="Arial" w:cs="Arial"/>
                <w:color w:val="000000" w:themeColor="text1"/>
                <w:sz w:val="22"/>
                <w:szCs w:val="22"/>
              </w:rPr>
            </w:pPr>
            <w:r w:rsidRPr="005B7ABE">
              <w:rPr>
                <w:rStyle w:val="s1"/>
                <w:rFonts w:ascii="Arial" w:hAnsi="Arial" w:cs="Arial"/>
                <w:color w:val="000000" w:themeColor="text1"/>
                <w:sz w:val="22"/>
                <w:szCs w:val="22"/>
              </w:rPr>
              <w:lastRenderedPageBreak/>
              <w:t xml:space="preserve">Retrospective cohort study using UK linked health </w:t>
            </w:r>
            <w:r w:rsidRPr="005B7ABE">
              <w:rPr>
                <w:rStyle w:val="s1"/>
                <w:rFonts w:ascii="Arial" w:hAnsi="Arial" w:cs="Arial"/>
                <w:color w:val="000000" w:themeColor="text1"/>
                <w:sz w:val="22"/>
                <w:szCs w:val="22"/>
              </w:rPr>
              <w:lastRenderedPageBreak/>
              <w:t>records (n = 1,410,146)</w:t>
            </w:r>
          </w:p>
        </w:tc>
        <w:tc>
          <w:tcPr>
            <w:tcW w:w="1803" w:type="dxa"/>
          </w:tcPr>
          <w:p w14:paraId="6C40EB5C" w14:textId="04AAC68E" w:rsidR="003F66D7" w:rsidRPr="005B7ABE" w:rsidRDefault="00F33BBC" w:rsidP="0020706C">
            <w:pPr>
              <w:pStyle w:val="p1"/>
              <w:spacing w:line="360" w:lineRule="auto"/>
              <w:jc w:val="both"/>
              <w:rPr>
                <w:rFonts w:ascii="Arial" w:hAnsi="Arial" w:cs="Arial"/>
                <w:color w:val="000000" w:themeColor="text1"/>
                <w:sz w:val="22"/>
                <w:szCs w:val="22"/>
              </w:rPr>
            </w:pPr>
            <w:r w:rsidRPr="005B7ABE">
              <w:rPr>
                <w:rStyle w:val="s1"/>
                <w:rFonts w:ascii="Arial" w:hAnsi="Arial" w:cs="Arial"/>
                <w:color w:val="000000" w:themeColor="text1"/>
                <w:sz w:val="22"/>
                <w:szCs w:val="22"/>
              </w:rPr>
              <w:lastRenderedPageBreak/>
              <w:t xml:space="preserve">Higher BMI was linked to more complications, </w:t>
            </w:r>
            <w:r w:rsidRPr="005B7ABE">
              <w:rPr>
                <w:rStyle w:val="s1"/>
                <w:rFonts w:ascii="Arial" w:hAnsi="Arial" w:cs="Arial"/>
                <w:color w:val="000000" w:themeColor="text1"/>
                <w:sz w:val="22"/>
                <w:szCs w:val="22"/>
              </w:rPr>
              <w:lastRenderedPageBreak/>
              <w:t xml:space="preserve">greater </w:t>
            </w:r>
            <w:proofErr w:type="spellStart"/>
            <w:r w:rsidRPr="005B7ABE">
              <w:rPr>
                <w:rStyle w:val="s1"/>
                <w:rFonts w:ascii="Arial" w:hAnsi="Arial" w:cs="Arial"/>
                <w:color w:val="000000" w:themeColor="text1"/>
                <w:sz w:val="22"/>
                <w:szCs w:val="22"/>
              </w:rPr>
              <w:t>multimorbidity</w:t>
            </w:r>
            <w:proofErr w:type="spellEnd"/>
            <w:r w:rsidRPr="005B7ABE">
              <w:rPr>
                <w:rStyle w:val="s1"/>
                <w:rFonts w:ascii="Arial" w:hAnsi="Arial" w:cs="Arial"/>
                <w:color w:val="000000" w:themeColor="text1"/>
                <w:sz w:val="22"/>
                <w:szCs w:val="22"/>
              </w:rPr>
              <w:t>, and higher healthcare costs over time</w:t>
            </w:r>
          </w:p>
        </w:tc>
        <w:tc>
          <w:tcPr>
            <w:tcW w:w="1804" w:type="dxa"/>
          </w:tcPr>
          <w:p w14:paraId="11921692" w14:textId="47AEBEF7" w:rsidR="003F66D7" w:rsidRPr="005B7ABE" w:rsidRDefault="004825B9" w:rsidP="0020706C">
            <w:pPr>
              <w:pStyle w:val="p1"/>
              <w:spacing w:line="360" w:lineRule="auto"/>
              <w:jc w:val="both"/>
              <w:rPr>
                <w:rFonts w:ascii="Arial" w:hAnsi="Arial" w:cs="Arial"/>
                <w:color w:val="000000" w:themeColor="text1"/>
                <w:sz w:val="22"/>
                <w:szCs w:val="22"/>
              </w:rPr>
            </w:pPr>
            <w:r w:rsidRPr="005B7ABE">
              <w:rPr>
                <w:rStyle w:val="s1"/>
                <w:rFonts w:ascii="Arial" w:hAnsi="Arial" w:cs="Arial"/>
                <w:color w:val="000000" w:themeColor="text1"/>
                <w:sz w:val="22"/>
                <w:szCs w:val="22"/>
              </w:rPr>
              <w:lastRenderedPageBreak/>
              <w:t xml:space="preserve">Supports the importance of early and </w:t>
            </w:r>
            <w:r w:rsidRPr="005B7ABE">
              <w:rPr>
                <w:rStyle w:val="s1"/>
                <w:rFonts w:ascii="Arial" w:hAnsi="Arial" w:cs="Arial"/>
                <w:color w:val="000000" w:themeColor="text1"/>
                <w:sz w:val="22"/>
                <w:szCs w:val="22"/>
              </w:rPr>
              <w:lastRenderedPageBreak/>
              <w:t>effective obesity management</w:t>
            </w:r>
          </w:p>
        </w:tc>
      </w:tr>
    </w:tbl>
    <w:p w14:paraId="2F7728F1" w14:textId="77777777" w:rsidR="00E957AB" w:rsidRPr="005B7ABE" w:rsidRDefault="00E957AB" w:rsidP="0020706C">
      <w:pPr>
        <w:spacing w:line="360" w:lineRule="auto"/>
        <w:jc w:val="both"/>
        <w:rPr>
          <w:rFonts w:ascii="Arial" w:hAnsi="Arial" w:cs="Arial"/>
          <w:color w:val="000000" w:themeColor="text1"/>
          <w:sz w:val="22"/>
          <w:szCs w:val="22"/>
        </w:rPr>
      </w:pPr>
    </w:p>
    <w:p w14:paraId="38A7F0E5" w14:textId="4E8F76D0" w:rsidR="00D74419" w:rsidRPr="00862343" w:rsidRDefault="00BA5361" w:rsidP="0020706C">
      <w:pPr>
        <w:spacing w:line="360" w:lineRule="auto"/>
        <w:jc w:val="both"/>
        <w:rPr>
          <w:rFonts w:ascii="Arial" w:hAnsi="Arial" w:cs="Arial"/>
          <w:b/>
          <w:bCs/>
          <w:color w:val="000000" w:themeColor="text1"/>
          <w:sz w:val="22"/>
          <w:szCs w:val="22"/>
        </w:rPr>
      </w:pPr>
      <w:r w:rsidRPr="00862343">
        <w:rPr>
          <w:rFonts w:ascii="Arial" w:hAnsi="Arial" w:cs="Arial"/>
          <w:b/>
          <w:bCs/>
          <w:color w:val="000000" w:themeColor="text1"/>
          <w:sz w:val="22"/>
          <w:szCs w:val="22"/>
        </w:rPr>
        <w:t xml:space="preserve">Thematic Analysis </w:t>
      </w:r>
    </w:p>
    <w:p w14:paraId="34DF49AA" w14:textId="77777777" w:rsidR="00A76886" w:rsidRPr="00862343" w:rsidRDefault="00A76886" w:rsidP="0020706C">
      <w:pPr>
        <w:spacing w:before="100" w:beforeAutospacing="1" w:after="100" w:afterAutospacing="1" w:line="360" w:lineRule="auto"/>
        <w:jc w:val="both"/>
        <w:outlineLvl w:val="1"/>
        <w:rPr>
          <w:rFonts w:ascii="Arial" w:eastAsia="Times New Roman" w:hAnsi="Arial" w:cs="Arial"/>
          <w:b/>
          <w:bCs/>
          <w:color w:val="000000" w:themeColor="text1"/>
          <w:kern w:val="0"/>
          <w:sz w:val="22"/>
          <w:szCs w:val="22"/>
          <w14:ligatures w14:val="none"/>
        </w:rPr>
      </w:pPr>
      <w:r w:rsidRPr="00862343">
        <w:rPr>
          <w:rFonts w:ascii="Arial" w:eastAsia="Times New Roman" w:hAnsi="Arial" w:cs="Arial"/>
          <w:b/>
          <w:bCs/>
          <w:color w:val="000000" w:themeColor="text1"/>
          <w:kern w:val="0"/>
          <w:sz w:val="22"/>
          <w:szCs w:val="22"/>
          <w14:ligatures w14:val="none"/>
        </w:rPr>
        <w:t>Theme 1: Effectiveness of Obesity Treatments</w:t>
      </w:r>
    </w:p>
    <w:p w14:paraId="7519D24D" w14:textId="77777777" w:rsidR="00A76886" w:rsidRPr="005B7ABE" w:rsidRDefault="00A76886" w:rsidP="0020706C">
      <w:pPr>
        <w:spacing w:before="100" w:beforeAutospacing="1" w:after="100" w:afterAutospacing="1" w:line="360" w:lineRule="auto"/>
        <w:jc w:val="both"/>
        <w:rPr>
          <w:rFonts w:ascii="Arial" w:hAnsi="Arial" w:cs="Arial"/>
          <w:color w:val="000000" w:themeColor="text1"/>
          <w:kern w:val="0"/>
          <w:sz w:val="22"/>
          <w:szCs w:val="22"/>
          <w14:ligatures w14:val="none"/>
        </w:rPr>
      </w:pPr>
    </w:p>
    <w:p w14:paraId="45CE0F5F" w14:textId="01E509E1" w:rsidR="00A76886" w:rsidRPr="005B7ABE" w:rsidRDefault="00A76886" w:rsidP="0020706C">
      <w:pPr>
        <w:spacing w:before="100" w:beforeAutospacing="1" w:after="100" w:afterAutospacing="1" w:line="360" w:lineRule="auto"/>
        <w:jc w:val="both"/>
        <w:rPr>
          <w:rFonts w:ascii="Arial" w:hAnsi="Arial" w:cs="Arial"/>
          <w:color w:val="000000" w:themeColor="text1"/>
          <w:kern w:val="0"/>
          <w:sz w:val="22"/>
          <w:szCs w:val="22"/>
          <w14:ligatures w14:val="none"/>
        </w:rPr>
      </w:pPr>
      <w:r w:rsidRPr="005B7ABE">
        <w:rPr>
          <w:rFonts w:ascii="Arial" w:hAnsi="Arial" w:cs="Arial"/>
          <w:color w:val="000000" w:themeColor="text1"/>
          <w:kern w:val="0"/>
          <w:sz w:val="22"/>
          <w:szCs w:val="22"/>
          <w14:ligatures w14:val="none"/>
        </w:rPr>
        <w:t xml:space="preserve">The evidence suggests that obesity treatments can achieve short-term weight loss, but they are not consistently effective in the long term, particularly at a population level (Martins et al., 2020; </w:t>
      </w:r>
      <w:proofErr w:type="spellStart"/>
      <w:r w:rsidRPr="005B7ABE">
        <w:rPr>
          <w:rFonts w:ascii="Arial" w:hAnsi="Arial" w:cs="Arial"/>
          <w:color w:val="000000" w:themeColor="text1"/>
          <w:kern w:val="0"/>
          <w:sz w:val="22"/>
          <w:szCs w:val="22"/>
          <w14:ligatures w14:val="none"/>
        </w:rPr>
        <w:t>Haase</w:t>
      </w:r>
      <w:proofErr w:type="spellEnd"/>
      <w:r w:rsidRPr="005B7ABE">
        <w:rPr>
          <w:rFonts w:ascii="Arial" w:hAnsi="Arial" w:cs="Arial"/>
          <w:color w:val="000000" w:themeColor="text1"/>
          <w:kern w:val="0"/>
          <w:sz w:val="22"/>
          <w:szCs w:val="22"/>
          <w14:ligatures w14:val="none"/>
        </w:rPr>
        <w:t xml:space="preserve"> et al., 2021; </w:t>
      </w:r>
      <w:proofErr w:type="spellStart"/>
      <w:r w:rsidRPr="005B7ABE">
        <w:rPr>
          <w:rFonts w:ascii="Arial" w:hAnsi="Arial" w:cs="Arial"/>
          <w:color w:val="000000" w:themeColor="text1"/>
          <w:kern w:val="0"/>
          <w:sz w:val="22"/>
          <w:szCs w:val="22"/>
          <w14:ligatures w14:val="none"/>
        </w:rPr>
        <w:t>Pearson-Stuttard</w:t>
      </w:r>
      <w:proofErr w:type="spellEnd"/>
      <w:r w:rsidRPr="005B7ABE">
        <w:rPr>
          <w:rFonts w:ascii="Arial" w:hAnsi="Arial" w:cs="Arial"/>
          <w:color w:val="000000" w:themeColor="text1"/>
          <w:kern w:val="0"/>
          <w:sz w:val="22"/>
          <w:szCs w:val="22"/>
          <w14:ligatures w14:val="none"/>
        </w:rPr>
        <w:t xml:space="preserve"> et al., 2024). Although interventions show clinical potential, their impact is often weakened by poor sustainability, limited engagement, and structural constraints (Ahmed and Mohammed, 2025).</w:t>
      </w:r>
    </w:p>
    <w:p w14:paraId="1CD5338E" w14:textId="4AB8A3ED" w:rsidR="00A76886" w:rsidRPr="005B7ABE" w:rsidRDefault="00A76886" w:rsidP="0020706C">
      <w:pPr>
        <w:spacing w:before="100" w:beforeAutospacing="1" w:after="100" w:afterAutospacing="1" w:line="360" w:lineRule="auto"/>
        <w:jc w:val="both"/>
        <w:rPr>
          <w:rFonts w:ascii="Arial" w:hAnsi="Arial" w:cs="Arial"/>
          <w:color w:val="000000" w:themeColor="text1"/>
          <w:kern w:val="0"/>
          <w:sz w:val="22"/>
          <w:szCs w:val="22"/>
          <w14:ligatures w14:val="none"/>
        </w:rPr>
      </w:pPr>
      <w:r w:rsidRPr="005B7ABE">
        <w:rPr>
          <w:rFonts w:ascii="Arial" w:hAnsi="Arial" w:cs="Arial"/>
          <w:color w:val="000000" w:themeColor="text1"/>
          <w:kern w:val="0"/>
          <w:sz w:val="22"/>
          <w:szCs w:val="22"/>
          <w14:ligatures w14:val="none"/>
        </w:rPr>
        <w:t>Martins et al. (2020) found that behavioural interventions, especially low-energy diet programmes, can produce significant weight loss at 12 months. However, high dropout rates and inconsistent service delivery reduced the reliability of these outcomes, suggesting that effectiveness depends heavily on retention rather than intervention design alone. This implies that apparent success may be difficult to sustain in routine practice. This is consistent with broader evidence that long-term weight management remains difficult to maintain (</w:t>
      </w:r>
      <w:proofErr w:type="spellStart"/>
      <w:r w:rsidRPr="005B7ABE">
        <w:rPr>
          <w:rFonts w:ascii="Arial" w:hAnsi="Arial" w:cs="Arial"/>
          <w:color w:val="000000" w:themeColor="text1"/>
          <w:kern w:val="0"/>
          <w:sz w:val="22"/>
          <w:szCs w:val="22"/>
          <w14:ligatures w14:val="none"/>
        </w:rPr>
        <w:t>Fruh</w:t>
      </w:r>
      <w:proofErr w:type="spellEnd"/>
      <w:r w:rsidRPr="005B7ABE">
        <w:rPr>
          <w:rFonts w:ascii="Arial" w:hAnsi="Arial" w:cs="Arial"/>
          <w:color w:val="000000" w:themeColor="text1"/>
          <w:kern w:val="0"/>
          <w:sz w:val="22"/>
          <w:szCs w:val="22"/>
          <w14:ligatures w14:val="none"/>
        </w:rPr>
        <w:t>, 2017).</w:t>
      </w:r>
    </w:p>
    <w:p w14:paraId="1BF14C3E" w14:textId="287594DE" w:rsidR="00A76886" w:rsidRPr="005B7ABE" w:rsidRDefault="00A76886" w:rsidP="0020706C">
      <w:pPr>
        <w:spacing w:before="100" w:beforeAutospacing="1" w:after="100" w:afterAutospacing="1" w:line="360" w:lineRule="auto"/>
        <w:jc w:val="both"/>
        <w:rPr>
          <w:rFonts w:ascii="Arial" w:hAnsi="Arial" w:cs="Arial"/>
          <w:color w:val="000000" w:themeColor="text1"/>
          <w:kern w:val="0"/>
          <w:sz w:val="22"/>
          <w:szCs w:val="22"/>
          <w14:ligatures w14:val="none"/>
        </w:rPr>
      </w:pPr>
      <w:r w:rsidRPr="005B7ABE">
        <w:rPr>
          <w:rFonts w:ascii="Arial" w:hAnsi="Arial" w:cs="Arial"/>
          <w:color w:val="000000" w:themeColor="text1"/>
          <w:kern w:val="0"/>
          <w:sz w:val="22"/>
          <w:szCs w:val="22"/>
          <w14:ligatures w14:val="none"/>
        </w:rPr>
        <w:t xml:space="preserve">Longitudinal evidence further challenges sustained effectiveness. </w:t>
      </w:r>
      <w:proofErr w:type="spellStart"/>
      <w:r w:rsidRPr="005B7ABE">
        <w:rPr>
          <w:rFonts w:ascii="Arial" w:hAnsi="Arial" w:cs="Arial"/>
          <w:color w:val="000000" w:themeColor="text1"/>
          <w:kern w:val="0"/>
          <w:sz w:val="22"/>
          <w:szCs w:val="22"/>
          <w14:ligatures w14:val="none"/>
        </w:rPr>
        <w:t>Haase</w:t>
      </w:r>
      <w:proofErr w:type="spellEnd"/>
      <w:r w:rsidRPr="005B7ABE">
        <w:rPr>
          <w:rFonts w:ascii="Arial" w:hAnsi="Arial" w:cs="Arial"/>
          <w:color w:val="000000" w:themeColor="text1"/>
          <w:kern w:val="0"/>
          <w:sz w:val="22"/>
          <w:szCs w:val="22"/>
          <w14:ligatures w14:val="none"/>
        </w:rPr>
        <w:t xml:space="preserve"> et al. (2021) demonstrated that higher BMI is associated with rising risk of multiple chronic conditions, while </w:t>
      </w:r>
      <w:proofErr w:type="spellStart"/>
      <w:r w:rsidRPr="005B7ABE">
        <w:rPr>
          <w:rFonts w:ascii="Arial" w:hAnsi="Arial" w:cs="Arial"/>
          <w:color w:val="000000" w:themeColor="text1"/>
          <w:kern w:val="0"/>
          <w:sz w:val="22"/>
          <w:szCs w:val="22"/>
          <w14:ligatures w14:val="none"/>
        </w:rPr>
        <w:t>Pearson-Stuttard</w:t>
      </w:r>
      <w:proofErr w:type="spellEnd"/>
      <w:r w:rsidRPr="005B7ABE">
        <w:rPr>
          <w:rFonts w:ascii="Arial" w:hAnsi="Arial" w:cs="Arial"/>
          <w:color w:val="000000" w:themeColor="text1"/>
          <w:kern w:val="0"/>
          <w:sz w:val="22"/>
          <w:szCs w:val="22"/>
          <w14:ligatures w14:val="none"/>
        </w:rPr>
        <w:t xml:space="preserve"> et al. (2024) showed that obesity-related complications and </w:t>
      </w:r>
      <w:proofErr w:type="spellStart"/>
      <w:r w:rsidRPr="005B7ABE">
        <w:rPr>
          <w:rFonts w:ascii="Arial" w:hAnsi="Arial" w:cs="Arial"/>
          <w:color w:val="000000" w:themeColor="text1"/>
          <w:kern w:val="0"/>
          <w:sz w:val="22"/>
          <w:szCs w:val="22"/>
          <w14:ligatures w14:val="none"/>
        </w:rPr>
        <w:t>multimorbidity</w:t>
      </w:r>
      <w:proofErr w:type="spellEnd"/>
      <w:r w:rsidRPr="005B7ABE">
        <w:rPr>
          <w:rFonts w:ascii="Arial" w:hAnsi="Arial" w:cs="Arial"/>
          <w:color w:val="000000" w:themeColor="text1"/>
          <w:kern w:val="0"/>
          <w:sz w:val="22"/>
          <w:szCs w:val="22"/>
          <w14:ligatures w14:val="none"/>
        </w:rPr>
        <w:t xml:space="preserve"> continue to increase over time. Together, these findings indicate that, despite available treatments, obesity often continues to progress, suggesting that current interventions do not substantially alter long-term disease trajectories.</w:t>
      </w:r>
    </w:p>
    <w:p w14:paraId="7F99804E" w14:textId="41DCC3FE" w:rsidR="00A76886" w:rsidRPr="005B7ABE" w:rsidRDefault="00A76886" w:rsidP="0020706C">
      <w:pPr>
        <w:spacing w:before="100" w:beforeAutospacing="1" w:after="100" w:afterAutospacing="1" w:line="360" w:lineRule="auto"/>
        <w:jc w:val="both"/>
        <w:rPr>
          <w:rFonts w:ascii="Arial" w:hAnsi="Arial" w:cs="Arial"/>
          <w:color w:val="000000" w:themeColor="text1"/>
          <w:kern w:val="0"/>
          <w:sz w:val="22"/>
          <w:szCs w:val="22"/>
          <w14:ligatures w14:val="none"/>
        </w:rPr>
      </w:pPr>
      <w:r w:rsidRPr="005B7ABE">
        <w:rPr>
          <w:rFonts w:ascii="Arial" w:hAnsi="Arial" w:cs="Arial"/>
          <w:color w:val="000000" w:themeColor="text1"/>
          <w:kern w:val="0"/>
          <w:sz w:val="22"/>
          <w:szCs w:val="22"/>
          <w14:ligatures w14:val="none"/>
        </w:rPr>
        <w:t xml:space="preserve">Ahmed and Mohammed (2025) argue that effective obesity management requires multi-component approaches combining behavioural, pharmacological, and surgical interventions. However, the need for increasingly intensive treatment may itself reflect the limited effectiveness of first-line interventions in achieving sustained outcomes. Qualitative evidence adds further complexity. Sutcliffe et al. (2018) found that engagement depends more on </w:t>
      </w:r>
      <w:r w:rsidRPr="005B7ABE">
        <w:rPr>
          <w:rFonts w:ascii="Arial" w:hAnsi="Arial" w:cs="Arial"/>
          <w:color w:val="000000" w:themeColor="text1"/>
          <w:kern w:val="0"/>
          <w:sz w:val="22"/>
          <w:szCs w:val="22"/>
          <w14:ligatures w14:val="none"/>
        </w:rPr>
        <w:lastRenderedPageBreak/>
        <w:t>supportive relationships than educational content, while Hughes et al. (2021) showed that stigma and negative healthcare interactions can reduce willingness to engage with services. Thus, effectiveness is not purely clinical, but strongly shaped by how treatment is delivered and experienced.</w:t>
      </w:r>
    </w:p>
    <w:p w14:paraId="3EDC3808" w14:textId="77777777" w:rsidR="00A76886" w:rsidRPr="005B7ABE" w:rsidRDefault="00A76886" w:rsidP="0020706C">
      <w:pPr>
        <w:spacing w:before="100" w:beforeAutospacing="1" w:after="100" w:afterAutospacing="1" w:line="360" w:lineRule="auto"/>
        <w:jc w:val="both"/>
        <w:rPr>
          <w:rFonts w:ascii="Arial" w:hAnsi="Arial" w:cs="Arial"/>
          <w:color w:val="000000" w:themeColor="text1"/>
          <w:kern w:val="0"/>
          <w:sz w:val="22"/>
          <w:szCs w:val="22"/>
          <w14:ligatures w14:val="none"/>
        </w:rPr>
      </w:pPr>
      <w:r w:rsidRPr="005B7ABE">
        <w:rPr>
          <w:rFonts w:ascii="Arial" w:hAnsi="Arial" w:cs="Arial"/>
          <w:color w:val="000000" w:themeColor="text1"/>
          <w:kern w:val="0"/>
          <w:sz w:val="22"/>
          <w:szCs w:val="22"/>
          <w14:ligatures w14:val="none"/>
        </w:rPr>
        <w:t xml:space="preserve">Overall, the literature suggests that obesity treatments are partially effective in the short term but insufficient in the long term. Their impact is constrained by limited sustainability, variable engagement, and failure to address broader structural drivers of obesity (Martins et al., 2020; </w:t>
      </w:r>
      <w:proofErr w:type="spellStart"/>
      <w:r w:rsidRPr="005B7ABE">
        <w:rPr>
          <w:rFonts w:ascii="Arial" w:hAnsi="Arial" w:cs="Arial"/>
          <w:color w:val="000000" w:themeColor="text1"/>
          <w:kern w:val="0"/>
          <w:sz w:val="22"/>
          <w:szCs w:val="22"/>
          <w14:ligatures w14:val="none"/>
        </w:rPr>
        <w:t>Haase</w:t>
      </w:r>
      <w:proofErr w:type="spellEnd"/>
      <w:r w:rsidRPr="005B7ABE">
        <w:rPr>
          <w:rFonts w:ascii="Arial" w:hAnsi="Arial" w:cs="Arial"/>
          <w:color w:val="000000" w:themeColor="text1"/>
          <w:kern w:val="0"/>
          <w:sz w:val="22"/>
          <w:szCs w:val="22"/>
          <w14:ligatures w14:val="none"/>
        </w:rPr>
        <w:t xml:space="preserve"> et al., 2021; </w:t>
      </w:r>
      <w:proofErr w:type="spellStart"/>
      <w:r w:rsidRPr="005B7ABE">
        <w:rPr>
          <w:rFonts w:ascii="Arial" w:hAnsi="Arial" w:cs="Arial"/>
          <w:color w:val="000000" w:themeColor="text1"/>
          <w:kern w:val="0"/>
          <w:sz w:val="22"/>
          <w:szCs w:val="22"/>
          <w14:ligatures w14:val="none"/>
        </w:rPr>
        <w:t>Pearson-Stuttard</w:t>
      </w:r>
      <w:proofErr w:type="spellEnd"/>
      <w:r w:rsidRPr="005B7ABE">
        <w:rPr>
          <w:rFonts w:ascii="Arial" w:hAnsi="Arial" w:cs="Arial"/>
          <w:color w:val="000000" w:themeColor="text1"/>
          <w:kern w:val="0"/>
          <w:sz w:val="22"/>
          <w:szCs w:val="22"/>
          <w14:ligatures w14:val="none"/>
        </w:rPr>
        <w:t xml:space="preserve"> et al., 2024; Ahmed and Mohammed, 2025; Sutcliffe et al., 2018; Hughes et al., 2021).</w:t>
      </w:r>
    </w:p>
    <w:p w14:paraId="215E62F3" w14:textId="4D57BBB8" w:rsidR="00A76886" w:rsidRPr="005B7ABE" w:rsidRDefault="00A76886" w:rsidP="0020706C">
      <w:pPr>
        <w:spacing w:after="0" w:line="360" w:lineRule="auto"/>
        <w:jc w:val="both"/>
        <w:rPr>
          <w:rFonts w:ascii="Arial" w:eastAsia="Times New Roman" w:hAnsi="Arial" w:cs="Arial"/>
          <w:color w:val="000000" w:themeColor="text1"/>
          <w:kern w:val="0"/>
          <w:sz w:val="22"/>
          <w:szCs w:val="22"/>
          <w14:ligatures w14:val="none"/>
        </w:rPr>
      </w:pPr>
    </w:p>
    <w:p w14:paraId="3D06C82A" w14:textId="77777777" w:rsidR="00A76886" w:rsidRPr="00862343" w:rsidRDefault="00A76886" w:rsidP="0020706C">
      <w:pPr>
        <w:spacing w:before="100" w:beforeAutospacing="1" w:after="100" w:afterAutospacing="1" w:line="360" w:lineRule="auto"/>
        <w:jc w:val="both"/>
        <w:outlineLvl w:val="1"/>
        <w:rPr>
          <w:rFonts w:ascii="Arial" w:hAnsi="Arial" w:cs="Arial"/>
          <w:b/>
          <w:bCs/>
          <w:color w:val="000000" w:themeColor="text1"/>
          <w:kern w:val="0"/>
          <w:sz w:val="22"/>
          <w:szCs w:val="22"/>
          <w14:ligatures w14:val="none"/>
        </w:rPr>
      </w:pPr>
      <w:r w:rsidRPr="00862343">
        <w:rPr>
          <w:rFonts w:ascii="Arial" w:eastAsia="Times New Roman" w:hAnsi="Arial" w:cs="Arial"/>
          <w:b/>
          <w:bCs/>
          <w:color w:val="000000" w:themeColor="text1"/>
          <w:kern w:val="0"/>
          <w:sz w:val="22"/>
          <w:szCs w:val="22"/>
          <w14:ligatures w14:val="none"/>
        </w:rPr>
        <w:t>Theme 2: Access to Weight Management Services</w:t>
      </w:r>
    </w:p>
    <w:p w14:paraId="4839BC76" w14:textId="77777777" w:rsidR="00A76886" w:rsidRPr="00862343" w:rsidRDefault="00A76886" w:rsidP="0020706C">
      <w:pPr>
        <w:spacing w:before="100" w:beforeAutospacing="1" w:after="100" w:afterAutospacing="1" w:line="360" w:lineRule="auto"/>
        <w:jc w:val="both"/>
        <w:rPr>
          <w:rFonts w:ascii="Arial" w:hAnsi="Arial" w:cs="Arial"/>
          <w:b/>
          <w:bCs/>
          <w:color w:val="000000" w:themeColor="text1"/>
          <w:kern w:val="0"/>
          <w:sz w:val="22"/>
          <w:szCs w:val="22"/>
          <w14:ligatures w14:val="none"/>
        </w:rPr>
      </w:pPr>
    </w:p>
    <w:p w14:paraId="193936C7" w14:textId="39C95085" w:rsidR="00A76886" w:rsidRPr="005B7ABE" w:rsidRDefault="00A76886" w:rsidP="0020706C">
      <w:pPr>
        <w:spacing w:before="100" w:beforeAutospacing="1" w:after="100" w:afterAutospacing="1" w:line="360" w:lineRule="auto"/>
        <w:jc w:val="both"/>
        <w:rPr>
          <w:rFonts w:ascii="Arial" w:hAnsi="Arial" w:cs="Arial"/>
          <w:color w:val="000000" w:themeColor="text1"/>
          <w:kern w:val="0"/>
          <w:sz w:val="22"/>
          <w:szCs w:val="22"/>
          <w14:ligatures w14:val="none"/>
        </w:rPr>
      </w:pPr>
      <w:r w:rsidRPr="005B7ABE">
        <w:rPr>
          <w:rFonts w:ascii="Arial" w:hAnsi="Arial" w:cs="Arial"/>
          <w:color w:val="000000" w:themeColor="text1"/>
          <w:kern w:val="0"/>
          <w:sz w:val="22"/>
          <w:szCs w:val="22"/>
          <w14:ligatures w14:val="none"/>
        </w:rPr>
        <w:t>The evidence consistently indicates that access to weight management services in the UK is limited, inconsistent, and structurally constrained, with a clear gap between policy provision and real-world utilisation (</w:t>
      </w:r>
      <w:proofErr w:type="spellStart"/>
      <w:r w:rsidRPr="005B7ABE">
        <w:rPr>
          <w:rFonts w:ascii="Arial" w:hAnsi="Arial" w:cs="Arial"/>
          <w:color w:val="000000" w:themeColor="text1"/>
          <w:kern w:val="0"/>
          <w:sz w:val="22"/>
          <w:szCs w:val="22"/>
          <w14:ligatures w14:val="none"/>
        </w:rPr>
        <w:t>Coulman</w:t>
      </w:r>
      <w:proofErr w:type="spellEnd"/>
      <w:r w:rsidRPr="005B7ABE">
        <w:rPr>
          <w:rFonts w:ascii="Arial" w:hAnsi="Arial" w:cs="Arial"/>
          <w:color w:val="000000" w:themeColor="text1"/>
          <w:kern w:val="0"/>
          <w:sz w:val="22"/>
          <w:szCs w:val="22"/>
          <w14:ligatures w14:val="none"/>
        </w:rPr>
        <w:t xml:space="preserve"> et al., 2023; McLaughlin et al., 2017; </w:t>
      </w:r>
      <w:proofErr w:type="spellStart"/>
      <w:r w:rsidRPr="005B7ABE">
        <w:rPr>
          <w:rFonts w:ascii="Arial" w:hAnsi="Arial" w:cs="Arial"/>
          <w:color w:val="000000" w:themeColor="text1"/>
          <w:kern w:val="0"/>
          <w:sz w:val="22"/>
          <w:szCs w:val="22"/>
          <w14:ligatures w14:val="none"/>
        </w:rPr>
        <w:t>Parretti</w:t>
      </w:r>
      <w:proofErr w:type="spellEnd"/>
      <w:r w:rsidRPr="005B7ABE">
        <w:rPr>
          <w:rFonts w:ascii="Arial" w:hAnsi="Arial" w:cs="Arial"/>
          <w:color w:val="000000" w:themeColor="text1"/>
          <w:kern w:val="0"/>
          <w:sz w:val="22"/>
          <w:szCs w:val="22"/>
          <w14:ligatures w14:val="none"/>
        </w:rPr>
        <w:t xml:space="preserve"> et al., 2026; Kelly et al., 2026). Despite national guidance recommending routine identification and referral, access remains neither systematic nor equitable (McLaughlin et al., 2017; </w:t>
      </w:r>
      <w:proofErr w:type="spellStart"/>
      <w:r w:rsidRPr="005B7ABE">
        <w:rPr>
          <w:rFonts w:ascii="Arial" w:hAnsi="Arial" w:cs="Arial"/>
          <w:color w:val="000000" w:themeColor="text1"/>
          <w:kern w:val="0"/>
          <w:sz w:val="22"/>
          <w:szCs w:val="22"/>
          <w14:ligatures w14:val="none"/>
        </w:rPr>
        <w:t>Parretti</w:t>
      </w:r>
      <w:proofErr w:type="spellEnd"/>
      <w:r w:rsidRPr="005B7ABE">
        <w:rPr>
          <w:rFonts w:ascii="Arial" w:hAnsi="Arial" w:cs="Arial"/>
          <w:color w:val="000000" w:themeColor="text1"/>
          <w:kern w:val="0"/>
          <w:sz w:val="22"/>
          <w:szCs w:val="22"/>
          <w14:ligatures w14:val="none"/>
        </w:rPr>
        <w:t xml:space="preserve"> et al., 2026).</w:t>
      </w:r>
    </w:p>
    <w:p w14:paraId="212F0B31" w14:textId="7B22CD83" w:rsidR="00A76886" w:rsidRPr="005B7ABE" w:rsidRDefault="00A76886" w:rsidP="0020706C">
      <w:pPr>
        <w:spacing w:before="100" w:beforeAutospacing="1" w:after="100" w:afterAutospacing="1" w:line="360" w:lineRule="auto"/>
        <w:jc w:val="both"/>
        <w:rPr>
          <w:rFonts w:ascii="Arial" w:hAnsi="Arial" w:cs="Arial"/>
          <w:color w:val="000000" w:themeColor="text1"/>
          <w:kern w:val="0"/>
          <w:sz w:val="22"/>
          <w:szCs w:val="22"/>
          <w14:ligatures w14:val="none"/>
        </w:rPr>
      </w:pPr>
      <w:proofErr w:type="spellStart"/>
      <w:r w:rsidRPr="005B7ABE">
        <w:rPr>
          <w:rFonts w:ascii="Arial" w:hAnsi="Arial" w:cs="Arial"/>
          <w:color w:val="000000" w:themeColor="text1"/>
          <w:kern w:val="0"/>
          <w:sz w:val="22"/>
          <w:szCs w:val="22"/>
          <w14:ligatures w14:val="none"/>
        </w:rPr>
        <w:t>Coulman</w:t>
      </w:r>
      <w:proofErr w:type="spellEnd"/>
      <w:r w:rsidRPr="005B7ABE">
        <w:rPr>
          <w:rFonts w:ascii="Arial" w:hAnsi="Arial" w:cs="Arial"/>
          <w:color w:val="000000" w:themeColor="text1"/>
          <w:kern w:val="0"/>
          <w:sz w:val="22"/>
          <w:szCs w:val="22"/>
          <w14:ligatures w14:val="none"/>
        </w:rPr>
        <w:t xml:space="preserve"> et al. (2023) provide strong quantitative evidence of restricted access, showing that only 3.13% of individuals with overweight or obesity received a recorded referral to weight management services, while only around 1% of eligible patients underwent bariatric surgery. This suggests that most individuals who could benefit from intervention never enter treatment pathways. McLaughlin et al. (2017) similarly found that BMI recording and intervention offers in primary care are inconsistent, meaning access barriers begin before treatment is even considered. </w:t>
      </w:r>
      <w:proofErr w:type="spellStart"/>
      <w:r w:rsidRPr="005B7ABE">
        <w:rPr>
          <w:rFonts w:ascii="Arial" w:hAnsi="Arial" w:cs="Arial"/>
          <w:color w:val="000000" w:themeColor="text1"/>
          <w:kern w:val="0"/>
          <w:sz w:val="22"/>
          <w:szCs w:val="22"/>
          <w14:ligatures w14:val="none"/>
        </w:rPr>
        <w:t>Parretti</w:t>
      </w:r>
      <w:proofErr w:type="spellEnd"/>
      <w:r w:rsidRPr="005B7ABE">
        <w:rPr>
          <w:rFonts w:ascii="Arial" w:hAnsi="Arial" w:cs="Arial"/>
          <w:color w:val="000000" w:themeColor="text1"/>
          <w:kern w:val="0"/>
          <w:sz w:val="22"/>
          <w:szCs w:val="22"/>
          <w14:ligatures w14:val="none"/>
        </w:rPr>
        <w:t xml:space="preserve"> et al. (2026) further argue that general practice, although central to obesity care, is constrained by limited time, competing priorities, and insufficient resources.</w:t>
      </w:r>
    </w:p>
    <w:p w14:paraId="6E1ABD65" w14:textId="01331A92" w:rsidR="00A76886" w:rsidRPr="005B7ABE" w:rsidRDefault="00A76886" w:rsidP="0020706C">
      <w:pPr>
        <w:spacing w:before="100" w:beforeAutospacing="1" w:after="100" w:afterAutospacing="1" w:line="360" w:lineRule="auto"/>
        <w:jc w:val="both"/>
        <w:rPr>
          <w:rFonts w:ascii="Arial" w:hAnsi="Arial" w:cs="Arial"/>
          <w:color w:val="000000" w:themeColor="text1"/>
          <w:kern w:val="0"/>
          <w:sz w:val="22"/>
          <w:szCs w:val="22"/>
          <w14:ligatures w14:val="none"/>
        </w:rPr>
      </w:pPr>
      <w:r w:rsidRPr="005B7ABE">
        <w:rPr>
          <w:rFonts w:ascii="Arial" w:hAnsi="Arial" w:cs="Arial"/>
          <w:color w:val="000000" w:themeColor="text1"/>
          <w:kern w:val="0"/>
          <w:sz w:val="22"/>
          <w:szCs w:val="22"/>
          <w14:ligatures w14:val="none"/>
        </w:rPr>
        <w:t xml:space="preserve">Access is likewise unevenly distributed. </w:t>
      </w:r>
      <w:proofErr w:type="spellStart"/>
      <w:r w:rsidRPr="005B7ABE">
        <w:rPr>
          <w:rFonts w:ascii="Arial" w:hAnsi="Arial" w:cs="Arial"/>
          <w:color w:val="000000" w:themeColor="text1"/>
          <w:kern w:val="0"/>
          <w:sz w:val="22"/>
          <w:szCs w:val="22"/>
          <w14:ligatures w14:val="none"/>
        </w:rPr>
        <w:t>Coulman</w:t>
      </w:r>
      <w:proofErr w:type="spellEnd"/>
      <w:r w:rsidRPr="005B7ABE">
        <w:rPr>
          <w:rFonts w:ascii="Arial" w:hAnsi="Arial" w:cs="Arial"/>
          <w:color w:val="000000" w:themeColor="text1"/>
          <w:kern w:val="0"/>
          <w:sz w:val="22"/>
          <w:szCs w:val="22"/>
          <w14:ligatures w14:val="none"/>
        </w:rPr>
        <w:t xml:space="preserve"> et al. (2023) identified marked regional variation in referral and treatment rates, suggesting that service availability depends on local commissioning and infrastructure rather than uniform national provision. This indicates that access to obesity care is effectively postcode-dependent. This gap between guideline recommendations and practice is particularly significant given national guidance advocating structured obesity pathways (NICE, 2026; NHS Long Term Plan, 2025; BOMSS, 2024).</w:t>
      </w:r>
    </w:p>
    <w:p w14:paraId="53939207" w14:textId="208F0FCF" w:rsidR="00A76886" w:rsidRPr="005B7ABE" w:rsidRDefault="00A76886" w:rsidP="0020706C">
      <w:pPr>
        <w:spacing w:before="100" w:beforeAutospacing="1" w:after="100" w:afterAutospacing="1" w:line="360" w:lineRule="auto"/>
        <w:jc w:val="both"/>
        <w:rPr>
          <w:rFonts w:ascii="Arial" w:hAnsi="Arial" w:cs="Arial"/>
          <w:color w:val="000000" w:themeColor="text1"/>
          <w:kern w:val="0"/>
          <w:sz w:val="22"/>
          <w:szCs w:val="22"/>
          <w14:ligatures w14:val="none"/>
        </w:rPr>
      </w:pPr>
      <w:r w:rsidRPr="005B7ABE">
        <w:rPr>
          <w:rFonts w:ascii="Arial" w:hAnsi="Arial" w:cs="Arial"/>
          <w:color w:val="000000" w:themeColor="text1"/>
          <w:kern w:val="0"/>
          <w:sz w:val="22"/>
          <w:szCs w:val="22"/>
          <w14:ligatures w14:val="none"/>
        </w:rPr>
        <w:lastRenderedPageBreak/>
        <w:t>Beyond structural barriers, access is shaped by patient experience. Hughes et al. (2021) showed that stigma and negative interactions with healthcare professionals can discourage help-seeking, while Sutcliffe et al. (2018) emphasised the importance of supportive relationships in sustaining engagement. Flint et al. (2021) similarly found that negative healthcare experiences may deter people living with obesity from accessing services.</w:t>
      </w:r>
    </w:p>
    <w:p w14:paraId="0157F5BB" w14:textId="58877475" w:rsidR="00A76886" w:rsidRPr="00862343" w:rsidRDefault="00A76886" w:rsidP="00862343">
      <w:pPr>
        <w:spacing w:before="100" w:beforeAutospacing="1" w:after="100" w:afterAutospacing="1" w:line="360" w:lineRule="auto"/>
        <w:jc w:val="both"/>
        <w:rPr>
          <w:rFonts w:ascii="Arial" w:hAnsi="Arial" w:cs="Arial"/>
          <w:color w:val="000000" w:themeColor="text1"/>
          <w:kern w:val="0"/>
          <w:sz w:val="22"/>
          <w:szCs w:val="22"/>
          <w14:ligatures w14:val="none"/>
        </w:rPr>
      </w:pPr>
      <w:r w:rsidRPr="005B7ABE">
        <w:rPr>
          <w:rFonts w:ascii="Arial" w:hAnsi="Arial" w:cs="Arial"/>
          <w:color w:val="000000" w:themeColor="text1"/>
          <w:kern w:val="0"/>
          <w:sz w:val="22"/>
          <w:szCs w:val="22"/>
          <w14:ligatures w14:val="none"/>
        </w:rPr>
        <w:t>Overall, the literature suggests that access to weight management services in the UK is systemically limited rather than universally available. Barriers occur across the whole pathway, including identification, referral, and engagement, leaving a substantial proportion of individuals untreated despite clinical need (</w:t>
      </w:r>
      <w:proofErr w:type="spellStart"/>
      <w:r w:rsidRPr="005B7ABE">
        <w:rPr>
          <w:rFonts w:ascii="Arial" w:hAnsi="Arial" w:cs="Arial"/>
          <w:color w:val="000000" w:themeColor="text1"/>
          <w:kern w:val="0"/>
          <w:sz w:val="22"/>
          <w:szCs w:val="22"/>
          <w14:ligatures w14:val="none"/>
        </w:rPr>
        <w:t>Coulman</w:t>
      </w:r>
      <w:proofErr w:type="spellEnd"/>
      <w:r w:rsidRPr="005B7ABE">
        <w:rPr>
          <w:rFonts w:ascii="Arial" w:hAnsi="Arial" w:cs="Arial"/>
          <w:color w:val="000000" w:themeColor="text1"/>
          <w:kern w:val="0"/>
          <w:sz w:val="22"/>
          <w:szCs w:val="22"/>
          <w14:ligatures w14:val="none"/>
        </w:rPr>
        <w:t xml:space="preserve"> et al., 2023; McLaughlin et al., 2017; </w:t>
      </w:r>
      <w:proofErr w:type="spellStart"/>
      <w:r w:rsidRPr="005B7ABE">
        <w:rPr>
          <w:rFonts w:ascii="Arial" w:hAnsi="Arial" w:cs="Arial"/>
          <w:color w:val="000000" w:themeColor="text1"/>
          <w:kern w:val="0"/>
          <w:sz w:val="22"/>
          <w:szCs w:val="22"/>
          <w14:ligatures w14:val="none"/>
        </w:rPr>
        <w:t>Parretti</w:t>
      </w:r>
      <w:proofErr w:type="spellEnd"/>
      <w:r w:rsidRPr="005B7ABE">
        <w:rPr>
          <w:rFonts w:ascii="Arial" w:hAnsi="Arial" w:cs="Arial"/>
          <w:color w:val="000000" w:themeColor="text1"/>
          <w:kern w:val="0"/>
          <w:sz w:val="22"/>
          <w:szCs w:val="22"/>
          <w14:ligatures w14:val="none"/>
        </w:rPr>
        <w:t xml:space="preserve"> et al., 2026; Hughes et al., 2021; Sutcliffe et al., 2018).</w:t>
      </w:r>
    </w:p>
    <w:p w14:paraId="267ABE88" w14:textId="77777777" w:rsidR="00A76886" w:rsidRPr="00862343" w:rsidRDefault="00A76886" w:rsidP="0020706C">
      <w:pPr>
        <w:spacing w:before="100" w:beforeAutospacing="1" w:after="100" w:afterAutospacing="1" w:line="360" w:lineRule="auto"/>
        <w:jc w:val="both"/>
        <w:outlineLvl w:val="1"/>
        <w:rPr>
          <w:rFonts w:ascii="Arial" w:hAnsi="Arial" w:cs="Arial"/>
          <w:b/>
          <w:bCs/>
          <w:color w:val="000000" w:themeColor="text1"/>
          <w:kern w:val="0"/>
          <w:sz w:val="22"/>
          <w:szCs w:val="22"/>
          <w14:ligatures w14:val="none"/>
        </w:rPr>
      </w:pPr>
      <w:r w:rsidRPr="00862343">
        <w:rPr>
          <w:rFonts w:ascii="Arial" w:eastAsia="Times New Roman" w:hAnsi="Arial" w:cs="Arial"/>
          <w:b/>
          <w:bCs/>
          <w:color w:val="000000" w:themeColor="text1"/>
          <w:kern w:val="0"/>
          <w:sz w:val="22"/>
          <w:szCs w:val="22"/>
          <w14:ligatures w14:val="none"/>
        </w:rPr>
        <w:t>Theme 3: Socioeconomic and Structural Barriers</w:t>
      </w:r>
    </w:p>
    <w:p w14:paraId="4DEC38B4" w14:textId="77777777" w:rsidR="00A76886" w:rsidRPr="00862343" w:rsidRDefault="00A76886" w:rsidP="0020706C">
      <w:pPr>
        <w:spacing w:before="100" w:beforeAutospacing="1" w:after="100" w:afterAutospacing="1" w:line="360" w:lineRule="auto"/>
        <w:jc w:val="both"/>
        <w:rPr>
          <w:rFonts w:ascii="Arial" w:hAnsi="Arial" w:cs="Arial"/>
          <w:b/>
          <w:bCs/>
          <w:color w:val="000000" w:themeColor="text1"/>
          <w:kern w:val="0"/>
          <w:sz w:val="22"/>
          <w:szCs w:val="22"/>
          <w14:ligatures w14:val="none"/>
        </w:rPr>
      </w:pPr>
    </w:p>
    <w:p w14:paraId="3FDE5EFD" w14:textId="5F8B9178" w:rsidR="00A76886" w:rsidRPr="005B7ABE" w:rsidRDefault="00A76886" w:rsidP="0020706C">
      <w:pPr>
        <w:spacing w:before="100" w:beforeAutospacing="1" w:after="100" w:afterAutospacing="1" w:line="360" w:lineRule="auto"/>
        <w:jc w:val="both"/>
        <w:rPr>
          <w:rFonts w:ascii="Arial" w:hAnsi="Arial" w:cs="Arial"/>
          <w:color w:val="000000" w:themeColor="text1"/>
          <w:kern w:val="0"/>
          <w:sz w:val="22"/>
          <w:szCs w:val="22"/>
          <w14:ligatures w14:val="none"/>
        </w:rPr>
      </w:pPr>
      <w:r w:rsidRPr="005B7ABE">
        <w:rPr>
          <w:rFonts w:ascii="Arial" w:hAnsi="Arial" w:cs="Arial"/>
          <w:color w:val="000000" w:themeColor="text1"/>
          <w:kern w:val="0"/>
          <w:sz w:val="22"/>
          <w:szCs w:val="22"/>
          <w14:ligatures w14:val="none"/>
        </w:rPr>
        <w:t>The evidence demonstrates that obesity and access to its treatment are shaped by wider socioeconomic and structural inequalities rather than individual behaviour alone (</w:t>
      </w:r>
      <w:proofErr w:type="spellStart"/>
      <w:r w:rsidRPr="005B7ABE">
        <w:rPr>
          <w:rFonts w:ascii="Arial" w:hAnsi="Arial" w:cs="Arial"/>
          <w:color w:val="000000" w:themeColor="text1"/>
          <w:kern w:val="0"/>
          <w:sz w:val="22"/>
          <w:szCs w:val="22"/>
          <w14:ligatures w14:val="none"/>
        </w:rPr>
        <w:t>Heald</w:t>
      </w:r>
      <w:proofErr w:type="spellEnd"/>
      <w:r w:rsidRPr="005B7ABE">
        <w:rPr>
          <w:rFonts w:ascii="Arial" w:hAnsi="Arial" w:cs="Arial"/>
          <w:color w:val="000000" w:themeColor="text1"/>
          <w:kern w:val="0"/>
          <w:sz w:val="22"/>
          <w:szCs w:val="22"/>
          <w14:ligatures w14:val="none"/>
        </w:rPr>
        <w:t xml:space="preserve"> et al., 2024; Higgins, 2022; Briggs et al., 2024; Office for Health Improvement and Disparities, 2024; The Health Foundation, 2025). These inequalities affect both the distribution of obesity and the likelihood of accessing and benefiting from interventions, thereby reinforcing existing health disparities (</w:t>
      </w:r>
      <w:proofErr w:type="spellStart"/>
      <w:r w:rsidRPr="005B7ABE">
        <w:rPr>
          <w:rFonts w:ascii="Arial" w:hAnsi="Arial" w:cs="Arial"/>
          <w:color w:val="000000" w:themeColor="text1"/>
          <w:kern w:val="0"/>
          <w:sz w:val="22"/>
          <w:szCs w:val="22"/>
          <w14:ligatures w14:val="none"/>
        </w:rPr>
        <w:t>Coulman</w:t>
      </w:r>
      <w:proofErr w:type="spellEnd"/>
      <w:r w:rsidRPr="005B7ABE">
        <w:rPr>
          <w:rFonts w:ascii="Arial" w:hAnsi="Arial" w:cs="Arial"/>
          <w:color w:val="000000" w:themeColor="text1"/>
          <w:kern w:val="0"/>
          <w:sz w:val="22"/>
          <w:szCs w:val="22"/>
          <w14:ligatures w14:val="none"/>
        </w:rPr>
        <w:t xml:space="preserve"> et al., 2023; McLaughlin et al., 2017).</w:t>
      </w:r>
    </w:p>
    <w:p w14:paraId="799E3001" w14:textId="08588C7A" w:rsidR="00A76886" w:rsidRPr="005B7ABE" w:rsidRDefault="00A76886" w:rsidP="0020706C">
      <w:pPr>
        <w:spacing w:before="100" w:beforeAutospacing="1" w:after="100" w:afterAutospacing="1" w:line="360" w:lineRule="auto"/>
        <w:jc w:val="both"/>
        <w:rPr>
          <w:rFonts w:ascii="Arial" w:hAnsi="Arial" w:cs="Arial"/>
          <w:color w:val="000000" w:themeColor="text1"/>
          <w:kern w:val="0"/>
          <w:sz w:val="22"/>
          <w:szCs w:val="22"/>
          <w14:ligatures w14:val="none"/>
        </w:rPr>
      </w:pPr>
      <w:proofErr w:type="spellStart"/>
      <w:r w:rsidRPr="005B7ABE">
        <w:rPr>
          <w:rFonts w:ascii="Arial" w:hAnsi="Arial" w:cs="Arial"/>
          <w:color w:val="000000" w:themeColor="text1"/>
          <w:kern w:val="0"/>
          <w:sz w:val="22"/>
          <w:szCs w:val="22"/>
          <w14:ligatures w14:val="none"/>
        </w:rPr>
        <w:t>Heald</w:t>
      </w:r>
      <w:proofErr w:type="spellEnd"/>
      <w:r w:rsidRPr="005B7ABE">
        <w:rPr>
          <w:rFonts w:ascii="Arial" w:hAnsi="Arial" w:cs="Arial"/>
          <w:color w:val="000000" w:themeColor="text1"/>
          <w:kern w:val="0"/>
          <w:sz w:val="22"/>
          <w:szCs w:val="22"/>
          <w14:ligatures w14:val="none"/>
        </w:rPr>
        <w:t xml:space="preserve"> et al. (2024) show that obesity is associated with substantial excess mortality, reduced life expectancy, and increased healthcare costs, with the greatest burden falling on more deprived populations. Similarly, national data indicate that obesity prevalence remains significantly higher in deprived communities, reflecting the influence of broader social determinants such as income, environment, and access to resources (Office for Health Improvement and Disparities, 2024; The Health Foundation, 2025).</w:t>
      </w:r>
    </w:p>
    <w:p w14:paraId="44A48A21" w14:textId="77777777" w:rsidR="00A76886" w:rsidRPr="005B7ABE" w:rsidRDefault="00A76886" w:rsidP="0020706C">
      <w:pPr>
        <w:spacing w:before="100" w:beforeAutospacing="1" w:after="100" w:afterAutospacing="1" w:line="360" w:lineRule="auto"/>
        <w:jc w:val="both"/>
        <w:rPr>
          <w:rFonts w:ascii="Arial" w:hAnsi="Arial" w:cs="Arial"/>
          <w:color w:val="000000" w:themeColor="text1"/>
          <w:kern w:val="0"/>
          <w:sz w:val="22"/>
          <w:szCs w:val="22"/>
          <w14:ligatures w14:val="none"/>
        </w:rPr>
      </w:pPr>
      <w:r w:rsidRPr="005B7ABE">
        <w:rPr>
          <w:rFonts w:ascii="Arial" w:hAnsi="Arial" w:cs="Arial"/>
          <w:color w:val="000000" w:themeColor="text1"/>
          <w:kern w:val="0"/>
          <w:sz w:val="22"/>
          <w:szCs w:val="22"/>
          <w14:ligatures w14:val="none"/>
        </w:rPr>
        <w:t>Structural inequalities are further shaped by ethnicity and local context. Higgins (2022) found that central obesity varies according to ethnicity, deprivation, and area context, with some ethnic minority groups more likely to live in deprived areas and experience higher obesity risk. Briggs et al. (2024) extend this argument by showing that obesity can coexist with food insecurity, challenging simplistic behavioural explanations and demonstrating that weight-related outcomes are shaped by material deprivation and constrained choice.</w:t>
      </w:r>
    </w:p>
    <w:p w14:paraId="7753DFE3" w14:textId="77777777" w:rsidR="00A76886" w:rsidRPr="005B7ABE" w:rsidRDefault="00A76886" w:rsidP="0020706C">
      <w:pPr>
        <w:spacing w:before="100" w:beforeAutospacing="1" w:after="100" w:afterAutospacing="1" w:line="360" w:lineRule="auto"/>
        <w:jc w:val="both"/>
        <w:rPr>
          <w:rFonts w:ascii="Arial" w:hAnsi="Arial" w:cs="Arial"/>
          <w:color w:val="000000" w:themeColor="text1"/>
          <w:kern w:val="0"/>
          <w:sz w:val="22"/>
          <w:szCs w:val="22"/>
          <w14:ligatures w14:val="none"/>
        </w:rPr>
      </w:pPr>
    </w:p>
    <w:p w14:paraId="7352DCA9" w14:textId="4811DCAB" w:rsidR="00A76886" w:rsidRPr="005B7ABE" w:rsidRDefault="00A76886" w:rsidP="0020706C">
      <w:pPr>
        <w:spacing w:before="100" w:beforeAutospacing="1" w:after="100" w:afterAutospacing="1" w:line="360" w:lineRule="auto"/>
        <w:jc w:val="both"/>
        <w:rPr>
          <w:rFonts w:ascii="Arial" w:hAnsi="Arial" w:cs="Arial"/>
          <w:color w:val="000000" w:themeColor="text1"/>
          <w:kern w:val="0"/>
          <w:sz w:val="22"/>
          <w:szCs w:val="22"/>
          <w14:ligatures w14:val="none"/>
        </w:rPr>
      </w:pPr>
      <w:r w:rsidRPr="005B7ABE">
        <w:rPr>
          <w:rFonts w:ascii="Arial" w:hAnsi="Arial" w:cs="Arial"/>
          <w:color w:val="000000" w:themeColor="text1"/>
          <w:kern w:val="0"/>
          <w:sz w:val="22"/>
          <w:szCs w:val="22"/>
          <w14:ligatures w14:val="none"/>
        </w:rPr>
        <w:lastRenderedPageBreak/>
        <w:t>However, although the literature consistently identifies structural influences, it often examines them separately. Deprivation, ethnicity, and geography are frequently treated as isolated variables, with limited attention to how these forms of disadvantage interact. This lack of intersectional analysis weakens understanding of how obesity risk and access to care are jointly produced.</w:t>
      </w:r>
    </w:p>
    <w:p w14:paraId="042D4A26" w14:textId="704B565F" w:rsidR="00A76886" w:rsidRPr="005B7ABE" w:rsidRDefault="00A76886" w:rsidP="0020706C">
      <w:pPr>
        <w:spacing w:before="100" w:beforeAutospacing="1" w:after="100" w:afterAutospacing="1" w:line="360" w:lineRule="auto"/>
        <w:jc w:val="both"/>
        <w:rPr>
          <w:rFonts w:ascii="Arial" w:hAnsi="Arial" w:cs="Arial"/>
          <w:color w:val="000000" w:themeColor="text1"/>
          <w:kern w:val="0"/>
          <w:sz w:val="22"/>
          <w:szCs w:val="22"/>
          <w14:ligatures w14:val="none"/>
        </w:rPr>
      </w:pPr>
      <w:r w:rsidRPr="005B7ABE">
        <w:rPr>
          <w:rFonts w:ascii="Arial" w:hAnsi="Arial" w:cs="Arial"/>
          <w:color w:val="000000" w:themeColor="text1"/>
          <w:kern w:val="0"/>
          <w:sz w:val="22"/>
          <w:szCs w:val="22"/>
          <w14:ligatures w14:val="none"/>
        </w:rPr>
        <w:t xml:space="preserve">Emerging longitudinal evidence likewise suggests that current policy priorities may not align with actual risk. </w:t>
      </w:r>
      <w:proofErr w:type="spellStart"/>
      <w:r w:rsidRPr="005B7ABE">
        <w:rPr>
          <w:rFonts w:ascii="Arial" w:hAnsi="Arial" w:cs="Arial"/>
          <w:color w:val="000000" w:themeColor="text1"/>
          <w:kern w:val="0"/>
          <w:sz w:val="22"/>
          <w:szCs w:val="22"/>
          <w14:ligatures w14:val="none"/>
        </w:rPr>
        <w:t>Katsoulis</w:t>
      </w:r>
      <w:proofErr w:type="spellEnd"/>
      <w:r w:rsidRPr="005B7ABE">
        <w:rPr>
          <w:rFonts w:ascii="Arial" w:hAnsi="Arial" w:cs="Arial"/>
          <w:color w:val="000000" w:themeColor="text1"/>
          <w:kern w:val="0"/>
          <w:sz w:val="22"/>
          <w:szCs w:val="22"/>
          <w14:ligatures w14:val="none"/>
        </w:rPr>
        <w:t xml:space="preserve"> et al. (2021) found that young adults are at greatest risk of weight gain and progression to higher BMI categories, despite policy attention often focusing more heavily on older populations. Obesity is increasingly conceptualised as a chronic disease shaped by complex determinants rather than personal choice alone (</w:t>
      </w:r>
      <w:proofErr w:type="spellStart"/>
      <w:r w:rsidRPr="005B7ABE">
        <w:rPr>
          <w:rFonts w:ascii="Arial" w:hAnsi="Arial" w:cs="Arial"/>
          <w:color w:val="000000" w:themeColor="text1"/>
          <w:kern w:val="0"/>
          <w:sz w:val="22"/>
          <w:szCs w:val="22"/>
          <w14:ligatures w14:val="none"/>
        </w:rPr>
        <w:t>Lulia</w:t>
      </w:r>
      <w:proofErr w:type="spellEnd"/>
      <w:r w:rsidRPr="005B7ABE">
        <w:rPr>
          <w:rFonts w:ascii="Arial" w:hAnsi="Arial" w:cs="Arial"/>
          <w:color w:val="000000" w:themeColor="text1"/>
          <w:kern w:val="0"/>
          <w:sz w:val="22"/>
          <w:szCs w:val="22"/>
          <w14:ligatures w14:val="none"/>
        </w:rPr>
        <w:t xml:space="preserve"> et al., 2023), and this is reflected in evidence linking obesity to poorer wellbeing and greater </w:t>
      </w:r>
      <w:proofErr w:type="spellStart"/>
      <w:r w:rsidRPr="005B7ABE">
        <w:rPr>
          <w:rFonts w:ascii="Arial" w:hAnsi="Arial" w:cs="Arial"/>
          <w:color w:val="000000" w:themeColor="text1"/>
          <w:kern w:val="0"/>
          <w:sz w:val="22"/>
          <w:szCs w:val="22"/>
          <w14:ligatures w14:val="none"/>
        </w:rPr>
        <w:t>multimorbidity</w:t>
      </w:r>
      <w:proofErr w:type="spellEnd"/>
      <w:r w:rsidRPr="005B7ABE">
        <w:rPr>
          <w:rFonts w:ascii="Arial" w:hAnsi="Arial" w:cs="Arial"/>
          <w:color w:val="000000" w:themeColor="text1"/>
          <w:kern w:val="0"/>
          <w:sz w:val="22"/>
          <w:szCs w:val="22"/>
          <w14:ligatures w14:val="none"/>
        </w:rPr>
        <w:t xml:space="preserve"> (Ghosh, Khan and Vohra, 2023).</w:t>
      </w:r>
    </w:p>
    <w:p w14:paraId="1651E539" w14:textId="72A22FC3" w:rsidR="00A76886" w:rsidRPr="00862343" w:rsidRDefault="00A76886" w:rsidP="00862343">
      <w:pPr>
        <w:spacing w:before="100" w:beforeAutospacing="1" w:after="100" w:afterAutospacing="1" w:line="360" w:lineRule="auto"/>
        <w:jc w:val="both"/>
        <w:rPr>
          <w:rFonts w:ascii="Arial" w:hAnsi="Arial" w:cs="Arial"/>
          <w:color w:val="000000" w:themeColor="text1"/>
          <w:kern w:val="0"/>
          <w:sz w:val="22"/>
          <w:szCs w:val="22"/>
          <w14:ligatures w14:val="none"/>
        </w:rPr>
      </w:pPr>
      <w:r w:rsidRPr="005B7ABE">
        <w:rPr>
          <w:rFonts w:ascii="Arial" w:hAnsi="Arial" w:cs="Arial"/>
          <w:color w:val="000000" w:themeColor="text1"/>
          <w:kern w:val="0"/>
          <w:sz w:val="22"/>
          <w:szCs w:val="22"/>
          <w14:ligatures w14:val="none"/>
        </w:rPr>
        <w:t>Overall, the literature suggests that obesity is fundamentally a structural and socially patterned condition. Socioeconomic disadvantage, ethnicity, geography, and food insecurity shape both prevalence and access to treatment, while research and policy remain limited in addressing these overlapping inequalities (</w:t>
      </w:r>
      <w:proofErr w:type="spellStart"/>
      <w:r w:rsidRPr="005B7ABE">
        <w:rPr>
          <w:rFonts w:ascii="Arial" w:hAnsi="Arial" w:cs="Arial"/>
          <w:color w:val="000000" w:themeColor="text1"/>
          <w:kern w:val="0"/>
          <w:sz w:val="22"/>
          <w:szCs w:val="22"/>
          <w14:ligatures w14:val="none"/>
        </w:rPr>
        <w:t>Heald</w:t>
      </w:r>
      <w:proofErr w:type="spellEnd"/>
      <w:r w:rsidRPr="005B7ABE">
        <w:rPr>
          <w:rFonts w:ascii="Arial" w:hAnsi="Arial" w:cs="Arial"/>
          <w:color w:val="000000" w:themeColor="text1"/>
          <w:kern w:val="0"/>
          <w:sz w:val="22"/>
          <w:szCs w:val="22"/>
          <w14:ligatures w14:val="none"/>
        </w:rPr>
        <w:t xml:space="preserve"> et al., 2024; Higgins, 2022; Briggs et al., 2024; </w:t>
      </w:r>
      <w:proofErr w:type="spellStart"/>
      <w:r w:rsidRPr="005B7ABE">
        <w:rPr>
          <w:rFonts w:ascii="Arial" w:hAnsi="Arial" w:cs="Arial"/>
          <w:color w:val="000000" w:themeColor="text1"/>
          <w:kern w:val="0"/>
          <w:sz w:val="22"/>
          <w:szCs w:val="22"/>
          <w14:ligatures w14:val="none"/>
        </w:rPr>
        <w:t>Katsoulis</w:t>
      </w:r>
      <w:proofErr w:type="spellEnd"/>
      <w:r w:rsidRPr="005B7ABE">
        <w:rPr>
          <w:rFonts w:ascii="Arial" w:hAnsi="Arial" w:cs="Arial"/>
          <w:color w:val="000000" w:themeColor="text1"/>
          <w:kern w:val="0"/>
          <w:sz w:val="22"/>
          <w:szCs w:val="22"/>
          <w14:ligatures w14:val="none"/>
        </w:rPr>
        <w:t xml:space="preserve"> et al., 2021; Office for Health Improvement and Disparities, 2024; The Health Foundation, 2025).</w:t>
      </w:r>
    </w:p>
    <w:p w14:paraId="5ED37819" w14:textId="77777777" w:rsidR="00A76886" w:rsidRPr="00862343" w:rsidRDefault="00A76886" w:rsidP="0020706C">
      <w:pPr>
        <w:spacing w:before="100" w:beforeAutospacing="1" w:after="100" w:afterAutospacing="1" w:line="360" w:lineRule="auto"/>
        <w:jc w:val="both"/>
        <w:outlineLvl w:val="1"/>
        <w:rPr>
          <w:rFonts w:ascii="Arial" w:hAnsi="Arial" w:cs="Arial"/>
          <w:b/>
          <w:bCs/>
          <w:color w:val="000000" w:themeColor="text1"/>
          <w:kern w:val="0"/>
          <w:sz w:val="22"/>
          <w:szCs w:val="22"/>
          <w14:ligatures w14:val="none"/>
        </w:rPr>
      </w:pPr>
      <w:r w:rsidRPr="00862343">
        <w:rPr>
          <w:rFonts w:ascii="Arial" w:eastAsia="Times New Roman" w:hAnsi="Arial" w:cs="Arial"/>
          <w:b/>
          <w:bCs/>
          <w:color w:val="000000" w:themeColor="text1"/>
          <w:kern w:val="0"/>
          <w:sz w:val="22"/>
          <w:szCs w:val="22"/>
          <w14:ligatures w14:val="none"/>
        </w:rPr>
        <w:t>Theme 4: Digital and Pharmacological Interventions</w:t>
      </w:r>
    </w:p>
    <w:p w14:paraId="71B3405B" w14:textId="77777777" w:rsidR="00A76886" w:rsidRPr="00862343" w:rsidRDefault="00A76886" w:rsidP="0020706C">
      <w:pPr>
        <w:spacing w:before="100" w:beforeAutospacing="1" w:after="100" w:afterAutospacing="1" w:line="360" w:lineRule="auto"/>
        <w:jc w:val="both"/>
        <w:rPr>
          <w:rFonts w:ascii="Arial" w:hAnsi="Arial" w:cs="Arial"/>
          <w:b/>
          <w:bCs/>
          <w:color w:val="000000" w:themeColor="text1"/>
          <w:kern w:val="0"/>
          <w:sz w:val="22"/>
          <w:szCs w:val="22"/>
          <w14:ligatures w14:val="none"/>
        </w:rPr>
      </w:pPr>
    </w:p>
    <w:p w14:paraId="3F6167A6" w14:textId="530F3F3B" w:rsidR="00A76886" w:rsidRPr="005B7ABE" w:rsidRDefault="00A76886" w:rsidP="0020706C">
      <w:pPr>
        <w:spacing w:before="100" w:beforeAutospacing="1" w:after="100" w:afterAutospacing="1" w:line="360" w:lineRule="auto"/>
        <w:jc w:val="both"/>
        <w:rPr>
          <w:rFonts w:ascii="Arial" w:hAnsi="Arial" w:cs="Arial"/>
          <w:color w:val="000000" w:themeColor="text1"/>
          <w:kern w:val="0"/>
          <w:sz w:val="22"/>
          <w:szCs w:val="22"/>
          <w14:ligatures w14:val="none"/>
        </w:rPr>
      </w:pPr>
      <w:r w:rsidRPr="005B7ABE">
        <w:rPr>
          <w:rFonts w:ascii="Arial" w:hAnsi="Arial" w:cs="Arial"/>
          <w:color w:val="000000" w:themeColor="text1"/>
          <w:kern w:val="0"/>
          <w:sz w:val="22"/>
          <w:szCs w:val="22"/>
          <w14:ligatures w14:val="none"/>
        </w:rPr>
        <w:t xml:space="preserve">The evidence indicates that digital and pharmacological interventions are an expanding component of obesity management in the UK; however, their effectiveness and accessibility remain uneven, with potential both to improve and to reproduce existing inequalities (Ahmed and Mohammed, 2025; </w:t>
      </w:r>
      <w:proofErr w:type="spellStart"/>
      <w:r w:rsidRPr="005B7ABE">
        <w:rPr>
          <w:rFonts w:ascii="Arial" w:hAnsi="Arial" w:cs="Arial"/>
          <w:color w:val="000000" w:themeColor="text1"/>
          <w:kern w:val="0"/>
          <w:sz w:val="22"/>
          <w:szCs w:val="22"/>
          <w14:ligatures w14:val="none"/>
        </w:rPr>
        <w:t>Parretti</w:t>
      </w:r>
      <w:proofErr w:type="spellEnd"/>
      <w:r w:rsidRPr="005B7ABE">
        <w:rPr>
          <w:rFonts w:ascii="Arial" w:hAnsi="Arial" w:cs="Arial"/>
          <w:color w:val="000000" w:themeColor="text1"/>
          <w:kern w:val="0"/>
          <w:sz w:val="22"/>
          <w:szCs w:val="22"/>
          <w14:ligatures w14:val="none"/>
        </w:rPr>
        <w:t xml:space="preserve"> et al., 2026; </w:t>
      </w:r>
      <w:proofErr w:type="spellStart"/>
      <w:r w:rsidRPr="005B7ABE">
        <w:rPr>
          <w:rFonts w:ascii="Arial" w:hAnsi="Arial" w:cs="Arial"/>
          <w:color w:val="000000" w:themeColor="text1"/>
          <w:kern w:val="0"/>
          <w:sz w:val="22"/>
          <w:szCs w:val="22"/>
          <w14:ligatures w14:val="none"/>
        </w:rPr>
        <w:t>Coulman</w:t>
      </w:r>
      <w:proofErr w:type="spellEnd"/>
      <w:r w:rsidRPr="005B7ABE">
        <w:rPr>
          <w:rFonts w:ascii="Arial" w:hAnsi="Arial" w:cs="Arial"/>
          <w:color w:val="000000" w:themeColor="text1"/>
          <w:kern w:val="0"/>
          <w:sz w:val="22"/>
          <w:szCs w:val="22"/>
          <w14:ligatures w14:val="none"/>
        </w:rPr>
        <w:t xml:space="preserve"> et al., 2023; Office for Health Improvement and Disparities, 2024; The Health Foundation, 2025).</w:t>
      </w:r>
    </w:p>
    <w:p w14:paraId="65F9BD24" w14:textId="77777777" w:rsidR="00862343" w:rsidRDefault="00A76886" w:rsidP="0020706C">
      <w:pPr>
        <w:spacing w:before="100" w:beforeAutospacing="1" w:after="100" w:afterAutospacing="1" w:line="360" w:lineRule="auto"/>
        <w:jc w:val="both"/>
        <w:rPr>
          <w:rFonts w:ascii="Arial" w:hAnsi="Arial" w:cs="Arial"/>
          <w:color w:val="000000" w:themeColor="text1"/>
          <w:kern w:val="0"/>
          <w:sz w:val="22"/>
          <w:szCs w:val="22"/>
          <w14:ligatures w14:val="none"/>
        </w:rPr>
      </w:pPr>
      <w:r w:rsidRPr="005B7ABE">
        <w:rPr>
          <w:rFonts w:ascii="Arial" w:hAnsi="Arial" w:cs="Arial"/>
          <w:color w:val="000000" w:themeColor="text1"/>
          <w:kern w:val="0"/>
          <w:sz w:val="22"/>
          <w:szCs w:val="22"/>
          <w14:ligatures w14:val="none"/>
        </w:rPr>
        <w:t xml:space="preserve">Ahmed and Mohammed (2025) highlight the growing role of pharmacological treatments within multi-component obesity management, while </w:t>
      </w:r>
      <w:proofErr w:type="spellStart"/>
      <w:r w:rsidRPr="005B7ABE">
        <w:rPr>
          <w:rFonts w:ascii="Arial" w:hAnsi="Arial" w:cs="Arial"/>
          <w:color w:val="000000" w:themeColor="text1"/>
          <w:kern w:val="0"/>
          <w:sz w:val="22"/>
          <w:szCs w:val="22"/>
          <w14:ligatures w14:val="none"/>
        </w:rPr>
        <w:t>Parretti</w:t>
      </w:r>
      <w:proofErr w:type="spellEnd"/>
      <w:r w:rsidRPr="005B7ABE">
        <w:rPr>
          <w:rFonts w:ascii="Arial" w:hAnsi="Arial" w:cs="Arial"/>
          <w:color w:val="000000" w:themeColor="text1"/>
          <w:kern w:val="0"/>
          <w:sz w:val="22"/>
          <w:szCs w:val="22"/>
          <w14:ligatures w14:val="none"/>
        </w:rPr>
        <w:t xml:space="preserve"> et al. (2026) note that primary care is increasingly expected to integrate pharmacological and digital options into treatment pathways. These developments broaden treatment strategies, but they likewise place new demands on already constrained healthcare systems.</w:t>
      </w:r>
    </w:p>
    <w:p w14:paraId="63612F1C" w14:textId="38D9F495" w:rsidR="00A76886" w:rsidRPr="005B7ABE" w:rsidRDefault="00A76886" w:rsidP="0020706C">
      <w:pPr>
        <w:spacing w:before="100" w:beforeAutospacing="1" w:after="100" w:afterAutospacing="1" w:line="360" w:lineRule="auto"/>
        <w:jc w:val="both"/>
        <w:rPr>
          <w:rFonts w:ascii="Arial" w:hAnsi="Arial" w:cs="Arial"/>
          <w:color w:val="000000" w:themeColor="text1"/>
          <w:kern w:val="0"/>
          <w:sz w:val="22"/>
          <w:szCs w:val="22"/>
          <w14:ligatures w14:val="none"/>
        </w:rPr>
      </w:pPr>
      <w:r w:rsidRPr="005B7ABE">
        <w:rPr>
          <w:rFonts w:ascii="Arial" w:hAnsi="Arial" w:cs="Arial"/>
          <w:color w:val="000000" w:themeColor="text1"/>
          <w:kern w:val="0"/>
          <w:sz w:val="22"/>
          <w:szCs w:val="22"/>
          <w14:ligatures w14:val="none"/>
        </w:rPr>
        <w:lastRenderedPageBreak/>
        <w:t>Despite their promise, the real-world impact of pharmacological interventions is limited by structural barriers. Given that uptake of intensive obesity treatments remains low even among eligible populations (</w:t>
      </w:r>
      <w:proofErr w:type="spellStart"/>
      <w:r w:rsidRPr="005B7ABE">
        <w:rPr>
          <w:rFonts w:ascii="Arial" w:hAnsi="Arial" w:cs="Arial"/>
          <w:color w:val="000000" w:themeColor="text1"/>
          <w:kern w:val="0"/>
          <w:sz w:val="22"/>
          <w:szCs w:val="22"/>
          <w14:ligatures w14:val="none"/>
        </w:rPr>
        <w:t>Coulman</w:t>
      </w:r>
      <w:proofErr w:type="spellEnd"/>
      <w:r w:rsidRPr="005B7ABE">
        <w:rPr>
          <w:rFonts w:ascii="Arial" w:hAnsi="Arial" w:cs="Arial"/>
          <w:color w:val="000000" w:themeColor="text1"/>
          <w:kern w:val="0"/>
          <w:sz w:val="22"/>
          <w:szCs w:val="22"/>
          <w14:ligatures w14:val="none"/>
        </w:rPr>
        <w:t xml:space="preserve"> et al., 2023), newer pharmacological options are likely to face similar constraints in practice. This indicates that clinical efficacy does not automatically translate into population-level effectiveness.</w:t>
      </w:r>
    </w:p>
    <w:p w14:paraId="51D09333" w14:textId="1C88BE30" w:rsidR="00A76886" w:rsidRPr="005B7ABE" w:rsidRDefault="00A76886" w:rsidP="0020706C">
      <w:pPr>
        <w:spacing w:before="100" w:beforeAutospacing="1" w:after="100" w:afterAutospacing="1" w:line="360" w:lineRule="auto"/>
        <w:jc w:val="both"/>
        <w:rPr>
          <w:rFonts w:ascii="Arial" w:hAnsi="Arial" w:cs="Arial"/>
          <w:color w:val="000000" w:themeColor="text1"/>
          <w:kern w:val="0"/>
          <w:sz w:val="22"/>
          <w:szCs w:val="22"/>
          <w14:ligatures w14:val="none"/>
        </w:rPr>
      </w:pPr>
      <w:r w:rsidRPr="005B7ABE">
        <w:rPr>
          <w:rFonts w:ascii="Arial" w:hAnsi="Arial" w:cs="Arial"/>
          <w:color w:val="000000" w:themeColor="text1"/>
          <w:kern w:val="0"/>
          <w:sz w:val="22"/>
          <w:szCs w:val="22"/>
          <w14:ligatures w14:val="none"/>
        </w:rPr>
        <w:t>Digital interventions present a similar tension. While programmes such as the NHS Digital Weight Management Programme aim to improve accessibility through remote delivery (NHS England, 2026), their effectiveness depends on sustained engagement and user capability. Sutcliffe et al. (2018) suggest that engagement in weight management depends heavily on social support and interpersonal relationships, raising concerns that digital models may lack key relational components. Hughes et al. (2021) and Flint et al. (2021) likewise suggest that stigma and prior negative healthcare experiences may limit engagement with newer models of care.</w:t>
      </w:r>
    </w:p>
    <w:p w14:paraId="6203FEE6" w14:textId="44F50AE8" w:rsidR="00A76886" w:rsidRPr="005B7ABE" w:rsidRDefault="00A76886" w:rsidP="0020706C">
      <w:pPr>
        <w:spacing w:before="100" w:beforeAutospacing="1" w:after="100" w:afterAutospacing="1" w:line="360" w:lineRule="auto"/>
        <w:jc w:val="both"/>
        <w:rPr>
          <w:rFonts w:ascii="Arial" w:hAnsi="Arial" w:cs="Arial"/>
          <w:color w:val="000000" w:themeColor="text1"/>
          <w:kern w:val="0"/>
          <w:sz w:val="22"/>
          <w:szCs w:val="22"/>
          <w14:ligatures w14:val="none"/>
        </w:rPr>
      </w:pPr>
      <w:r w:rsidRPr="005B7ABE">
        <w:rPr>
          <w:rFonts w:ascii="Arial" w:hAnsi="Arial" w:cs="Arial"/>
          <w:color w:val="000000" w:themeColor="text1"/>
          <w:kern w:val="0"/>
          <w:sz w:val="22"/>
          <w:szCs w:val="22"/>
          <w14:ligatures w14:val="none"/>
        </w:rPr>
        <w:t>Moreover, digital approaches may reproduce inequality. Individuals from more deprived backgrounds, who already experience higher obesity prevalence, may face greater barriers to digital access, health literacy, and sustained engagement (Office for Health Improvement and Disparities, 2024; The Health Foundation, 2025). Thus, digital delivery may increase convenience for some groups while excluding those most in need.</w:t>
      </w:r>
    </w:p>
    <w:p w14:paraId="6B316CE7" w14:textId="07B04D76" w:rsidR="00A76886" w:rsidRPr="005B7ABE" w:rsidRDefault="00A76886" w:rsidP="0020706C">
      <w:pPr>
        <w:spacing w:before="100" w:beforeAutospacing="1" w:after="100" w:afterAutospacing="1" w:line="360" w:lineRule="auto"/>
        <w:jc w:val="both"/>
        <w:rPr>
          <w:rFonts w:ascii="Arial" w:hAnsi="Arial" w:cs="Arial"/>
          <w:color w:val="000000" w:themeColor="text1"/>
          <w:kern w:val="0"/>
          <w:sz w:val="22"/>
          <w:szCs w:val="22"/>
          <w14:ligatures w14:val="none"/>
        </w:rPr>
      </w:pPr>
      <w:r w:rsidRPr="005B7ABE">
        <w:rPr>
          <w:rFonts w:ascii="Arial" w:hAnsi="Arial" w:cs="Arial"/>
          <w:color w:val="000000" w:themeColor="text1"/>
          <w:kern w:val="0"/>
          <w:sz w:val="22"/>
          <w:szCs w:val="22"/>
          <w14:ligatures w14:val="none"/>
        </w:rPr>
        <w:t>From a policy perspective, these developments align with national emphasis on expanding treatment pathways (NHS Long Term Plan, 2025; NICE, 2026), yet implementation remains uneven. Kelly et al. (2026) found that obesity-related interventions remain concentrated in Tier 1 approaches, with limited specialist and intensive service provision. This suggests that digital and pharmacological innovations are being added to an already fragmented system rather than supported by a sufficiently robust and equitable infrastructure.</w:t>
      </w:r>
    </w:p>
    <w:p w14:paraId="32F1656D" w14:textId="1ECD72C1" w:rsidR="00BA5361" w:rsidRPr="005B7ABE" w:rsidRDefault="00A76886" w:rsidP="0020706C">
      <w:pPr>
        <w:spacing w:before="100" w:beforeAutospacing="1" w:after="100" w:afterAutospacing="1" w:line="360" w:lineRule="auto"/>
        <w:jc w:val="both"/>
        <w:rPr>
          <w:rFonts w:ascii="Arial" w:hAnsi="Arial" w:cs="Arial"/>
          <w:color w:val="000000" w:themeColor="text1"/>
          <w:kern w:val="0"/>
          <w:sz w:val="22"/>
          <w:szCs w:val="22"/>
          <w14:ligatures w14:val="none"/>
        </w:rPr>
      </w:pPr>
      <w:r w:rsidRPr="005B7ABE">
        <w:rPr>
          <w:rFonts w:ascii="Arial" w:hAnsi="Arial" w:cs="Arial"/>
          <w:color w:val="000000" w:themeColor="text1"/>
          <w:kern w:val="0"/>
          <w:sz w:val="22"/>
          <w:szCs w:val="22"/>
          <w14:ligatures w14:val="none"/>
        </w:rPr>
        <w:t xml:space="preserve">Overall, the literature suggests that digital and pharmacological interventions are clinically promising but structurally constrained. Without integration into comprehensive and equitable care pathways, they are unlikely to deliver sustained or population-level improvements in obesity outcomes (Ahmed and Mohammed, 2025; </w:t>
      </w:r>
      <w:proofErr w:type="spellStart"/>
      <w:r w:rsidRPr="005B7ABE">
        <w:rPr>
          <w:rFonts w:ascii="Arial" w:hAnsi="Arial" w:cs="Arial"/>
          <w:color w:val="000000" w:themeColor="text1"/>
          <w:kern w:val="0"/>
          <w:sz w:val="22"/>
          <w:szCs w:val="22"/>
          <w14:ligatures w14:val="none"/>
        </w:rPr>
        <w:t>Parretti</w:t>
      </w:r>
      <w:proofErr w:type="spellEnd"/>
      <w:r w:rsidRPr="005B7ABE">
        <w:rPr>
          <w:rFonts w:ascii="Arial" w:hAnsi="Arial" w:cs="Arial"/>
          <w:color w:val="000000" w:themeColor="text1"/>
          <w:kern w:val="0"/>
          <w:sz w:val="22"/>
          <w:szCs w:val="22"/>
          <w14:ligatures w14:val="none"/>
        </w:rPr>
        <w:t xml:space="preserve"> et al., 2026; </w:t>
      </w:r>
      <w:proofErr w:type="spellStart"/>
      <w:r w:rsidRPr="005B7ABE">
        <w:rPr>
          <w:rFonts w:ascii="Arial" w:hAnsi="Arial" w:cs="Arial"/>
          <w:color w:val="000000" w:themeColor="text1"/>
          <w:kern w:val="0"/>
          <w:sz w:val="22"/>
          <w:szCs w:val="22"/>
          <w14:ligatures w14:val="none"/>
        </w:rPr>
        <w:t>Coulman</w:t>
      </w:r>
      <w:proofErr w:type="spellEnd"/>
      <w:r w:rsidRPr="005B7ABE">
        <w:rPr>
          <w:rFonts w:ascii="Arial" w:hAnsi="Arial" w:cs="Arial"/>
          <w:color w:val="000000" w:themeColor="text1"/>
          <w:kern w:val="0"/>
          <w:sz w:val="22"/>
          <w:szCs w:val="22"/>
          <w14:ligatures w14:val="none"/>
        </w:rPr>
        <w:t xml:space="preserve"> et al., 2023; Sutcliffe et al., 2018; Hughes et al., 2021).</w:t>
      </w:r>
    </w:p>
    <w:p w14:paraId="039E1395" w14:textId="77777777" w:rsidR="00D74419" w:rsidRPr="005B7ABE" w:rsidRDefault="00D74419" w:rsidP="0020706C">
      <w:pPr>
        <w:spacing w:line="360" w:lineRule="auto"/>
        <w:jc w:val="both"/>
        <w:rPr>
          <w:rFonts w:ascii="Arial" w:hAnsi="Arial" w:cs="Arial"/>
          <w:color w:val="000000" w:themeColor="text1"/>
          <w:sz w:val="22"/>
          <w:szCs w:val="22"/>
        </w:rPr>
      </w:pPr>
    </w:p>
    <w:p w14:paraId="61FA42C1" w14:textId="77777777" w:rsidR="00D74419" w:rsidRDefault="00D74419" w:rsidP="0020706C">
      <w:pPr>
        <w:spacing w:line="360" w:lineRule="auto"/>
        <w:jc w:val="both"/>
        <w:rPr>
          <w:rFonts w:ascii="Arial" w:hAnsi="Arial" w:cs="Arial"/>
          <w:color w:val="000000" w:themeColor="text1"/>
          <w:sz w:val="22"/>
          <w:szCs w:val="22"/>
        </w:rPr>
      </w:pPr>
    </w:p>
    <w:p w14:paraId="57698DC3" w14:textId="77777777" w:rsidR="00C6724B" w:rsidRPr="005B7ABE" w:rsidRDefault="00C6724B" w:rsidP="0020706C">
      <w:pPr>
        <w:spacing w:line="360" w:lineRule="auto"/>
        <w:jc w:val="both"/>
        <w:rPr>
          <w:rFonts w:ascii="Arial" w:hAnsi="Arial" w:cs="Arial"/>
          <w:color w:val="000000" w:themeColor="text1"/>
          <w:sz w:val="22"/>
          <w:szCs w:val="22"/>
        </w:rPr>
      </w:pPr>
    </w:p>
    <w:p w14:paraId="2A756461" w14:textId="77777777" w:rsidR="00F41B31" w:rsidRPr="00C6724B" w:rsidRDefault="00F41B31" w:rsidP="0020706C">
      <w:pPr>
        <w:spacing w:line="360" w:lineRule="auto"/>
        <w:jc w:val="both"/>
        <w:rPr>
          <w:rFonts w:ascii="Arial" w:hAnsi="Arial" w:cs="Arial"/>
          <w:b/>
          <w:bCs/>
          <w:color w:val="000000" w:themeColor="text1"/>
          <w:sz w:val="22"/>
          <w:szCs w:val="22"/>
        </w:rPr>
      </w:pPr>
      <w:r w:rsidRPr="00C6724B">
        <w:rPr>
          <w:rFonts w:ascii="Arial" w:hAnsi="Arial" w:cs="Arial"/>
          <w:b/>
          <w:bCs/>
          <w:color w:val="000000" w:themeColor="text1"/>
          <w:sz w:val="22"/>
          <w:szCs w:val="22"/>
        </w:rPr>
        <w:lastRenderedPageBreak/>
        <w:t>Discussion</w:t>
      </w:r>
    </w:p>
    <w:p w14:paraId="47C7D186" w14:textId="2CE81C56" w:rsidR="00B13B5A" w:rsidRPr="005B7ABE" w:rsidRDefault="00F41B31" w:rsidP="0020706C">
      <w:pPr>
        <w:pStyle w:val="Heading2"/>
        <w:spacing w:line="360" w:lineRule="auto"/>
        <w:jc w:val="both"/>
        <w:rPr>
          <w:rFonts w:ascii="Arial" w:hAnsi="Arial" w:cs="Arial"/>
          <w:color w:val="000000" w:themeColor="text1"/>
          <w:kern w:val="0"/>
          <w:sz w:val="22"/>
          <w:szCs w:val="22"/>
          <w14:ligatures w14:val="none"/>
        </w:rPr>
      </w:pPr>
      <w:r w:rsidRPr="005B7ABE">
        <w:rPr>
          <w:rFonts w:ascii="Arial" w:hAnsi="Arial" w:cs="Arial"/>
          <w:color w:val="000000" w:themeColor="text1"/>
          <w:sz w:val="22"/>
          <w:szCs w:val="22"/>
        </w:rPr>
        <w:t xml:space="preserve"> </w:t>
      </w:r>
      <w:r w:rsidR="00803676" w:rsidRPr="005B7ABE">
        <w:rPr>
          <w:rFonts w:ascii="Arial" w:hAnsi="Arial" w:cs="Arial"/>
          <w:color w:val="000000" w:themeColor="text1"/>
          <w:sz w:val="22"/>
          <w:szCs w:val="22"/>
        </w:rPr>
        <w:t xml:space="preserve"> </w:t>
      </w:r>
    </w:p>
    <w:p w14:paraId="08A73462" w14:textId="0770483C" w:rsidR="003415D5" w:rsidRPr="005B7ABE" w:rsidRDefault="003415D5" w:rsidP="0020706C">
      <w:pPr>
        <w:spacing w:before="100" w:beforeAutospacing="1" w:after="100" w:afterAutospacing="1" w:line="360" w:lineRule="auto"/>
        <w:jc w:val="both"/>
        <w:rPr>
          <w:rFonts w:ascii="Arial" w:hAnsi="Arial" w:cs="Arial"/>
          <w:color w:val="000000" w:themeColor="text1"/>
          <w:kern w:val="0"/>
          <w:sz w:val="22"/>
          <w:szCs w:val="22"/>
          <w14:ligatures w14:val="none"/>
        </w:rPr>
      </w:pPr>
      <w:r w:rsidRPr="005B7ABE">
        <w:rPr>
          <w:rFonts w:ascii="Arial" w:hAnsi="Arial" w:cs="Arial"/>
          <w:color w:val="000000" w:themeColor="text1"/>
          <w:kern w:val="0"/>
          <w:sz w:val="22"/>
          <w:szCs w:val="22"/>
          <w14:ligatures w14:val="none"/>
        </w:rPr>
        <w:t>This scoping review examined the effectiveness of obesity treatments and the structural factors influencing access to these interventions among working-age adults in the UK. The findings demonstrate that obesity management is not limited by the absence of interventions, but by the conditions under which they are delivered, accessed, and sustained (</w:t>
      </w:r>
      <w:proofErr w:type="spellStart"/>
      <w:r w:rsidRPr="005B7ABE">
        <w:rPr>
          <w:rFonts w:ascii="Arial" w:hAnsi="Arial" w:cs="Arial"/>
          <w:color w:val="000000" w:themeColor="text1"/>
          <w:kern w:val="0"/>
          <w:sz w:val="22"/>
          <w:szCs w:val="22"/>
          <w14:ligatures w14:val="none"/>
        </w:rPr>
        <w:t>Coulman</w:t>
      </w:r>
      <w:proofErr w:type="spellEnd"/>
      <w:r w:rsidRPr="005B7ABE">
        <w:rPr>
          <w:rFonts w:ascii="Arial" w:hAnsi="Arial" w:cs="Arial"/>
          <w:color w:val="000000" w:themeColor="text1"/>
          <w:kern w:val="0"/>
          <w:sz w:val="22"/>
          <w:szCs w:val="22"/>
          <w14:ligatures w14:val="none"/>
        </w:rPr>
        <w:t xml:space="preserve"> et al., 2023; </w:t>
      </w:r>
      <w:proofErr w:type="spellStart"/>
      <w:r w:rsidRPr="005B7ABE">
        <w:rPr>
          <w:rFonts w:ascii="Arial" w:hAnsi="Arial" w:cs="Arial"/>
          <w:color w:val="000000" w:themeColor="text1"/>
          <w:kern w:val="0"/>
          <w:sz w:val="22"/>
          <w:szCs w:val="22"/>
          <w14:ligatures w14:val="none"/>
        </w:rPr>
        <w:t>Parretti</w:t>
      </w:r>
      <w:proofErr w:type="spellEnd"/>
      <w:r w:rsidRPr="005B7ABE">
        <w:rPr>
          <w:rFonts w:ascii="Arial" w:hAnsi="Arial" w:cs="Arial"/>
          <w:color w:val="000000" w:themeColor="text1"/>
          <w:kern w:val="0"/>
          <w:sz w:val="22"/>
          <w:szCs w:val="22"/>
          <w14:ligatures w14:val="none"/>
        </w:rPr>
        <w:t xml:space="preserve"> et al., 2026). Across the four themes, a consistent pattern emerges: interventions show clinical potential, yet their real-world impact is constrained by systemic, structural, and social factors (Martins et al., 2020; </w:t>
      </w:r>
      <w:proofErr w:type="spellStart"/>
      <w:r w:rsidRPr="005B7ABE">
        <w:rPr>
          <w:rFonts w:ascii="Arial" w:hAnsi="Arial" w:cs="Arial"/>
          <w:color w:val="000000" w:themeColor="text1"/>
          <w:kern w:val="0"/>
          <w:sz w:val="22"/>
          <w:szCs w:val="22"/>
          <w14:ligatures w14:val="none"/>
        </w:rPr>
        <w:t>Heald</w:t>
      </w:r>
      <w:proofErr w:type="spellEnd"/>
      <w:r w:rsidRPr="005B7ABE">
        <w:rPr>
          <w:rFonts w:ascii="Arial" w:hAnsi="Arial" w:cs="Arial"/>
          <w:color w:val="000000" w:themeColor="text1"/>
          <w:kern w:val="0"/>
          <w:sz w:val="22"/>
          <w:szCs w:val="22"/>
          <w14:ligatures w14:val="none"/>
        </w:rPr>
        <w:t xml:space="preserve"> et al., 2024; Office for Health Improvement and Disparities, 2024).</w:t>
      </w:r>
    </w:p>
    <w:p w14:paraId="0BAE8F78" w14:textId="798FE9D4" w:rsidR="003415D5" w:rsidRPr="005B7ABE" w:rsidRDefault="003415D5" w:rsidP="0020706C">
      <w:pPr>
        <w:spacing w:before="100" w:beforeAutospacing="1" w:after="100" w:afterAutospacing="1" w:line="360" w:lineRule="auto"/>
        <w:jc w:val="both"/>
        <w:rPr>
          <w:rFonts w:ascii="Arial" w:hAnsi="Arial" w:cs="Arial"/>
          <w:color w:val="000000" w:themeColor="text1"/>
          <w:kern w:val="0"/>
          <w:sz w:val="22"/>
          <w:szCs w:val="22"/>
          <w14:ligatures w14:val="none"/>
        </w:rPr>
      </w:pPr>
      <w:r w:rsidRPr="005B7ABE">
        <w:rPr>
          <w:rFonts w:ascii="Arial" w:hAnsi="Arial" w:cs="Arial"/>
          <w:color w:val="000000" w:themeColor="text1"/>
          <w:kern w:val="0"/>
          <w:sz w:val="22"/>
          <w:szCs w:val="22"/>
          <w14:ligatures w14:val="none"/>
        </w:rPr>
        <w:t>In relation to effectiveness, the evidence indicates that current obesity treatments are conditionally effective rather than consistently successful (Martins et al., 2020; Ahmed and Mohammed, 2025). Behavioural interventions can achieve short-term weight loss (Martins et al., 2020), yet longitudinal evidence shows continued progression of obesity-related complications (</w:t>
      </w:r>
      <w:proofErr w:type="spellStart"/>
      <w:r w:rsidRPr="005B7ABE">
        <w:rPr>
          <w:rFonts w:ascii="Arial" w:hAnsi="Arial" w:cs="Arial"/>
          <w:color w:val="000000" w:themeColor="text1"/>
          <w:kern w:val="0"/>
          <w:sz w:val="22"/>
          <w:szCs w:val="22"/>
          <w14:ligatures w14:val="none"/>
        </w:rPr>
        <w:t>Haase</w:t>
      </w:r>
      <w:proofErr w:type="spellEnd"/>
      <w:r w:rsidRPr="005B7ABE">
        <w:rPr>
          <w:rFonts w:ascii="Arial" w:hAnsi="Arial" w:cs="Arial"/>
          <w:color w:val="000000" w:themeColor="text1"/>
          <w:kern w:val="0"/>
          <w:sz w:val="22"/>
          <w:szCs w:val="22"/>
          <w14:ligatures w14:val="none"/>
        </w:rPr>
        <w:t xml:space="preserve"> et al., 2021; </w:t>
      </w:r>
      <w:proofErr w:type="spellStart"/>
      <w:r w:rsidRPr="005B7ABE">
        <w:rPr>
          <w:rFonts w:ascii="Arial" w:hAnsi="Arial" w:cs="Arial"/>
          <w:color w:val="000000" w:themeColor="text1"/>
          <w:kern w:val="0"/>
          <w:sz w:val="22"/>
          <w:szCs w:val="22"/>
          <w14:ligatures w14:val="none"/>
        </w:rPr>
        <w:t>Pearson-Stuttard</w:t>
      </w:r>
      <w:proofErr w:type="spellEnd"/>
      <w:r w:rsidRPr="005B7ABE">
        <w:rPr>
          <w:rFonts w:ascii="Arial" w:hAnsi="Arial" w:cs="Arial"/>
          <w:color w:val="000000" w:themeColor="text1"/>
          <w:kern w:val="0"/>
          <w:sz w:val="22"/>
          <w:szCs w:val="22"/>
          <w14:ligatures w14:val="none"/>
        </w:rPr>
        <w:t xml:space="preserve"> et al., 2024). This suggests that existing approaches do not substantially alter long-term disease trajectories (</w:t>
      </w:r>
      <w:proofErr w:type="spellStart"/>
      <w:r w:rsidRPr="005B7ABE">
        <w:rPr>
          <w:rFonts w:ascii="Arial" w:hAnsi="Arial" w:cs="Arial"/>
          <w:color w:val="000000" w:themeColor="text1"/>
          <w:kern w:val="0"/>
          <w:sz w:val="22"/>
          <w:szCs w:val="22"/>
          <w14:ligatures w14:val="none"/>
        </w:rPr>
        <w:t>Haase</w:t>
      </w:r>
      <w:proofErr w:type="spellEnd"/>
      <w:r w:rsidRPr="005B7ABE">
        <w:rPr>
          <w:rFonts w:ascii="Arial" w:hAnsi="Arial" w:cs="Arial"/>
          <w:color w:val="000000" w:themeColor="text1"/>
          <w:kern w:val="0"/>
          <w:sz w:val="22"/>
          <w:szCs w:val="22"/>
          <w14:ligatures w14:val="none"/>
        </w:rPr>
        <w:t xml:space="preserve"> et al., 2021; </w:t>
      </w:r>
      <w:proofErr w:type="spellStart"/>
      <w:r w:rsidRPr="005B7ABE">
        <w:rPr>
          <w:rFonts w:ascii="Arial" w:hAnsi="Arial" w:cs="Arial"/>
          <w:color w:val="000000" w:themeColor="text1"/>
          <w:kern w:val="0"/>
          <w:sz w:val="22"/>
          <w:szCs w:val="22"/>
          <w14:ligatures w14:val="none"/>
        </w:rPr>
        <w:t>Pearson-Stuttard</w:t>
      </w:r>
      <w:proofErr w:type="spellEnd"/>
      <w:r w:rsidRPr="005B7ABE">
        <w:rPr>
          <w:rFonts w:ascii="Arial" w:hAnsi="Arial" w:cs="Arial"/>
          <w:color w:val="000000" w:themeColor="text1"/>
          <w:kern w:val="0"/>
          <w:sz w:val="22"/>
          <w:szCs w:val="22"/>
          <w14:ligatures w14:val="none"/>
        </w:rPr>
        <w:t xml:space="preserve"> et al., 2024). Furthermore, qualitative findings complicate traditional clinical definitions of effectiveness, demonstrating that engagement depends on relational and experiential factors such as support and stigma (Sutcliffe et al., 2018; Hughes et al., 2021; Flint et al., 2021). Taken together, the literature aligns in recognising that treatment can work, but diverges in explaining why it often fails in practice (Martins et al., 2020; Sutcliffe et al., 2018). This reflects a broader limitation in obesity care, where success is frequently measured in controlled conditions rather than sustained real-world outcomes (</w:t>
      </w:r>
      <w:proofErr w:type="spellStart"/>
      <w:r w:rsidRPr="005B7ABE">
        <w:rPr>
          <w:rFonts w:ascii="Arial" w:hAnsi="Arial" w:cs="Arial"/>
          <w:color w:val="000000" w:themeColor="text1"/>
          <w:kern w:val="0"/>
          <w:sz w:val="22"/>
          <w:szCs w:val="22"/>
          <w14:ligatures w14:val="none"/>
        </w:rPr>
        <w:t>Fruh</w:t>
      </w:r>
      <w:proofErr w:type="spellEnd"/>
      <w:r w:rsidRPr="005B7ABE">
        <w:rPr>
          <w:rFonts w:ascii="Arial" w:hAnsi="Arial" w:cs="Arial"/>
          <w:color w:val="000000" w:themeColor="text1"/>
          <w:kern w:val="0"/>
          <w:sz w:val="22"/>
          <w:szCs w:val="22"/>
          <w14:ligatures w14:val="none"/>
        </w:rPr>
        <w:t>, 2017).</w:t>
      </w:r>
    </w:p>
    <w:p w14:paraId="4103F060" w14:textId="210A6786" w:rsidR="003415D5" w:rsidRPr="005B7ABE" w:rsidRDefault="003415D5" w:rsidP="0020706C">
      <w:pPr>
        <w:spacing w:before="100" w:beforeAutospacing="1" w:after="100" w:afterAutospacing="1" w:line="360" w:lineRule="auto"/>
        <w:jc w:val="both"/>
        <w:rPr>
          <w:rFonts w:ascii="Arial" w:hAnsi="Arial" w:cs="Arial"/>
          <w:color w:val="000000" w:themeColor="text1"/>
          <w:kern w:val="0"/>
          <w:sz w:val="22"/>
          <w:szCs w:val="22"/>
          <w14:ligatures w14:val="none"/>
        </w:rPr>
      </w:pPr>
      <w:r w:rsidRPr="005B7ABE">
        <w:rPr>
          <w:rFonts w:ascii="Arial" w:hAnsi="Arial" w:cs="Arial"/>
          <w:color w:val="000000" w:themeColor="text1"/>
          <w:kern w:val="0"/>
          <w:sz w:val="22"/>
          <w:szCs w:val="22"/>
          <w14:ligatures w14:val="none"/>
        </w:rPr>
        <w:t>Access to weight management services emerges as a critical point of failure within the system. Evidence consistently demonstrates under-recognition, under-referral, and low treatment uptake across UK healthcare pathways (</w:t>
      </w:r>
      <w:proofErr w:type="spellStart"/>
      <w:r w:rsidRPr="005B7ABE">
        <w:rPr>
          <w:rFonts w:ascii="Arial" w:hAnsi="Arial" w:cs="Arial"/>
          <w:color w:val="000000" w:themeColor="text1"/>
          <w:kern w:val="0"/>
          <w:sz w:val="22"/>
          <w:szCs w:val="22"/>
          <w14:ligatures w14:val="none"/>
        </w:rPr>
        <w:t>Coulman</w:t>
      </w:r>
      <w:proofErr w:type="spellEnd"/>
      <w:r w:rsidRPr="005B7ABE">
        <w:rPr>
          <w:rFonts w:ascii="Arial" w:hAnsi="Arial" w:cs="Arial"/>
          <w:color w:val="000000" w:themeColor="text1"/>
          <w:kern w:val="0"/>
          <w:sz w:val="22"/>
          <w:szCs w:val="22"/>
          <w14:ligatures w14:val="none"/>
        </w:rPr>
        <w:t xml:space="preserve"> et al., 2023; McLaughlin et al., 2017; </w:t>
      </w:r>
      <w:proofErr w:type="spellStart"/>
      <w:r w:rsidRPr="005B7ABE">
        <w:rPr>
          <w:rFonts w:ascii="Arial" w:hAnsi="Arial" w:cs="Arial"/>
          <w:color w:val="000000" w:themeColor="text1"/>
          <w:kern w:val="0"/>
          <w:sz w:val="22"/>
          <w:szCs w:val="22"/>
          <w14:ligatures w14:val="none"/>
        </w:rPr>
        <w:t>Parretti</w:t>
      </w:r>
      <w:proofErr w:type="spellEnd"/>
      <w:r w:rsidRPr="005B7ABE">
        <w:rPr>
          <w:rFonts w:ascii="Arial" w:hAnsi="Arial" w:cs="Arial"/>
          <w:color w:val="000000" w:themeColor="text1"/>
          <w:kern w:val="0"/>
          <w:sz w:val="22"/>
          <w:szCs w:val="22"/>
          <w14:ligatures w14:val="none"/>
        </w:rPr>
        <w:t xml:space="preserve"> et al., 2026). This challenges the assumption underpinning national policy that primary care functions as an effective gateway to obesity treatment (NICE, 2026; NHS Long Term Plan, 2025). Instead, access appears fragmented and inconsistent, with significant regional variation indicating that service availability is shaped by local infrastructure rather than clinical need (</w:t>
      </w:r>
      <w:proofErr w:type="spellStart"/>
      <w:r w:rsidRPr="005B7ABE">
        <w:rPr>
          <w:rFonts w:ascii="Arial" w:hAnsi="Arial" w:cs="Arial"/>
          <w:color w:val="000000" w:themeColor="text1"/>
          <w:kern w:val="0"/>
          <w:sz w:val="22"/>
          <w:szCs w:val="22"/>
          <w14:ligatures w14:val="none"/>
        </w:rPr>
        <w:t>Coulman</w:t>
      </w:r>
      <w:proofErr w:type="spellEnd"/>
      <w:r w:rsidRPr="005B7ABE">
        <w:rPr>
          <w:rFonts w:ascii="Arial" w:hAnsi="Arial" w:cs="Arial"/>
          <w:color w:val="000000" w:themeColor="text1"/>
          <w:kern w:val="0"/>
          <w:sz w:val="22"/>
          <w:szCs w:val="22"/>
          <w14:ligatures w14:val="none"/>
        </w:rPr>
        <w:t xml:space="preserve"> et al., 2023). Consequently, eligibility does not translate into access, and obesity care operates within a de facto postcode-dependent system (</w:t>
      </w:r>
      <w:proofErr w:type="spellStart"/>
      <w:r w:rsidRPr="005B7ABE">
        <w:rPr>
          <w:rFonts w:ascii="Arial" w:hAnsi="Arial" w:cs="Arial"/>
          <w:color w:val="000000" w:themeColor="text1"/>
          <w:kern w:val="0"/>
          <w:sz w:val="22"/>
          <w:szCs w:val="22"/>
          <w14:ligatures w14:val="none"/>
        </w:rPr>
        <w:t>Coulman</w:t>
      </w:r>
      <w:proofErr w:type="spellEnd"/>
      <w:r w:rsidRPr="005B7ABE">
        <w:rPr>
          <w:rFonts w:ascii="Arial" w:hAnsi="Arial" w:cs="Arial"/>
          <w:color w:val="000000" w:themeColor="text1"/>
          <w:kern w:val="0"/>
          <w:sz w:val="22"/>
          <w:szCs w:val="22"/>
          <w14:ligatures w14:val="none"/>
        </w:rPr>
        <w:t xml:space="preserve"> et al., 2023; McLaughlin et al., 2017). This disconnect highlights a fundamental tension between policy ambition and service reality (Kelly et al., 2026).</w:t>
      </w:r>
    </w:p>
    <w:p w14:paraId="0053FBA7" w14:textId="27323CC0" w:rsidR="003415D5" w:rsidRPr="005B7ABE" w:rsidRDefault="003415D5" w:rsidP="0020706C">
      <w:pPr>
        <w:spacing w:before="100" w:beforeAutospacing="1" w:after="100" w:afterAutospacing="1" w:line="360" w:lineRule="auto"/>
        <w:jc w:val="both"/>
        <w:rPr>
          <w:rFonts w:ascii="Arial" w:hAnsi="Arial" w:cs="Arial"/>
          <w:color w:val="000000" w:themeColor="text1"/>
          <w:kern w:val="0"/>
          <w:sz w:val="22"/>
          <w:szCs w:val="22"/>
          <w14:ligatures w14:val="none"/>
        </w:rPr>
      </w:pPr>
      <w:r w:rsidRPr="005B7ABE">
        <w:rPr>
          <w:rFonts w:ascii="Arial" w:hAnsi="Arial" w:cs="Arial"/>
          <w:color w:val="000000" w:themeColor="text1"/>
          <w:kern w:val="0"/>
          <w:sz w:val="22"/>
          <w:szCs w:val="22"/>
          <w14:ligatures w14:val="none"/>
        </w:rPr>
        <w:lastRenderedPageBreak/>
        <w:t>The influence of socioeconomic and structural inequalities represents the most consistent and pervasive finding across the literature. Obesity is disproportionately concentrated among deprived populations, with greater health burden and reduced access to care (</w:t>
      </w:r>
      <w:proofErr w:type="spellStart"/>
      <w:r w:rsidRPr="005B7ABE">
        <w:rPr>
          <w:rFonts w:ascii="Arial" w:hAnsi="Arial" w:cs="Arial"/>
          <w:color w:val="000000" w:themeColor="text1"/>
          <w:kern w:val="0"/>
          <w:sz w:val="22"/>
          <w:szCs w:val="22"/>
          <w14:ligatures w14:val="none"/>
        </w:rPr>
        <w:t>Heald</w:t>
      </w:r>
      <w:proofErr w:type="spellEnd"/>
      <w:r w:rsidRPr="005B7ABE">
        <w:rPr>
          <w:rFonts w:ascii="Arial" w:hAnsi="Arial" w:cs="Arial"/>
          <w:color w:val="000000" w:themeColor="text1"/>
          <w:kern w:val="0"/>
          <w:sz w:val="22"/>
          <w:szCs w:val="22"/>
          <w14:ligatures w14:val="none"/>
        </w:rPr>
        <w:t xml:space="preserve"> et al., 2024; Office for Health Improvement and Disparities, 2024; The Health Foundation, 2025). Importantly, studies such as Briggs et al. (2024) challenge individualised narratives by demonstrating the coexistence of obesity and food insecurity, reframing obesity as a condition shaped by constrained choices rather than excess (Briggs et al., 2024). Furthermore, variation across ethnicity and geographical context (Higgins, 2022) indicates that obesity risk and access to treatment are embedded within wider social and environmental systems (Higgins, 2022; The Health Foundation, 2025). However, a key limitation in the literature is the tendency to examine these factors in isolation. There remains limited intersectional analysis exploring how multiple dimensions of disadvantage combine to shape outcomes (Higgins, 2022; Briggs et al., 2024). This restricts the explanatory power of current evidence and limits its application to policy and practice.</w:t>
      </w:r>
    </w:p>
    <w:p w14:paraId="178B2EAA" w14:textId="4D5146A6" w:rsidR="003415D5" w:rsidRPr="005B7ABE" w:rsidRDefault="003415D5" w:rsidP="0020706C">
      <w:pPr>
        <w:spacing w:before="100" w:beforeAutospacing="1" w:after="100" w:afterAutospacing="1" w:line="360" w:lineRule="auto"/>
        <w:jc w:val="both"/>
        <w:rPr>
          <w:rFonts w:ascii="Arial" w:hAnsi="Arial" w:cs="Arial"/>
          <w:color w:val="000000" w:themeColor="text1"/>
          <w:kern w:val="0"/>
          <w:sz w:val="22"/>
          <w:szCs w:val="22"/>
          <w14:ligatures w14:val="none"/>
        </w:rPr>
      </w:pPr>
      <w:r w:rsidRPr="005B7ABE">
        <w:rPr>
          <w:rFonts w:ascii="Arial" w:hAnsi="Arial" w:cs="Arial"/>
          <w:color w:val="000000" w:themeColor="text1"/>
          <w:kern w:val="0"/>
          <w:sz w:val="22"/>
          <w:szCs w:val="22"/>
          <w14:ligatures w14:val="none"/>
        </w:rPr>
        <w:t xml:space="preserve">The expansion of digital and pharmacological interventions reflects an evolving treatment landscape; however, the findings suggest that innovation alone is insufficient to address existing limitations (Ahmed and Mohammed, 2025; </w:t>
      </w:r>
      <w:proofErr w:type="spellStart"/>
      <w:r w:rsidRPr="005B7ABE">
        <w:rPr>
          <w:rFonts w:ascii="Arial" w:hAnsi="Arial" w:cs="Arial"/>
          <w:color w:val="000000" w:themeColor="text1"/>
          <w:kern w:val="0"/>
          <w:sz w:val="22"/>
          <w:szCs w:val="22"/>
          <w14:ligatures w14:val="none"/>
        </w:rPr>
        <w:t>Parretti</w:t>
      </w:r>
      <w:proofErr w:type="spellEnd"/>
      <w:r w:rsidRPr="005B7ABE">
        <w:rPr>
          <w:rFonts w:ascii="Arial" w:hAnsi="Arial" w:cs="Arial"/>
          <w:color w:val="000000" w:themeColor="text1"/>
          <w:kern w:val="0"/>
          <w:sz w:val="22"/>
          <w:szCs w:val="22"/>
          <w14:ligatures w14:val="none"/>
        </w:rPr>
        <w:t xml:space="preserve"> et al., 2026). While such approaches increase the range of available interventions (Ahmed and Mohammed, 2025), their uptake remains constrained by the same structural barriers affecting traditional services (</w:t>
      </w:r>
      <w:proofErr w:type="spellStart"/>
      <w:r w:rsidRPr="005B7ABE">
        <w:rPr>
          <w:rFonts w:ascii="Arial" w:hAnsi="Arial" w:cs="Arial"/>
          <w:color w:val="000000" w:themeColor="text1"/>
          <w:kern w:val="0"/>
          <w:sz w:val="22"/>
          <w:szCs w:val="22"/>
          <w14:ligatures w14:val="none"/>
        </w:rPr>
        <w:t>Coulman</w:t>
      </w:r>
      <w:proofErr w:type="spellEnd"/>
      <w:r w:rsidRPr="005B7ABE">
        <w:rPr>
          <w:rFonts w:ascii="Arial" w:hAnsi="Arial" w:cs="Arial"/>
          <w:color w:val="000000" w:themeColor="text1"/>
          <w:kern w:val="0"/>
          <w:sz w:val="22"/>
          <w:szCs w:val="22"/>
          <w14:ligatures w14:val="none"/>
        </w:rPr>
        <w:t xml:space="preserve"> et al., 2023). Digital interventions, although positioned as increasing accessibility, may reduce relational support and exclude individuals with lower digital access or health literacy (Sutcliffe et al., 2018; Office for Health Improvement and Disparities, 2024). Similarly, pharmacological treatments may remain inaccessible due to restrictive criteria and service capacity (</w:t>
      </w:r>
      <w:proofErr w:type="spellStart"/>
      <w:r w:rsidRPr="005B7ABE">
        <w:rPr>
          <w:rFonts w:ascii="Arial" w:hAnsi="Arial" w:cs="Arial"/>
          <w:color w:val="000000" w:themeColor="text1"/>
          <w:kern w:val="0"/>
          <w:sz w:val="22"/>
          <w:szCs w:val="22"/>
          <w14:ligatures w14:val="none"/>
        </w:rPr>
        <w:t>Parretti</w:t>
      </w:r>
      <w:proofErr w:type="spellEnd"/>
      <w:r w:rsidRPr="005B7ABE">
        <w:rPr>
          <w:rFonts w:ascii="Arial" w:hAnsi="Arial" w:cs="Arial"/>
          <w:color w:val="000000" w:themeColor="text1"/>
          <w:kern w:val="0"/>
          <w:sz w:val="22"/>
          <w:szCs w:val="22"/>
          <w14:ligatures w14:val="none"/>
        </w:rPr>
        <w:t xml:space="preserve"> et al., 2026; UK Parliament, 2025). As a result, innovation risks reinforcing, rather than reducing, existing inequalities if not supported by systemic change (The Health Foundation, 2025).</w:t>
      </w:r>
    </w:p>
    <w:p w14:paraId="30A034D3" w14:textId="5C50D996" w:rsidR="003415D5" w:rsidRPr="005B7ABE" w:rsidRDefault="003415D5" w:rsidP="0020706C">
      <w:pPr>
        <w:spacing w:before="100" w:beforeAutospacing="1" w:after="100" w:afterAutospacing="1" w:line="360" w:lineRule="auto"/>
        <w:jc w:val="both"/>
        <w:rPr>
          <w:rFonts w:ascii="Arial" w:hAnsi="Arial" w:cs="Arial"/>
          <w:color w:val="000000" w:themeColor="text1"/>
          <w:kern w:val="0"/>
          <w:sz w:val="22"/>
          <w:szCs w:val="22"/>
          <w14:ligatures w14:val="none"/>
        </w:rPr>
      </w:pPr>
      <w:r w:rsidRPr="005B7ABE">
        <w:rPr>
          <w:rFonts w:ascii="Arial" w:hAnsi="Arial" w:cs="Arial"/>
          <w:color w:val="000000" w:themeColor="text1"/>
          <w:kern w:val="0"/>
          <w:sz w:val="22"/>
          <w:szCs w:val="22"/>
          <w14:ligatures w14:val="none"/>
        </w:rPr>
        <w:t>From a policy perspective, the findings highlight a clear misalignment between strategic frameworks and service delivery. UK policies increasingly adopt whole-system approaches and emphasise prevention and integrated care (NHS Long Term Plan, 2025; NICE, 2026), yet implementation remains uneven (Kelly et al., 2026). Evidence demonstrates that policy efforts are heavily concentrated in Tier 1 interventions, with limited provision of specialist services (Kelly et al., 2026). This imbalance suggests that while prevention is prioritised, the needs of individuals already living with obesity are insufficiently addressed (BOMSS, 2024). Consequently, policy appears more advanced in its conceptual framing than in its practical delivery (Kelly et al., 2026).</w:t>
      </w:r>
    </w:p>
    <w:p w14:paraId="53C2C544" w14:textId="24B82511" w:rsidR="003415D5" w:rsidRPr="005B7ABE" w:rsidRDefault="003415D5" w:rsidP="0020706C">
      <w:pPr>
        <w:spacing w:before="100" w:beforeAutospacing="1" w:after="100" w:afterAutospacing="1" w:line="360" w:lineRule="auto"/>
        <w:jc w:val="both"/>
        <w:rPr>
          <w:rFonts w:ascii="Arial" w:hAnsi="Arial" w:cs="Arial"/>
          <w:color w:val="000000" w:themeColor="text1"/>
          <w:kern w:val="0"/>
          <w:sz w:val="22"/>
          <w:szCs w:val="22"/>
          <w14:ligatures w14:val="none"/>
        </w:rPr>
      </w:pPr>
      <w:r w:rsidRPr="005B7ABE">
        <w:rPr>
          <w:rFonts w:ascii="Arial" w:hAnsi="Arial" w:cs="Arial"/>
          <w:color w:val="000000" w:themeColor="text1"/>
          <w:kern w:val="0"/>
          <w:sz w:val="22"/>
          <w:szCs w:val="22"/>
          <w14:ligatures w14:val="none"/>
        </w:rPr>
        <w:lastRenderedPageBreak/>
        <w:t>From a public and service-user perspective, the literature underscores the importance of experience, perception, and engagement. Stigma, negative healthcare interactions, and lack of supportive relationships can deter individuals from accessing or continuing treatment (Hughes et al., 2021; Flint et al., 2021; Sutcliffe et al., 2018). This suggests that effective obesity care requires not only clinical intervention but also culturally sensitive, non-stigmatising, and person-centred approaches (</w:t>
      </w:r>
      <w:proofErr w:type="spellStart"/>
      <w:r w:rsidRPr="005B7ABE">
        <w:rPr>
          <w:rFonts w:ascii="Arial" w:hAnsi="Arial" w:cs="Arial"/>
          <w:color w:val="000000" w:themeColor="text1"/>
          <w:kern w:val="0"/>
          <w:sz w:val="22"/>
          <w:szCs w:val="22"/>
          <w14:ligatures w14:val="none"/>
        </w:rPr>
        <w:t>Lulia</w:t>
      </w:r>
      <w:proofErr w:type="spellEnd"/>
      <w:r w:rsidRPr="005B7ABE">
        <w:rPr>
          <w:rFonts w:ascii="Arial" w:hAnsi="Arial" w:cs="Arial"/>
          <w:color w:val="000000" w:themeColor="text1"/>
          <w:kern w:val="0"/>
          <w:sz w:val="22"/>
          <w:szCs w:val="22"/>
          <w14:ligatures w14:val="none"/>
        </w:rPr>
        <w:t xml:space="preserve"> et al., 2023). Without addressing these experiential factors, improvements in service availability alone are unlikely to translate into increased engagement or improved outcomes (Sutcliffe et al., 2018).</w:t>
      </w:r>
    </w:p>
    <w:p w14:paraId="675460EF" w14:textId="4772B1ED" w:rsidR="003415D5" w:rsidRPr="005B7ABE" w:rsidRDefault="003415D5" w:rsidP="0020706C">
      <w:pPr>
        <w:spacing w:before="100" w:beforeAutospacing="1" w:after="100" w:afterAutospacing="1" w:line="360" w:lineRule="auto"/>
        <w:jc w:val="both"/>
        <w:rPr>
          <w:rFonts w:ascii="Arial" w:hAnsi="Arial" w:cs="Arial"/>
          <w:color w:val="000000" w:themeColor="text1"/>
          <w:kern w:val="0"/>
          <w:sz w:val="22"/>
          <w:szCs w:val="22"/>
          <w14:ligatures w14:val="none"/>
        </w:rPr>
      </w:pPr>
      <w:r w:rsidRPr="005B7ABE">
        <w:rPr>
          <w:rFonts w:ascii="Arial" w:hAnsi="Arial" w:cs="Arial"/>
          <w:color w:val="000000" w:themeColor="text1"/>
          <w:kern w:val="0"/>
          <w:sz w:val="22"/>
          <w:szCs w:val="22"/>
          <w14:ligatures w14:val="none"/>
        </w:rPr>
        <w:t>Several research gaps are evident. Much of the existing evidence is observational or cross-sectional, limiting understanding of long-term intervention effectiveness and patient pathways (</w:t>
      </w:r>
      <w:proofErr w:type="spellStart"/>
      <w:r w:rsidRPr="005B7ABE">
        <w:rPr>
          <w:rFonts w:ascii="Arial" w:hAnsi="Arial" w:cs="Arial"/>
          <w:color w:val="000000" w:themeColor="text1"/>
          <w:kern w:val="0"/>
          <w:sz w:val="22"/>
          <w:szCs w:val="22"/>
          <w14:ligatures w14:val="none"/>
        </w:rPr>
        <w:t>Coulman</w:t>
      </w:r>
      <w:proofErr w:type="spellEnd"/>
      <w:r w:rsidRPr="005B7ABE">
        <w:rPr>
          <w:rFonts w:ascii="Arial" w:hAnsi="Arial" w:cs="Arial"/>
          <w:color w:val="000000" w:themeColor="text1"/>
          <w:kern w:val="0"/>
          <w:sz w:val="22"/>
          <w:szCs w:val="22"/>
          <w14:ligatures w14:val="none"/>
        </w:rPr>
        <w:t xml:space="preserve"> et al., 2023; McLaughlin et al., 2017). There is a lack of integration between clinical, service-level, and lived-experience research, resulting in a fragmented evidence base (</w:t>
      </w:r>
      <w:proofErr w:type="spellStart"/>
      <w:r w:rsidRPr="005B7ABE">
        <w:rPr>
          <w:rFonts w:ascii="Arial" w:hAnsi="Arial" w:cs="Arial"/>
          <w:color w:val="000000" w:themeColor="text1"/>
          <w:kern w:val="0"/>
          <w:sz w:val="22"/>
          <w:szCs w:val="22"/>
          <w14:ligatures w14:val="none"/>
        </w:rPr>
        <w:t>Parretti</w:t>
      </w:r>
      <w:proofErr w:type="spellEnd"/>
      <w:r w:rsidRPr="005B7ABE">
        <w:rPr>
          <w:rFonts w:ascii="Arial" w:hAnsi="Arial" w:cs="Arial"/>
          <w:color w:val="000000" w:themeColor="text1"/>
          <w:kern w:val="0"/>
          <w:sz w:val="22"/>
          <w:szCs w:val="22"/>
          <w14:ligatures w14:val="none"/>
        </w:rPr>
        <w:t xml:space="preserve"> et al., 2026; Sutcliffe et al., 2018). Furthermore, insufficient attention is given to under-served populations, particularly younger adults, despite evidence that they are at highest risk of weight gain (</w:t>
      </w:r>
      <w:proofErr w:type="spellStart"/>
      <w:r w:rsidRPr="005B7ABE">
        <w:rPr>
          <w:rFonts w:ascii="Arial" w:hAnsi="Arial" w:cs="Arial"/>
          <w:color w:val="000000" w:themeColor="text1"/>
          <w:kern w:val="0"/>
          <w:sz w:val="22"/>
          <w:szCs w:val="22"/>
          <w14:ligatures w14:val="none"/>
        </w:rPr>
        <w:t>Katsoulis</w:t>
      </w:r>
      <w:proofErr w:type="spellEnd"/>
      <w:r w:rsidRPr="005B7ABE">
        <w:rPr>
          <w:rFonts w:ascii="Arial" w:hAnsi="Arial" w:cs="Arial"/>
          <w:color w:val="000000" w:themeColor="text1"/>
          <w:kern w:val="0"/>
          <w:sz w:val="22"/>
          <w:szCs w:val="22"/>
          <w14:ligatures w14:val="none"/>
        </w:rPr>
        <w:t xml:space="preserve"> et al., 2021). The absence of intersectional analyses further limits understanding of how multiple forms of disadvantage interact (Higgins, 2022).</w:t>
      </w:r>
    </w:p>
    <w:p w14:paraId="45963ABC" w14:textId="1620A625" w:rsidR="003415D5" w:rsidRPr="005B7ABE" w:rsidRDefault="003415D5" w:rsidP="0020706C">
      <w:pPr>
        <w:spacing w:before="100" w:beforeAutospacing="1" w:after="100" w:afterAutospacing="1" w:line="360" w:lineRule="auto"/>
        <w:jc w:val="both"/>
        <w:rPr>
          <w:rFonts w:ascii="Arial" w:hAnsi="Arial" w:cs="Arial"/>
          <w:color w:val="000000" w:themeColor="text1"/>
          <w:kern w:val="0"/>
          <w:sz w:val="22"/>
          <w:szCs w:val="22"/>
          <w14:ligatures w14:val="none"/>
        </w:rPr>
      </w:pPr>
      <w:r w:rsidRPr="005B7ABE">
        <w:rPr>
          <w:rFonts w:ascii="Arial" w:hAnsi="Arial" w:cs="Arial"/>
          <w:color w:val="000000" w:themeColor="text1"/>
          <w:kern w:val="0"/>
          <w:sz w:val="22"/>
          <w:szCs w:val="22"/>
          <w14:ligatures w14:val="none"/>
        </w:rPr>
        <w:t>Future research should therefore prioritise longitudinal and mixed-methods designs to capture sustained outcomes and patient experiences over time (</w:t>
      </w:r>
      <w:proofErr w:type="spellStart"/>
      <w:r w:rsidRPr="005B7ABE">
        <w:rPr>
          <w:rFonts w:ascii="Arial" w:hAnsi="Arial" w:cs="Arial"/>
          <w:color w:val="000000" w:themeColor="text1"/>
          <w:kern w:val="0"/>
          <w:sz w:val="22"/>
          <w:szCs w:val="22"/>
          <w14:ligatures w14:val="none"/>
        </w:rPr>
        <w:t>Aveyard</w:t>
      </w:r>
      <w:proofErr w:type="spellEnd"/>
      <w:r w:rsidRPr="005B7ABE">
        <w:rPr>
          <w:rFonts w:ascii="Arial" w:hAnsi="Arial" w:cs="Arial"/>
          <w:color w:val="000000" w:themeColor="text1"/>
          <w:kern w:val="0"/>
          <w:sz w:val="22"/>
          <w:szCs w:val="22"/>
          <w14:ligatures w14:val="none"/>
        </w:rPr>
        <w:t>, 2014). Greater focus is needed on implementation research to examine how national policies are translated into local practice (Kelly et al., 2026). Additionally, research should adopt intersectional frameworks to better understand how socioeconomic, demographic, and geographic factors interact (The Health Foundation, 2025). Targeted investigation of high-risk and under-served groups, particularly younger adults and deprived populations, is essential to improve both prevention and treatment strategies (</w:t>
      </w:r>
      <w:proofErr w:type="spellStart"/>
      <w:r w:rsidRPr="005B7ABE">
        <w:rPr>
          <w:rFonts w:ascii="Arial" w:hAnsi="Arial" w:cs="Arial"/>
          <w:color w:val="000000" w:themeColor="text1"/>
          <w:kern w:val="0"/>
          <w:sz w:val="22"/>
          <w:szCs w:val="22"/>
          <w14:ligatures w14:val="none"/>
        </w:rPr>
        <w:t>Katsoulis</w:t>
      </w:r>
      <w:proofErr w:type="spellEnd"/>
      <w:r w:rsidRPr="005B7ABE">
        <w:rPr>
          <w:rFonts w:ascii="Arial" w:hAnsi="Arial" w:cs="Arial"/>
          <w:color w:val="000000" w:themeColor="text1"/>
          <w:kern w:val="0"/>
          <w:sz w:val="22"/>
          <w:szCs w:val="22"/>
          <w14:ligatures w14:val="none"/>
        </w:rPr>
        <w:t xml:space="preserve"> et al., 2021).</w:t>
      </w:r>
    </w:p>
    <w:p w14:paraId="2F58137E" w14:textId="77777777" w:rsidR="003415D5" w:rsidRPr="005B7ABE" w:rsidRDefault="003415D5" w:rsidP="0020706C">
      <w:pPr>
        <w:spacing w:before="100" w:beforeAutospacing="1" w:after="100" w:afterAutospacing="1" w:line="360" w:lineRule="auto"/>
        <w:jc w:val="both"/>
        <w:rPr>
          <w:rFonts w:ascii="Arial" w:hAnsi="Arial" w:cs="Arial"/>
          <w:color w:val="000000" w:themeColor="text1"/>
          <w:kern w:val="0"/>
          <w:sz w:val="22"/>
          <w:szCs w:val="22"/>
          <w14:ligatures w14:val="none"/>
        </w:rPr>
      </w:pPr>
      <w:r w:rsidRPr="005B7ABE">
        <w:rPr>
          <w:rFonts w:ascii="Arial" w:hAnsi="Arial" w:cs="Arial"/>
          <w:color w:val="000000" w:themeColor="text1"/>
          <w:kern w:val="0"/>
          <w:sz w:val="22"/>
          <w:szCs w:val="22"/>
          <w14:ligatures w14:val="none"/>
        </w:rPr>
        <w:t>Overall, the findings suggest that obesity management in the UK is constrained not by a lack of interventions, but by systemic limitations in access, delivery, and equity (</w:t>
      </w:r>
      <w:proofErr w:type="spellStart"/>
      <w:r w:rsidRPr="005B7ABE">
        <w:rPr>
          <w:rFonts w:ascii="Arial" w:hAnsi="Arial" w:cs="Arial"/>
          <w:color w:val="000000" w:themeColor="text1"/>
          <w:kern w:val="0"/>
          <w:sz w:val="22"/>
          <w:szCs w:val="22"/>
          <w14:ligatures w14:val="none"/>
        </w:rPr>
        <w:t>Coulman</w:t>
      </w:r>
      <w:proofErr w:type="spellEnd"/>
      <w:r w:rsidRPr="005B7ABE">
        <w:rPr>
          <w:rFonts w:ascii="Arial" w:hAnsi="Arial" w:cs="Arial"/>
          <w:color w:val="000000" w:themeColor="text1"/>
          <w:kern w:val="0"/>
          <w:sz w:val="22"/>
          <w:szCs w:val="22"/>
          <w14:ligatures w14:val="none"/>
        </w:rPr>
        <w:t xml:space="preserve"> et al., 2023; </w:t>
      </w:r>
      <w:proofErr w:type="spellStart"/>
      <w:r w:rsidRPr="005B7ABE">
        <w:rPr>
          <w:rFonts w:ascii="Arial" w:hAnsi="Arial" w:cs="Arial"/>
          <w:color w:val="000000" w:themeColor="text1"/>
          <w:kern w:val="0"/>
          <w:sz w:val="22"/>
          <w:szCs w:val="22"/>
          <w14:ligatures w14:val="none"/>
        </w:rPr>
        <w:t>Heald</w:t>
      </w:r>
      <w:proofErr w:type="spellEnd"/>
      <w:r w:rsidRPr="005B7ABE">
        <w:rPr>
          <w:rFonts w:ascii="Arial" w:hAnsi="Arial" w:cs="Arial"/>
          <w:color w:val="000000" w:themeColor="text1"/>
          <w:kern w:val="0"/>
          <w:sz w:val="22"/>
          <w:szCs w:val="22"/>
          <w14:ligatures w14:val="none"/>
        </w:rPr>
        <w:t xml:space="preserve"> et al., 2024). Treatments demonstrate clinical efficacy, yet their population-level effectiveness remains limited (Martins et al., 2020; </w:t>
      </w:r>
      <w:proofErr w:type="spellStart"/>
      <w:r w:rsidRPr="005B7ABE">
        <w:rPr>
          <w:rFonts w:ascii="Arial" w:hAnsi="Arial" w:cs="Arial"/>
          <w:color w:val="000000" w:themeColor="text1"/>
          <w:kern w:val="0"/>
          <w:sz w:val="22"/>
          <w:szCs w:val="22"/>
          <w14:ligatures w14:val="none"/>
        </w:rPr>
        <w:t>Pearson-Stuttard</w:t>
      </w:r>
      <w:proofErr w:type="spellEnd"/>
      <w:r w:rsidRPr="005B7ABE">
        <w:rPr>
          <w:rFonts w:ascii="Arial" w:hAnsi="Arial" w:cs="Arial"/>
          <w:color w:val="000000" w:themeColor="text1"/>
          <w:kern w:val="0"/>
          <w:sz w:val="22"/>
          <w:szCs w:val="22"/>
          <w14:ligatures w14:val="none"/>
        </w:rPr>
        <w:t xml:space="preserve"> et al., 2024). Addressing obesity therefore requires a shift from intervention-focused approaches towards integrated strategies that address structural inequalities, service design, and patient experience simultaneously (NHS Long Term Plan, 2025; </w:t>
      </w:r>
      <w:proofErr w:type="spellStart"/>
      <w:r w:rsidRPr="005B7ABE">
        <w:rPr>
          <w:rFonts w:ascii="Arial" w:hAnsi="Arial" w:cs="Arial"/>
          <w:color w:val="000000" w:themeColor="text1"/>
          <w:kern w:val="0"/>
          <w:sz w:val="22"/>
          <w:szCs w:val="22"/>
          <w14:ligatures w14:val="none"/>
        </w:rPr>
        <w:t>Lulia</w:t>
      </w:r>
      <w:proofErr w:type="spellEnd"/>
      <w:r w:rsidRPr="005B7ABE">
        <w:rPr>
          <w:rFonts w:ascii="Arial" w:hAnsi="Arial" w:cs="Arial"/>
          <w:color w:val="000000" w:themeColor="text1"/>
          <w:kern w:val="0"/>
          <w:sz w:val="22"/>
          <w:szCs w:val="22"/>
          <w14:ligatures w14:val="none"/>
        </w:rPr>
        <w:t xml:space="preserve"> et al., 2023).</w:t>
      </w:r>
    </w:p>
    <w:p w14:paraId="595B86B3" w14:textId="77777777" w:rsidR="004E1830" w:rsidRPr="00A066B0" w:rsidRDefault="004E1830" w:rsidP="0020706C">
      <w:pPr>
        <w:spacing w:before="100" w:beforeAutospacing="1" w:after="100" w:afterAutospacing="1" w:line="360" w:lineRule="auto"/>
        <w:jc w:val="both"/>
        <w:outlineLvl w:val="1"/>
        <w:rPr>
          <w:rFonts w:ascii="Arial" w:eastAsia="Times New Roman" w:hAnsi="Arial" w:cs="Arial"/>
          <w:b/>
          <w:bCs/>
          <w:color w:val="000000" w:themeColor="text1"/>
          <w:kern w:val="0"/>
          <w:sz w:val="22"/>
          <w:szCs w:val="22"/>
          <w14:ligatures w14:val="none"/>
        </w:rPr>
      </w:pPr>
      <w:r w:rsidRPr="00A066B0">
        <w:rPr>
          <w:rFonts w:ascii="Arial" w:eastAsia="Times New Roman" w:hAnsi="Arial" w:cs="Arial"/>
          <w:b/>
          <w:bCs/>
          <w:color w:val="000000" w:themeColor="text1"/>
          <w:kern w:val="0"/>
          <w:sz w:val="22"/>
          <w:szCs w:val="22"/>
          <w14:ligatures w14:val="none"/>
        </w:rPr>
        <w:t>Conclusion and Recommendations</w:t>
      </w:r>
    </w:p>
    <w:p w14:paraId="274B5A1E" w14:textId="77777777" w:rsidR="004E1830" w:rsidRPr="005B7ABE" w:rsidRDefault="004E1830" w:rsidP="0020706C">
      <w:pPr>
        <w:spacing w:before="100" w:beforeAutospacing="1" w:after="100" w:afterAutospacing="1" w:line="360" w:lineRule="auto"/>
        <w:jc w:val="both"/>
        <w:rPr>
          <w:rFonts w:ascii="Arial" w:hAnsi="Arial" w:cs="Arial"/>
          <w:color w:val="000000" w:themeColor="text1"/>
          <w:kern w:val="0"/>
          <w:sz w:val="22"/>
          <w:szCs w:val="22"/>
          <w14:ligatures w14:val="none"/>
        </w:rPr>
      </w:pPr>
    </w:p>
    <w:p w14:paraId="24F6A846" w14:textId="3CE7B988" w:rsidR="004E1830" w:rsidRPr="005B7ABE" w:rsidRDefault="004E1830" w:rsidP="0020706C">
      <w:pPr>
        <w:spacing w:before="100" w:beforeAutospacing="1" w:after="100" w:afterAutospacing="1" w:line="360" w:lineRule="auto"/>
        <w:jc w:val="both"/>
        <w:rPr>
          <w:rFonts w:ascii="Arial" w:hAnsi="Arial" w:cs="Arial"/>
          <w:color w:val="000000" w:themeColor="text1"/>
          <w:kern w:val="0"/>
          <w:sz w:val="22"/>
          <w:szCs w:val="22"/>
          <w14:ligatures w14:val="none"/>
        </w:rPr>
      </w:pPr>
      <w:r w:rsidRPr="005B7ABE">
        <w:rPr>
          <w:rFonts w:ascii="Arial" w:hAnsi="Arial" w:cs="Arial"/>
          <w:color w:val="000000" w:themeColor="text1"/>
          <w:kern w:val="0"/>
          <w:sz w:val="22"/>
          <w:szCs w:val="22"/>
          <w14:ligatures w14:val="none"/>
        </w:rPr>
        <w:lastRenderedPageBreak/>
        <w:t>This review demonstrates that obesity management in the UK is constrained less by a lack of available treatments and more by systemic failures in access, delivery, and equity (</w:t>
      </w:r>
      <w:proofErr w:type="spellStart"/>
      <w:r w:rsidRPr="005B7ABE">
        <w:rPr>
          <w:rFonts w:ascii="Arial" w:hAnsi="Arial" w:cs="Arial"/>
          <w:color w:val="000000" w:themeColor="text1"/>
          <w:kern w:val="0"/>
          <w:sz w:val="22"/>
          <w:szCs w:val="22"/>
          <w14:ligatures w14:val="none"/>
        </w:rPr>
        <w:t>Coulman</w:t>
      </w:r>
      <w:proofErr w:type="spellEnd"/>
      <w:r w:rsidRPr="005B7ABE">
        <w:rPr>
          <w:rFonts w:ascii="Arial" w:hAnsi="Arial" w:cs="Arial"/>
          <w:color w:val="000000" w:themeColor="text1"/>
          <w:kern w:val="0"/>
          <w:sz w:val="22"/>
          <w:szCs w:val="22"/>
          <w14:ligatures w14:val="none"/>
        </w:rPr>
        <w:t xml:space="preserve"> et al., 2023; </w:t>
      </w:r>
      <w:proofErr w:type="spellStart"/>
      <w:r w:rsidRPr="005B7ABE">
        <w:rPr>
          <w:rFonts w:ascii="Arial" w:hAnsi="Arial" w:cs="Arial"/>
          <w:color w:val="000000" w:themeColor="text1"/>
          <w:kern w:val="0"/>
          <w:sz w:val="22"/>
          <w:szCs w:val="22"/>
          <w14:ligatures w14:val="none"/>
        </w:rPr>
        <w:t>Parretti</w:t>
      </w:r>
      <w:proofErr w:type="spellEnd"/>
      <w:r w:rsidRPr="005B7ABE">
        <w:rPr>
          <w:rFonts w:ascii="Arial" w:hAnsi="Arial" w:cs="Arial"/>
          <w:color w:val="000000" w:themeColor="text1"/>
          <w:kern w:val="0"/>
          <w:sz w:val="22"/>
          <w:szCs w:val="22"/>
          <w14:ligatures w14:val="none"/>
        </w:rPr>
        <w:t xml:space="preserve"> et al., 2026). While interventions can produce short-term weight loss (Martins et al., 2020), they do not consistently alter long-term disease trajectories, as obesity-related complications continue to increase over time (</w:t>
      </w:r>
      <w:proofErr w:type="spellStart"/>
      <w:r w:rsidRPr="005B7ABE">
        <w:rPr>
          <w:rFonts w:ascii="Arial" w:hAnsi="Arial" w:cs="Arial"/>
          <w:color w:val="000000" w:themeColor="text1"/>
          <w:kern w:val="0"/>
          <w:sz w:val="22"/>
          <w:szCs w:val="22"/>
          <w14:ligatures w14:val="none"/>
        </w:rPr>
        <w:t>Haase</w:t>
      </w:r>
      <w:proofErr w:type="spellEnd"/>
      <w:r w:rsidRPr="005B7ABE">
        <w:rPr>
          <w:rFonts w:ascii="Arial" w:hAnsi="Arial" w:cs="Arial"/>
          <w:color w:val="000000" w:themeColor="text1"/>
          <w:kern w:val="0"/>
          <w:sz w:val="22"/>
          <w:szCs w:val="22"/>
          <w14:ligatures w14:val="none"/>
        </w:rPr>
        <w:t xml:space="preserve"> et al., 2021; </w:t>
      </w:r>
      <w:proofErr w:type="spellStart"/>
      <w:r w:rsidRPr="005B7ABE">
        <w:rPr>
          <w:rFonts w:ascii="Arial" w:hAnsi="Arial" w:cs="Arial"/>
          <w:color w:val="000000" w:themeColor="text1"/>
          <w:kern w:val="0"/>
          <w:sz w:val="22"/>
          <w:szCs w:val="22"/>
          <w14:ligatures w14:val="none"/>
        </w:rPr>
        <w:t>Pearson-Stuttard</w:t>
      </w:r>
      <w:proofErr w:type="spellEnd"/>
      <w:r w:rsidRPr="005B7ABE">
        <w:rPr>
          <w:rFonts w:ascii="Arial" w:hAnsi="Arial" w:cs="Arial"/>
          <w:color w:val="000000" w:themeColor="text1"/>
          <w:kern w:val="0"/>
          <w:sz w:val="22"/>
          <w:szCs w:val="22"/>
          <w14:ligatures w14:val="none"/>
        </w:rPr>
        <w:t xml:space="preserve"> et al., 2024). This indicates that current approaches are clinically effective in isolation but insufficient at a population level.</w:t>
      </w:r>
    </w:p>
    <w:p w14:paraId="5EE06640" w14:textId="20C56263" w:rsidR="004E1830" w:rsidRPr="005B7ABE" w:rsidRDefault="004E1830" w:rsidP="0020706C">
      <w:pPr>
        <w:spacing w:before="100" w:beforeAutospacing="1" w:after="100" w:afterAutospacing="1" w:line="360" w:lineRule="auto"/>
        <w:jc w:val="both"/>
        <w:rPr>
          <w:rFonts w:ascii="Arial" w:hAnsi="Arial" w:cs="Arial"/>
          <w:color w:val="000000" w:themeColor="text1"/>
          <w:kern w:val="0"/>
          <w:sz w:val="22"/>
          <w:szCs w:val="22"/>
          <w14:ligatures w14:val="none"/>
        </w:rPr>
      </w:pPr>
      <w:r w:rsidRPr="005B7ABE">
        <w:rPr>
          <w:rFonts w:ascii="Arial" w:hAnsi="Arial" w:cs="Arial"/>
          <w:color w:val="000000" w:themeColor="text1"/>
          <w:kern w:val="0"/>
          <w:sz w:val="22"/>
          <w:szCs w:val="22"/>
          <w14:ligatures w14:val="none"/>
        </w:rPr>
        <w:t>Access to care represents a central limitation. Under-recognition in primary care, low referral rates, and regional variation demonstrate that eligibility does not translate into treatment (</w:t>
      </w:r>
      <w:proofErr w:type="spellStart"/>
      <w:r w:rsidRPr="005B7ABE">
        <w:rPr>
          <w:rFonts w:ascii="Arial" w:hAnsi="Arial" w:cs="Arial"/>
          <w:color w:val="000000" w:themeColor="text1"/>
          <w:kern w:val="0"/>
          <w:sz w:val="22"/>
          <w:szCs w:val="22"/>
          <w14:ligatures w14:val="none"/>
        </w:rPr>
        <w:t>Coulman</w:t>
      </w:r>
      <w:proofErr w:type="spellEnd"/>
      <w:r w:rsidRPr="005B7ABE">
        <w:rPr>
          <w:rFonts w:ascii="Arial" w:hAnsi="Arial" w:cs="Arial"/>
          <w:color w:val="000000" w:themeColor="text1"/>
          <w:kern w:val="0"/>
          <w:sz w:val="22"/>
          <w:szCs w:val="22"/>
          <w14:ligatures w14:val="none"/>
        </w:rPr>
        <w:t xml:space="preserve"> et al., 2023; McLaughlin et al., 2017). Consequently, obesity care operates within a fragmented and inequitable system that contradicts national policy expectations (NICE, 2026; NHS Long Term Plan, 2025). These limitations are further reinforced by socioeconomic inequalities, with deprivation, food insecurity, and environmental factors shaping both obesity risk and access to care (</w:t>
      </w:r>
      <w:proofErr w:type="spellStart"/>
      <w:r w:rsidRPr="005B7ABE">
        <w:rPr>
          <w:rFonts w:ascii="Arial" w:hAnsi="Arial" w:cs="Arial"/>
          <w:color w:val="000000" w:themeColor="text1"/>
          <w:kern w:val="0"/>
          <w:sz w:val="22"/>
          <w:szCs w:val="22"/>
          <w14:ligatures w14:val="none"/>
        </w:rPr>
        <w:t>Heald</w:t>
      </w:r>
      <w:proofErr w:type="spellEnd"/>
      <w:r w:rsidRPr="005B7ABE">
        <w:rPr>
          <w:rFonts w:ascii="Arial" w:hAnsi="Arial" w:cs="Arial"/>
          <w:color w:val="000000" w:themeColor="text1"/>
          <w:kern w:val="0"/>
          <w:sz w:val="22"/>
          <w:szCs w:val="22"/>
          <w14:ligatures w14:val="none"/>
        </w:rPr>
        <w:t xml:space="preserve"> et al., 2024; Briggs et al., 2024; The Health Foundation, 2025). This challenges individualised models of obesity and highlights the inadequacy of behaviour-focused interventions alone.</w:t>
      </w:r>
    </w:p>
    <w:p w14:paraId="0A89C662" w14:textId="4F5C2A7C" w:rsidR="004E1830" w:rsidRPr="005B7ABE" w:rsidRDefault="004E1830" w:rsidP="0020706C">
      <w:pPr>
        <w:spacing w:before="100" w:beforeAutospacing="1" w:after="100" w:afterAutospacing="1" w:line="360" w:lineRule="auto"/>
        <w:jc w:val="both"/>
        <w:rPr>
          <w:rFonts w:ascii="Arial" w:hAnsi="Arial" w:cs="Arial"/>
          <w:color w:val="000000" w:themeColor="text1"/>
          <w:kern w:val="0"/>
          <w:sz w:val="22"/>
          <w:szCs w:val="22"/>
          <w14:ligatures w14:val="none"/>
        </w:rPr>
      </w:pPr>
      <w:r w:rsidRPr="005B7ABE">
        <w:rPr>
          <w:rFonts w:ascii="Arial" w:hAnsi="Arial" w:cs="Arial"/>
          <w:color w:val="000000" w:themeColor="text1"/>
          <w:kern w:val="0"/>
          <w:sz w:val="22"/>
          <w:szCs w:val="22"/>
          <w14:ligatures w14:val="none"/>
        </w:rPr>
        <w:t>Policy frameworks promote whole-system approaches; however, implementation remains disproportionately focused on lower-intensity interventions, with insufficient provision of specialist care (Kelly et al., 2026). As a result, policy ambition is not matched by service delivery.</w:t>
      </w:r>
    </w:p>
    <w:p w14:paraId="3EA74010" w14:textId="1DD6AB92" w:rsidR="004E1830" w:rsidRPr="005B7ABE" w:rsidRDefault="004E1830" w:rsidP="0020706C">
      <w:pPr>
        <w:spacing w:before="100" w:beforeAutospacing="1" w:after="100" w:afterAutospacing="1" w:line="360" w:lineRule="auto"/>
        <w:jc w:val="both"/>
        <w:rPr>
          <w:rFonts w:ascii="Arial" w:hAnsi="Arial" w:cs="Arial"/>
          <w:color w:val="000000" w:themeColor="text1"/>
          <w:kern w:val="0"/>
          <w:sz w:val="22"/>
          <w:szCs w:val="22"/>
          <w14:ligatures w14:val="none"/>
        </w:rPr>
      </w:pPr>
      <w:r w:rsidRPr="005B7ABE">
        <w:rPr>
          <w:rFonts w:ascii="Arial" w:hAnsi="Arial" w:cs="Arial"/>
          <w:color w:val="000000" w:themeColor="text1"/>
          <w:kern w:val="0"/>
          <w:sz w:val="22"/>
          <w:szCs w:val="22"/>
          <w14:ligatures w14:val="none"/>
        </w:rPr>
        <w:t xml:space="preserve">To address these issues, obesity management requires structural reform rather than incremental intervention. Primary care pathways must be strengthened to improve identification and referral (McLaughlin et al., 2017; </w:t>
      </w:r>
      <w:proofErr w:type="spellStart"/>
      <w:r w:rsidRPr="005B7ABE">
        <w:rPr>
          <w:rFonts w:ascii="Arial" w:hAnsi="Arial" w:cs="Arial"/>
          <w:color w:val="000000" w:themeColor="text1"/>
          <w:kern w:val="0"/>
          <w:sz w:val="22"/>
          <w:szCs w:val="22"/>
          <w14:ligatures w14:val="none"/>
        </w:rPr>
        <w:t>Parretti</w:t>
      </w:r>
      <w:proofErr w:type="spellEnd"/>
      <w:r w:rsidRPr="005B7ABE">
        <w:rPr>
          <w:rFonts w:ascii="Arial" w:hAnsi="Arial" w:cs="Arial"/>
          <w:color w:val="000000" w:themeColor="text1"/>
          <w:kern w:val="0"/>
          <w:sz w:val="22"/>
          <w:szCs w:val="22"/>
          <w14:ligatures w14:val="none"/>
        </w:rPr>
        <w:t xml:space="preserve"> et al., 2026), alongside expansion of accessible specialist services (BOMSS, 2024; NICE, 2026). Greater emphasis is needed on addressing socioeconomic determinants, including deprivation and food insecurity, to reduce persistent inequalities (Briggs et al., 2024; The Health Foundation, 2025). Furthermore, digital and pharmacological innovations should be integrated cautiously to avoid reinforcing existing disparities (UK Parliament, 2025).</w:t>
      </w:r>
    </w:p>
    <w:p w14:paraId="31518652" w14:textId="77777777" w:rsidR="004E1830" w:rsidRPr="005B7ABE" w:rsidRDefault="004E1830" w:rsidP="0020706C">
      <w:pPr>
        <w:spacing w:before="100" w:beforeAutospacing="1" w:after="100" w:afterAutospacing="1" w:line="360" w:lineRule="auto"/>
        <w:jc w:val="both"/>
        <w:rPr>
          <w:rFonts w:ascii="Arial" w:hAnsi="Arial" w:cs="Arial"/>
          <w:color w:val="000000" w:themeColor="text1"/>
          <w:kern w:val="0"/>
          <w:sz w:val="22"/>
          <w:szCs w:val="22"/>
          <w14:ligatures w14:val="none"/>
        </w:rPr>
      </w:pPr>
      <w:r w:rsidRPr="005B7ABE">
        <w:rPr>
          <w:rFonts w:ascii="Arial" w:hAnsi="Arial" w:cs="Arial"/>
          <w:color w:val="000000" w:themeColor="text1"/>
          <w:kern w:val="0"/>
          <w:sz w:val="22"/>
          <w:szCs w:val="22"/>
          <w14:ligatures w14:val="none"/>
        </w:rPr>
        <w:t>Future research should prioritise longitudinal and implementation-focused approaches, with greater attention to under-served and high-risk populations, particularly younger adults (</w:t>
      </w:r>
      <w:proofErr w:type="spellStart"/>
      <w:r w:rsidRPr="005B7ABE">
        <w:rPr>
          <w:rFonts w:ascii="Arial" w:hAnsi="Arial" w:cs="Arial"/>
          <w:color w:val="000000" w:themeColor="text1"/>
          <w:kern w:val="0"/>
          <w:sz w:val="22"/>
          <w:szCs w:val="22"/>
          <w14:ligatures w14:val="none"/>
        </w:rPr>
        <w:t>Katsoulis</w:t>
      </w:r>
      <w:proofErr w:type="spellEnd"/>
      <w:r w:rsidRPr="005B7ABE">
        <w:rPr>
          <w:rFonts w:ascii="Arial" w:hAnsi="Arial" w:cs="Arial"/>
          <w:color w:val="000000" w:themeColor="text1"/>
          <w:kern w:val="0"/>
          <w:sz w:val="22"/>
          <w:szCs w:val="22"/>
          <w14:ligatures w14:val="none"/>
        </w:rPr>
        <w:t xml:space="preserve"> et al., 2021). Without such shifts, obesity interventions are unlikely to achieve sustained or equitable impact.</w:t>
      </w:r>
    </w:p>
    <w:p w14:paraId="1123E244" w14:textId="77777777" w:rsidR="004E1830" w:rsidRPr="005B7ABE" w:rsidRDefault="004E1830" w:rsidP="0020706C">
      <w:pPr>
        <w:spacing w:before="100" w:beforeAutospacing="1" w:after="100" w:afterAutospacing="1" w:line="360" w:lineRule="auto"/>
        <w:jc w:val="both"/>
        <w:rPr>
          <w:rFonts w:ascii="Arial" w:hAnsi="Arial" w:cs="Arial"/>
          <w:color w:val="000000" w:themeColor="text1"/>
          <w:kern w:val="0"/>
          <w:sz w:val="22"/>
          <w:szCs w:val="22"/>
          <w14:ligatures w14:val="none"/>
        </w:rPr>
      </w:pPr>
      <w:r w:rsidRPr="005B7ABE">
        <w:rPr>
          <w:rFonts w:ascii="Arial" w:hAnsi="Arial" w:cs="Arial"/>
          <w:color w:val="000000" w:themeColor="text1"/>
          <w:kern w:val="0"/>
          <w:sz w:val="22"/>
          <w:szCs w:val="22"/>
          <w14:ligatures w14:val="none"/>
        </w:rPr>
        <w:lastRenderedPageBreak/>
        <w:t>Overall, effective obesity management in the UK requires a transition from intervention-focused strategies to system-level change addressing access, inequality, and service design simultaneously.</w:t>
      </w:r>
    </w:p>
    <w:p w14:paraId="30523065" w14:textId="57BDEDF3" w:rsidR="00E355F6" w:rsidRPr="005B7ABE" w:rsidRDefault="00E355F6" w:rsidP="0020706C">
      <w:pPr>
        <w:spacing w:line="360" w:lineRule="auto"/>
        <w:jc w:val="both"/>
        <w:rPr>
          <w:rFonts w:ascii="Arial" w:hAnsi="Arial" w:cs="Arial"/>
          <w:color w:val="000000" w:themeColor="text1"/>
          <w:sz w:val="22"/>
          <w:szCs w:val="22"/>
        </w:rPr>
      </w:pPr>
    </w:p>
    <w:p w14:paraId="66E9EC89" w14:textId="2A9909E0" w:rsidR="004E1830" w:rsidRPr="00A066B0" w:rsidRDefault="00B8461A" w:rsidP="0020706C">
      <w:pPr>
        <w:spacing w:line="360" w:lineRule="auto"/>
        <w:jc w:val="both"/>
        <w:rPr>
          <w:rFonts w:ascii="Arial" w:hAnsi="Arial" w:cs="Arial"/>
          <w:b/>
          <w:bCs/>
          <w:color w:val="000000" w:themeColor="text1"/>
          <w:sz w:val="22"/>
          <w:szCs w:val="22"/>
        </w:rPr>
      </w:pPr>
      <w:r w:rsidRPr="00A066B0">
        <w:rPr>
          <w:rFonts w:ascii="Arial" w:hAnsi="Arial" w:cs="Arial"/>
          <w:b/>
          <w:bCs/>
          <w:color w:val="000000" w:themeColor="text1"/>
          <w:sz w:val="22"/>
          <w:szCs w:val="22"/>
        </w:rPr>
        <w:t>References</w:t>
      </w:r>
    </w:p>
    <w:p w14:paraId="029B826E" w14:textId="77777777" w:rsidR="00B8461A" w:rsidRPr="005B7ABE" w:rsidRDefault="00B8461A" w:rsidP="0020706C">
      <w:pPr>
        <w:spacing w:line="360" w:lineRule="auto"/>
        <w:jc w:val="both"/>
        <w:rPr>
          <w:rFonts w:ascii="Arial" w:hAnsi="Arial" w:cs="Arial"/>
          <w:color w:val="000000" w:themeColor="text1"/>
          <w:sz w:val="22"/>
          <w:szCs w:val="22"/>
        </w:rPr>
      </w:pPr>
    </w:p>
    <w:p w14:paraId="2A9950E9" w14:textId="77777777" w:rsidR="008B2645" w:rsidRPr="005B7ABE" w:rsidRDefault="008B2645" w:rsidP="0020706C">
      <w:pPr>
        <w:spacing w:line="360" w:lineRule="auto"/>
        <w:jc w:val="both"/>
        <w:rPr>
          <w:rFonts w:ascii="Arial" w:hAnsi="Arial" w:cs="Arial"/>
          <w:color w:val="000000" w:themeColor="text1"/>
          <w:sz w:val="22"/>
          <w:szCs w:val="22"/>
        </w:rPr>
      </w:pPr>
      <w:r w:rsidRPr="005B7ABE">
        <w:rPr>
          <w:rFonts w:ascii="Arial" w:hAnsi="Arial" w:cs="Arial"/>
          <w:color w:val="000000" w:themeColor="text1"/>
          <w:sz w:val="22"/>
          <w:szCs w:val="22"/>
        </w:rPr>
        <w:t xml:space="preserve">Office for Health Improvement and Disparities (2024) </w:t>
      </w:r>
      <w:r w:rsidRPr="00A066B0">
        <w:rPr>
          <w:rFonts w:ascii="Arial" w:hAnsi="Arial" w:cs="Arial"/>
          <w:i/>
          <w:iCs/>
          <w:color w:val="000000" w:themeColor="text1"/>
          <w:sz w:val="22"/>
          <w:szCs w:val="22"/>
        </w:rPr>
        <w:t>Obesity profile: short statistical commentary.</w:t>
      </w:r>
      <w:r w:rsidRPr="005B7ABE">
        <w:rPr>
          <w:rFonts w:ascii="Arial" w:hAnsi="Arial" w:cs="Arial"/>
          <w:color w:val="000000" w:themeColor="text1"/>
          <w:sz w:val="22"/>
          <w:szCs w:val="22"/>
        </w:rPr>
        <w:t xml:space="preserve"> Available at: https://www.gov.uk/government/statistics/update-to-the-obesity-profile-on-fingertips/obesity-profile-short-statistical-commentary-may-2024 (Accessed: 29 March 2026).</w:t>
      </w:r>
    </w:p>
    <w:p w14:paraId="56C1BD1B" w14:textId="77777777" w:rsidR="008B2645" w:rsidRPr="005B7ABE" w:rsidRDefault="008B2645" w:rsidP="0020706C">
      <w:pPr>
        <w:spacing w:line="360" w:lineRule="auto"/>
        <w:jc w:val="both"/>
        <w:rPr>
          <w:rFonts w:ascii="Arial" w:hAnsi="Arial" w:cs="Arial"/>
          <w:color w:val="000000" w:themeColor="text1"/>
          <w:sz w:val="22"/>
          <w:szCs w:val="22"/>
        </w:rPr>
      </w:pPr>
    </w:p>
    <w:p w14:paraId="61809311" w14:textId="77777777" w:rsidR="008B2645" w:rsidRPr="005B7ABE" w:rsidRDefault="008B2645" w:rsidP="0020706C">
      <w:pPr>
        <w:spacing w:line="360" w:lineRule="auto"/>
        <w:jc w:val="both"/>
        <w:rPr>
          <w:rFonts w:ascii="Arial" w:hAnsi="Arial" w:cs="Arial"/>
          <w:color w:val="000000" w:themeColor="text1"/>
          <w:sz w:val="22"/>
          <w:szCs w:val="22"/>
        </w:rPr>
      </w:pPr>
      <w:r w:rsidRPr="005B7ABE">
        <w:rPr>
          <w:rFonts w:ascii="Arial" w:hAnsi="Arial" w:cs="Arial"/>
          <w:color w:val="000000" w:themeColor="text1"/>
          <w:sz w:val="22"/>
          <w:szCs w:val="22"/>
        </w:rPr>
        <w:t xml:space="preserve">Ahmed, S.K. and Mohammed, R.A. (2025) ‘Obesity: prevalence, causes, consequences, management, preventive strategies and future research directions’, </w:t>
      </w:r>
      <w:r w:rsidRPr="00A066B0">
        <w:rPr>
          <w:rFonts w:ascii="Arial" w:hAnsi="Arial" w:cs="Arial"/>
          <w:i/>
          <w:iCs/>
          <w:color w:val="000000" w:themeColor="text1"/>
          <w:sz w:val="22"/>
          <w:szCs w:val="22"/>
        </w:rPr>
        <w:t>Metabolism Open</w:t>
      </w:r>
      <w:r w:rsidRPr="005B7ABE">
        <w:rPr>
          <w:rFonts w:ascii="Arial" w:hAnsi="Arial" w:cs="Arial"/>
          <w:color w:val="000000" w:themeColor="text1"/>
          <w:sz w:val="22"/>
          <w:szCs w:val="22"/>
        </w:rPr>
        <w:t xml:space="preserve">, 27. Available at: </w:t>
      </w:r>
      <w:proofErr w:type="spellStart"/>
      <w:r w:rsidRPr="005B7ABE">
        <w:rPr>
          <w:rFonts w:ascii="Arial" w:hAnsi="Arial" w:cs="Arial"/>
          <w:color w:val="000000" w:themeColor="text1"/>
          <w:sz w:val="22"/>
          <w:szCs w:val="22"/>
        </w:rPr>
        <w:t>doi:10.1016</w:t>
      </w:r>
      <w:proofErr w:type="spellEnd"/>
      <w:r w:rsidRPr="005B7ABE">
        <w:rPr>
          <w:rFonts w:ascii="Arial" w:hAnsi="Arial" w:cs="Arial"/>
          <w:color w:val="000000" w:themeColor="text1"/>
          <w:sz w:val="22"/>
          <w:szCs w:val="22"/>
        </w:rPr>
        <w:t>/</w:t>
      </w:r>
      <w:proofErr w:type="spellStart"/>
      <w:r w:rsidRPr="005B7ABE">
        <w:rPr>
          <w:rFonts w:ascii="Arial" w:hAnsi="Arial" w:cs="Arial"/>
          <w:color w:val="000000" w:themeColor="text1"/>
          <w:sz w:val="22"/>
          <w:szCs w:val="22"/>
        </w:rPr>
        <w:t>j.metop.2025.100375</w:t>
      </w:r>
      <w:proofErr w:type="spellEnd"/>
      <w:r w:rsidRPr="005B7ABE">
        <w:rPr>
          <w:rFonts w:ascii="Arial" w:hAnsi="Arial" w:cs="Arial"/>
          <w:color w:val="000000" w:themeColor="text1"/>
          <w:sz w:val="22"/>
          <w:szCs w:val="22"/>
        </w:rPr>
        <w:t>.</w:t>
      </w:r>
    </w:p>
    <w:p w14:paraId="1C96E059" w14:textId="77777777" w:rsidR="008B2645" w:rsidRPr="005B7ABE" w:rsidRDefault="008B2645" w:rsidP="0020706C">
      <w:pPr>
        <w:spacing w:line="360" w:lineRule="auto"/>
        <w:jc w:val="both"/>
        <w:rPr>
          <w:rFonts w:ascii="Arial" w:hAnsi="Arial" w:cs="Arial"/>
          <w:color w:val="000000" w:themeColor="text1"/>
          <w:sz w:val="22"/>
          <w:szCs w:val="22"/>
        </w:rPr>
      </w:pPr>
    </w:p>
    <w:p w14:paraId="632982C2" w14:textId="77777777" w:rsidR="008B2645" w:rsidRPr="005B7ABE" w:rsidRDefault="008B2645" w:rsidP="0020706C">
      <w:pPr>
        <w:spacing w:line="360" w:lineRule="auto"/>
        <w:jc w:val="both"/>
        <w:rPr>
          <w:rFonts w:ascii="Arial" w:hAnsi="Arial" w:cs="Arial"/>
          <w:color w:val="000000" w:themeColor="text1"/>
          <w:sz w:val="22"/>
          <w:szCs w:val="22"/>
        </w:rPr>
      </w:pPr>
      <w:r w:rsidRPr="005B7ABE">
        <w:rPr>
          <w:rFonts w:ascii="Arial" w:hAnsi="Arial" w:cs="Arial"/>
          <w:color w:val="000000" w:themeColor="text1"/>
          <w:sz w:val="22"/>
          <w:szCs w:val="22"/>
        </w:rPr>
        <w:t xml:space="preserve">National Health Service (2023) </w:t>
      </w:r>
      <w:r w:rsidRPr="00E03211">
        <w:rPr>
          <w:rFonts w:ascii="Arial" w:hAnsi="Arial" w:cs="Arial"/>
          <w:i/>
          <w:iCs/>
          <w:color w:val="000000" w:themeColor="text1"/>
          <w:sz w:val="22"/>
          <w:szCs w:val="22"/>
        </w:rPr>
        <w:t>Obesity.</w:t>
      </w:r>
      <w:r w:rsidRPr="005B7ABE">
        <w:rPr>
          <w:rFonts w:ascii="Arial" w:hAnsi="Arial" w:cs="Arial"/>
          <w:color w:val="000000" w:themeColor="text1"/>
          <w:sz w:val="22"/>
          <w:szCs w:val="22"/>
        </w:rPr>
        <w:t xml:space="preserve"> Available at: https://www.nhs.uk/conditions/obesity/ (Accessed: 29 March 2026).</w:t>
      </w:r>
    </w:p>
    <w:p w14:paraId="4A8A30CE" w14:textId="77777777" w:rsidR="008B2645" w:rsidRPr="005B7ABE" w:rsidRDefault="008B2645" w:rsidP="0020706C">
      <w:pPr>
        <w:spacing w:line="360" w:lineRule="auto"/>
        <w:jc w:val="both"/>
        <w:rPr>
          <w:rFonts w:ascii="Arial" w:hAnsi="Arial" w:cs="Arial"/>
          <w:color w:val="000000" w:themeColor="text1"/>
          <w:sz w:val="22"/>
          <w:szCs w:val="22"/>
        </w:rPr>
      </w:pPr>
    </w:p>
    <w:p w14:paraId="327F30FE" w14:textId="77777777" w:rsidR="008B2645" w:rsidRPr="005B7ABE" w:rsidRDefault="008B2645" w:rsidP="0020706C">
      <w:pPr>
        <w:spacing w:line="360" w:lineRule="auto"/>
        <w:jc w:val="both"/>
        <w:rPr>
          <w:rFonts w:ascii="Arial" w:hAnsi="Arial" w:cs="Arial"/>
          <w:color w:val="000000" w:themeColor="text1"/>
          <w:sz w:val="22"/>
          <w:szCs w:val="22"/>
        </w:rPr>
      </w:pPr>
      <w:proofErr w:type="spellStart"/>
      <w:r w:rsidRPr="005B7ABE">
        <w:rPr>
          <w:rFonts w:ascii="Arial" w:hAnsi="Arial" w:cs="Arial"/>
          <w:color w:val="000000" w:themeColor="text1"/>
          <w:sz w:val="22"/>
          <w:szCs w:val="22"/>
        </w:rPr>
        <w:t>Haase</w:t>
      </w:r>
      <w:proofErr w:type="spellEnd"/>
      <w:r w:rsidRPr="005B7ABE">
        <w:rPr>
          <w:rFonts w:ascii="Arial" w:hAnsi="Arial" w:cs="Arial"/>
          <w:color w:val="000000" w:themeColor="text1"/>
          <w:sz w:val="22"/>
          <w:szCs w:val="22"/>
        </w:rPr>
        <w:t xml:space="preserve">, C.L., </w:t>
      </w:r>
      <w:proofErr w:type="spellStart"/>
      <w:r w:rsidRPr="005B7ABE">
        <w:rPr>
          <w:rFonts w:ascii="Arial" w:hAnsi="Arial" w:cs="Arial"/>
          <w:color w:val="000000" w:themeColor="text1"/>
          <w:sz w:val="22"/>
          <w:szCs w:val="22"/>
        </w:rPr>
        <w:t>Eriksen</w:t>
      </w:r>
      <w:proofErr w:type="spellEnd"/>
      <w:r w:rsidRPr="005B7ABE">
        <w:rPr>
          <w:rFonts w:ascii="Arial" w:hAnsi="Arial" w:cs="Arial"/>
          <w:color w:val="000000" w:themeColor="text1"/>
          <w:sz w:val="22"/>
          <w:szCs w:val="22"/>
        </w:rPr>
        <w:t xml:space="preserve">, K.T., Lopes, S., </w:t>
      </w:r>
      <w:proofErr w:type="spellStart"/>
      <w:r w:rsidRPr="005B7ABE">
        <w:rPr>
          <w:rFonts w:ascii="Arial" w:hAnsi="Arial" w:cs="Arial"/>
          <w:color w:val="000000" w:themeColor="text1"/>
          <w:sz w:val="22"/>
          <w:szCs w:val="22"/>
        </w:rPr>
        <w:t>Satylganova</w:t>
      </w:r>
      <w:proofErr w:type="spellEnd"/>
      <w:r w:rsidRPr="005B7ABE">
        <w:rPr>
          <w:rFonts w:ascii="Arial" w:hAnsi="Arial" w:cs="Arial"/>
          <w:color w:val="000000" w:themeColor="text1"/>
          <w:sz w:val="22"/>
          <w:szCs w:val="22"/>
        </w:rPr>
        <w:t xml:space="preserve">, A., </w:t>
      </w:r>
      <w:proofErr w:type="spellStart"/>
      <w:r w:rsidRPr="005B7ABE">
        <w:rPr>
          <w:rFonts w:ascii="Arial" w:hAnsi="Arial" w:cs="Arial"/>
          <w:color w:val="000000" w:themeColor="text1"/>
          <w:sz w:val="22"/>
          <w:szCs w:val="22"/>
        </w:rPr>
        <w:t>Schnecke</w:t>
      </w:r>
      <w:proofErr w:type="spellEnd"/>
      <w:r w:rsidRPr="005B7ABE">
        <w:rPr>
          <w:rFonts w:ascii="Arial" w:hAnsi="Arial" w:cs="Arial"/>
          <w:color w:val="000000" w:themeColor="text1"/>
          <w:sz w:val="22"/>
          <w:szCs w:val="22"/>
        </w:rPr>
        <w:t xml:space="preserve">, V. and McEwan, P. (2021) Body mass index and risk of obesity-related conditions in a cohort of 2.9 million people: evidence from the UK Clinical Practice Research Datalink, </w:t>
      </w:r>
      <w:r w:rsidRPr="00E03211">
        <w:rPr>
          <w:rFonts w:ascii="Arial" w:hAnsi="Arial" w:cs="Arial"/>
          <w:i/>
          <w:iCs/>
          <w:color w:val="000000" w:themeColor="text1"/>
          <w:sz w:val="22"/>
          <w:szCs w:val="22"/>
        </w:rPr>
        <w:t>Obesity Science &amp; Practice</w:t>
      </w:r>
      <w:r w:rsidRPr="005B7ABE">
        <w:rPr>
          <w:rFonts w:ascii="Arial" w:hAnsi="Arial" w:cs="Arial"/>
          <w:color w:val="000000" w:themeColor="text1"/>
          <w:sz w:val="22"/>
          <w:szCs w:val="22"/>
        </w:rPr>
        <w:t xml:space="preserve">, 7(2), pp. 137–147. Available at: </w:t>
      </w:r>
      <w:proofErr w:type="spellStart"/>
      <w:r w:rsidRPr="005B7ABE">
        <w:rPr>
          <w:rFonts w:ascii="Arial" w:hAnsi="Arial" w:cs="Arial"/>
          <w:color w:val="000000" w:themeColor="text1"/>
          <w:sz w:val="22"/>
          <w:szCs w:val="22"/>
        </w:rPr>
        <w:t>doi</w:t>
      </w:r>
      <w:proofErr w:type="spellEnd"/>
      <w:r w:rsidRPr="005B7ABE">
        <w:rPr>
          <w:rFonts w:ascii="Arial" w:hAnsi="Arial" w:cs="Arial"/>
          <w:color w:val="000000" w:themeColor="text1"/>
          <w:sz w:val="22"/>
          <w:szCs w:val="22"/>
        </w:rPr>
        <w:t>: 10.1002/</w:t>
      </w:r>
      <w:proofErr w:type="spellStart"/>
      <w:r w:rsidRPr="005B7ABE">
        <w:rPr>
          <w:rFonts w:ascii="Arial" w:hAnsi="Arial" w:cs="Arial"/>
          <w:color w:val="000000" w:themeColor="text1"/>
          <w:sz w:val="22"/>
          <w:szCs w:val="22"/>
        </w:rPr>
        <w:t>osp4.474</w:t>
      </w:r>
      <w:proofErr w:type="spellEnd"/>
    </w:p>
    <w:p w14:paraId="5487582A" w14:textId="77777777" w:rsidR="008B2645" w:rsidRPr="005B7ABE" w:rsidRDefault="008B2645" w:rsidP="0020706C">
      <w:pPr>
        <w:spacing w:line="360" w:lineRule="auto"/>
        <w:jc w:val="both"/>
        <w:rPr>
          <w:rFonts w:ascii="Arial" w:hAnsi="Arial" w:cs="Arial"/>
          <w:color w:val="000000" w:themeColor="text1"/>
          <w:sz w:val="22"/>
          <w:szCs w:val="22"/>
        </w:rPr>
      </w:pPr>
    </w:p>
    <w:p w14:paraId="674E1F91" w14:textId="77777777" w:rsidR="008B2645" w:rsidRPr="005B7ABE" w:rsidRDefault="008B2645" w:rsidP="0020706C">
      <w:pPr>
        <w:spacing w:line="360" w:lineRule="auto"/>
        <w:jc w:val="both"/>
        <w:rPr>
          <w:rFonts w:ascii="Arial" w:hAnsi="Arial" w:cs="Arial"/>
          <w:color w:val="000000" w:themeColor="text1"/>
          <w:sz w:val="22"/>
          <w:szCs w:val="22"/>
        </w:rPr>
      </w:pPr>
      <w:proofErr w:type="spellStart"/>
      <w:r w:rsidRPr="005B7ABE">
        <w:rPr>
          <w:rFonts w:ascii="Arial" w:hAnsi="Arial" w:cs="Arial"/>
          <w:color w:val="000000" w:themeColor="text1"/>
          <w:sz w:val="22"/>
          <w:szCs w:val="22"/>
        </w:rPr>
        <w:t>Lulia</w:t>
      </w:r>
      <w:proofErr w:type="spellEnd"/>
      <w:r w:rsidRPr="005B7ABE">
        <w:rPr>
          <w:rFonts w:ascii="Arial" w:hAnsi="Arial" w:cs="Arial"/>
          <w:color w:val="000000" w:themeColor="text1"/>
          <w:sz w:val="22"/>
          <w:szCs w:val="22"/>
        </w:rPr>
        <w:t xml:space="preserve">, M., </w:t>
      </w:r>
      <w:proofErr w:type="spellStart"/>
      <w:r w:rsidRPr="005B7ABE">
        <w:rPr>
          <w:rFonts w:ascii="Arial" w:hAnsi="Arial" w:cs="Arial"/>
          <w:color w:val="000000" w:themeColor="text1"/>
          <w:sz w:val="22"/>
          <w:szCs w:val="22"/>
        </w:rPr>
        <w:t>Yeob</w:t>
      </w:r>
      <w:proofErr w:type="spellEnd"/>
      <w:r w:rsidRPr="005B7ABE">
        <w:rPr>
          <w:rFonts w:ascii="Arial" w:hAnsi="Arial" w:cs="Arial"/>
          <w:color w:val="000000" w:themeColor="text1"/>
          <w:sz w:val="22"/>
          <w:szCs w:val="22"/>
        </w:rPr>
        <w:t xml:space="preserve">, G., Farrell, E., Ogden, J., </w:t>
      </w:r>
      <w:proofErr w:type="spellStart"/>
      <w:r w:rsidRPr="005B7ABE">
        <w:rPr>
          <w:rFonts w:ascii="Arial" w:hAnsi="Arial" w:cs="Arial"/>
          <w:color w:val="000000" w:themeColor="text1"/>
          <w:sz w:val="22"/>
          <w:szCs w:val="22"/>
        </w:rPr>
        <w:t>Parrettie</w:t>
      </w:r>
      <w:proofErr w:type="spellEnd"/>
      <w:r w:rsidRPr="005B7ABE">
        <w:rPr>
          <w:rFonts w:ascii="Arial" w:hAnsi="Arial" w:cs="Arial"/>
          <w:color w:val="000000" w:themeColor="text1"/>
          <w:sz w:val="22"/>
          <w:szCs w:val="22"/>
        </w:rPr>
        <w:t xml:space="preserve">, H., </w:t>
      </w:r>
      <w:proofErr w:type="spellStart"/>
      <w:r w:rsidRPr="005B7ABE">
        <w:rPr>
          <w:rFonts w:ascii="Arial" w:hAnsi="Arial" w:cs="Arial"/>
          <w:color w:val="000000" w:themeColor="text1"/>
          <w:sz w:val="22"/>
          <w:szCs w:val="22"/>
        </w:rPr>
        <w:t>Frewf</w:t>
      </w:r>
      <w:proofErr w:type="spellEnd"/>
      <w:r w:rsidRPr="005B7ABE">
        <w:rPr>
          <w:rFonts w:ascii="Arial" w:hAnsi="Arial" w:cs="Arial"/>
          <w:color w:val="000000" w:themeColor="text1"/>
          <w:sz w:val="22"/>
          <w:szCs w:val="22"/>
        </w:rPr>
        <w:t xml:space="preserve">, E., </w:t>
      </w:r>
      <w:proofErr w:type="spellStart"/>
      <w:r w:rsidRPr="005B7ABE">
        <w:rPr>
          <w:rFonts w:ascii="Arial" w:hAnsi="Arial" w:cs="Arial"/>
          <w:color w:val="000000" w:themeColor="text1"/>
          <w:sz w:val="22"/>
          <w:szCs w:val="22"/>
        </w:rPr>
        <w:t>Bevang</w:t>
      </w:r>
      <w:proofErr w:type="spellEnd"/>
      <w:r w:rsidRPr="005B7ABE">
        <w:rPr>
          <w:rFonts w:ascii="Arial" w:hAnsi="Arial" w:cs="Arial"/>
          <w:color w:val="000000" w:themeColor="text1"/>
          <w:sz w:val="22"/>
          <w:szCs w:val="22"/>
        </w:rPr>
        <w:t xml:space="preserve">, S., </w:t>
      </w:r>
      <w:proofErr w:type="spellStart"/>
      <w:r w:rsidRPr="005B7ABE">
        <w:rPr>
          <w:rFonts w:ascii="Arial" w:hAnsi="Arial" w:cs="Arial"/>
          <w:color w:val="000000" w:themeColor="text1"/>
          <w:sz w:val="22"/>
          <w:szCs w:val="22"/>
        </w:rPr>
        <w:t>Brownh</w:t>
      </w:r>
      <w:proofErr w:type="spellEnd"/>
      <w:r w:rsidRPr="005B7ABE">
        <w:rPr>
          <w:rFonts w:ascii="Arial" w:hAnsi="Arial" w:cs="Arial"/>
          <w:color w:val="000000" w:themeColor="text1"/>
          <w:sz w:val="22"/>
          <w:szCs w:val="22"/>
        </w:rPr>
        <w:t xml:space="preserve">, A., </w:t>
      </w:r>
      <w:proofErr w:type="spellStart"/>
      <w:r w:rsidRPr="005B7ABE">
        <w:rPr>
          <w:rFonts w:ascii="Arial" w:hAnsi="Arial" w:cs="Arial"/>
          <w:color w:val="000000" w:themeColor="text1"/>
          <w:sz w:val="22"/>
          <w:szCs w:val="22"/>
        </w:rPr>
        <w:t>Loguei</w:t>
      </w:r>
      <w:proofErr w:type="spellEnd"/>
      <w:r w:rsidRPr="005B7ABE">
        <w:rPr>
          <w:rFonts w:ascii="Arial" w:hAnsi="Arial" w:cs="Arial"/>
          <w:color w:val="000000" w:themeColor="text1"/>
          <w:sz w:val="22"/>
          <w:szCs w:val="22"/>
        </w:rPr>
        <w:t xml:space="preserve">, J., </w:t>
      </w:r>
      <w:proofErr w:type="spellStart"/>
      <w:r w:rsidRPr="005B7ABE">
        <w:rPr>
          <w:rFonts w:ascii="Arial" w:hAnsi="Arial" w:cs="Arial"/>
          <w:color w:val="000000" w:themeColor="text1"/>
          <w:sz w:val="22"/>
          <w:szCs w:val="22"/>
        </w:rPr>
        <w:t>Menonj</w:t>
      </w:r>
      <w:proofErr w:type="spellEnd"/>
      <w:r w:rsidRPr="005B7ABE">
        <w:rPr>
          <w:rFonts w:ascii="Arial" w:hAnsi="Arial" w:cs="Arial"/>
          <w:color w:val="000000" w:themeColor="text1"/>
          <w:sz w:val="22"/>
          <w:szCs w:val="22"/>
        </w:rPr>
        <w:t xml:space="preserve">, V., </w:t>
      </w:r>
      <w:proofErr w:type="spellStart"/>
      <w:r w:rsidRPr="005B7ABE">
        <w:rPr>
          <w:rFonts w:ascii="Arial" w:hAnsi="Arial" w:cs="Arial"/>
          <w:color w:val="000000" w:themeColor="text1"/>
          <w:sz w:val="22"/>
          <w:szCs w:val="22"/>
        </w:rPr>
        <w:t>Isackk</w:t>
      </w:r>
      <w:proofErr w:type="spellEnd"/>
      <w:r w:rsidRPr="005B7ABE">
        <w:rPr>
          <w:rFonts w:ascii="Arial" w:hAnsi="Arial" w:cs="Arial"/>
          <w:color w:val="000000" w:themeColor="text1"/>
          <w:sz w:val="22"/>
          <w:szCs w:val="22"/>
        </w:rPr>
        <w:t xml:space="preserve">, N., </w:t>
      </w:r>
      <w:proofErr w:type="spellStart"/>
      <w:r w:rsidRPr="005B7ABE">
        <w:rPr>
          <w:rFonts w:ascii="Arial" w:hAnsi="Arial" w:cs="Arial"/>
          <w:color w:val="000000" w:themeColor="text1"/>
          <w:sz w:val="22"/>
          <w:szCs w:val="22"/>
        </w:rPr>
        <w:t>Leanl</w:t>
      </w:r>
      <w:proofErr w:type="spellEnd"/>
      <w:r w:rsidRPr="005B7ABE">
        <w:rPr>
          <w:rFonts w:ascii="Arial" w:hAnsi="Arial" w:cs="Arial"/>
          <w:color w:val="000000" w:themeColor="text1"/>
          <w:sz w:val="22"/>
          <w:szCs w:val="22"/>
        </w:rPr>
        <w:t xml:space="preserve">, M., </w:t>
      </w:r>
      <w:proofErr w:type="spellStart"/>
      <w:r w:rsidRPr="005B7ABE">
        <w:rPr>
          <w:rFonts w:ascii="Arial" w:hAnsi="Arial" w:cs="Arial"/>
          <w:color w:val="000000" w:themeColor="text1"/>
          <w:sz w:val="22"/>
          <w:szCs w:val="22"/>
        </w:rPr>
        <w:t>McEwanm</w:t>
      </w:r>
      <w:proofErr w:type="spellEnd"/>
      <w:r w:rsidRPr="005B7ABE">
        <w:rPr>
          <w:rFonts w:ascii="Arial" w:hAnsi="Arial" w:cs="Arial"/>
          <w:color w:val="000000" w:themeColor="text1"/>
          <w:sz w:val="22"/>
          <w:szCs w:val="22"/>
        </w:rPr>
        <w:t xml:space="preserve">, C., </w:t>
      </w:r>
      <w:proofErr w:type="spellStart"/>
      <w:r w:rsidRPr="005B7ABE">
        <w:rPr>
          <w:rFonts w:ascii="Arial" w:hAnsi="Arial" w:cs="Arial"/>
          <w:color w:val="000000" w:themeColor="text1"/>
          <w:sz w:val="22"/>
          <w:szCs w:val="22"/>
        </w:rPr>
        <w:t>Gatelyn</w:t>
      </w:r>
      <w:proofErr w:type="spellEnd"/>
      <w:r w:rsidRPr="005B7ABE">
        <w:rPr>
          <w:rFonts w:ascii="Arial" w:hAnsi="Arial" w:cs="Arial"/>
          <w:color w:val="000000" w:themeColor="text1"/>
          <w:sz w:val="22"/>
          <w:szCs w:val="22"/>
        </w:rPr>
        <w:t xml:space="preserve">, P., </w:t>
      </w:r>
      <w:proofErr w:type="spellStart"/>
      <w:r w:rsidRPr="005B7ABE">
        <w:rPr>
          <w:rFonts w:ascii="Arial" w:hAnsi="Arial" w:cs="Arial"/>
          <w:color w:val="000000" w:themeColor="text1"/>
          <w:sz w:val="22"/>
          <w:szCs w:val="22"/>
        </w:rPr>
        <w:t>Williamso</w:t>
      </w:r>
      <w:proofErr w:type="spellEnd"/>
      <w:r w:rsidRPr="005B7ABE">
        <w:rPr>
          <w:rFonts w:ascii="Arial" w:hAnsi="Arial" w:cs="Arial"/>
          <w:color w:val="000000" w:themeColor="text1"/>
          <w:sz w:val="22"/>
          <w:szCs w:val="22"/>
        </w:rPr>
        <w:t xml:space="preserve">, S., </w:t>
      </w:r>
      <w:proofErr w:type="spellStart"/>
      <w:r w:rsidRPr="005B7ABE">
        <w:rPr>
          <w:rFonts w:ascii="Arial" w:hAnsi="Arial" w:cs="Arial"/>
          <w:color w:val="000000" w:themeColor="text1"/>
          <w:sz w:val="22"/>
          <w:szCs w:val="22"/>
        </w:rPr>
        <w:t>Astburyp</w:t>
      </w:r>
      <w:proofErr w:type="spellEnd"/>
      <w:r w:rsidRPr="005B7ABE">
        <w:rPr>
          <w:rFonts w:ascii="Arial" w:hAnsi="Arial" w:cs="Arial"/>
          <w:color w:val="000000" w:themeColor="text1"/>
          <w:sz w:val="22"/>
          <w:szCs w:val="22"/>
        </w:rPr>
        <w:t xml:space="preserve">, N., </w:t>
      </w:r>
      <w:proofErr w:type="spellStart"/>
      <w:r w:rsidRPr="005B7ABE">
        <w:rPr>
          <w:rFonts w:ascii="Arial" w:hAnsi="Arial" w:cs="Arial"/>
          <w:color w:val="000000" w:themeColor="text1"/>
          <w:sz w:val="22"/>
          <w:szCs w:val="22"/>
        </w:rPr>
        <w:t>Bryantq</w:t>
      </w:r>
      <w:proofErr w:type="spellEnd"/>
      <w:r w:rsidRPr="005B7ABE">
        <w:rPr>
          <w:rFonts w:ascii="Arial" w:hAnsi="Arial" w:cs="Arial"/>
          <w:color w:val="000000" w:themeColor="text1"/>
          <w:sz w:val="22"/>
          <w:szCs w:val="22"/>
        </w:rPr>
        <w:t xml:space="preserve">, M., </w:t>
      </w:r>
      <w:proofErr w:type="spellStart"/>
      <w:r w:rsidRPr="005B7ABE">
        <w:rPr>
          <w:rFonts w:ascii="Arial" w:hAnsi="Arial" w:cs="Arial"/>
          <w:color w:val="000000" w:themeColor="text1"/>
          <w:sz w:val="22"/>
          <w:szCs w:val="22"/>
        </w:rPr>
        <w:t>Clarer</w:t>
      </w:r>
      <w:proofErr w:type="spellEnd"/>
      <w:r w:rsidRPr="005B7ABE">
        <w:rPr>
          <w:rFonts w:ascii="Arial" w:hAnsi="Arial" w:cs="Arial"/>
          <w:color w:val="000000" w:themeColor="text1"/>
          <w:sz w:val="22"/>
          <w:szCs w:val="22"/>
        </w:rPr>
        <w:t xml:space="preserve">, K., </w:t>
      </w:r>
      <w:proofErr w:type="spellStart"/>
      <w:r w:rsidRPr="005B7ABE">
        <w:rPr>
          <w:rFonts w:ascii="Arial" w:hAnsi="Arial" w:cs="Arial"/>
          <w:color w:val="000000" w:themeColor="text1"/>
          <w:sz w:val="22"/>
          <w:szCs w:val="22"/>
        </w:rPr>
        <w:t>Dimitriadiss</w:t>
      </w:r>
      <w:proofErr w:type="spellEnd"/>
      <w:r w:rsidRPr="005B7ABE">
        <w:rPr>
          <w:rFonts w:ascii="Arial" w:hAnsi="Arial" w:cs="Arial"/>
          <w:color w:val="000000" w:themeColor="text1"/>
          <w:sz w:val="22"/>
          <w:szCs w:val="22"/>
        </w:rPr>
        <w:t xml:space="preserve">, G.K., </w:t>
      </w:r>
      <w:proofErr w:type="spellStart"/>
      <w:r w:rsidRPr="005B7ABE">
        <w:rPr>
          <w:rFonts w:ascii="Arial" w:hAnsi="Arial" w:cs="Arial"/>
          <w:color w:val="000000" w:themeColor="text1"/>
          <w:sz w:val="22"/>
          <w:szCs w:val="22"/>
        </w:rPr>
        <w:t>Finlaysont</w:t>
      </w:r>
      <w:proofErr w:type="spellEnd"/>
      <w:r w:rsidRPr="005B7ABE">
        <w:rPr>
          <w:rFonts w:ascii="Arial" w:hAnsi="Arial" w:cs="Arial"/>
          <w:color w:val="000000" w:themeColor="text1"/>
          <w:sz w:val="22"/>
          <w:szCs w:val="22"/>
        </w:rPr>
        <w:t xml:space="preserve">, G., </w:t>
      </w:r>
      <w:proofErr w:type="spellStart"/>
      <w:r w:rsidRPr="005B7ABE">
        <w:rPr>
          <w:rFonts w:ascii="Arial" w:hAnsi="Arial" w:cs="Arial"/>
          <w:color w:val="000000" w:themeColor="text1"/>
          <w:sz w:val="22"/>
          <w:szCs w:val="22"/>
        </w:rPr>
        <w:t>Heslehurstu</w:t>
      </w:r>
      <w:proofErr w:type="spellEnd"/>
      <w:r w:rsidRPr="005B7ABE">
        <w:rPr>
          <w:rFonts w:ascii="Arial" w:hAnsi="Arial" w:cs="Arial"/>
          <w:color w:val="000000" w:themeColor="text1"/>
          <w:sz w:val="22"/>
          <w:szCs w:val="22"/>
        </w:rPr>
        <w:t xml:space="preserve">, N., </w:t>
      </w:r>
      <w:proofErr w:type="spellStart"/>
      <w:r w:rsidRPr="005B7ABE">
        <w:rPr>
          <w:rFonts w:ascii="Arial" w:hAnsi="Arial" w:cs="Arial"/>
          <w:color w:val="000000" w:themeColor="text1"/>
          <w:sz w:val="22"/>
          <w:szCs w:val="22"/>
        </w:rPr>
        <w:t>Johnsonv</w:t>
      </w:r>
      <w:proofErr w:type="spellEnd"/>
      <w:r w:rsidRPr="005B7ABE">
        <w:rPr>
          <w:rFonts w:ascii="Arial" w:hAnsi="Arial" w:cs="Arial"/>
          <w:color w:val="000000" w:themeColor="text1"/>
          <w:sz w:val="22"/>
          <w:szCs w:val="22"/>
        </w:rPr>
        <w:t xml:space="preserve">, B., Le </w:t>
      </w:r>
      <w:proofErr w:type="spellStart"/>
      <w:r w:rsidRPr="005B7ABE">
        <w:rPr>
          <w:rFonts w:ascii="Arial" w:hAnsi="Arial" w:cs="Arial"/>
          <w:color w:val="000000" w:themeColor="text1"/>
          <w:sz w:val="22"/>
          <w:szCs w:val="22"/>
        </w:rPr>
        <w:t>Brocqw</w:t>
      </w:r>
      <w:proofErr w:type="spellEnd"/>
      <w:r w:rsidRPr="005B7ABE">
        <w:rPr>
          <w:rFonts w:ascii="Arial" w:hAnsi="Arial" w:cs="Arial"/>
          <w:color w:val="000000" w:themeColor="text1"/>
          <w:sz w:val="22"/>
          <w:szCs w:val="22"/>
        </w:rPr>
        <w:t xml:space="preserve">, S., </w:t>
      </w:r>
      <w:proofErr w:type="spellStart"/>
      <w:r w:rsidRPr="005B7ABE">
        <w:rPr>
          <w:rFonts w:ascii="Arial" w:hAnsi="Arial" w:cs="Arial"/>
          <w:color w:val="000000" w:themeColor="text1"/>
          <w:sz w:val="22"/>
          <w:szCs w:val="22"/>
        </w:rPr>
        <w:t>Robertsr</w:t>
      </w:r>
      <w:proofErr w:type="spellEnd"/>
      <w:r w:rsidRPr="005B7ABE">
        <w:rPr>
          <w:rFonts w:ascii="Arial" w:hAnsi="Arial" w:cs="Arial"/>
          <w:color w:val="000000" w:themeColor="text1"/>
          <w:sz w:val="22"/>
          <w:szCs w:val="22"/>
        </w:rPr>
        <w:t xml:space="preserve">, A., </w:t>
      </w:r>
      <w:proofErr w:type="spellStart"/>
      <w:r w:rsidRPr="005B7ABE">
        <w:rPr>
          <w:rFonts w:ascii="Arial" w:hAnsi="Arial" w:cs="Arial"/>
          <w:color w:val="000000" w:themeColor="text1"/>
          <w:sz w:val="22"/>
          <w:szCs w:val="22"/>
        </w:rPr>
        <w:t>McGinleyx</w:t>
      </w:r>
      <w:proofErr w:type="spellEnd"/>
      <w:r w:rsidRPr="005B7ABE">
        <w:rPr>
          <w:rFonts w:ascii="Arial" w:hAnsi="Arial" w:cs="Arial"/>
          <w:color w:val="000000" w:themeColor="text1"/>
          <w:sz w:val="22"/>
          <w:szCs w:val="22"/>
        </w:rPr>
        <w:t xml:space="preserve">, P., </w:t>
      </w:r>
      <w:proofErr w:type="spellStart"/>
      <w:r w:rsidRPr="005B7ABE">
        <w:rPr>
          <w:rFonts w:ascii="Arial" w:hAnsi="Arial" w:cs="Arial"/>
          <w:color w:val="000000" w:themeColor="text1"/>
          <w:sz w:val="22"/>
          <w:szCs w:val="22"/>
        </w:rPr>
        <w:t>Muellery</w:t>
      </w:r>
      <w:proofErr w:type="spellEnd"/>
      <w:r w:rsidRPr="005B7ABE">
        <w:rPr>
          <w:rFonts w:ascii="Arial" w:hAnsi="Arial" w:cs="Arial"/>
          <w:color w:val="000000" w:themeColor="text1"/>
          <w:sz w:val="22"/>
          <w:szCs w:val="22"/>
        </w:rPr>
        <w:t xml:space="preserve">, J., </w:t>
      </w:r>
      <w:proofErr w:type="spellStart"/>
      <w:r w:rsidRPr="005B7ABE">
        <w:rPr>
          <w:rFonts w:ascii="Arial" w:hAnsi="Arial" w:cs="Arial"/>
          <w:color w:val="000000" w:themeColor="text1"/>
          <w:sz w:val="22"/>
          <w:szCs w:val="22"/>
        </w:rPr>
        <w:t>O’Kanez</w:t>
      </w:r>
      <w:proofErr w:type="spellEnd"/>
      <w:r w:rsidRPr="005B7ABE">
        <w:rPr>
          <w:rFonts w:ascii="Arial" w:hAnsi="Arial" w:cs="Arial"/>
          <w:color w:val="000000" w:themeColor="text1"/>
          <w:sz w:val="22"/>
          <w:szCs w:val="22"/>
        </w:rPr>
        <w:t xml:space="preserve">, M., </w:t>
      </w:r>
      <w:proofErr w:type="spellStart"/>
      <w:r w:rsidRPr="005B7ABE">
        <w:rPr>
          <w:rFonts w:ascii="Arial" w:hAnsi="Arial" w:cs="Arial"/>
          <w:color w:val="000000" w:themeColor="text1"/>
          <w:sz w:val="22"/>
          <w:szCs w:val="22"/>
        </w:rPr>
        <w:t>Batterhamaa</w:t>
      </w:r>
      <w:proofErr w:type="spellEnd"/>
      <w:r w:rsidRPr="005B7ABE">
        <w:rPr>
          <w:rFonts w:ascii="Arial" w:hAnsi="Arial" w:cs="Arial"/>
          <w:color w:val="000000" w:themeColor="text1"/>
          <w:sz w:val="22"/>
          <w:szCs w:val="22"/>
        </w:rPr>
        <w:t xml:space="preserve">, R.L., </w:t>
      </w:r>
      <w:proofErr w:type="spellStart"/>
      <w:r w:rsidRPr="005B7ABE">
        <w:rPr>
          <w:rFonts w:ascii="Arial" w:hAnsi="Arial" w:cs="Arial"/>
          <w:color w:val="000000" w:themeColor="text1"/>
          <w:sz w:val="22"/>
          <w:szCs w:val="22"/>
        </w:rPr>
        <w:t>Robertsab</w:t>
      </w:r>
      <w:proofErr w:type="spellEnd"/>
      <w:r w:rsidRPr="005B7ABE">
        <w:rPr>
          <w:rFonts w:ascii="Arial" w:hAnsi="Arial" w:cs="Arial"/>
          <w:color w:val="000000" w:themeColor="text1"/>
          <w:sz w:val="22"/>
          <w:szCs w:val="22"/>
        </w:rPr>
        <w:t xml:space="preserve">, K. and Miras, A.D. (2023) ‘The implications of defining obesity as a disease: a report from the Association for the Study of Obesity 2021 annual conference’, </w:t>
      </w:r>
      <w:r w:rsidRPr="00E03211">
        <w:rPr>
          <w:rFonts w:ascii="Arial" w:hAnsi="Arial" w:cs="Arial"/>
          <w:i/>
          <w:iCs/>
          <w:color w:val="000000" w:themeColor="text1"/>
          <w:sz w:val="22"/>
          <w:szCs w:val="22"/>
        </w:rPr>
        <w:t>eClinicalMedicine</w:t>
      </w:r>
      <w:r w:rsidRPr="005B7ABE">
        <w:rPr>
          <w:rFonts w:ascii="Arial" w:hAnsi="Arial" w:cs="Arial"/>
          <w:color w:val="000000" w:themeColor="text1"/>
          <w:sz w:val="22"/>
          <w:szCs w:val="22"/>
        </w:rPr>
        <w:t xml:space="preserve">, 58. Available at: </w:t>
      </w:r>
      <w:proofErr w:type="spellStart"/>
      <w:r w:rsidRPr="005B7ABE">
        <w:rPr>
          <w:rFonts w:ascii="Arial" w:hAnsi="Arial" w:cs="Arial"/>
          <w:color w:val="000000" w:themeColor="text1"/>
          <w:sz w:val="22"/>
          <w:szCs w:val="22"/>
        </w:rPr>
        <w:t>doi:10.1016</w:t>
      </w:r>
      <w:proofErr w:type="spellEnd"/>
      <w:r w:rsidRPr="005B7ABE">
        <w:rPr>
          <w:rFonts w:ascii="Arial" w:hAnsi="Arial" w:cs="Arial"/>
          <w:color w:val="000000" w:themeColor="text1"/>
          <w:sz w:val="22"/>
          <w:szCs w:val="22"/>
        </w:rPr>
        <w:t>/</w:t>
      </w:r>
      <w:proofErr w:type="spellStart"/>
      <w:r w:rsidRPr="005B7ABE">
        <w:rPr>
          <w:rFonts w:ascii="Arial" w:hAnsi="Arial" w:cs="Arial"/>
          <w:color w:val="000000" w:themeColor="text1"/>
          <w:sz w:val="22"/>
          <w:szCs w:val="22"/>
        </w:rPr>
        <w:t>j.eclinm.2023.101962</w:t>
      </w:r>
      <w:proofErr w:type="spellEnd"/>
      <w:r w:rsidRPr="005B7ABE">
        <w:rPr>
          <w:rFonts w:ascii="Arial" w:hAnsi="Arial" w:cs="Arial"/>
          <w:color w:val="000000" w:themeColor="text1"/>
          <w:sz w:val="22"/>
          <w:szCs w:val="22"/>
        </w:rPr>
        <w:t>.</w:t>
      </w:r>
    </w:p>
    <w:p w14:paraId="3B1DF57D" w14:textId="77777777" w:rsidR="008B2645" w:rsidRPr="005B7ABE" w:rsidRDefault="008B2645" w:rsidP="0020706C">
      <w:pPr>
        <w:spacing w:line="360" w:lineRule="auto"/>
        <w:jc w:val="both"/>
        <w:rPr>
          <w:rFonts w:ascii="Arial" w:hAnsi="Arial" w:cs="Arial"/>
          <w:color w:val="000000" w:themeColor="text1"/>
          <w:sz w:val="22"/>
          <w:szCs w:val="22"/>
        </w:rPr>
      </w:pPr>
    </w:p>
    <w:p w14:paraId="075F80E6" w14:textId="77777777" w:rsidR="008B2645" w:rsidRPr="005B7ABE" w:rsidRDefault="008B2645" w:rsidP="0020706C">
      <w:pPr>
        <w:spacing w:line="360" w:lineRule="auto"/>
        <w:jc w:val="both"/>
        <w:rPr>
          <w:rFonts w:ascii="Arial" w:hAnsi="Arial" w:cs="Arial"/>
          <w:color w:val="000000" w:themeColor="text1"/>
          <w:sz w:val="22"/>
          <w:szCs w:val="22"/>
        </w:rPr>
      </w:pPr>
    </w:p>
    <w:p w14:paraId="75E0ABC7" w14:textId="77777777" w:rsidR="008B2645" w:rsidRPr="005B7ABE" w:rsidRDefault="008B2645" w:rsidP="0020706C">
      <w:pPr>
        <w:spacing w:line="360" w:lineRule="auto"/>
        <w:jc w:val="both"/>
        <w:rPr>
          <w:rFonts w:ascii="Arial" w:hAnsi="Arial" w:cs="Arial"/>
          <w:color w:val="000000" w:themeColor="text1"/>
          <w:sz w:val="22"/>
          <w:szCs w:val="22"/>
        </w:rPr>
      </w:pPr>
      <w:r w:rsidRPr="005B7ABE">
        <w:rPr>
          <w:rFonts w:ascii="Arial" w:hAnsi="Arial" w:cs="Arial"/>
          <w:color w:val="000000" w:themeColor="text1"/>
          <w:sz w:val="22"/>
          <w:szCs w:val="22"/>
        </w:rPr>
        <w:t xml:space="preserve">NHS Digital (2026) </w:t>
      </w:r>
      <w:r w:rsidRPr="00DB64D7">
        <w:rPr>
          <w:rFonts w:ascii="Arial" w:hAnsi="Arial" w:cs="Arial"/>
          <w:i/>
          <w:iCs/>
          <w:color w:val="000000" w:themeColor="text1"/>
          <w:sz w:val="22"/>
          <w:szCs w:val="22"/>
        </w:rPr>
        <w:t>Health Survey for England 2024: adults’ overweight and obesity</w:t>
      </w:r>
      <w:r w:rsidRPr="005B7ABE">
        <w:rPr>
          <w:rFonts w:ascii="Arial" w:hAnsi="Arial" w:cs="Arial"/>
          <w:color w:val="000000" w:themeColor="text1"/>
          <w:sz w:val="22"/>
          <w:szCs w:val="22"/>
        </w:rPr>
        <w:t>. Available at: https://digital.nhs.uk/data-and-information/publications/statistical/health-survey-for-england/2024/adults-overweight-and-obesity (Accessed: 29 March 2026).</w:t>
      </w:r>
    </w:p>
    <w:p w14:paraId="472AE249" w14:textId="77777777" w:rsidR="008B2645" w:rsidRPr="005B7ABE" w:rsidRDefault="008B2645" w:rsidP="0020706C">
      <w:pPr>
        <w:spacing w:line="360" w:lineRule="auto"/>
        <w:jc w:val="both"/>
        <w:rPr>
          <w:rFonts w:ascii="Arial" w:hAnsi="Arial" w:cs="Arial"/>
          <w:color w:val="000000" w:themeColor="text1"/>
          <w:sz w:val="22"/>
          <w:szCs w:val="22"/>
        </w:rPr>
      </w:pPr>
    </w:p>
    <w:p w14:paraId="5337E110" w14:textId="77777777" w:rsidR="008B2645" w:rsidRPr="005B7ABE" w:rsidRDefault="008B2645" w:rsidP="0020706C">
      <w:pPr>
        <w:spacing w:line="360" w:lineRule="auto"/>
        <w:jc w:val="both"/>
        <w:rPr>
          <w:rFonts w:ascii="Arial" w:hAnsi="Arial" w:cs="Arial"/>
          <w:color w:val="000000" w:themeColor="text1"/>
          <w:sz w:val="22"/>
          <w:szCs w:val="22"/>
        </w:rPr>
      </w:pPr>
      <w:r w:rsidRPr="005B7ABE">
        <w:rPr>
          <w:rFonts w:ascii="Arial" w:hAnsi="Arial" w:cs="Arial"/>
          <w:color w:val="000000" w:themeColor="text1"/>
          <w:sz w:val="22"/>
          <w:szCs w:val="22"/>
        </w:rPr>
        <w:t xml:space="preserve">The Health Foundation (2025) </w:t>
      </w:r>
      <w:r w:rsidRPr="00DB64D7">
        <w:rPr>
          <w:rFonts w:ascii="Arial" w:hAnsi="Arial" w:cs="Arial"/>
          <w:i/>
          <w:iCs/>
          <w:color w:val="000000" w:themeColor="text1"/>
          <w:sz w:val="22"/>
          <w:szCs w:val="22"/>
        </w:rPr>
        <w:t xml:space="preserve">Inequalities among adults who are overweight or obese. </w:t>
      </w:r>
      <w:r w:rsidRPr="005B7ABE">
        <w:rPr>
          <w:rFonts w:ascii="Arial" w:hAnsi="Arial" w:cs="Arial"/>
          <w:color w:val="000000" w:themeColor="text1"/>
          <w:sz w:val="22"/>
          <w:szCs w:val="22"/>
        </w:rPr>
        <w:t>Available at: https://www.health.org.uk/evidence-hub/risk-factors/inequalities-among-adults-who-are-overweight-or-obese (Accessed: 29 March 2026).</w:t>
      </w:r>
    </w:p>
    <w:p w14:paraId="21C1F4C9" w14:textId="77777777" w:rsidR="008B2645" w:rsidRPr="005B7ABE" w:rsidRDefault="008B2645" w:rsidP="0020706C">
      <w:pPr>
        <w:spacing w:line="360" w:lineRule="auto"/>
        <w:jc w:val="both"/>
        <w:rPr>
          <w:rFonts w:ascii="Arial" w:hAnsi="Arial" w:cs="Arial"/>
          <w:color w:val="000000" w:themeColor="text1"/>
          <w:sz w:val="22"/>
          <w:szCs w:val="22"/>
        </w:rPr>
      </w:pPr>
    </w:p>
    <w:p w14:paraId="28D891EC" w14:textId="77777777" w:rsidR="008B2645" w:rsidRPr="005B7ABE" w:rsidRDefault="008B2645" w:rsidP="0020706C">
      <w:pPr>
        <w:spacing w:line="360" w:lineRule="auto"/>
        <w:jc w:val="both"/>
        <w:rPr>
          <w:rFonts w:ascii="Arial" w:hAnsi="Arial" w:cs="Arial"/>
          <w:color w:val="000000" w:themeColor="text1"/>
          <w:sz w:val="22"/>
          <w:szCs w:val="22"/>
        </w:rPr>
      </w:pPr>
      <w:proofErr w:type="spellStart"/>
      <w:r w:rsidRPr="005B7ABE">
        <w:rPr>
          <w:rFonts w:ascii="Arial" w:hAnsi="Arial" w:cs="Arial"/>
          <w:color w:val="000000" w:themeColor="text1"/>
          <w:sz w:val="22"/>
          <w:szCs w:val="22"/>
        </w:rPr>
        <w:t>Heald</w:t>
      </w:r>
      <w:proofErr w:type="spellEnd"/>
      <w:r w:rsidRPr="005B7ABE">
        <w:rPr>
          <w:rFonts w:ascii="Arial" w:hAnsi="Arial" w:cs="Arial"/>
          <w:color w:val="000000" w:themeColor="text1"/>
          <w:sz w:val="22"/>
          <w:szCs w:val="22"/>
        </w:rPr>
        <w:t xml:space="preserve">, A., </w:t>
      </w:r>
      <w:proofErr w:type="spellStart"/>
      <w:r w:rsidRPr="005B7ABE">
        <w:rPr>
          <w:rFonts w:ascii="Arial" w:hAnsi="Arial" w:cs="Arial"/>
          <w:color w:val="000000" w:themeColor="text1"/>
          <w:sz w:val="22"/>
          <w:szCs w:val="22"/>
        </w:rPr>
        <w:t>Stedman</w:t>
      </w:r>
      <w:proofErr w:type="spellEnd"/>
      <w:r w:rsidRPr="005B7ABE">
        <w:rPr>
          <w:rFonts w:ascii="Arial" w:hAnsi="Arial" w:cs="Arial"/>
          <w:color w:val="000000" w:themeColor="text1"/>
          <w:sz w:val="22"/>
          <w:szCs w:val="22"/>
        </w:rPr>
        <w:t xml:space="preserve">, M., Fryer, A.A., Davies, M.B., Rutter, M.K., Gibson, J.M. and Whyte, M. (2024) ‘Counting the lifetime cost of obesity: analysis based on national England data’, </w:t>
      </w:r>
      <w:r w:rsidRPr="00DB64D7">
        <w:rPr>
          <w:rFonts w:ascii="Arial" w:hAnsi="Arial" w:cs="Arial"/>
          <w:i/>
          <w:iCs/>
          <w:color w:val="000000" w:themeColor="text1"/>
          <w:sz w:val="22"/>
          <w:szCs w:val="22"/>
        </w:rPr>
        <w:t>Diabetes, Obesity and Metabolism</w:t>
      </w:r>
      <w:r w:rsidRPr="005B7ABE">
        <w:rPr>
          <w:rFonts w:ascii="Arial" w:hAnsi="Arial" w:cs="Arial"/>
          <w:color w:val="000000" w:themeColor="text1"/>
          <w:sz w:val="22"/>
          <w:szCs w:val="22"/>
        </w:rPr>
        <w:t xml:space="preserve">, 26(4), pp. 1464–1478. Available at: </w:t>
      </w:r>
      <w:proofErr w:type="spellStart"/>
      <w:r w:rsidRPr="005B7ABE">
        <w:rPr>
          <w:rFonts w:ascii="Arial" w:hAnsi="Arial" w:cs="Arial"/>
          <w:color w:val="000000" w:themeColor="text1"/>
          <w:sz w:val="22"/>
          <w:szCs w:val="22"/>
        </w:rPr>
        <w:t>doi:10.1111</w:t>
      </w:r>
      <w:proofErr w:type="spellEnd"/>
      <w:r w:rsidRPr="005B7ABE">
        <w:rPr>
          <w:rFonts w:ascii="Arial" w:hAnsi="Arial" w:cs="Arial"/>
          <w:color w:val="000000" w:themeColor="text1"/>
          <w:sz w:val="22"/>
          <w:szCs w:val="22"/>
        </w:rPr>
        <w:t>/dom.15447.</w:t>
      </w:r>
    </w:p>
    <w:p w14:paraId="1762C87A" w14:textId="77777777" w:rsidR="008B2645" w:rsidRPr="005B7ABE" w:rsidRDefault="008B2645" w:rsidP="0020706C">
      <w:pPr>
        <w:spacing w:line="360" w:lineRule="auto"/>
        <w:jc w:val="both"/>
        <w:rPr>
          <w:rFonts w:ascii="Arial" w:hAnsi="Arial" w:cs="Arial"/>
          <w:color w:val="000000" w:themeColor="text1"/>
          <w:sz w:val="22"/>
          <w:szCs w:val="22"/>
        </w:rPr>
      </w:pPr>
    </w:p>
    <w:p w14:paraId="43B1BD92" w14:textId="77777777" w:rsidR="008B2645" w:rsidRPr="005B7ABE" w:rsidRDefault="008B2645" w:rsidP="0020706C">
      <w:pPr>
        <w:spacing w:line="360" w:lineRule="auto"/>
        <w:jc w:val="both"/>
        <w:rPr>
          <w:rFonts w:ascii="Arial" w:hAnsi="Arial" w:cs="Arial"/>
          <w:color w:val="000000" w:themeColor="text1"/>
          <w:sz w:val="22"/>
          <w:szCs w:val="22"/>
        </w:rPr>
      </w:pPr>
    </w:p>
    <w:p w14:paraId="14C26E4C" w14:textId="77777777" w:rsidR="008B2645" w:rsidRPr="005B7ABE" w:rsidRDefault="008B2645" w:rsidP="0020706C">
      <w:pPr>
        <w:spacing w:line="360" w:lineRule="auto"/>
        <w:jc w:val="both"/>
        <w:rPr>
          <w:rFonts w:ascii="Arial" w:hAnsi="Arial" w:cs="Arial"/>
          <w:color w:val="000000" w:themeColor="text1"/>
          <w:sz w:val="22"/>
          <w:szCs w:val="22"/>
        </w:rPr>
      </w:pPr>
      <w:r w:rsidRPr="005B7ABE">
        <w:rPr>
          <w:rFonts w:ascii="Arial" w:hAnsi="Arial" w:cs="Arial"/>
          <w:color w:val="000000" w:themeColor="text1"/>
          <w:sz w:val="22"/>
          <w:szCs w:val="22"/>
        </w:rPr>
        <w:t xml:space="preserve">Ghosh, Khan and Vohra (2023) ‘Differentials in health and wellbeing in older adults with obesity in England: a cross-sectional analysis using the English Longitudinal Study of Ageing’, </w:t>
      </w:r>
      <w:r w:rsidRPr="00DB64D7">
        <w:rPr>
          <w:rFonts w:ascii="Arial" w:hAnsi="Arial" w:cs="Arial"/>
          <w:i/>
          <w:iCs/>
          <w:color w:val="000000" w:themeColor="text1"/>
          <w:sz w:val="22"/>
          <w:szCs w:val="22"/>
        </w:rPr>
        <w:t>Journal of Population Ageing</w:t>
      </w:r>
      <w:r w:rsidRPr="005B7ABE">
        <w:rPr>
          <w:rFonts w:ascii="Arial" w:hAnsi="Arial" w:cs="Arial"/>
          <w:color w:val="000000" w:themeColor="text1"/>
          <w:sz w:val="22"/>
          <w:szCs w:val="22"/>
        </w:rPr>
        <w:t xml:space="preserve">, 16, pp. 819–847. Available at: </w:t>
      </w:r>
      <w:proofErr w:type="spellStart"/>
      <w:r w:rsidRPr="005B7ABE">
        <w:rPr>
          <w:rFonts w:ascii="Arial" w:hAnsi="Arial" w:cs="Arial"/>
          <w:color w:val="000000" w:themeColor="text1"/>
          <w:sz w:val="22"/>
          <w:szCs w:val="22"/>
        </w:rPr>
        <w:t>doi:10.1007</w:t>
      </w:r>
      <w:proofErr w:type="spellEnd"/>
      <w:r w:rsidRPr="005B7ABE">
        <w:rPr>
          <w:rFonts w:ascii="Arial" w:hAnsi="Arial" w:cs="Arial"/>
          <w:color w:val="000000" w:themeColor="text1"/>
          <w:sz w:val="22"/>
          <w:szCs w:val="22"/>
        </w:rPr>
        <w:t>/s12062-022-09386-2.</w:t>
      </w:r>
    </w:p>
    <w:p w14:paraId="020E0E70" w14:textId="77777777" w:rsidR="008B2645" w:rsidRPr="005B7ABE" w:rsidRDefault="008B2645" w:rsidP="0020706C">
      <w:pPr>
        <w:spacing w:line="360" w:lineRule="auto"/>
        <w:jc w:val="both"/>
        <w:rPr>
          <w:rFonts w:ascii="Arial" w:hAnsi="Arial" w:cs="Arial"/>
          <w:color w:val="000000" w:themeColor="text1"/>
          <w:sz w:val="22"/>
          <w:szCs w:val="22"/>
        </w:rPr>
      </w:pPr>
    </w:p>
    <w:p w14:paraId="704C9455" w14:textId="77777777" w:rsidR="008B2645" w:rsidRPr="005B7ABE" w:rsidRDefault="008B2645" w:rsidP="0020706C">
      <w:pPr>
        <w:spacing w:line="360" w:lineRule="auto"/>
        <w:jc w:val="both"/>
        <w:rPr>
          <w:rFonts w:ascii="Arial" w:hAnsi="Arial" w:cs="Arial"/>
          <w:color w:val="000000" w:themeColor="text1"/>
          <w:sz w:val="22"/>
          <w:szCs w:val="22"/>
        </w:rPr>
      </w:pPr>
      <w:r w:rsidRPr="005B7ABE">
        <w:rPr>
          <w:rFonts w:ascii="Arial" w:hAnsi="Arial" w:cs="Arial"/>
          <w:color w:val="000000" w:themeColor="text1"/>
          <w:sz w:val="22"/>
          <w:szCs w:val="22"/>
        </w:rPr>
        <w:t xml:space="preserve">Higgins, V. (2022) ‘Ethnic density and area-deprivation effects on central obesity among ethnic minority people in England: a cross-sectional, multi-level analysis’, </w:t>
      </w:r>
      <w:r w:rsidRPr="00DB64D7">
        <w:rPr>
          <w:rFonts w:ascii="Arial" w:hAnsi="Arial" w:cs="Arial"/>
          <w:i/>
          <w:iCs/>
          <w:color w:val="000000" w:themeColor="text1"/>
          <w:sz w:val="22"/>
          <w:szCs w:val="22"/>
        </w:rPr>
        <w:t xml:space="preserve">Frontiers in Epidemiology, </w:t>
      </w:r>
      <w:r w:rsidRPr="005B7ABE">
        <w:rPr>
          <w:rFonts w:ascii="Arial" w:hAnsi="Arial" w:cs="Arial"/>
          <w:color w:val="000000" w:themeColor="text1"/>
          <w:sz w:val="22"/>
          <w:szCs w:val="22"/>
        </w:rPr>
        <w:t xml:space="preserve">2. Available at: </w:t>
      </w:r>
      <w:proofErr w:type="spellStart"/>
      <w:r w:rsidRPr="005B7ABE">
        <w:rPr>
          <w:rFonts w:ascii="Arial" w:hAnsi="Arial" w:cs="Arial"/>
          <w:color w:val="000000" w:themeColor="text1"/>
          <w:sz w:val="22"/>
          <w:szCs w:val="22"/>
        </w:rPr>
        <w:t>doi:10.3389</w:t>
      </w:r>
      <w:proofErr w:type="spellEnd"/>
      <w:r w:rsidRPr="005B7ABE">
        <w:rPr>
          <w:rFonts w:ascii="Arial" w:hAnsi="Arial" w:cs="Arial"/>
          <w:color w:val="000000" w:themeColor="text1"/>
          <w:sz w:val="22"/>
          <w:szCs w:val="22"/>
        </w:rPr>
        <w:t>/</w:t>
      </w:r>
      <w:proofErr w:type="spellStart"/>
      <w:r w:rsidRPr="005B7ABE">
        <w:rPr>
          <w:rFonts w:ascii="Arial" w:hAnsi="Arial" w:cs="Arial"/>
          <w:color w:val="000000" w:themeColor="text1"/>
          <w:sz w:val="22"/>
          <w:szCs w:val="22"/>
        </w:rPr>
        <w:t>fepid.2022.1000155</w:t>
      </w:r>
      <w:proofErr w:type="spellEnd"/>
      <w:r w:rsidRPr="005B7ABE">
        <w:rPr>
          <w:rFonts w:ascii="Arial" w:hAnsi="Arial" w:cs="Arial"/>
          <w:color w:val="000000" w:themeColor="text1"/>
          <w:sz w:val="22"/>
          <w:szCs w:val="22"/>
        </w:rPr>
        <w:t>.</w:t>
      </w:r>
    </w:p>
    <w:p w14:paraId="44E3832E" w14:textId="77777777" w:rsidR="008B2645" w:rsidRPr="005B7ABE" w:rsidRDefault="008B2645" w:rsidP="0020706C">
      <w:pPr>
        <w:spacing w:line="360" w:lineRule="auto"/>
        <w:jc w:val="both"/>
        <w:rPr>
          <w:rFonts w:ascii="Arial" w:hAnsi="Arial" w:cs="Arial"/>
          <w:color w:val="000000" w:themeColor="text1"/>
          <w:sz w:val="22"/>
          <w:szCs w:val="22"/>
        </w:rPr>
      </w:pPr>
    </w:p>
    <w:p w14:paraId="672C67AE" w14:textId="77777777" w:rsidR="008B2645" w:rsidRPr="005B7ABE" w:rsidRDefault="008B2645" w:rsidP="0020706C">
      <w:pPr>
        <w:spacing w:line="360" w:lineRule="auto"/>
        <w:jc w:val="both"/>
        <w:rPr>
          <w:rFonts w:ascii="Arial" w:hAnsi="Arial" w:cs="Arial"/>
          <w:color w:val="000000" w:themeColor="text1"/>
          <w:sz w:val="22"/>
          <w:szCs w:val="22"/>
        </w:rPr>
      </w:pPr>
      <w:r w:rsidRPr="005B7ABE">
        <w:rPr>
          <w:rFonts w:ascii="Arial" w:hAnsi="Arial" w:cs="Arial"/>
          <w:color w:val="000000" w:themeColor="text1"/>
          <w:sz w:val="22"/>
          <w:szCs w:val="22"/>
        </w:rPr>
        <w:t xml:space="preserve">British Obesity and Metabolic Surgery Society (BOMSS) (2024) </w:t>
      </w:r>
      <w:r w:rsidRPr="00DB64D7">
        <w:rPr>
          <w:rFonts w:ascii="Arial" w:hAnsi="Arial" w:cs="Arial"/>
          <w:i/>
          <w:iCs/>
          <w:color w:val="000000" w:themeColor="text1"/>
          <w:sz w:val="22"/>
          <w:szCs w:val="22"/>
        </w:rPr>
        <w:t>NHS tiered care weight management pathway</w:t>
      </w:r>
      <w:r w:rsidRPr="005B7ABE">
        <w:rPr>
          <w:rFonts w:ascii="Arial" w:hAnsi="Arial" w:cs="Arial"/>
          <w:color w:val="000000" w:themeColor="text1"/>
          <w:sz w:val="22"/>
          <w:szCs w:val="22"/>
        </w:rPr>
        <w:t>. Available at: https://bomss.org/patient-information/managing-obesity/tiered-pathway/ (Accessed: 29 March 2026).</w:t>
      </w:r>
    </w:p>
    <w:p w14:paraId="2D927499" w14:textId="77777777" w:rsidR="008B2645" w:rsidRPr="005B7ABE" w:rsidRDefault="008B2645" w:rsidP="0020706C">
      <w:pPr>
        <w:spacing w:line="360" w:lineRule="auto"/>
        <w:jc w:val="both"/>
        <w:rPr>
          <w:rFonts w:ascii="Arial" w:hAnsi="Arial" w:cs="Arial"/>
          <w:color w:val="000000" w:themeColor="text1"/>
          <w:sz w:val="22"/>
          <w:szCs w:val="22"/>
        </w:rPr>
      </w:pPr>
    </w:p>
    <w:p w14:paraId="668FEB1F" w14:textId="77777777" w:rsidR="008B2645" w:rsidRPr="005B7ABE" w:rsidRDefault="008B2645" w:rsidP="0020706C">
      <w:pPr>
        <w:spacing w:line="360" w:lineRule="auto"/>
        <w:jc w:val="both"/>
        <w:rPr>
          <w:rFonts w:ascii="Arial" w:hAnsi="Arial" w:cs="Arial"/>
          <w:color w:val="000000" w:themeColor="text1"/>
          <w:sz w:val="22"/>
          <w:szCs w:val="22"/>
        </w:rPr>
      </w:pPr>
      <w:r w:rsidRPr="005B7ABE">
        <w:rPr>
          <w:rFonts w:ascii="Arial" w:hAnsi="Arial" w:cs="Arial"/>
          <w:color w:val="000000" w:themeColor="text1"/>
          <w:sz w:val="22"/>
          <w:szCs w:val="22"/>
        </w:rPr>
        <w:t xml:space="preserve">NHS England (2026) </w:t>
      </w:r>
      <w:r w:rsidRPr="00DB64D7">
        <w:rPr>
          <w:rFonts w:ascii="Arial" w:hAnsi="Arial" w:cs="Arial"/>
          <w:i/>
          <w:iCs/>
          <w:color w:val="000000" w:themeColor="text1"/>
          <w:sz w:val="22"/>
          <w:szCs w:val="22"/>
        </w:rPr>
        <w:t>The NHS Digital Weight Management Programme</w:t>
      </w:r>
      <w:r w:rsidRPr="005B7ABE">
        <w:rPr>
          <w:rFonts w:ascii="Arial" w:hAnsi="Arial" w:cs="Arial"/>
          <w:color w:val="000000" w:themeColor="text1"/>
          <w:sz w:val="22"/>
          <w:szCs w:val="22"/>
        </w:rPr>
        <w:t>. Available at: https://www.england.nhs.uk/digital-weight-management/ (Accessed: 29 March 2026).</w:t>
      </w:r>
    </w:p>
    <w:p w14:paraId="3A3BE06D" w14:textId="77777777" w:rsidR="008B2645" w:rsidRPr="005B7ABE" w:rsidRDefault="008B2645" w:rsidP="0020706C">
      <w:pPr>
        <w:spacing w:line="360" w:lineRule="auto"/>
        <w:jc w:val="both"/>
        <w:rPr>
          <w:rFonts w:ascii="Arial" w:hAnsi="Arial" w:cs="Arial"/>
          <w:color w:val="000000" w:themeColor="text1"/>
          <w:sz w:val="22"/>
          <w:szCs w:val="22"/>
        </w:rPr>
      </w:pPr>
    </w:p>
    <w:p w14:paraId="261D791C" w14:textId="77777777" w:rsidR="008B2645" w:rsidRPr="005B7ABE" w:rsidRDefault="008B2645" w:rsidP="0020706C">
      <w:pPr>
        <w:spacing w:line="360" w:lineRule="auto"/>
        <w:jc w:val="both"/>
        <w:rPr>
          <w:rFonts w:ascii="Arial" w:hAnsi="Arial" w:cs="Arial"/>
          <w:color w:val="000000" w:themeColor="text1"/>
          <w:sz w:val="22"/>
          <w:szCs w:val="22"/>
        </w:rPr>
      </w:pPr>
      <w:r w:rsidRPr="005B7ABE">
        <w:rPr>
          <w:rFonts w:ascii="Arial" w:hAnsi="Arial" w:cs="Arial"/>
          <w:color w:val="000000" w:themeColor="text1"/>
          <w:sz w:val="22"/>
          <w:szCs w:val="22"/>
        </w:rPr>
        <w:t xml:space="preserve">UK Parliament (2025) </w:t>
      </w:r>
      <w:r w:rsidRPr="003A71DB">
        <w:rPr>
          <w:rFonts w:ascii="Arial" w:hAnsi="Arial" w:cs="Arial"/>
          <w:i/>
          <w:iCs/>
          <w:color w:val="000000" w:themeColor="text1"/>
          <w:sz w:val="22"/>
          <w:szCs w:val="22"/>
        </w:rPr>
        <w:t>Weight loss medicines in England</w:t>
      </w:r>
      <w:r w:rsidRPr="005B7ABE">
        <w:rPr>
          <w:rFonts w:ascii="Arial" w:hAnsi="Arial" w:cs="Arial"/>
          <w:color w:val="000000" w:themeColor="text1"/>
          <w:sz w:val="22"/>
          <w:szCs w:val="22"/>
        </w:rPr>
        <w:t>. House of Commons Library. Available at: https://researchbriefings.files.parliament.uk/documents/CBP-10171/CBP-10171.pdf (Accessed: 29 March 2026).</w:t>
      </w:r>
    </w:p>
    <w:p w14:paraId="53BBF3E6" w14:textId="77777777" w:rsidR="008B2645" w:rsidRPr="005B7ABE" w:rsidRDefault="008B2645" w:rsidP="0020706C">
      <w:pPr>
        <w:spacing w:line="360" w:lineRule="auto"/>
        <w:jc w:val="both"/>
        <w:rPr>
          <w:rFonts w:ascii="Arial" w:hAnsi="Arial" w:cs="Arial"/>
          <w:color w:val="000000" w:themeColor="text1"/>
          <w:sz w:val="22"/>
          <w:szCs w:val="22"/>
        </w:rPr>
      </w:pPr>
    </w:p>
    <w:p w14:paraId="6C889864" w14:textId="77777777" w:rsidR="008B2645" w:rsidRPr="005B7ABE" w:rsidRDefault="008B2645" w:rsidP="0020706C">
      <w:pPr>
        <w:spacing w:line="360" w:lineRule="auto"/>
        <w:jc w:val="both"/>
        <w:rPr>
          <w:rFonts w:ascii="Arial" w:hAnsi="Arial" w:cs="Arial"/>
          <w:color w:val="000000" w:themeColor="text1"/>
          <w:sz w:val="22"/>
          <w:szCs w:val="22"/>
        </w:rPr>
      </w:pPr>
      <w:r w:rsidRPr="005B7ABE">
        <w:rPr>
          <w:rFonts w:ascii="Arial" w:hAnsi="Arial" w:cs="Arial"/>
          <w:color w:val="000000" w:themeColor="text1"/>
          <w:sz w:val="22"/>
          <w:szCs w:val="22"/>
        </w:rPr>
        <w:t xml:space="preserve">Sutcliffe, K., Melendez-Torres, G.J., </w:t>
      </w:r>
      <w:proofErr w:type="spellStart"/>
      <w:r w:rsidRPr="005B7ABE">
        <w:rPr>
          <w:rFonts w:ascii="Arial" w:hAnsi="Arial" w:cs="Arial"/>
          <w:color w:val="000000" w:themeColor="text1"/>
          <w:sz w:val="22"/>
          <w:szCs w:val="22"/>
        </w:rPr>
        <w:t>Burchett</w:t>
      </w:r>
      <w:proofErr w:type="spellEnd"/>
      <w:r w:rsidRPr="005B7ABE">
        <w:rPr>
          <w:rFonts w:ascii="Arial" w:hAnsi="Arial" w:cs="Arial"/>
          <w:color w:val="000000" w:themeColor="text1"/>
          <w:sz w:val="22"/>
          <w:szCs w:val="22"/>
        </w:rPr>
        <w:t>, H.E.D., Richardson, M., Rees, R. &amp; Thomas,</w:t>
      </w:r>
    </w:p>
    <w:p w14:paraId="4F4B2C5D" w14:textId="77777777" w:rsidR="008B2645" w:rsidRPr="005B7ABE" w:rsidRDefault="008B2645" w:rsidP="0020706C">
      <w:pPr>
        <w:spacing w:line="360" w:lineRule="auto"/>
        <w:jc w:val="both"/>
        <w:rPr>
          <w:rFonts w:ascii="Arial" w:hAnsi="Arial" w:cs="Arial"/>
          <w:color w:val="000000" w:themeColor="text1"/>
          <w:sz w:val="22"/>
          <w:szCs w:val="22"/>
        </w:rPr>
      </w:pPr>
      <w:r w:rsidRPr="005B7ABE">
        <w:rPr>
          <w:rFonts w:ascii="Arial" w:hAnsi="Arial" w:cs="Arial"/>
          <w:color w:val="000000" w:themeColor="text1"/>
          <w:sz w:val="22"/>
          <w:szCs w:val="22"/>
        </w:rPr>
        <w:t xml:space="preserve">J. (2018) 'The importance of service-users' perspectives: A systematic review of qualitative evidence reveals overlooked critical features of weight management programmes', </w:t>
      </w:r>
      <w:r w:rsidRPr="003A71DB">
        <w:rPr>
          <w:rFonts w:ascii="Arial" w:hAnsi="Arial" w:cs="Arial"/>
          <w:i/>
          <w:iCs/>
          <w:color w:val="000000" w:themeColor="text1"/>
          <w:sz w:val="22"/>
          <w:szCs w:val="22"/>
        </w:rPr>
        <w:t>Health Expectations</w:t>
      </w:r>
      <w:r w:rsidRPr="005B7ABE">
        <w:rPr>
          <w:rFonts w:ascii="Arial" w:hAnsi="Arial" w:cs="Arial"/>
          <w:color w:val="000000" w:themeColor="text1"/>
          <w:sz w:val="22"/>
          <w:szCs w:val="22"/>
        </w:rPr>
        <w:t>, 21(3), pp. 563-573. Available at: DOI: 10.1111/hex. 12657.</w:t>
      </w:r>
    </w:p>
    <w:p w14:paraId="11F1C52E" w14:textId="77777777" w:rsidR="008B2645" w:rsidRPr="005B7ABE" w:rsidRDefault="008B2645" w:rsidP="0020706C">
      <w:pPr>
        <w:spacing w:line="360" w:lineRule="auto"/>
        <w:jc w:val="both"/>
        <w:rPr>
          <w:rFonts w:ascii="Arial" w:hAnsi="Arial" w:cs="Arial"/>
          <w:color w:val="000000" w:themeColor="text1"/>
          <w:sz w:val="22"/>
          <w:szCs w:val="22"/>
        </w:rPr>
      </w:pPr>
    </w:p>
    <w:p w14:paraId="03261D94" w14:textId="77777777" w:rsidR="008B2645" w:rsidRPr="005B7ABE" w:rsidRDefault="008B2645" w:rsidP="0020706C">
      <w:pPr>
        <w:spacing w:line="360" w:lineRule="auto"/>
        <w:jc w:val="both"/>
        <w:rPr>
          <w:rFonts w:ascii="Arial" w:hAnsi="Arial" w:cs="Arial"/>
          <w:color w:val="000000" w:themeColor="text1"/>
          <w:sz w:val="22"/>
          <w:szCs w:val="22"/>
        </w:rPr>
      </w:pPr>
      <w:proofErr w:type="spellStart"/>
      <w:r w:rsidRPr="005B7ABE">
        <w:rPr>
          <w:rFonts w:ascii="Arial" w:hAnsi="Arial" w:cs="Arial"/>
          <w:color w:val="000000" w:themeColor="text1"/>
          <w:sz w:val="22"/>
          <w:szCs w:val="22"/>
        </w:rPr>
        <w:t>Pearson-Stuttard</w:t>
      </w:r>
      <w:proofErr w:type="spellEnd"/>
      <w:r w:rsidRPr="005B7ABE">
        <w:rPr>
          <w:rFonts w:ascii="Arial" w:hAnsi="Arial" w:cs="Arial"/>
          <w:color w:val="000000" w:themeColor="text1"/>
          <w:sz w:val="22"/>
          <w:szCs w:val="22"/>
        </w:rPr>
        <w:t xml:space="preserve">, J., Holloway, S., Matthiessen, K.S., Thompson, A. &amp; </w:t>
      </w:r>
      <w:proofErr w:type="spellStart"/>
      <w:r w:rsidRPr="005B7ABE">
        <w:rPr>
          <w:rFonts w:ascii="Arial" w:hAnsi="Arial" w:cs="Arial"/>
          <w:color w:val="000000" w:themeColor="text1"/>
          <w:sz w:val="22"/>
          <w:szCs w:val="22"/>
        </w:rPr>
        <w:t>Capucci</w:t>
      </w:r>
      <w:proofErr w:type="spellEnd"/>
      <w:r w:rsidRPr="005B7ABE">
        <w:rPr>
          <w:rFonts w:ascii="Arial" w:hAnsi="Arial" w:cs="Arial"/>
          <w:color w:val="000000" w:themeColor="text1"/>
          <w:sz w:val="22"/>
          <w:szCs w:val="22"/>
        </w:rPr>
        <w:t>, S. (2023)</w:t>
      </w:r>
    </w:p>
    <w:p w14:paraId="68495C27" w14:textId="77777777" w:rsidR="008B2645" w:rsidRPr="005B7ABE" w:rsidRDefault="008B2645" w:rsidP="0020706C">
      <w:pPr>
        <w:spacing w:line="360" w:lineRule="auto"/>
        <w:jc w:val="both"/>
        <w:rPr>
          <w:rFonts w:ascii="Arial" w:hAnsi="Arial" w:cs="Arial"/>
          <w:color w:val="000000" w:themeColor="text1"/>
          <w:sz w:val="22"/>
          <w:szCs w:val="22"/>
        </w:rPr>
      </w:pPr>
      <w:r w:rsidRPr="005B7ABE">
        <w:rPr>
          <w:rFonts w:ascii="Arial" w:hAnsi="Arial" w:cs="Arial"/>
          <w:color w:val="000000" w:themeColor="text1"/>
          <w:sz w:val="22"/>
          <w:szCs w:val="22"/>
        </w:rPr>
        <w:t xml:space="preserve">'Ten-year progression of obesity-related complications in a population with overweight and obesity in the UK: A retrospective open cohort study', </w:t>
      </w:r>
      <w:r w:rsidRPr="003A71DB">
        <w:rPr>
          <w:rFonts w:ascii="Arial" w:hAnsi="Arial" w:cs="Arial"/>
          <w:i/>
          <w:iCs/>
          <w:color w:val="000000" w:themeColor="text1"/>
          <w:sz w:val="22"/>
          <w:szCs w:val="22"/>
        </w:rPr>
        <w:t>Diabetes, Obesity &amp; Metabolism.</w:t>
      </w:r>
    </w:p>
    <w:p w14:paraId="61613682" w14:textId="77777777" w:rsidR="008B2645" w:rsidRPr="005B7ABE" w:rsidRDefault="008B2645" w:rsidP="0020706C">
      <w:pPr>
        <w:spacing w:line="360" w:lineRule="auto"/>
        <w:jc w:val="both"/>
        <w:rPr>
          <w:rFonts w:ascii="Arial" w:hAnsi="Arial" w:cs="Arial"/>
          <w:color w:val="000000" w:themeColor="text1"/>
          <w:sz w:val="22"/>
          <w:szCs w:val="22"/>
        </w:rPr>
      </w:pPr>
      <w:r w:rsidRPr="005B7ABE">
        <w:rPr>
          <w:rFonts w:ascii="Arial" w:hAnsi="Arial" w:cs="Arial"/>
          <w:color w:val="000000" w:themeColor="text1"/>
          <w:sz w:val="22"/>
          <w:szCs w:val="22"/>
        </w:rPr>
        <w:t xml:space="preserve">Available at: </w:t>
      </w:r>
      <w:proofErr w:type="spellStart"/>
      <w:r w:rsidRPr="005B7ABE">
        <w:rPr>
          <w:rFonts w:ascii="Arial" w:hAnsi="Arial" w:cs="Arial"/>
          <w:color w:val="000000" w:themeColor="text1"/>
          <w:sz w:val="22"/>
          <w:szCs w:val="22"/>
        </w:rPr>
        <w:t>doi:10.1111</w:t>
      </w:r>
      <w:proofErr w:type="spellEnd"/>
      <w:r w:rsidRPr="005B7ABE">
        <w:rPr>
          <w:rFonts w:ascii="Arial" w:hAnsi="Arial" w:cs="Arial"/>
          <w:color w:val="000000" w:themeColor="text1"/>
          <w:sz w:val="22"/>
          <w:szCs w:val="22"/>
        </w:rPr>
        <w:t>/dom. 15836.</w:t>
      </w:r>
    </w:p>
    <w:p w14:paraId="6975111C" w14:textId="77777777" w:rsidR="008B2645" w:rsidRPr="005B7ABE" w:rsidRDefault="008B2645" w:rsidP="0020706C">
      <w:pPr>
        <w:spacing w:line="360" w:lineRule="auto"/>
        <w:jc w:val="both"/>
        <w:rPr>
          <w:rFonts w:ascii="Arial" w:hAnsi="Arial" w:cs="Arial"/>
          <w:color w:val="000000" w:themeColor="text1"/>
          <w:sz w:val="22"/>
          <w:szCs w:val="22"/>
        </w:rPr>
      </w:pPr>
    </w:p>
    <w:p w14:paraId="4B1E50FD" w14:textId="77777777" w:rsidR="008B2645" w:rsidRPr="005B7ABE" w:rsidRDefault="008B2645" w:rsidP="0020706C">
      <w:pPr>
        <w:spacing w:line="360" w:lineRule="auto"/>
        <w:jc w:val="both"/>
        <w:rPr>
          <w:rFonts w:ascii="Arial" w:hAnsi="Arial" w:cs="Arial"/>
          <w:color w:val="000000" w:themeColor="text1"/>
          <w:sz w:val="22"/>
          <w:szCs w:val="22"/>
        </w:rPr>
      </w:pPr>
      <w:r w:rsidRPr="005B7ABE">
        <w:rPr>
          <w:rFonts w:ascii="Arial" w:hAnsi="Arial" w:cs="Arial"/>
          <w:color w:val="000000" w:themeColor="text1"/>
          <w:sz w:val="22"/>
          <w:szCs w:val="22"/>
        </w:rPr>
        <w:t xml:space="preserve">Briggs, R., </w:t>
      </w:r>
      <w:proofErr w:type="spellStart"/>
      <w:r w:rsidRPr="005B7ABE">
        <w:rPr>
          <w:rFonts w:ascii="Arial" w:hAnsi="Arial" w:cs="Arial"/>
          <w:color w:val="000000" w:themeColor="text1"/>
          <w:sz w:val="22"/>
          <w:szCs w:val="22"/>
        </w:rPr>
        <w:t>Rowden</w:t>
      </w:r>
      <w:proofErr w:type="spellEnd"/>
      <w:r w:rsidRPr="005B7ABE">
        <w:rPr>
          <w:rFonts w:ascii="Arial" w:hAnsi="Arial" w:cs="Arial"/>
          <w:color w:val="000000" w:themeColor="text1"/>
          <w:sz w:val="22"/>
          <w:szCs w:val="22"/>
        </w:rPr>
        <w:t xml:space="preserve">, H., </w:t>
      </w:r>
      <w:proofErr w:type="spellStart"/>
      <w:r w:rsidRPr="005B7ABE">
        <w:rPr>
          <w:rFonts w:ascii="Arial" w:hAnsi="Arial" w:cs="Arial"/>
          <w:color w:val="000000" w:themeColor="text1"/>
          <w:sz w:val="22"/>
          <w:szCs w:val="22"/>
        </w:rPr>
        <w:t>Lagojda</w:t>
      </w:r>
      <w:proofErr w:type="spellEnd"/>
      <w:r w:rsidRPr="005B7ABE">
        <w:rPr>
          <w:rFonts w:ascii="Arial" w:hAnsi="Arial" w:cs="Arial"/>
          <w:color w:val="000000" w:themeColor="text1"/>
          <w:sz w:val="22"/>
          <w:szCs w:val="22"/>
        </w:rPr>
        <w:t xml:space="preserve">, L., Robbins, T. and </w:t>
      </w:r>
      <w:proofErr w:type="spellStart"/>
      <w:r w:rsidRPr="005B7ABE">
        <w:rPr>
          <w:rFonts w:ascii="Arial" w:hAnsi="Arial" w:cs="Arial"/>
          <w:color w:val="000000" w:themeColor="text1"/>
          <w:sz w:val="22"/>
          <w:szCs w:val="22"/>
        </w:rPr>
        <w:t>Randeva</w:t>
      </w:r>
      <w:proofErr w:type="spellEnd"/>
      <w:r w:rsidRPr="005B7ABE">
        <w:rPr>
          <w:rFonts w:ascii="Arial" w:hAnsi="Arial" w:cs="Arial"/>
          <w:color w:val="000000" w:themeColor="text1"/>
          <w:sz w:val="22"/>
          <w:szCs w:val="22"/>
        </w:rPr>
        <w:t xml:space="preserve">, H.S. (2024). The lived experience of food insecurity among adults with obesity: a quantitative and qualitative systematic review, </w:t>
      </w:r>
      <w:r w:rsidRPr="003A71DB">
        <w:rPr>
          <w:rFonts w:ascii="Arial" w:hAnsi="Arial" w:cs="Arial"/>
          <w:i/>
          <w:iCs/>
          <w:color w:val="000000" w:themeColor="text1"/>
          <w:sz w:val="22"/>
          <w:szCs w:val="22"/>
        </w:rPr>
        <w:t>Journal of Public Health</w:t>
      </w:r>
      <w:r w:rsidRPr="005B7ABE">
        <w:rPr>
          <w:rFonts w:ascii="Arial" w:hAnsi="Arial" w:cs="Arial"/>
          <w:color w:val="000000" w:themeColor="text1"/>
          <w:sz w:val="22"/>
          <w:szCs w:val="22"/>
        </w:rPr>
        <w:t>, 46(2), pp.230–249. Available at: https://pubmed.ncbi.nlm.nih.gov/38409966/</w:t>
      </w:r>
    </w:p>
    <w:p w14:paraId="6515D060" w14:textId="77777777" w:rsidR="008B2645" w:rsidRPr="005B7ABE" w:rsidRDefault="008B2645" w:rsidP="0020706C">
      <w:pPr>
        <w:spacing w:line="360" w:lineRule="auto"/>
        <w:jc w:val="both"/>
        <w:rPr>
          <w:rFonts w:ascii="Arial" w:hAnsi="Arial" w:cs="Arial"/>
          <w:color w:val="000000" w:themeColor="text1"/>
          <w:sz w:val="22"/>
          <w:szCs w:val="22"/>
        </w:rPr>
      </w:pPr>
    </w:p>
    <w:p w14:paraId="10E7E43F" w14:textId="3641A87A" w:rsidR="008B2645" w:rsidRPr="005B7ABE" w:rsidRDefault="008B2645" w:rsidP="0020706C">
      <w:pPr>
        <w:spacing w:line="360" w:lineRule="auto"/>
        <w:jc w:val="both"/>
        <w:rPr>
          <w:rFonts w:ascii="Arial" w:hAnsi="Arial" w:cs="Arial"/>
          <w:color w:val="000000" w:themeColor="text1"/>
          <w:sz w:val="22"/>
          <w:szCs w:val="22"/>
        </w:rPr>
      </w:pPr>
      <w:proofErr w:type="spellStart"/>
      <w:r w:rsidRPr="005B7ABE">
        <w:rPr>
          <w:rFonts w:ascii="Arial" w:hAnsi="Arial" w:cs="Arial"/>
          <w:color w:val="000000" w:themeColor="text1"/>
          <w:sz w:val="22"/>
          <w:szCs w:val="22"/>
        </w:rPr>
        <w:t>Parretti</w:t>
      </w:r>
      <w:proofErr w:type="spellEnd"/>
      <w:r w:rsidRPr="005B7ABE">
        <w:rPr>
          <w:rFonts w:ascii="Arial" w:hAnsi="Arial" w:cs="Arial"/>
          <w:color w:val="000000" w:themeColor="text1"/>
          <w:sz w:val="22"/>
          <w:szCs w:val="22"/>
        </w:rPr>
        <w:t xml:space="preserve">, H.M., Erskine, S.E., </w:t>
      </w:r>
      <w:proofErr w:type="spellStart"/>
      <w:r w:rsidRPr="005B7ABE">
        <w:rPr>
          <w:rFonts w:ascii="Arial" w:hAnsi="Arial" w:cs="Arial"/>
          <w:color w:val="000000" w:themeColor="text1"/>
          <w:sz w:val="22"/>
          <w:szCs w:val="22"/>
        </w:rPr>
        <w:t>Coulman</w:t>
      </w:r>
      <w:proofErr w:type="spellEnd"/>
      <w:r w:rsidRPr="005B7ABE">
        <w:rPr>
          <w:rFonts w:ascii="Arial" w:hAnsi="Arial" w:cs="Arial"/>
          <w:color w:val="000000" w:themeColor="text1"/>
          <w:sz w:val="22"/>
          <w:szCs w:val="22"/>
        </w:rPr>
        <w:t xml:space="preserve">, K.D., Mears, R., Clare, K., Williamson, K., Watkins, R. and Hughes, C.A. (2026) </w:t>
      </w:r>
      <w:r w:rsidR="001B0B49">
        <w:rPr>
          <w:rFonts w:ascii="Arial" w:hAnsi="Arial" w:cs="Arial"/>
          <w:color w:val="000000" w:themeColor="text1"/>
          <w:sz w:val="22"/>
          <w:szCs w:val="22"/>
        </w:rPr>
        <w:t>‘</w:t>
      </w:r>
      <w:r w:rsidRPr="005B7ABE">
        <w:rPr>
          <w:rFonts w:ascii="Arial" w:hAnsi="Arial" w:cs="Arial"/>
          <w:color w:val="000000" w:themeColor="text1"/>
          <w:sz w:val="22"/>
          <w:szCs w:val="22"/>
        </w:rPr>
        <w:t>A review of the management of obesity in primary care</w:t>
      </w:r>
      <w:r w:rsidR="001B0B49">
        <w:rPr>
          <w:rFonts w:ascii="Arial" w:hAnsi="Arial" w:cs="Arial"/>
          <w:color w:val="000000" w:themeColor="text1"/>
          <w:sz w:val="22"/>
          <w:szCs w:val="22"/>
        </w:rPr>
        <w:t>’</w:t>
      </w:r>
      <w:r w:rsidRPr="005B7ABE">
        <w:rPr>
          <w:rFonts w:ascii="Arial" w:hAnsi="Arial" w:cs="Arial"/>
          <w:color w:val="000000" w:themeColor="text1"/>
          <w:sz w:val="22"/>
          <w:szCs w:val="22"/>
        </w:rPr>
        <w:t xml:space="preserve">, </w:t>
      </w:r>
      <w:r w:rsidRPr="001B0B49">
        <w:rPr>
          <w:rFonts w:ascii="Arial" w:hAnsi="Arial" w:cs="Arial"/>
          <w:i/>
          <w:iCs/>
          <w:color w:val="000000" w:themeColor="text1"/>
          <w:sz w:val="22"/>
          <w:szCs w:val="22"/>
        </w:rPr>
        <w:t>Clinical Obesity</w:t>
      </w:r>
      <w:r w:rsidRPr="005B7ABE">
        <w:rPr>
          <w:rFonts w:ascii="Arial" w:hAnsi="Arial" w:cs="Arial"/>
          <w:color w:val="000000" w:themeColor="text1"/>
          <w:sz w:val="22"/>
          <w:szCs w:val="22"/>
        </w:rPr>
        <w:t>, 16(1</w:t>
      </w:r>
      <w:r w:rsidR="001B0B49">
        <w:rPr>
          <w:rFonts w:ascii="Arial" w:hAnsi="Arial" w:cs="Arial"/>
          <w:color w:val="000000" w:themeColor="text1"/>
          <w:sz w:val="22"/>
          <w:szCs w:val="22"/>
        </w:rPr>
        <w:t>)</w:t>
      </w:r>
      <w:r w:rsidRPr="005B7ABE">
        <w:rPr>
          <w:rFonts w:ascii="Arial" w:hAnsi="Arial" w:cs="Arial"/>
          <w:color w:val="000000" w:themeColor="text1"/>
          <w:sz w:val="22"/>
          <w:szCs w:val="22"/>
        </w:rPr>
        <w:t xml:space="preserve">. Available at: </w:t>
      </w:r>
      <w:proofErr w:type="spellStart"/>
      <w:r w:rsidRPr="005B7ABE">
        <w:rPr>
          <w:rFonts w:ascii="Arial" w:hAnsi="Arial" w:cs="Arial"/>
          <w:color w:val="000000" w:themeColor="text1"/>
          <w:sz w:val="22"/>
          <w:szCs w:val="22"/>
        </w:rPr>
        <w:t>doi</w:t>
      </w:r>
      <w:proofErr w:type="spellEnd"/>
      <w:r w:rsidRPr="005B7ABE">
        <w:rPr>
          <w:rFonts w:ascii="Arial" w:hAnsi="Arial" w:cs="Arial"/>
          <w:color w:val="000000" w:themeColor="text1"/>
          <w:sz w:val="22"/>
          <w:szCs w:val="22"/>
        </w:rPr>
        <w:t>: 10.1111/cob.70040</w:t>
      </w:r>
    </w:p>
    <w:p w14:paraId="2B2BF18C" w14:textId="77777777" w:rsidR="008B2645" w:rsidRPr="005B7ABE" w:rsidRDefault="008B2645" w:rsidP="0020706C">
      <w:pPr>
        <w:spacing w:line="360" w:lineRule="auto"/>
        <w:jc w:val="both"/>
        <w:rPr>
          <w:rFonts w:ascii="Arial" w:hAnsi="Arial" w:cs="Arial"/>
          <w:color w:val="000000" w:themeColor="text1"/>
          <w:sz w:val="22"/>
          <w:szCs w:val="22"/>
        </w:rPr>
      </w:pPr>
    </w:p>
    <w:p w14:paraId="4FDE453A" w14:textId="77777777" w:rsidR="008B2645" w:rsidRPr="005B7ABE" w:rsidRDefault="008B2645" w:rsidP="0020706C">
      <w:pPr>
        <w:spacing w:line="360" w:lineRule="auto"/>
        <w:jc w:val="both"/>
        <w:rPr>
          <w:rFonts w:ascii="Arial" w:hAnsi="Arial" w:cs="Arial"/>
          <w:color w:val="000000" w:themeColor="text1"/>
          <w:sz w:val="22"/>
          <w:szCs w:val="22"/>
        </w:rPr>
      </w:pPr>
      <w:r w:rsidRPr="005B7ABE">
        <w:rPr>
          <w:rFonts w:ascii="Arial" w:hAnsi="Arial" w:cs="Arial"/>
          <w:color w:val="000000" w:themeColor="text1"/>
          <w:sz w:val="22"/>
          <w:szCs w:val="22"/>
        </w:rPr>
        <w:t xml:space="preserve">Hughes, C.A., Ahern, A.L., </w:t>
      </w:r>
      <w:proofErr w:type="spellStart"/>
      <w:r w:rsidRPr="005B7ABE">
        <w:rPr>
          <w:rFonts w:ascii="Arial" w:hAnsi="Arial" w:cs="Arial"/>
          <w:color w:val="000000" w:themeColor="text1"/>
          <w:sz w:val="22"/>
          <w:szCs w:val="22"/>
        </w:rPr>
        <w:t>Kasetty</w:t>
      </w:r>
      <w:proofErr w:type="spellEnd"/>
      <w:r w:rsidRPr="005B7ABE">
        <w:rPr>
          <w:rFonts w:ascii="Arial" w:hAnsi="Arial" w:cs="Arial"/>
          <w:color w:val="000000" w:themeColor="text1"/>
          <w:sz w:val="22"/>
          <w:szCs w:val="22"/>
        </w:rPr>
        <w:t xml:space="preserve">, H., McGowan, B.M., </w:t>
      </w:r>
      <w:proofErr w:type="spellStart"/>
      <w:r w:rsidRPr="005B7ABE">
        <w:rPr>
          <w:rFonts w:ascii="Arial" w:hAnsi="Arial" w:cs="Arial"/>
          <w:color w:val="000000" w:themeColor="text1"/>
          <w:sz w:val="22"/>
          <w:szCs w:val="22"/>
        </w:rPr>
        <w:t>Parretti</w:t>
      </w:r>
      <w:proofErr w:type="spellEnd"/>
      <w:r w:rsidRPr="005B7ABE">
        <w:rPr>
          <w:rFonts w:ascii="Arial" w:hAnsi="Arial" w:cs="Arial"/>
          <w:color w:val="000000" w:themeColor="text1"/>
          <w:sz w:val="22"/>
          <w:szCs w:val="22"/>
        </w:rPr>
        <w:t>, H.M., Vincent, A. and Halford, J.C.G. (2021) ‘Changing the narrative around obesity in the UK: a survey of people with obesity and healthcare professionals from the ACTION</w:t>
      </w:r>
      <w:r w:rsidRPr="005B7ABE">
        <w:rPr>
          <w:rFonts w:ascii="Cambria Math" w:hAnsi="Cambria Math" w:cs="Cambria Math"/>
          <w:color w:val="000000" w:themeColor="text1"/>
          <w:sz w:val="22"/>
          <w:szCs w:val="22"/>
        </w:rPr>
        <w:t>‑</w:t>
      </w:r>
      <w:r w:rsidRPr="005B7ABE">
        <w:rPr>
          <w:rFonts w:ascii="Arial" w:hAnsi="Arial" w:cs="Arial"/>
          <w:color w:val="000000" w:themeColor="text1"/>
          <w:sz w:val="22"/>
          <w:szCs w:val="22"/>
        </w:rPr>
        <w:t xml:space="preserve">IO study’ </w:t>
      </w:r>
      <w:r w:rsidRPr="001B0B49">
        <w:rPr>
          <w:rFonts w:ascii="Arial" w:hAnsi="Arial" w:cs="Arial"/>
          <w:i/>
          <w:iCs/>
          <w:color w:val="000000" w:themeColor="text1"/>
          <w:sz w:val="22"/>
          <w:szCs w:val="22"/>
        </w:rPr>
        <w:t>BMJ Open</w:t>
      </w:r>
      <w:r w:rsidRPr="005B7ABE">
        <w:rPr>
          <w:rFonts w:ascii="Arial" w:hAnsi="Arial" w:cs="Arial"/>
          <w:color w:val="000000" w:themeColor="text1"/>
          <w:sz w:val="22"/>
          <w:szCs w:val="22"/>
        </w:rPr>
        <w:t xml:space="preserve">, 11(6). Available at: </w:t>
      </w:r>
      <w:proofErr w:type="spellStart"/>
      <w:r w:rsidRPr="005B7ABE">
        <w:rPr>
          <w:rFonts w:ascii="Arial" w:hAnsi="Arial" w:cs="Arial"/>
          <w:color w:val="000000" w:themeColor="text1"/>
          <w:sz w:val="22"/>
          <w:szCs w:val="22"/>
        </w:rPr>
        <w:t>doi:10.1136</w:t>
      </w:r>
      <w:proofErr w:type="spellEnd"/>
      <w:r w:rsidRPr="005B7ABE">
        <w:rPr>
          <w:rFonts w:ascii="Arial" w:hAnsi="Arial" w:cs="Arial"/>
          <w:color w:val="000000" w:themeColor="text1"/>
          <w:sz w:val="22"/>
          <w:szCs w:val="22"/>
        </w:rPr>
        <w:t>/</w:t>
      </w:r>
      <w:proofErr w:type="spellStart"/>
      <w:r w:rsidRPr="005B7ABE">
        <w:rPr>
          <w:rFonts w:ascii="Arial" w:hAnsi="Arial" w:cs="Arial"/>
          <w:color w:val="000000" w:themeColor="text1"/>
          <w:sz w:val="22"/>
          <w:szCs w:val="22"/>
        </w:rPr>
        <w:t>bmjopen-2020-045616</w:t>
      </w:r>
      <w:proofErr w:type="spellEnd"/>
    </w:p>
    <w:p w14:paraId="1D1292D8" w14:textId="77777777" w:rsidR="008B2645" w:rsidRPr="005B7ABE" w:rsidRDefault="008B2645" w:rsidP="0020706C">
      <w:pPr>
        <w:spacing w:line="360" w:lineRule="auto"/>
        <w:jc w:val="both"/>
        <w:rPr>
          <w:rFonts w:ascii="Arial" w:hAnsi="Arial" w:cs="Arial"/>
          <w:color w:val="000000" w:themeColor="text1"/>
          <w:sz w:val="22"/>
          <w:szCs w:val="22"/>
        </w:rPr>
      </w:pPr>
    </w:p>
    <w:p w14:paraId="6C983AF6" w14:textId="77777777" w:rsidR="008B2645" w:rsidRPr="005B7ABE" w:rsidRDefault="008B2645" w:rsidP="0020706C">
      <w:pPr>
        <w:spacing w:line="360" w:lineRule="auto"/>
        <w:jc w:val="both"/>
        <w:rPr>
          <w:rFonts w:ascii="Arial" w:hAnsi="Arial" w:cs="Arial"/>
          <w:color w:val="000000" w:themeColor="text1"/>
          <w:sz w:val="22"/>
          <w:szCs w:val="22"/>
        </w:rPr>
      </w:pPr>
      <w:r w:rsidRPr="005B7ABE">
        <w:rPr>
          <w:rFonts w:ascii="Arial" w:hAnsi="Arial" w:cs="Arial"/>
          <w:color w:val="000000" w:themeColor="text1"/>
          <w:sz w:val="22"/>
          <w:szCs w:val="22"/>
        </w:rPr>
        <w:lastRenderedPageBreak/>
        <w:t xml:space="preserve">National Institute for Health and Care Excellence (2026) </w:t>
      </w:r>
      <w:r w:rsidRPr="001B0B49">
        <w:rPr>
          <w:rFonts w:ascii="Arial" w:hAnsi="Arial" w:cs="Arial"/>
          <w:i/>
          <w:iCs/>
          <w:color w:val="000000" w:themeColor="text1"/>
          <w:sz w:val="22"/>
          <w:szCs w:val="22"/>
        </w:rPr>
        <w:t>Overweight and obesity management (NICE guideline NG 246)</w:t>
      </w:r>
      <w:r w:rsidRPr="005B7ABE">
        <w:rPr>
          <w:rFonts w:ascii="Arial" w:hAnsi="Arial" w:cs="Arial"/>
          <w:color w:val="000000" w:themeColor="text1"/>
          <w:sz w:val="22"/>
          <w:szCs w:val="22"/>
        </w:rPr>
        <w:t>. Available at: https://www.nice.org.uk/guidance/ng246</w:t>
      </w:r>
    </w:p>
    <w:p w14:paraId="271AEF0C" w14:textId="77777777" w:rsidR="008B2645" w:rsidRPr="005B7ABE" w:rsidRDefault="008B2645" w:rsidP="0020706C">
      <w:pPr>
        <w:spacing w:line="360" w:lineRule="auto"/>
        <w:jc w:val="both"/>
        <w:rPr>
          <w:rFonts w:ascii="Arial" w:hAnsi="Arial" w:cs="Arial"/>
          <w:color w:val="000000" w:themeColor="text1"/>
          <w:sz w:val="22"/>
          <w:szCs w:val="22"/>
        </w:rPr>
      </w:pPr>
      <w:r w:rsidRPr="005B7ABE">
        <w:rPr>
          <w:rFonts w:ascii="Arial" w:hAnsi="Arial" w:cs="Arial"/>
          <w:color w:val="000000" w:themeColor="text1"/>
          <w:sz w:val="22"/>
          <w:szCs w:val="22"/>
        </w:rPr>
        <w:t>(Accessed: 13 February 2026).</w:t>
      </w:r>
    </w:p>
    <w:p w14:paraId="4F51669E" w14:textId="77777777" w:rsidR="008B2645" w:rsidRPr="005B7ABE" w:rsidRDefault="008B2645" w:rsidP="0020706C">
      <w:pPr>
        <w:spacing w:line="360" w:lineRule="auto"/>
        <w:jc w:val="both"/>
        <w:rPr>
          <w:rFonts w:ascii="Arial" w:hAnsi="Arial" w:cs="Arial"/>
          <w:color w:val="000000" w:themeColor="text1"/>
          <w:sz w:val="22"/>
          <w:szCs w:val="22"/>
        </w:rPr>
      </w:pPr>
    </w:p>
    <w:p w14:paraId="00DA8B47" w14:textId="77777777" w:rsidR="008B2645" w:rsidRPr="005B7ABE" w:rsidRDefault="008B2645" w:rsidP="0020706C">
      <w:pPr>
        <w:spacing w:line="360" w:lineRule="auto"/>
        <w:jc w:val="both"/>
        <w:rPr>
          <w:rFonts w:ascii="Arial" w:hAnsi="Arial" w:cs="Arial"/>
          <w:color w:val="000000" w:themeColor="text1"/>
          <w:sz w:val="22"/>
          <w:szCs w:val="22"/>
        </w:rPr>
      </w:pPr>
      <w:r w:rsidRPr="005B7ABE">
        <w:rPr>
          <w:rFonts w:ascii="Arial" w:hAnsi="Arial" w:cs="Arial"/>
          <w:color w:val="000000" w:themeColor="text1"/>
          <w:sz w:val="22"/>
          <w:szCs w:val="22"/>
        </w:rPr>
        <w:t xml:space="preserve">Kyle, R.G., Wills, J., Mahoney, C., Hoyle, L., Kelly, M. and Atherton, I.M. (2017) 'Obesity prevalence among healthcare professionals in England: a cross-sectional study using the Health Survey for England’, </w:t>
      </w:r>
      <w:r w:rsidRPr="006F0B0C">
        <w:rPr>
          <w:rFonts w:ascii="Arial" w:hAnsi="Arial" w:cs="Arial"/>
          <w:i/>
          <w:iCs/>
          <w:color w:val="000000" w:themeColor="text1"/>
          <w:sz w:val="22"/>
          <w:szCs w:val="22"/>
        </w:rPr>
        <w:t>BMJ Open</w:t>
      </w:r>
      <w:r w:rsidRPr="005B7ABE">
        <w:rPr>
          <w:rFonts w:ascii="Arial" w:hAnsi="Arial" w:cs="Arial"/>
          <w:color w:val="000000" w:themeColor="text1"/>
          <w:sz w:val="22"/>
          <w:szCs w:val="22"/>
        </w:rPr>
        <w:t>, 7(12). Available at: https://doi.org/10.1136/bmjopen-</w:t>
      </w:r>
    </w:p>
    <w:p w14:paraId="5B1DC808" w14:textId="77777777" w:rsidR="008B2645" w:rsidRPr="005B7ABE" w:rsidRDefault="008B2645" w:rsidP="0020706C">
      <w:pPr>
        <w:spacing w:line="360" w:lineRule="auto"/>
        <w:jc w:val="both"/>
        <w:rPr>
          <w:rFonts w:ascii="Arial" w:hAnsi="Arial" w:cs="Arial"/>
          <w:color w:val="000000" w:themeColor="text1"/>
          <w:sz w:val="22"/>
          <w:szCs w:val="22"/>
        </w:rPr>
      </w:pPr>
      <w:r w:rsidRPr="005B7ABE">
        <w:rPr>
          <w:rFonts w:ascii="Arial" w:hAnsi="Arial" w:cs="Arial"/>
          <w:color w:val="000000" w:themeColor="text1"/>
          <w:sz w:val="22"/>
          <w:szCs w:val="22"/>
        </w:rPr>
        <w:t>2017-018498.</w:t>
      </w:r>
    </w:p>
    <w:p w14:paraId="208FBF50" w14:textId="77777777" w:rsidR="008B2645" w:rsidRPr="005B7ABE" w:rsidRDefault="008B2645" w:rsidP="0020706C">
      <w:pPr>
        <w:spacing w:line="360" w:lineRule="auto"/>
        <w:jc w:val="both"/>
        <w:rPr>
          <w:rFonts w:ascii="Arial" w:hAnsi="Arial" w:cs="Arial"/>
          <w:color w:val="000000" w:themeColor="text1"/>
          <w:sz w:val="22"/>
          <w:szCs w:val="22"/>
        </w:rPr>
      </w:pPr>
    </w:p>
    <w:p w14:paraId="45AB2E4A" w14:textId="77777777" w:rsidR="008B2645" w:rsidRPr="005B7ABE" w:rsidRDefault="008B2645" w:rsidP="0020706C">
      <w:pPr>
        <w:spacing w:line="360" w:lineRule="auto"/>
        <w:jc w:val="both"/>
        <w:rPr>
          <w:rFonts w:ascii="Arial" w:hAnsi="Arial" w:cs="Arial"/>
          <w:color w:val="000000" w:themeColor="text1"/>
          <w:sz w:val="22"/>
          <w:szCs w:val="22"/>
        </w:rPr>
      </w:pPr>
      <w:r w:rsidRPr="005B7ABE">
        <w:rPr>
          <w:rFonts w:ascii="Arial" w:hAnsi="Arial" w:cs="Arial"/>
          <w:color w:val="000000" w:themeColor="text1"/>
          <w:sz w:val="22"/>
          <w:szCs w:val="22"/>
        </w:rPr>
        <w:t xml:space="preserve">Martins, M., Robertson, C.., Cooper, D., </w:t>
      </w:r>
      <w:proofErr w:type="spellStart"/>
      <w:r w:rsidRPr="005B7ABE">
        <w:rPr>
          <w:rFonts w:ascii="Arial" w:hAnsi="Arial" w:cs="Arial"/>
          <w:color w:val="000000" w:themeColor="text1"/>
          <w:sz w:val="22"/>
          <w:szCs w:val="22"/>
        </w:rPr>
        <w:t>Avenell</w:t>
      </w:r>
      <w:proofErr w:type="spellEnd"/>
      <w:r w:rsidRPr="005B7ABE">
        <w:rPr>
          <w:rFonts w:ascii="Arial" w:hAnsi="Arial" w:cs="Arial"/>
          <w:color w:val="000000" w:themeColor="text1"/>
          <w:sz w:val="22"/>
          <w:szCs w:val="22"/>
        </w:rPr>
        <w:t xml:space="preserve">, A., Stewart, F., </w:t>
      </w:r>
      <w:proofErr w:type="spellStart"/>
      <w:r w:rsidRPr="005B7ABE">
        <w:rPr>
          <w:rFonts w:ascii="Arial" w:hAnsi="Arial" w:cs="Arial"/>
          <w:color w:val="000000" w:themeColor="text1"/>
          <w:sz w:val="22"/>
          <w:szCs w:val="22"/>
        </w:rPr>
        <w:t>Aveyard</w:t>
      </w:r>
      <w:proofErr w:type="spellEnd"/>
      <w:r w:rsidRPr="005B7ABE">
        <w:rPr>
          <w:rFonts w:ascii="Arial" w:hAnsi="Arial" w:cs="Arial"/>
          <w:color w:val="000000" w:themeColor="text1"/>
          <w:sz w:val="22"/>
          <w:szCs w:val="22"/>
        </w:rPr>
        <w:t xml:space="preserve">, P. and de Bruin, M. (2020) 'A systematic review of UK-based long-term nonsurgical interventions for people with severe obesity (BMI ≥35 kg m-2), </w:t>
      </w:r>
      <w:r w:rsidRPr="006F0B0C">
        <w:rPr>
          <w:rFonts w:ascii="Arial" w:hAnsi="Arial" w:cs="Arial"/>
          <w:i/>
          <w:iCs/>
          <w:color w:val="000000" w:themeColor="text1"/>
          <w:sz w:val="22"/>
          <w:szCs w:val="22"/>
        </w:rPr>
        <w:t>Journal of Human Nutrition and Dietetics</w:t>
      </w:r>
      <w:r w:rsidRPr="005B7ABE">
        <w:rPr>
          <w:rFonts w:ascii="Arial" w:hAnsi="Arial" w:cs="Arial"/>
          <w:color w:val="000000" w:themeColor="text1"/>
          <w:sz w:val="22"/>
          <w:szCs w:val="22"/>
        </w:rPr>
        <w:t>, 33(3), pp. 351-372. Available at: https://doi.org/10.1111jihn.12732.</w:t>
      </w:r>
    </w:p>
    <w:p w14:paraId="531B98A2" w14:textId="77777777" w:rsidR="008B2645" w:rsidRPr="005B7ABE" w:rsidRDefault="008B2645" w:rsidP="0020706C">
      <w:pPr>
        <w:spacing w:line="360" w:lineRule="auto"/>
        <w:jc w:val="both"/>
        <w:rPr>
          <w:rFonts w:ascii="Arial" w:hAnsi="Arial" w:cs="Arial"/>
          <w:color w:val="000000" w:themeColor="text1"/>
          <w:sz w:val="22"/>
          <w:szCs w:val="22"/>
        </w:rPr>
      </w:pPr>
    </w:p>
    <w:p w14:paraId="64BB7131" w14:textId="77777777" w:rsidR="008B2645" w:rsidRPr="005B7ABE" w:rsidRDefault="008B2645" w:rsidP="0020706C">
      <w:pPr>
        <w:spacing w:line="360" w:lineRule="auto"/>
        <w:jc w:val="both"/>
        <w:rPr>
          <w:rFonts w:ascii="Arial" w:hAnsi="Arial" w:cs="Arial"/>
          <w:color w:val="000000" w:themeColor="text1"/>
          <w:sz w:val="22"/>
          <w:szCs w:val="22"/>
        </w:rPr>
      </w:pPr>
      <w:proofErr w:type="spellStart"/>
      <w:r w:rsidRPr="005B7ABE">
        <w:rPr>
          <w:rFonts w:ascii="Arial" w:hAnsi="Arial" w:cs="Arial"/>
          <w:color w:val="000000" w:themeColor="text1"/>
          <w:sz w:val="22"/>
          <w:szCs w:val="22"/>
        </w:rPr>
        <w:t>Coulman</w:t>
      </w:r>
      <w:proofErr w:type="spellEnd"/>
      <w:r w:rsidRPr="005B7ABE">
        <w:rPr>
          <w:rFonts w:ascii="Arial" w:hAnsi="Arial" w:cs="Arial"/>
          <w:color w:val="000000" w:themeColor="text1"/>
          <w:sz w:val="22"/>
          <w:szCs w:val="22"/>
        </w:rPr>
        <w:t xml:space="preserve">, K.D., </w:t>
      </w:r>
      <w:proofErr w:type="spellStart"/>
      <w:r w:rsidRPr="005B7ABE">
        <w:rPr>
          <w:rFonts w:ascii="Arial" w:hAnsi="Arial" w:cs="Arial"/>
          <w:color w:val="000000" w:themeColor="text1"/>
          <w:sz w:val="22"/>
          <w:szCs w:val="22"/>
        </w:rPr>
        <w:t>Margelyte</w:t>
      </w:r>
      <w:proofErr w:type="spellEnd"/>
      <w:r w:rsidRPr="005B7ABE">
        <w:rPr>
          <w:rFonts w:ascii="Arial" w:hAnsi="Arial" w:cs="Arial"/>
          <w:color w:val="000000" w:themeColor="text1"/>
          <w:sz w:val="22"/>
          <w:szCs w:val="22"/>
        </w:rPr>
        <w:t xml:space="preserve">, R., Jones, T., </w:t>
      </w:r>
      <w:proofErr w:type="spellStart"/>
      <w:r w:rsidRPr="005B7ABE">
        <w:rPr>
          <w:rFonts w:ascii="Arial" w:hAnsi="Arial" w:cs="Arial"/>
          <w:color w:val="000000" w:themeColor="text1"/>
          <w:sz w:val="22"/>
          <w:szCs w:val="22"/>
        </w:rPr>
        <w:t>Blazeby</w:t>
      </w:r>
      <w:proofErr w:type="spellEnd"/>
      <w:r w:rsidRPr="005B7ABE">
        <w:rPr>
          <w:rFonts w:ascii="Arial" w:hAnsi="Arial" w:cs="Arial"/>
          <w:color w:val="000000" w:themeColor="text1"/>
          <w:sz w:val="22"/>
          <w:szCs w:val="22"/>
        </w:rPr>
        <w:t xml:space="preserve">, J.M., Macleod, J., Owen-Smith, A., </w:t>
      </w:r>
      <w:proofErr w:type="spellStart"/>
      <w:r w:rsidRPr="005B7ABE">
        <w:rPr>
          <w:rFonts w:ascii="Arial" w:hAnsi="Arial" w:cs="Arial"/>
          <w:color w:val="000000" w:themeColor="text1"/>
          <w:sz w:val="22"/>
          <w:szCs w:val="22"/>
        </w:rPr>
        <w:t>Parretti</w:t>
      </w:r>
      <w:proofErr w:type="spellEnd"/>
      <w:r w:rsidRPr="005B7ABE">
        <w:rPr>
          <w:rFonts w:ascii="Arial" w:hAnsi="Arial" w:cs="Arial"/>
          <w:color w:val="000000" w:themeColor="text1"/>
          <w:sz w:val="22"/>
          <w:szCs w:val="22"/>
        </w:rPr>
        <w:t xml:space="preserve">, H., </w:t>
      </w:r>
      <w:proofErr w:type="spellStart"/>
      <w:r w:rsidRPr="005B7ABE">
        <w:rPr>
          <w:rFonts w:ascii="Arial" w:hAnsi="Arial" w:cs="Arial"/>
          <w:color w:val="000000" w:themeColor="text1"/>
          <w:sz w:val="22"/>
          <w:szCs w:val="22"/>
        </w:rPr>
        <w:t>Welbourn</w:t>
      </w:r>
      <w:proofErr w:type="spellEnd"/>
      <w:r w:rsidRPr="005B7ABE">
        <w:rPr>
          <w:rFonts w:ascii="Arial" w:hAnsi="Arial" w:cs="Arial"/>
          <w:color w:val="000000" w:themeColor="text1"/>
          <w:sz w:val="22"/>
          <w:szCs w:val="22"/>
        </w:rPr>
        <w:t xml:space="preserve">, R., </w:t>
      </w:r>
      <w:proofErr w:type="spellStart"/>
      <w:r w:rsidRPr="005B7ABE">
        <w:rPr>
          <w:rFonts w:ascii="Arial" w:hAnsi="Arial" w:cs="Arial"/>
          <w:color w:val="000000" w:themeColor="text1"/>
          <w:sz w:val="22"/>
          <w:szCs w:val="22"/>
        </w:rPr>
        <w:t>Redaniel</w:t>
      </w:r>
      <w:proofErr w:type="spellEnd"/>
      <w:r w:rsidRPr="005B7ABE">
        <w:rPr>
          <w:rFonts w:ascii="Arial" w:hAnsi="Arial" w:cs="Arial"/>
          <w:color w:val="000000" w:themeColor="text1"/>
          <w:sz w:val="22"/>
          <w:szCs w:val="22"/>
        </w:rPr>
        <w:t xml:space="preserve">, M.T. and Judge, A. (2023) 'Access to publicly funded weight management services in England using routine data from primary and secondary care (2007-2020): An observational cohort study', </w:t>
      </w:r>
      <w:r w:rsidRPr="006F0B0C">
        <w:rPr>
          <w:rFonts w:ascii="Arial" w:hAnsi="Arial" w:cs="Arial"/>
          <w:i/>
          <w:iCs/>
          <w:color w:val="000000" w:themeColor="text1"/>
          <w:sz w:val="22"/>
          <w:szCs w:val="22"/>
        </w:rPr>
        <w:t>PLoS Medicine</w:t>
      </w:r>
      <w:r w:rsidRPr="005B7ABE">
        <w:rPr>
          <w:rFonts w:ascii="Arial" w:hAnsi="Arial" w:cs="Arial"/>
          <w:color w:val="000000" w:themeColor="text1"/>
          <w:sz w:val="22"/>
          <w:szCs w:val="22"/>
        </w:rPr>
        <w:t>, 20(9). Available at:</w:t>
      </w:r>
    </w:p>
    <w:p w14:paraId="05F245B0" w14:textId="77777777" w:rsidR="008B2645" w:rsidRPr="005B7ABE" w:rsidRDefault="008B2645" w:rsidP="0020706C">
      <w:pPr>
        <w:spacing w:line="360" w:lineRule="auto"/>
        <w:jc w:val="both"/>
        <w:rPr>
          <w:rFonts w:ascii="Arial" w:hAnsi="Arial" w:cs="Arial"/>
          <w:color w:val="000000" w:themeColor="text1"/>
          <w:sz w:val="22"/>
          <w:szCs w:val="22"/>
        </w:rPr>
      </w:pPr>
      <w:r w:rsidRPr="005B7ABE">
        <w:rPr>
          <w:rFonts w:ascii="Arial" w:hAnsi="Arial" w:cs="Arial"/>
          <w:color w:val="000000" w:themeColor="text1"/>
          <w:sz w:val="22"/>
          <w:szCs w:val="22"/>
        </w:rPr>
        <w:t>https://doi.org/10.1371/joumal.pmed.1004282.</w:t>
      </w:r>
    </w:p>
    <w:p w14:paraId="3A681F18" w14:textId="77777777" w:rsidR="008B2645" w:rsidRPr="005B7ABE" w:rsidRDefault="008B2645" w:rsidP="0020706C">
      <w:pPr>
        <w:spacing w:line="360" w:lineRule="auto"/>
        <w:jc w:val="both"/>
        <w:rPr>
          <w:rFonts w:ascii="Arial" w:hAnsi="Arial" w:cs="Arial"/>
          <w:color w:val="000000" w:themeColor="text1"/>
          <w:sz w:val="22"/>
          <w:szCs w:val="22"/>
        </w:rPr>
      </w:pPr>
    </w:p>
    <w:p w14:paraId="477DB15D" w14:textId="29CD7ECB" w:rsidR="008B2645" w:rsidRPr="005B7ABE" w:rsidRDefault="008B2645" w:rsidP="0020706C">
      <w:pPr>
        <w:spacing w:line="360" w:lineRule="auto"/>
        <w:jc w:val="both"/>
        <w:rPr>
          <w:rFonts w:ascii="Arial" w:hAnsi="Arial" w:cs="Arial"/>
          <w:color w:val="000000" w:themeColor="text1"/>
          <w:sz w:val="22"/>
          <w:szCs w:val="22"/>
        </w:rPr>
      </w:pPr>
      <w:proofErr w:type="spellStart"/>
      <w:r w:rsidRPr="005B7ABE">
        <w:rPr>
          <w:rFonts w:ascii="Arial" w:hAnsi="Arial" w:cs="Arial"/>
          <w:color w:val="000000" w:themeColor="text1"/>
          <w:sz w:val="22"/>
          <w:szCs w:val="22"/>
        </w:rPr>
        <w:t>Fruh</w:t>
      </w:r>
      <w:proofErr w:type="spellEnd"/>
      <w:r w:rsidRPr="005B7ABE">
        <w:rPr>
          <w:rFonts w:ascii="Arial" w:hAnsi="Arial" w:cs="Arial"/>
          <w:color w:val="000000" w:themeColor="text1"/>
          <w:sz w:val="22"/>
          <w:szCs w:val="22"/>
        </w:rPr>
        <w:t>, S.M. (2017) 'Obesity: Risk factors, complications, and strategies for sustainable long-term weight management</w:t>
      </w:r>
      <w:r w:rsidR="009A73C2">
        <w:rPr>
          <w:rFonts w:ascii="Arial" w:hAnsi="Arial" w:cs="Arial"/>
          <w:color w:val="000000" w:themeColor="text1"/>
          <w:sz w:val="22"/>
          <w:szCs w:val="22"/>
        </w:rPr>
        <w:t>’</w:t>
      </w:r>
      <w:r w:rsidRPr="005B7ABE">
        <w:rPr>
          <w:rFonts w:ascii="Arial" w:hAnsi="Arial" w:cs="Arial"/>
          <w:color w:val="000000" w:themeColor="text1"/>
          <w:sz w:val="22"/>
          <w:szCs w:val="22"/>
        </w:rPr>
        <w:t xml:space="preserve">, </w:t>
      </w:r>
      <w:r w:rsidRPr="009A73C2">
        <w:rPr>
          <w:rFonts w:ascii="Arial" w:hAnsi="Arial" w:cs="Arial"/>
          <w:i/>
          <w:iCs/>
          <w:color w:val="000000" w:themeColor="text1"/>
          <w:sz w:val="22"/>
          <w:szCs w:val="22"/>
        </w:rPr>
        <w:t>Journal of the American Association of Nurse Practitioners</w:t>
      </w:r>
      <w:r w:rsidRPr="005B7ABE">
        <w:rPr>
          <w:rFonts w:ascii="Arial" w:hAnsi="Arial" w:cs="Arial"/>
          <w:color w:val="000000" w:themeColor="text1"/>
          <w:sz w:val="22"/>
          <w:szCs w:val="22"/>
        </w:rPr>
        <w:t>, 29(1), pp. S3-S14. Available at: https://doi.org/10.1002/2327-6924.12510.</w:t>
      </w:r>
    </w:p>
    <w:p w14:paraId="3C0A07DD" w14:textId="77777777" w:rsidR="008B2645" w:rsidRPr="005B7ABE" w:rsidRDefault="008B2645" w:rsidP="0020706C">
      <w:pPr>
        <w:spacing w:line="360" w:lineRule="auto"/>
        <w:jc w:val="both"/>
        <w:rPr>
          <w:rFonts w:ascii="Arial" w:hAnsi="Arial" w:cs="Arial"/>
          <w:color w:val="000000" w:themeColor="text1"/>
          <w:sz w:val="22"/>
          <w:szCs w:val="22"/>
        </w:rPr>
      </w:pPr>
    </w:p>
    <w:p w14:paraId="67DC8346" w14:textId="77777777" w:rsidR="008B2645" w:rsidRPr="005B7ABE" w:rsidRDefault="008B2645" w:rsidP="0020706C">
      <w:pPr>
        <w:spacing w:line="360" w:lineRule="auto"/>
        <w:jc w:val="both"/>
        <w:rPr>
          <w:rFonts w:ascii="Arial" w:hAnsi="Arial" w:cs="Arial"/>
          <w:color w:val="000000" w:themeColor="text1"/>
          <w:sz w:val="22"/>
          <w:szCs w:val="22"/>
        </w:rPr>
      </w:pPr>
      <w:r w:rsidRPr="005B7ABE">
        <w:rPr>
          <w:rFonts w:ascii="Arial" w:hAnsi="Arial" w:cs="Arial"/>
          <w:color w:val="000000" w:themeColor="text1"/>
          <w:sz w:val="22"/>
          <w:szCs w:val="22"/>
        </w:rPr>
        <w:t xml:space="preserve">Flint, S.W., Leaver, M., Griffiths, A. and </w:t>
      </w:r>
      <w:proofErr w:type="spellStart"/>
      <w:r w:rsidRPr="005B7ABE">
        <w:rPr>
          <w:rFonts w:ascii="Arial" w:hAnsi="Arial" w:cs="Arial"/>
          <w:color w:val="000000" w:themeColor="text1"/>
          <w:sz w:val="22"/>
          <w:szCs w:val="22"/>
        </w:rPr>
        <w:t>Kaykanloo</w:t>
      </w:r>
      <w:proofErr w:type="spellEnd"/>
      <w:r w:rsidRPr="005B7ABE">
        <w:rPr>
          <w:rFonts w:ascii="Arial" w:hAnsi="Arial" w:cs="Arial"/>
          <w:color w:val="000000" w:themeColor="text1"/>
          <w:sz w:val="22"/>
          <w:szCs w:val="22"/>
        </w:rPr>
        <w:t xml:space="preserve">, M. (2021) Disparate healthcare experiences of people living with overweight or obesity in England', </w:t>
      </w:r>
      <w:r w:rsidRPr="009A73C2">
        <w:rPr>
          <w:rFonts w:ascii="Arial" w:hAnsi="Arial" w:cs="Arial"/>
          <w:i/>
          <w:iCs/>
          <w:color w:val="000000" w:themeColor="text1"/>
          <w:sz w:val="22"/>
          <w:szCs w:val="22"/>
        </w:rPr>
        <w:t>eClinicalMedicine</w:t>
      </w:r>
      <w:r w:rsidRPr="005B7ABE">
        <w:rPr>
          <w:rFonts w:ascii="Arial" w:hAnsi="Arial" w:cs="Arial"/>
          <w:color w:val="000000" w:themeColor="text1"/>
          <w:sz w:val="22"/>
          <w:szCs w:val="22"/>
        </w:rPr>
        <w:t xml:space="preserve">, 41. Available at: https://doi.org/10.1016 </w:t>
      </w:r>
      <w:proofErr w:type="spellStart"/>
      <w:r w:rsidRPr="005B7ABE">
        <w:rPr>
          <w:rFonts w:ascii="Arial" w:hAnsi="Arial" w:cs="Arial"/>
          <w:color w:val="000000" w:themeColor="text1"/>
          <w:sz w:val="22"/>
          <w:szCs w:val="22"/>
        </w:rPr>
        <w:t>j.eclinm.2021.101140</w:t>
      </w:r>
      <w:proofErr w:type="spellEnd"/>
      <w:r w:rsidRPr="005B7ABE">
        <w:rPr>
          <w:rFonts w:ascii="Arial" w:hAnsi="Arial" w:cs="Arial"/>
          <w:color w:val="000000" w:themeColor="text1"/>
          <w:sz w:val="22"/>
          <w:szCs w:val="22"/>
        </w:rPr>
        <w:t>.</w:t>
      </w:r>
    </w:p>
    <w:p w14:paraId="11A4F40B" w14:textId="77777777" w:rsidR="008B2645" w:rsidRPr="005B7ABE" w:rsidRDefault="008B2645" w:rsidP="0020706C">
      <w:pPr>
        <w:spacing w:line="360" w:lineRule="auto"/>
        <w:jc w:val="both"/>
        <w:rPr>
          <w:rFonts w:ascii="Arial" w:hAnsi="Arial" w:cs="Arial"/>
          <w:color w:val="000000" w:themeColor="text1"/>
          <w:sz w:val="22"/>
          <w:szCs w:val="22"/>
        </w:rPr>
      </w:pPr>
    </w:p>
    <w:p w14:paraId="0032F4C9" w14:textId="77777777" w:rsidR="008B2645" w:rsidRPr="005B7ABE" w:rsidRDefault="008B2645" w:rsidP="0020706C">
      <w:pPr>
        <w:spacing w:line="360" w:lineRule="auto"/>
        <w:jc w:val="both"/>
        <w:rPr>
          <w:rFonts w:ascii="Arial" w:hAnsi="Arial" w:cs="Arial"/>
          <w:color w:val="000000" w:themeColor="text1"/>
          <w:sz w:val="22"/>
          <w:szCs w:val="22"/>
        </w:rPr>
      </w:pPr>
      <w:r w:rsidRPr="005B7ABE">
        <w:rPr>
          <w:rFonts w:ascii="Arial" w:hAnsi="Arial" w:cs="Arial"/>
          <w:color w:val="000000" w:themeColor="text1"/>
          <w:sz w:val="22"/>
          <w:szCs w:val="22"/>
        </w:rPr>
        <w:t xml:space="preserve">NHS Long Term Plan (2025) </w:t>
      </w:r>
      <w:r w:rsidRPr="009A73C2">
        <w:rPr>
          <w:rFonts w:ascii="Arial" w:hAnsi="Arial" w:cs="Arial"/>
          <w:i/>
          <w:iCs/>
          <w:color w:val="000000" w:themeColor="text1"/>
          <w:sz w:val="22"/>
          <w:szCs w:val="22"/>
        </w:rPr>
        <w:t>10 Year Health Plan for England: fit for the future</w:t>
      </w:r>
      <w:r w:rsidRPr="005B7ABE">
        <w:rPr>
          <w:rFonts w:ascii="Arial" w:hAnsi="Arial" w:cs="Arial"/>
          <w:color w:val="000000" w:themeColor="text1"/>
          <w:sz w:val="22"/>
          <w:szCs w:val="22"/>
        </w:rPr>
        <w:t>. Available at: https://www.gov.uk/govemment/publications/10-year-health-plan-for-england-fit-for-the-future</w:t>
      </w:r>
    </w:p>
    <w:p w14:paraId="3DE56BA2" w14:textId="77777777" w:rsidR="008B2645" w:rsidRPr="005B7ABE" w:rsidRDefault="008B2645" w:rsidP="0020706C">
      <w:pPr>
        <w:spacing w:line="360" w:lineRule="auto"/>
        <w:jc w:val="both"/>
        <w:rPr>
          <w:rFonts w:ascii="Arial" w:hAnsi="Arial" w:cs="Arial"/>
          <w:color w:val="000000" w:themeColor="text1"/>
          <w:sz w:val="22"/>
          <w:szCs w:val="22"/>
        </w:rPr>
      </w:pPr>
      <w:r w:rsidRPr="005B7ABE">
        <w:rPr>
          <w:rFonts w:ascii="Arial" w:hAnsi="Arial" w:cs="Arial"/>
          <w:color w:val="000000" w:themeColor="text1"/>
          <w:sz w:val="22"/>
          <w:szCs w:val="22"/>
        </w:rPr>
        <w:lastRenderedPageBreak/>
        <w:t>(Accessed: 13 February 2026).</w:t>
      </w:r>
    </w:p>
    <w:p w14:paraId="255EEA90" w14:textId="77777777" w:rsidR="008B2645" w:rsidRPr="005B7ABE" w:rsidRDefault="008B2645" w:rsidP="0020706C">
      <w:pPr>
        <w:spacing w:line="360" w:lineRule="auto"/>
        <w:jc w:val="both"/>
        <w:rPr>
          <w:rFonts w:ascii="Arial" w:hAnsi="Arial" w:cs="Arial"/>
          <w:color w:val="000000" w:themeColor="text1"/>
          <w:sz w:val="22"/>
          <w:szCs w:val="22"/>
        </w:rPr>
      </w:pPr>
    </w:p>
    <w:p w14:paraId="45596DD4" w14:textId="77777777" w:rsidR="008B2645" w:rsidRPr="005B7ABE" w:rsidRDefault="008B2645" w:rsidP="0020706C">
      <w:pPr>
        <w:spacing w:line="360" w:lineRule="auto"/>
        <w:jc w:val="both"/>
        <w:rPr>
          <w:rFonts w:ascii="Arial" w:hAnsi="Arial" w:cs="Arial"/>
          <w:color w:val="000000" w:themeColor="text1"/>
          <w:sz w:val="22"/>
          <w:szCs w:val="22"/>
        </w:rPr>
      </w:pPr>
      <w:proofErr w:type="spellStart"/>
      <w:r w:rsidRPr="005B7ABE">
        <w:rPr>
          <w:rFonts w:ascii="Arial" w:hAnsi="Arial" w:cs="Arial"/>
          <w:color w:val="000000" w:themeColor="text1"/>
          <w:sz w:val="22"/>
          <w:szCs w:val="22"/>
        </w:rPr>
        <w:t>Aveyard</w:t>
      </w:r>
      <w:proofErr w:type="spellEnd"/>
      <w:r w:rsidRPr="005B7ABE">
        <w:rPr>
          <w:rFonts w:ascii="Arial" w:hAnsi="Arial" w:cs="Arial"/>
          <w:color w:val="000000" w:themeColor="text1"/>
          <w:sz w:val="22"/>
          <w:szCs w:val="22"/>
        </w:rPr>
        <w:t>, H. (2014) Doing a literature review in health and social care: a practical guide. 3rd</w:t>
      </w:r>
    </w:p>
    <w:p w14:paraId="12D73DDA" w14:textId="77777777" w:rsidR="008B2645" w:rsidRPr="005B7ABE" w:rsidRDefault="008B2645" w:rsidP="0020706C">
      <w:pPr>
        <w:spacing w:line="360" w:lineRule="auto"/>
        <w:jc w:val="both"/>
        <w:rPr>
          <w:rFonts w:ascii="Arial" w:hAnsi="Arial" w:cs="Arial"/>
          <w:color w:val="000000" w:themeColor="text1"/>
          <w:sz w:val="22"/>
          <w:szCs w:val="22"/>
        </w:rPr>
      </w:pPr>
    </w:p>
    <w:p w14:paraId="666C93E2" w14:textId="77777777" w:rsidR="008B2645" w:rsidRPr="005B7ABE" w:rsidRDefault="008B2645" w:rsidP="0020706C">
      <w:pPr>
        <w:spacing w:line="360" w:lineRule="auto"/>
        <w:jc w:val="both"/>
        <w:rPr>
          <w:rFonts w:ascii="Arial" w:hAnsi="Arial" w:cs="Arial"/>
          <w:color w:val="000000" w:themeColor="text1"/>
          <w:sz w:val="22"/>
          <w:szCs w:val="22"/>
        </w:rPr>
      </w:pPr>
      <w:r w:rsidRPr="005B7ABE">
        <w:rPr>
          <w:rFonts w:ascii="Arial" w:hAnsi="Arial" w:cs="Arial"/>
          <w:color w:val="000000" w:themeColor="text1"/>
          <w:sz w:val="22"/>
          <w:szCs w:val="22"/>
        </w:rPr>
        <w:t xml:space="preserve">Kelly, A., </w:t>
      </w:r>
      <w:proofErr w:type="spellStart"/>
      <w:r w:rsidRPr="005B7ABE">
        <w:rPr>
          <w:rFonts w:ascii="Arial" w:hAnsi="Arial" w:cs="Arial"/>
          <w:color w:val="000000" w:themeColor="text1"/>
          <w:sz w:val="22"/>
          <w:szCs w:val="22"/>
        </w:rPr>
        <w:t>Croker</w:t>
      </w:r>
      <w:proofErr w:type="spellEnd"/>
      <w:r w:rsidRPr="005B7ABE">
        <w:rPr>
          <w:rFonts w:ascii="Arial" w:hAnsi="Arial" w:cs="Arial"/>
          <w:color w:val="000000" w:themeColor="text1"/>
          <w:sz w:val="22"/>
          <w:szCs w:val="22"/>
        </w:rPr>
        <w:t xml:space="preserve">, H., O’Neill, R., Woodside, J.V. and McGowan, L. (2026) ‘A systematic scoping review of adult obesity policy actions and weight-related services in a region of the United Kingdom using the behaviour change wheel’, </w:t>
      </w:r>
      <w:r w:rsidRPr="001D57A5">
        <w:rPr>
          <w:rFonts w:ascii="Arial" w:hAnsi="Arial" w:cs="Arial"/>
          <w:i/>
          <w:iCs/>
          <w:color w:val="000000" w:themeColor="text1"/>
          <w:sz w:val="22"/>
          <w:szCs w:val="22"/>
        </w:rPr>
        <w:t>BMC Public Health</w:t>
      </w:r>
      <w:r w:rsidRPr="005B7ABE">
        <w:rPr>
          <w:rFonts w:ascii="Arial" w:hAnsi="Arial" w:cs="Arial"/>
          <w:color w:val="000000" w:themeColor="text1"/>
          <w:sz w:val="22"/>
          <w:szCs w:val="22"/>
        </w:rPr>
        <w:t>, 26, p. 695. Available at: https://doi.org/10.1186/s12889-026-26376-7</w:t>
      </w:r>
    </w:p>
    <w:p w14:paraId="6E722E13" w14:textId="77777777" w:rsidR="008B2645" w:rsidRPr="005B7ABE" w:rsidRDefault="008B2645" w:rsidP="0020706C">
      <w:pPr>
        <w:spacing w:line="360" w:lineRule="auto"/>
        <w:jc w:val="both"/>
        <w:rPr>
          <w:rFonts w:ascii="Arial" w:hAnsi="Arial" w:cs="Arial"/>
          <w:color w:val="000000" w:themeColor="text1"/>
          <w:sz w:val="22"/>
          <w:szCs w:val="22"/>
        </w:rPr>
      </w:pPr>
    </w:p>
    <w:p w14:paraId="2D5E7B1A" w14:textId="77777777" w:rsidR="008B2645" w:rsidRPr="005B7ABE" w:rsidRDefault="008B2645" w:rsidP="0020706C">
      <w:pPr>
        <w:spacing w:line="360" w:lineRule="auto"/>
        <w:jc w:val="both"/>
        <w:rPr>
          <w:rFonts w:ascii="Arial" w:hAnsi="Arial" w:cs="Arial"/>
          <w:color w:val="000000" w:themeColor="text1"/>
          <w:sz w:val="22"/>
          <w:szCs w:val="22"/>
        </w:rPr>
      </w:pPr>
      <w:proofErr w:type="spellStart"/>
      <w:r w:rsidRPr="005B7ABE">
        <w:rPr>
          <w:rFonts w:ascii="Arial" w:hAnsi="Arial" w:cs="Arial"/>
          <w:color w:val="000000" w:themeColor="text1"/>
          <w:sz w:val="22"/>
          <w:szCs w:val="22"/>
        </w:rPr>
        <w:t>Katsoulis</w:t>
      </w:r>
      <w:proofErr w:type="spellEnd"/>
      <w:r w:rsidRPr="005B7ABE">
        <w:rPr>
          <w:rFonts w:ascii="Arial" w:hAnsi="Arial" w:cs="Arial"/>
          <w:color w:val="000000" w:themeColor="text1"/>
          <w:sz w:val="22"/>
          <w:szCs w:val="22"/>
        </w:rPr>
        <w:t xml:space="preserve">, M., Lai, A.G., </w:t>
      </w:r>
      <w:proofErr w:type="spellStart"/>
      <w:r w:rsidRPr="005B7ABE">
        <w:rPr>
          <w:rFonts w:ascii="Arial" w:hAnsi="Arial" w:cs="Arial"/>
          <w:color w:val="000000" w:themeColor="text1"/>
          <w:sz w:val="22"/>
          <w:szCs w:val="22"/>
        </w:rPr>
        <w:t>Diaz-Ordaz</w:t>
      </w:r>
      <w:proofErr w:type="spellEnd"/>
      <w:r w:rsidRPr="005B7ABE">
        <w:rPr>
          <w:rFonts w:ascii="Arial" w:hAnsi="Arial" w:cs="Arial"/>
          <w:color w:val="000000" w:themeColor="text1"/>
          <w:sz w:val="22"/>
          <w:szCs w:val="22"/>
        </w:rPr>
        <w:t xml:space="preserve">, K., Gomes, M., </w:t>
      </w:r>
      <w:proofErr w:type="spellStart"/>
      <w:r w:rsidRPr="005B7ABE">
        <w:rPr>
          <w:rFonts w:ascii="Arial" w:hAnsi="Arial" w:cs="Arial"/>
          <w:color w:val="000000" w:themeColor="text1"/>
          <w:sz w:val="22"/>
          <w:szCs w:val="22"/>
        </w:rPr>
        <w:t>Pasea</w:t>
      </w:r>
      <w:proofErr w:type="spellEnd"/>
      <w:r w:rsidRPr="005B7ABE">
        <w:rPr>
          <w:rFonts w:ascii="Arial" w:hAnsi="Arial" w:cs="Arial"/>
          <w:color w:val="000000" w:themeColor="text1"/>
          <w:sz w:val="22"/>
          <w:szCs w:val="22"/>
        </w:rPr>
        <w:t xml:space="preserve">, L., Banerjee, A., </w:t>
      </w:r>
      <w:proofErr w:type="spellStart"/>
      <w:r w:rsidRPr="005B7ABE">
        <w:rPr>
          <w:rFonts w:ascii="Arial" w:hAnsi="Arial" w:cs="Arial"/>
          <w:color w:val="000000" w:themeColor="text1"/>
          <w:sz w:val="22"/>
          <w:szCs w:val="22"/>
        </w:rPr>
        <w:t>Denaxas</w:t>
      </w:r>
      <w:proofErr w:type="spellEnd"/>
      <w:r w:rsidRPr="005B7ABE">
        <w:rPr>
          <w:rFonts w:ascii="Arial" w:hAnsi="Arial" w:cs="Arial"/>
          <w:color w:val="000000" w:themeColor="text1"/>
          <w:sz w:val="22"/>
          <w:szCs w:val="22"/>
        </w:rPr>
        <w:t xml:space="preserve">, S., </w:t>
      </w:r>
      <w:proofErr w:type="spellStart"/>
      <w:r w:rsidRPr="005B7ABE">
        <w:rPr>
          <w:rFonts w:ascii="Arial" w:hAnsi="Arial" w:cs="Arial"/>
          <w:color w:val="000000" w:themeColor="text1"/>
          <w:sz w:val="22"/>
          <w:szCs w:val="22"/>
        </w:rPr>
        <w:t>Tsilidis</w:t>
      </w:r>
      <w:proofErr w:type="spellEnd"/>
      <w:r w:rsidRPr="005B7ABE">
        <w:rPr>
          <w:rFonts w:ascii="Arial" w:hAnsi="Arial" w:cs="Arial"/>
          <w:color w:val="000000" w:themeColor="text1"/>
          <w:sz w:val="22"/>
          <w:szCs w:val="22"/>
        </w:rPr>
        <w:t xml:space="preserve">, K., </w:t>
      </w:r>
      <w:proofErr w:type="spellStart"/>
      <w:r w:rsidRPr="005B7ABE">
        <w:rPr>
          <w:rFonts w:ascii="Arial" w:hAnsi="Arial" w:cs="Arial"/>
          <w:color w:val="000000" w:themeColor="text1"/>
          <w:sz w:val="22"/>
          <w:szCs w:val="22"/>
        </w:rPr>
        <w:t>Lagiou</w:t>
      </w:r>
      <w:proofErr w:type="spellEnd"/>
      <w:r w:rsidRPr="005B7ABE">
        <w:rPr>
          <w:rFonts w:ascii="Arial" w:hAnsi="Arial" w:cs="Arial"/>
          <w:color w:val="000000" w:themeColor="text1"/>
          <w:sz w:val="22"/>
          <w:szCs w:val="22"/>
        </w:rPr>
        <w:t xml:space="preserve">, P., </w:t>
      </w:r>
      <w:proofErr w:type="spellStart"/>
      <w:r w:rsidRPr="005B7ABE">
        <w:rPr>
          <w:rFonts w:ascii="Arial" w:hAnsi="Arial" w:cs="Arial"/>
          <w:color w:val="000000" w:themeColor="text1"/>
          <w:sz w:val="22"/>
          <w:szCs w:val="22"/>
        </w:rPr>
        <w:t>Misirli</w:t>
      </w:r>
      <w:proofErr w:type="spellEnd"/>
      <w:r w:rsidRPr="005B7ABE">
        <w:rPr>
          <w:rFonts w:ascii="Arial" w:hAnsi="Arial" w:cs="Arial"/>
          <w:color w:val="000000" w:themeColor="text1"/>
          <w:sz w:val="22"/>
          <w:szCs w:val="22"/>
        </w:rPr>
        <w:t xml:space="preserve">, G., </w:t>
      </w:r>
      <w:proofErr w:type="spellStart"/>
      <w:r w:rsidRPr="005B7ABE">
        <w:rPr>
          <w:rFonts w:ascii="Arial" w:hAnsi="Arial" w:cs="Arial"/>
          <w:color w:val="000000" w:themeColor="text1"/>
          <w:sz w:val="22"/>
          <w:szCs w:val="22"/>
        </w:rPr>
        <w:t>Bhaskaran</w:t>
      </w:r>
      <w:proofErr w:type="spellEnd"/>
      <w:r w:rsidRPr="005B7ABE">
        <w:rPr>
          <w:rFonts w:ascii="Arial" w:hAnsi="Arial" w:cs="Arial"/>
          <w:color w:val="000000" w:themeColor="text1"/>
          <w:sz w:val="22"/>
          <w:szCs w:val="22"/>
        </w:rPr>
        <w:t xml:space="preserve">, K., </w:t>
      </w:r>
      <w:proofErr w:type="spellStart"/>
      <w:r w:rsidRPr="005B7ABE">
        <w:rPr>
          <w:rFonts w:ascii="Arial" w:hAnsi="Arial" w:cs="Arial"/>
          <w:color w:val="000000" w:themeColor="text1"/>
          <w:sz w:val="22"/>
          <w:szCs w:val="22"/>
        </w:rPr>
        <w:t>Wannamethee</w:t>
      </w:r>
      <w:proofErr w:type="spellEnd"/>
      <w:r w:rsidRPr="005B7ABE">
        <w:rPr>
          <w:rFonts w:ascii="Arial" w:hAnsi="Arial" w:cs="Arial"/>
          <w:color w:val="000000" w:themeColor="text1"/>
          <w:sz w:val="22"/>
          <w:szCs w:val="22"/>
        </w:rPr>
        <w:t xml:space="preserve">, G., Dobson, R., </w:t>
      </w:r>
      <w:proofErr w:type="spellStart"/>
      <w:r w:rsidRPr="005B7ABE">
        <w:rPr>
          <w:rFonts w:ascii="Arial" w:hAnsi="Arial" w:cs="Arial"/>
          <w:color w:val="000000" w:themeColor="text1"/>
          <w:sz w:val="22"/>
          <w:szCs w:val="22"/>
        </w:rPr>
        <w:t>Batterham</w:t>
      </w:r>
      <w:proofErr w:type="spellEnd"/>
      <w:r w:rsidRPr="005B7ABE">
        <w:rPr>
          <w:rFonts w:ascii="Arial" w:hAnsi="Arial" w:cs="Arial"/>
          <w:color w:val="000000" w:themeColor="text1"/>
          <w:sz w:val="22"/>
          <w:szCs w:val="22"/>
        </w:rPr>
        <w:t xml:space="preserve">, R.L., </w:t>
      </w:r>
      <w:proofErr w:type="spellStart"/>
      <w:r w:rsidRPr="005B7ABE">
        <w:rPr>
          <w:rFonts w:ascii="Arial" w:hAnsi="Arial" w:cs="Arial"/>
          <w:color w:val="000000" w:themeColor="text1"/>
          <w:sz w:val="22"/>
          <w:szCs w:val="22"/>
        </w:rPr>
        <w:t>Kipourou</w:t>
      </w:r>
      <w:proofErr w:type="spellEnd"/>
      <w:r w:rsidRPr="005B7ABE">
        <w:rPr>
          <w:rFonts w:ascii="Arial" w:hAnsi="Arial" w:cs="Arial"/>
          <w:color w:val="000000" w:themeColor="text1"/>
          <w:sz w:val="22"/>
          <w:szCs w:val="22"/>
        </w:rPr>
        <w:t xml:space="preserve">, D.-K., Lumbers, R.T., Wen, L., </w:t>
      </w:r>
      <w:proofErr w:type="spellStart"/>
      <w:r w:rsidRPr="005B7ABE">
        <w:rPr>
          <w:rFonts w:ascii="Arial" w:hAnsi="Arial" w:cs="Arial"/>
          <w:color w:val="000000" w:themeColor="text1"/>
          <w:sz w:val="22"/>
          <w:szCs w:val="22"/>
        </w:rPr>
        <w:t>Wareham</w:t>
      </w:r>
      <w:proofErr w:type="spellEnd"/>
      <w:r w:rsidRPr="005B7ABE">
        <w:rPr>
          <w:rFonts w:ascii="Arial" w:hAnsi="Arial" w:cs="Arial"/>
          <w:color w:val="000000" w:themeColor="text1"/>
          <w:sz w:val="22"/>
          <w:szCs w:val="22"/>
        </w:rPr>
        <w:t xml:space="preserve">, N., </w:t>
      </w:r>
      <w:proofErr w:type="spellStart"/>
      <w:r w:rsidRPr="005B7ABE">
        <w:rPr>
          <w:rFonts w:ascii="Arial" w:hAnsi="Arial" w:cs="Arial"/>
          <w:color w:val="000000" w:themeColor="text1"/>
          <w:sz w:val="22"/>
          <w:szCs w:val="22"/>
        </w:rPr>
        <w:t>Langenberg</w:t>
      </w:r>
      <w:proofErr w:type="spellEnd"/>
      <w:r w:rsidRPr="005B7ABE">
        <w:rPr>
          <w:rFonts w:ascii="Arial" w:hAnsi="Arial" w:cs="Arial"/>
          <w:color w:val="000000" w:themeColor="text1"/>
          <w:sz w:val="22"/>
          <w:szCs w:val="22"/>
        </w:rPr>
        <w:t xml:space="preserve">, C. and Hemingway, H. (2021) ‘Identifying adults at high-risk for change in weight and BMI in England: a longitudinal, large-scale, population-based cohort study using electronic health records’, </w:t>
      </w:r>
      <w:r w:rsidRPr="001D57A5">
        <w:rPr>
          <w:rFonts w:ascii="Arial" w:hAnsi="Arial" w:cs="Arial"/>
          <w:i/>
          <w:iCs/>
          <w:color w:val="000000" w:themeColor="text1"/>
          <w:sz w:val="22"/>
          <w:szCs w:val="22"/>
        </w:rPr>
        <w:t>The Lancet Diabetes &amp; Endocrinology,</w:t>
      </w:r>
      <w:r w:rsidRPr="005B7ABE">
        <w:rPr>
          <w:rFonts w:ascii="Arial" w:hAnsi="Arial" w:cs="Arial"/>
          <w:color w:val="000000" w:themeColor="text1"/>
          <w:sz w:val="22"/>
          <w:szCs w:val="22"/>
        </w:rPr>
        <w:t xml:space="preserve"> 9(10), pp. 681–694. Available at: https://doi.org/10.1016/S2213-8587(21)00207-2</w:t>
      </w:r>
    </w:p>
    <w:p w14:paraId="1CA55303" w14:textId="77777777" w:rsidR="008B2645" w:rsidRPr="005B7ABE" w:rsidRDefault="008B2645" w:rsidP="0020706C">
      <w:pPr>
        <w:spacing w:line="360" w:lineRule="auto"/>
        <w:jc w:val="both"/>
        <w:rPr>
          <w:rFonts w:ascii="Arial" w:hAnsi="Arial" w:cs="Arial"/>
          <w:color w:val="000000" w:themeColor="text1"/>
          <w:sz w:val="22"/>
          <w:szCs w:val="22"/>
        </w:rPr>
      </w:pPr>
    </w:p>
    <w:p w14:paraId="0D6E6745" w14:textId="77777777" w:rsidR="008B2645" w:rsidRPr="005B7ABE" w:rsidRDefault="008B2645" w:rsidP="0020706C">
      <w:pPr>
        <w:spacing w:line="360" w:lineRule="auto"/>
        <w:jc w:val="both"/>
        <w:rPr>
          <w:rFonts w:ascii="Arial" w:hAnsi="Arial" w:cs="Arial"/>
          <w:color w:val="000000" w:themeColor="text1"/>
          <w:sz w:val="22"/>
          <w:szCs w:val="22"/>
        </w:rPr>
      </w:pPr>
      <w:r w:rsidRPr="005B7ABE">
        <w:rPr>
          <w:rFonts w:ascii="Arial" w:hAnsi="Arial" w:cs="Arial"/>
          <w:color w:val="000000" w:themeColor="text1"/>
          <w:sz w:val="22"/>
          <w:szCs w:val="22"/>
        </w:rPr>
        <w:t xml:space="preserve">McLaughlin, J.C., Hamilton, K. and Kipping, R. (2017) ‘Epidemiology of adult overweight recording and management by UK GPs: a systematic review’, </w:t>
      </w:r>
      <w:r w:rsidRPr="001D57A5">
        <w:rPr>
          <w:rFonts w:ascii="Arial" w:hAnsi="Arial" w:cs="Arial"/>
          <w:i/>
          <w:iCs/>
          <w:color w:val="000000" w:themeColor="text1"/>
          <w:sz w:val="22"/>
          <w:szCs w:val="22"/>
        </w:rPr>
        <w:t>British Journal of General Practice</w:t>
      </w:r>
      <w:r w:rsidRPr="005B7ABE">
        <w:rPr>
          <w:rFonts w:ascii="Arial" w:hAnsi="Arial" w:cs="Arial"/>
          <w:color w:val="000000" w:themeColor="text1"/>
          <w:sz w:val="22"/>
          <w:szCs w:val="22"/>
        </w:rPr>
        <w:t>, 67(663), pp. e676–e683. Available at: https://doi.org/10.3399/bjgp17X692309</w:t>
      </w:r>
    </w:p>
    <w:p w14:paraId="5F7C78FD" w14:textId="77777777" w:rsidR="008B2645" w:rsidRPr="005B7ABE" w:rsidRDefault="008B2645" w:rsidP="0020706C">
      <w:pPr>
        <w:spacing w:line="360" w:lineRule="auto"/>
        <w:jc w:val="both"/>
        <w:rPr>
          <w:rFonts w:ascii="Arial" w:hAnsi="Arial" w:cs="Arial"/>
          <w:color w:val="000000" w:themeColor="text1"/>
          <w:sz w:val="22"/>
          <w:szCs w:val="22"/>
        </w:rPr>
      </w:pPr>
    </w:p>
    <w:p w14:paraId="200D1EA9" w14:textId="453A6138" w:rsidR="00B8461A" w:rsidRPr="005B7ABE" w:rsidRDefault="008B2645" w:rsidP="0020706C">
      <w:pPr>
        <w:spacing w:line="360" w:lineRule="auto"/>
        <w:jc w:val="both"/>
        <w:rPr>
          <w:rFonts w:ascii="Arial" w:hAnsi="Arial" w:cs="Arial"/>
          <w:color w:val="000000" w:themeColor="text1"/>
          <w:sz w:val="22"/>
          <w:szCs w:val="22"/>
        </w:rPr>
      </w:pPr>
      <w:proofErr w:type="spellStart"/>
      <w:r w:rsidRPr="005B7ABE">
        <w:rPr>
          <w:rFonts w:ascii="Arial" w:hAnsi="Arial" w:cs="Arial"/>
          <w:color w:val="000000" w:themeColor="text1"/>
          <w:sz w:val="22"/>
          <w:szCs w:val="22"/>
        </w:rPr>
        <w:t>Arksey</w:t>
      </w:r>
      <w:proofErr w:type="spellEnd"/>
      <w:r w:rsidRPr="005B7ABE">
        <w:rPr>
          <w:rFonts w:ascii="Arial" w:hAnsi="Arial" w:cs="Arial"/>
          <w:color w:val="000000" w:themeColor="text1"/>
          <w:sz w:val="22"/>
          <w:szCs w:val="22"/>
        </w:rPr>
        <w:t xml:space="preserve">, H. and O’Malley, L. (2005) ‘Scoping studies: towards a methodological framework’, </w:t>
      </w:r>
      <w:r w:rsidRPr="00222E76">
        <w:rPr>
          <w:rFonts w:ascii="Arial" w:hAnsi="Arial" w:cs="Arial"/>
          <w:i/>
          <w:iCs/>
          <w:color w:val="000000" w:themeColor="text1"/>
          <w:sz w:val="22"/>
          <w:szCs w:val="22"/>
        </w:rPr>
        <w:t>International Journal of Social Research Methodology,</w:t>
      </w:r>
      <w:r w:rsidRPr="005B7ABE">
        <w:rPr>
          <w:rFonts w:ascii="Arial" w:hAnsi="Arial" w:cs="Arial"/>
          <w:color w:val="000000" w:themeColor="text1"/>
          <w:sz w:val="22"/>
          <w:szCs w:val="22"/>
        </w:rPr>
        <w:t xml:space="preserve"> 8(1), pp. 19–32. Available at: https://doi.org/10.1080/1364557032000119616</w:t>
      </w:r>
    </w:p>
    <w:sectPr w:rsidR="00B8461A" w:rsidRPr="005B7ABE">
      <w:footerReference w:type="even"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3EF972" w14:textId="77777777" w:rsidR="00BB62C6" w:rsidRDefault="00BB62C6" w:rsidP="00F71009">
      <w:pPr>
        <w:spacing w:after="0" w:line="240" w:lineRule="auto"/>
      </w:pPr>
      <w:r>
        <w:separator/>
      </w:r>
    </w:p>
  </w:endnote>
  <w:endnote w:type="continuationSeparator" w:id="0">
    <w:p w14:paraId="51FC0BB1" w14:textId="77777777" w:rsidR="00BB62C6" w:rsidRDefault="00BB62C6" w:rsidP="00F710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548910576"/>
      <w:docPartObj>
        <w:docPartGallery w:val="Page Numbers (Bottom of Page)"/>
        <w:docPartUnique/>
      </w:docPartObj>
    </w:sdtPr>
    <w:sdtEndPr>
      <w:rPr>
        <w:rStyle w:val="PageNumber"/>
      </w:rPr>
    </w:sdtEndPr>
    <w:sdtContent>
      <w:p w14:paraId="00FB4E3A" w14:textId="1C18DBE4" w:rsidR="00F71009" w:rsidRDefault="00F71009" w:rsidP="00C2340A">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C30FEA6" w14:textId="77777777" w:rsidR="00F71009" w:rsidRDefault="00F71009" w:rsidP="00F71009">
    <w:pPr>
      <w:pStyle w:val="Footer"/>
      <w:ind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994792075"/>
      <w:docPartObj>
        <w:docPartGallery w:val="Page Numbers (Bottom of Page)"/>
        <w:docPartUnique/>
      </w:docPartObj>
    </w:sdtPr>
    <w:sdtEndPr>
      <w:rPr>
        <w:rStyle w:val="PageNumber"/>
      </w:rPr>
    </w:sdtEndPr>
    <w:sdtContent>
      <w:p w14:paraId="4488CA9B" w14:textId="5A980C5E" w:rsidR="00F71009" w:rsidRDefault="00F71009" w:rsidP="00C2340A">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4B336D6" w14:textId="77777777" w:rsidR="00F71009" w:rsidRDefault="00F71009" w:rsidP="00F71009">
    <w:pPr>
      <w:pStyle w:val="Footer"/>
      <w:ind w:firstLine="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D6AE497" w14:textId="77777777" w:rsidR="00BB62C6" w:rsidRDefault="00BB62C6" w:rsidP="00F71009">
      <w:pPr>
        <w:spacing w:after="0" w:line="240" w:lineRule="auto"/>
      </w:pPr>
      <w:r>
        <w:separator/>
      </w:r>
    </w:p>
  </w:footnote>
  <w:footnote w:type="continuationSeparator" w:id="0">
    <w:p w14:paraId="5637A493" w14:textId="77777777" w:rsidR="00BB62C6" w:rsidRDefault="00BB62C6" w:rsidP="00F7100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754DCD"/>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B1B2AA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BCB186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3466AC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31C703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5BF042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6F40F1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D263E8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31943C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585435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96618016">
    <w:abstractNumId w:val="9"/>
  </w:num>
  <w:num w:numId="2" w16cid:durableId="1845507971">
    <w:abstractNumId w:val="0"/>
  </w:num>
  <w:num w:numId="3" w16cid:durableId="1317799218">
    <w:abstractNumId w:val="6"/>
  </w:num>
  <w:num w:numId="4" w16cid:durableId="1867525174">
    <w:abstractNumId w:val="2"/>
  </w:num>
  <w:num w:numId="5" w16cid:durableId="1707098549">
    <w:abstractNumId w:val="7"/>
  </w:num>
  <w:num w:numId="6" w16cid:durableId="141314110">
    <w:abstractNumId w:val="8"/>
  </w:num>
  <w:num w:numId="7" w16cid:durableId="377780793">
    <w:abstractNumId w:val="4"/>
  </w:num>
  <w:num w:numId="8" w16cid:durableId="491722562">
    <w:abstractNumId w:val="1"/>
  </w:num>
  <w:num w:numId="9" w16cid:durableId="1860703548">
    <w:abstractNumId w:val="5"/>
  </w:num>
  <w:num w:numId="10" w16cid:durableId="138556616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2"/>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113F"/>
    <w:rsid w:val="00005204"/>
    <w:rsid w:val="00013535"/>
    <w:rsid w:val="00016593"/>
    <w:rsid w:val="00020071"/>
    <w:rsid w:val="000234B3"/>
    <w:rsid w:val="00034990"/>
    <w:rsid w:val="00051A05"/>
    <w:rsid w:val="00052EE6"/>
    <w:rsid w:val="00053262"/>
    <w:rsid w:val="000612F5"/>
    <w:rsid w:val="0009333A"/>
    <w:rsid w:val="000A223D"/>
    <w:rsid w:val="000A61BF"/>
    <w:rsid w:val="000B7DCE"/>
    <w:rsid w:val="000D1D53"/>
    <w:rsid w:val="000F1F89"/>
    <w:rsid w:val="000F7017"/>
    <w:rsid w:val="001134CB"/>
    <w:rsid w:val="001235BF"/>
    <w:rsid w:val="001451DF"/>
    <w:rsid w:val="00146DA9"/>
    <w:rsid w:val="00161F8E"/>
    <w:rsid w:val="00175EBF"/>
    <w:rsid w:val="00183E88"/>
    <w:rsid w:val="001B0B49"/>
    <w:rsid w:val="001C0000"/>
    <w:rsid w:val="001C6AA2"/>
    <w:rsid w:val="001D57A5"/>
    <w:rsid w:val="002053C1"/>
    <w:rsid w:val="0020706C"/>
    <w:rsid w:val="00222E76"/>
    <w:rsid w:val="002345E3"/>
    <w:rsid w:val="00237FDB"/>
    <w:rsid w:val="0025637C"/>
    <w:rsid w:val="00282D5D"/>
    <w:rsid w:val="002A1A76"/>
    <w:rsid w:val="002A2B6D"/>
    <w:rsid w:val="002B0CC8"/>
    <w:rsid w:val="002D2A41"/>
    <w:rsid w:val="002D5EC4"/>
    <w:rsid w:val="0033113F"/>
    <w:rsid w:val="003415D5"/>
    <w:rsid w:val="00343782"/>
    <w:rsid w:val="003758AA"/>
    <w:rsid w:val="00377D95"/>
    <w:rsid w:val="003A5ACC"/>
    <w:rsid w:val="003A71DB"/>
    <w:rsid w:val="003F66D7"/>
    <w:rsid w:val="00421DEB"/>
    <w:rsid w:val="00424B4E"/>
    <w:rsid w:val="00441C05"/>
    <w:rsid w:val="00442172"/>
    <w:rsid w:val="00447771"/>
    <w:rsid w:val="00453AFD"/>
    <w:rsid w:val="00481C5E"/>
    <w:rsid w:val="004825B9"/>
    <w:rsid w:val="004918F8"/>
    <w:rsid w:val="004B0B4C"/>
    <w:rsid w:val="004B5266"/>
    <w:rsid w:val="004D3180"/>
    <w:rsid w:val="004D37FE"/>
    <w:rsid w:val="004D6220"/>
    <w:rsid w:val="004E1830"/>
    <w:rsid w:val="004E31B4"/>
    <w:rsid w:val="004F7740"/>
    <w:rsid w:val="0050463C"/>
    <w:rsid w:val="00517B08"/>
    <w:rsid w:val="005230F1"/>
    <w:rsid w:val="005473A9"/>
    <w:rsid w:val="005565F6"/>
    <w:rsid w:val="00573061"/>
    <w:rsid w:val="005B04F1"/>
    <w:rsid w:val="005B14AC"/>
    <w:rsid w:val="005B3118"/>
    <w:rsid w:val="005B3151"/>
    <w:rsid w:val="005B7ABE"/>
    <w:rsid w:val="005F5654"/>
    <w:rsid w:val="006253FD"/>
    <w:rsid w:val="006519AA"/>
    <w:rsid w:val="00652D00"/>
    <w:rsid w:val="00684609"/>
    <w:rsid w:val="00685591"/>
    <w:rsid w:val="006C00B2"/>
    <w:rsid w:val="006C76E5"/>
    <w:rsid w:val="006F0B0C"/>
    <w:rsid w:val="006F5110"/>
    <w:rsid w:val="00711E36"/>
    <w:rsid w:val="007356C6"/>
    <w:rsid w:val="00754D52"/>
    <w:rsid w:val="00765024"/>
    <w:rsid w:val="00773EAC"/>
    <w:rsid w:val="00775C11"/>
    <w:rsid w:val="0078707E"/>
    <w:rsid w:val="007A73F3"/>
    <w:rsid w:val="007C1D2F"/>
    <w:rsid w:val="007C5996"/>
    <w:rsid w:val="007C78B9"/>
    <w:rsid w:val="00803676"/>
    <w:rsid w:val="00810B56"/>
    <w:rsid w:val="008156D2"/>
    <w:rsid w:val="008238B4"/>
    <w:rsid w:val="0084774B"/>
    <w:rsid w:val="00862343"/>
    <w:rsid w:val="008754BE"/>
    <w:rsid w:val="008808C2"/>
    <w:rsid w:val="00881AA1"/>
    <w:rsid w:val="0089052F"/>
    <w:rsid w:val="008A58A2"/>
    <w:rsid w:val="008B2645"/>
    <w:rsid w:val="008D05D8"/>
    <w:rsid w:val="008E2439"/>
    <w:rsid w:val="00907CBF"/>
    <w:rsid w:val="00954C97"/>
    <w:rsid w:val="00957326"/>
    <w:rsid w:val="009663FF"/>
    <w:rsid w:val="00990293"/>
    <w:rsid w:val="00995D67"/>
    <w:rsid w:val="009A31AD"/>
    <w:rsid w:val="009A73C2"/>
    <w:rsid w:val="009B059B"/>
    <w:rsid w:val="009B63E2"/>
    <w:rsid w:val="009F2957"/>
    <w:rsid w:val="009F3E89"/>
    <w:rsid w:val="009F5982"/>
    <w:rsid w:val="00A066B0"/>
    <w:rsid w:val="00A10F8B"/>
    <w:rsid w:val="00A14359"/>
    <w:rsid w:val="00A21A37"/>
    <w:rsid w:val="00A33575"/>
    <w:rsid w:val="00A42D17"/>
    <w:rsid w:val="00A433F7"/>
    <w:rsid w:val="00A76886"/>
    <w:rsid w:val="00A852C7"/>
    <w:rsid w:val="00A927E4"/>
    <w:rsid w:val="00AA4586"/>
    <w:rsid w:val="00AA6123"/>
    <w:rsid w:val="00AA7425"/>
    <w:rsid w:val="00AC01A2"/>
    <w:rsid w:val="00AC573D"/>
    <w:rsid w:val="00AE0731"/>
    <w:rsid w:val="00B13B5A"/>
    <w:rsid w:val="00B34765"/>
    <w:rsid w:val="00B421B5"/>
    <w:rsid w:val="00B6157D"/>
    <w:rsid w:val="00B63D5E"/>
    <w:rsid w:val="00B6409D"/>
    <w:rsid w:val="00B8461A"/>
    <w:rsid w:val="00B85819"/>
    <w:rsid w:val="00B85E19"/>
    <w:rsid w:val="00B87333"/>
    <w:rsid w:val="00B939FB"/>
    <w:rsid w:val="00BA5361"/>
    <w:rsid w:val="00BB62C6"/>
    <w:rsid w:val="00BB6913"/>
    <w:rsid w:val="00BC04CE"/>
    <w:rsid w:val="00BC5524"/>
    <w:rsid w:val="00BC6EF8"/>
    <w:rsid w:val="00BD1960"/>
    <w:rsid w:val="00C0569B"/>
    <w:rsid w:val="00C110D8"/>
    <w:rsid w:val="00C40BE6"/>
    <w:rsid w:val="00C60C9C"/>
    <w:rsid w:val="00C6724B"/>
    <w:rsid w:val="00CA66D3"/>
    <w:rsid w:val="00CA6FF5"/>
    <w:rsid w:val="00CC3C05"/>
    <w:rsid w:val="00CD3FFF"/>
    <w:rsid w:val="00D1397E"/>
    <w:rsid w:val="00D35B5A"/>
    <w:rsid w:val="00D40E6E"/>
    <w:rsid w:val="00D45815"/>
    <w:rsid w:val="00D57AE4"/>
    <w:rsid w:val="00D61D8D"/>
    <w:rsid w:val="00D6594B"/>
    <w:rsid w:val="00D74419"/>
    <w:rsid w:val="00D92516"/>
    <w:rsid w:val="00DA6AF8"/>
    <w:rsid w:val="00DB0BCE"/>
    <w:rsid w:val="00DB34D8"/>
    <w:rsid w:val="00DB3FD9"/>
    <w:rsid w:val="00DB64D7"/>
    <w:rsid w:val="00DC767A"/>
    <w:rsid w:val="00DE12AF"/>
    <w:rsid w:val="00DE1DEA"/>
    <w:rsid w:val="00DE406B"/>
    <w:rsid w:val="00E03211"/>
    <w:rsid w:val="00E355F6"/>
    <w:rsid w:val="00E42A57"/>
    <w:rsid w:val="00E53604"/>
    <w:rsid w:val="00E61133"/>
    <w:rsid w:val="00E9447C"/>
    <w:rsid w:val="00E957AB"/>
    <w:rsid w:val="00E95F98"/>
    <w:rsid w:val="00E97409"/>
    <w:rsid w:val="00EA77C1"/>
    <w:rsid w:val="00EC5F49"/>
    <w:rsid w:val="00EC67B9"/>
    <w:rsid w:val="00ED12C8"/>
    <w:rsid w:val="00EF069F"/>
    <w:rsid w:val="00F0629D"/>
    <w:rsid w:val="00F22E8D"/>
    <w:rsid w:val="00F23B7B"/>
    <w:rsid w:val="00F33BBC"/>
    <w:rsid w:val="00F41B31"/>
    <w:rsid w:val="00F50E53"/>
    <w:rsid w:val="00F67C06"/>
    <w:rsid w:val="00F71009"/>
    <w:rsid w:val="00F72480"/>
    <w:rsid w:val="00F906B0"/>
    <w:rsid w:val="00FB60A6"/>
    <w:rsid w:val="00FF35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C061D5"/>
  <w15:chartTrackingRefBased/>
  <w15:docId w15:val="{21933F7D-38B0-1E43-894C-FE770528E8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3113F"/>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33113F"/>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33113F"/>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33113F"/>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33113F"/>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33113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3113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3113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3113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113F"/>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33113F"/>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33113F"/>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33113F"/>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33113F"/>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33113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3113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3113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3113F"/>
    <w:rPr>
      <w:rFonts w:eastAsiaTheme="majorEastAsia" w:cstheme="majorBidi"/>
      <w:color w:val="272727" w:themeColor="text1" w:themeTint="D8"/>
    </w:rPr>
  </w:style>
  <w:style w:type="paragraph" w:styleId="Title">
    <w:name w:val="Title"/>
    <w:basedOn w:val="Normal"/>
    <w:next w:val="Normal"/>
    <w:link w:val="TitleChar"/>
    <w:uiPriority w:val="10"/>
    <w:qFormat/>
    <w:rsid w:val="0033113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3113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3113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3113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3113F"/>
    <w:pPr>
      <w:spacing w:before="160"/>
      <w:jc w:val="center"/>
    </w:pPr>
    <w:rPr>
      <w:i/>
      <w:iCs/>
      <w:color w:val="404040" w:themeColor="text1" w:themeTint="BF"/>
    </w:rPr>
  </w:style>
  <w:style w:type="character" w:customStyle="1" w:styleId="QuoteChar">
    <w:name w:val="Quote Char"/>
    <w:basedOn w:val="DefaultParagraphFont"/>
    <w:link w:val="Quote"/>
    <w:uiPriority w:val="29"/>
    <w:rsid w:val="0033113F"/>
    <w:rPr>
      <w:i/>
      <w:iCs/>
      <w:color w:val="404040" w:themeColor="text1" w:themeTint="BF"/>
    </w:rPr>
  </w:style>
  <w:style w:type="paragraph" w:styleId="ListParagraph">
    <w:name w:val="List Paragraph"/>
    <w:basedOn w:val="Normal"/>
    <w:uiPriority w:val="34"/>
    <w:qFormat/>
    <w:rsid w:val="0033113F"/>
    <w:pPr>
      <w:ind w:left="720"/>
      <w:contextualSpacing/>
    </w:pPr>
  </w:style>
  <w:style w:type="character" w:styleId="IntenseEmphasis">
    <w:name w:val="Intense Emphasis"/>
    <w:basedOn w:val="DefaultParagraphFont"/>
    <w:uiPriority w:val="21"/>
    <w:qFormat/>
    <w:rsid w:val="0033113F"/>
    <w:rPr>
      <w:i/>
      <w:iCs/>
      <w:color w:val="2F5496" w:themeColor="accent1" w:themeShade="BF"/>
    </w:rPr>
  </w:style>
  <w:style w:type="paragraph" w:styleId="IntenseQuote">
    <w:name w:val="Intense Quote"/>
    <w:basedOn w:val="Normal"/>
    <w:next w:val="Normal"/>
    <w:link w:val="IntenseQuoteChar"/>
    <w:uiPriority w:val="30"/>
    <w:qFormat/>
    <w:rsid w:val="0033113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3113F"/>
    <w:rPr>
      <w:i/>
      <w:iCs/>
      <w:color w:val="2F5496" w:themeColor="accent1" w:themeShade="BF"/>
    </w:rPr>
  </w:style>
  <w:style w:type="character" w:styleId="IntenseReference">
    <w:name w:val="Intense Reference"/>
    <w:basedOn w:val="DefaultParagraphFont"/>
    <w:uiPriority w:val="32"/>
    <w:qFormat/>
    <w:rsid w:val="0033113F"/>
    <w:rPr>
      <w:b/>
      <w:bCs/>
      <w:smallCaps/>
      <w:color w:val="2F5496" w:themeColor="accent1" w:themeShade="BF"/>
      <w:spacing w:val="5"/>
    </w:rPr>
  </w:style>
  <w:style w:type="paragraph" w:customStyle="1" w:styleId="p1">
    <w:name w:val="p1"/>
    <w:basedOn w:val="Normal"/>
    <w:rsid w:val="0033113F"/>
    <w:pPr>
      <w:spacing w:after="0" w:line="240" w:lineRule="auto"/>
    </w:pPr>
    <w:rPr>
      <w:rFonts w:ascii="Helvetica" w:hAnsi="Helvetica" w:cs="Times New Roman"/>
      <w:kern w:val="0"/>
      <w:sz w:val="18"/>
      <w:szCs w:val="18"/>
      <w14:ligatures w14:val="none"/>
    </w:rPr>
  </w:style>
  <w:style w:type="character" w:customStyle="1" w:styleId="s1">
    <w:name w:val="s1"/>
    <w:basedOn w:val="DefaultParagraphFont"/>
    <w:rsid w:val="0033113F"/>
    <w:rPr>
      <w:rFonts w:ascii="Helvetica" w:hAnsi="Helvetica" w:hint="default"/>
      <w:b w:val="0"/>
      <w:bCs w:val="0"/>
      <w:i w:val="0"/>
      <w:iCs w:val="0"/>
      <w:sz w:val="18"/>
      <w:szCs w:val="18"/>
    </w:rPr>
  </w:style>
  <w:style w:type="paragraph" w:styleId="Header">
    <w:name w:val="header"/>
    <w:basedOn w:val="Normal"/>
    <w:link w:val="HeaderChar"/>
    <w:uiPriority w:val="99"/>
    <w:unhideWhenUsed/>
    <w:rsid w:val="00F71009"/>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1009"/>
  </w:style>
  <w:style w:type="paragraph" w:styleId="Footer">
    <w:name w:val="footer"/>
    <w:basedOn w:val="Normal"/>
    <w:link w:val="FooterChar"/>
    <w:uiPriority w:val="99"/>
    <w:unhideWhenUsed/>
    <w:rsid w:val="00F71009"/>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1009"/>
  </w:style>
  <w:style w:type="character" w:styleId="PageNumber">
    <w:name w:val="page number"/>
    <w:basedOn w:val="DefaultParagraphFont"/>
    <w:uiPriority w:val="99"/>
    <w:semiHidden/>
    <w:unhideWhenUsed/>
    <w:rsid w:val="00F71009"/>
  </w:style>
  <w:style w:type="paragraph" w:customStyle="1" w:styleId="p2">
    <w:name w:val="p2"/>
    <w:basedOn w:val="Normal"/>
    <w:rsid w:val="00DE12AF"/>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DE12AF"/>
  </w:style>
  <w:style w:type="character" w:customStyle="1" w:styleId="s3">
    <w:name w:val="s3"/>
    <w:basedOn w:val="DefaultParagraphFont"/>
    <w:rsid w:val="00DE12AF"/>
  </w:style>
  <w:style w:type="paragraph" w:customStyle="1" w:styleId="p3">
    <w:name w:val="p3"/>
    <w:basedOn w:val="Normal"/>
    <w:rsid w:val="00020071"/>
    <w:pPr>
      <w:spacing w:before="100" w:beforeAutospacing="1" w:after="100" w:afterAutospacing="1" w:line="240" w:lineRule="auto"/>
    </w:pPr>
    <w:rPr>
      <w:rFonts w:ascii="Times New Roman" w:hAnsi="Times New Roman" w:cs="Times New Roman"/>
      <w:kern w:val="0"/>
      <w14:ligatures w14:val="none"/>
    </w:rPr>
  </w:style>
  <w:style w:type="character" w:customStyle="1" w:styleId="s4">
    <w:name w:val="s4"/>
    <w:basedOn w:val="DefaultParagraphFont"/>
    <w:rsid w:val="00E9447C"/>
  </w:style>
  <w:style w:type="table" w:styleId="TableGrid">
    <w:name w:val="Table Grid"/>
    <w:basedOn w:val="TableNormal"/>
    <w:uiPriority w:val="39"/>
    <w:rsid w:val="003F66D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27</Pages>
  <Words>7330</Words>
  <Characters>46624</Characters>
  <Application>Microsoft Office Word</Application>
  <DocSecurity>0</DocSecurity>
  <Lines>1195</Lines>
  <Paragraphs>264</Paragraphs>
  <ScaleCrop>false</ScaleCrop>
  <Company/>
  <LinksUpToDate>false</LinksUpToDate>
  <CharactersWithSpaces>53690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Alexandru Gaiu (2332587)</dc:creator>
  <cp:keywords/>
  <dc:description/>
  <cp:lastModifiedBy>Alexandru Gaiu (2332587)</cp:lastModifiedBy>
  <cp:revision>2</cp:revision>
  <dcterms:created xsi:type="dcterms:W3CDTF">2026-03-29T12:22:00Z</dcterms:created>
  <dcterms:modified xsi:type="dcterms:W3CDTF">2026-03-29T12:22:00Z</dcterms:modified>
</cp:coreProperties>
</file>