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9AC6C" w14:textId="191A96F6" w:rsidR="00C86EAA" w:rsidRDefault="00BC1667"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627E0F37">
                <wp:simplePos x="0" y="0"/>
                <wp:positionH relativeFrom="column">
                  <wp:posOffset>5143500</wp:posOffset>
                </wp:positionH>
                <wp:positionV relativeFrom="paragraph">
                  <wp:posOffset>-342900</wp:posOffset>
                </wp:positionV>
                <wp:extent cx="1457325" cy="1153160"/>
                <wp:effectExtent l="19050" t="19050" r="28575" b="2794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DFXz6h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AB45619" wp14:editId="0822BC6D">
                <wp:simplePos x="0" y="0"/>
                <wp:positionH relativeFrom="column">
                  <wp:posOffset>6629400</wp:posOffset>
                </wp:positionH>
                <wp:positionV relativeFrom="paragraph">
                  <wp:posOffset>114300</wp:posOffset>
                </wp:positionV>
                <wp:extent cx="914400" cy="914400"/>
                <wp:effectExtent l="0" t="3175" r="4445" b="0"/>
                <wp:wrapTight wrapText="bothSides">
                  <wp:wrapPolygon edited="0">
                    <wp:start x="0" y="0"/>
                    <wp:lineTo x="21600" y="0"/>
                    <wp:lineTo x="21600" y="21600"/>
                    <wp:lineTo x="0" y="2160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LmZCe6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46C393F7" w:rsidR="00C86EAA" w:rsidRPr="00C1361B" w:rsidRDefault="00BC1667" w:rsidP="00C86EAA">
            <w:pPr>
              <w:spacing w:before="120" w:after="120"/>
              <w:jc w:val="both"/>
              <w:rPr>
                <w:rFonts w:ascii="Calibri" w:hAnsi="Calibri" w:cs="Arial"/>
                <w:b/>
                <w:sz w:val="22"/>
                <w:szCs w:val="22"/>
              </w:rPr>
            </w:pPr>
            <w:r>
              <w:rPr>
                <w:rFonts w:ascii="Calibri" w:hAnsi="Calibri" w:cs="Arial"/>
                <w:b/>
                <w:sz w:val="22"/>
                <w:szCs w:val="22"/>
              </w:rPr>
              <w:t>Katie-Mae Scorey</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58104983" w:rsidR="00C86EAA" w:rsidRPr="00C1361B" w:rsidRDefault="00BC1667" w:rsidP="00C86EAA">
            <w:pPr>
              <w:spacing w:before="120" w:after="120"/>
              <w:jc w:val="both"/>
              <w:rPr>
                <w:rFonts w:ascii="Calibri" w:hAnsi="Calibri" w:cs="Arial"/>
                <w:b/>
                <w:sz w:val="22"/>
                <w:szCs w:val="22"/>
              </w:rPr>
            </w:pPr>
            <w:r>
              <w:rPr>
                <w:rFonts w:ascii="Calibri" w:hAnsi="Calibri" w:cs="Arial"/>
                <w:b/>
                <w:sz w:val="22"/>
                <w:szCs w:val="22"/>
              </w:rPr>
              <w:t>1500628</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p w14:paraId="49EC6E0A" w14:textId="77777777" w:rsidR="00C86EAA" w:rsidRDefault="00C86EAA" w:rsidP="00BC1667">
      <w:pPr>
        <w:rPr>
          <w:rFonts w:ascii="Calibri" w:hAnsi="Calibri" w:cs="Arial"/>
        </w:rPr>
      </w:pPr>
      <w:bookmarkStart w:id="0" w:name="_GoBack"/>
      <w:bookmarkEnd w:id="0"/>
    </w:p>
    <w:p w14:paraId="0E465DB6" w14:textId="77777777" w:rsidR="00C86EAA" w:rsidRDefault="00C86EAA" w:rsidP="00C86EAA">
      <w:pPr>
        <w:jc w:val="both"/>
        <w:rPr>
          <w:rFonts w:ascii="Calibri" w:hAnsi="Calibri"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F5C451F" w:rsidR="00C86EAA" w:rsidRDefault="00C86EAA" w:rsidP="00C86EAA">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footerReference w:type="default" r:id="rId11"/>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C86EAA" w:rsidRPr="006B7858" w14:paraId="0046EB8B" w14:textId="77777777">
        <w:trPr>
          <w:trHeight w:val="420"/>
        </w:trPr>
        <w:tc>
          <w:tcPr>
            <w:tcW w:w="10456" w:type="dxa"/>
            <w:gridSpan w:val="7"/>
            <w:shd w:val="clear" w:color="auto" w:fill="BFBFBF" w:themeFill="background1" w:themeFillShade="BF"/>
          </w:tcPr>
          <w:p w14:paraId="3ACDB288" w14:textId="77777777" w:rsidR="00C86EAA" w:rsidRPr="00C86EAA" w:rsidRDefault="00C86EAA" w:rsidP="00C86EAA">
            <w:pPr>
              <w:jc w:val="center"/>
              <w:rPr>
                <w:b/>
                <w:sz w:val="40"/>
                <w:szCs w:val="40"/>
              </w:rPr>
            </w:pPr>
            <w:r w:rsidRPr="00C86EAA">
              <w:rPr>
                <w:rFonts w:ascii="Calibri" w:hAnsi="Calibri"/>
                <w:b/>
                <w:sz w:val="32"/>
                <w:szCs w:val="32"/>
              </w:rPr>
              <w:lastRenderedPageBreak/>
              <w:t>ASSESSMENT A</w:t>
            </w:r>
            <w:r w:rsidR="00CD023A">
              <w:rPr>
                <w:rFonts w:ascii="Calibri" w:hAnsi="Calibri"/>
                <w:b/>
                <w:sz w:val="32"/>
                <w:szCs w:val="32"/>
              </w:rPr>
              <w:t>ND MARKING CRITERIA FOR ECAD5001/C</w:t>
            </w:r>
            <w:r w:rsidRPr="00C86EAA">
              <w:rPr>
                <w:rFonts w:ascii="Calibri" w:hAnsi="Calibri"/>
                <w:b/>
                <w:sz w:val="32"/>
                <w:szCs w:val="32"/>
              </w:rPr>
              <w:t xml:space="preserve"> ASSIGNMENT</w:t>
            </w:r>
          </w:p>
        </w:tc>
      </w:tr>
      <w:tr w:rsidR="00C86EAA" w:rsidRPr="006B7858" w14:paraId="3EC0624C" w14:textId="77777777">
        <w:tc>
          <w:tcPr>
            <w:tcW w:w="1242" w:type="dxa"/>
            <w:shd w:val="clear" w:color="auto" w:fill="BFBFBF" w:themeFill="background1" w:themeFillShade="BF"/>
          </w:tcPr>
          <w:p w14:paraId="3BC6E8B2" w14:textId="77777777"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58D9CD2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36A04D40"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14:paraId="52D9A431" w14:textId="77777777">
        <w:tc>
          <w:tcPr>
            <w:tcW w:w="1242" w:type="dxa"/>
            <w:vMerge w:val="restart"/>
          </w:tcPr>
          <w:p w14:paraId="7587D379"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6C8CF4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14:paraId="10C5B10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0B258E0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14:paraId="3AC72BC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14:paraId="05E7BE87"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14:paraId="2684E1D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14:paraId="3B9A7CED" w14:textId="77777777">
        <w:tc>
          <w:tcPr>
            <w:tcW w:w="1242" w:type="dxa"/>
            <w:vMerge/>
          </w:tcPr>
          <w:p w14:paraId="027CBB8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0632E7B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14:paraId="69EFF766"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35F3036D"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14:paraId="46D72F0F"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14:paraId="483530B5"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14:paraId="5EB70502" w14:textId="77777777">
        <w:tc>
          <w:tcPr>
            <w:tcW w:w="1242" w:type="dxa"/>
          </w:tcPr>
          <w:p w14:paraId="30B75C8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14:paraId="0565650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14:paraId="1DE0DF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56F9B8F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14:paraId="453AC49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14:paraId="7A947FF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14:paraId="2DFD050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14:paraId="60B2BF9B" w14:textId="77777777">
        <w:trPr>
          <w:trHeight w:val="317"/>
        </w:trPr>
        <w:tc>
          <w:tcPr>
            <w:tcW w:w="1242" w:type="dxa"/>
            <w:shd w:val="clear" w:color="auto" w:fill="D9D9D9" w:themeFill="background1" w:themeFillShade="D9"/>
          </w:tcPr>
          <w:p w14:paraId="2E47F64B" w14:textId="77777777"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19C0698C"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59DF296"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77005FD"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FA275C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568E30D5"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27F442C8"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F65F8CD" w14:textId="77777777">
        <w:trPr>
          <w:trHeight w:val="682"/>
        </w:trPr>
        <w:tc>
          <w:tcPr>
            <w:tcW w:w="1242" w:type="dxa"/>
            <w:vMerge w:val="restart"/>
          </w:tcPr>
          <w:p w14:paraId="446D8C0D"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14:paraId="39A2BA65" w14:textId="77777777" w:rsidR="00C86EAA" w:rsidRPr="00C86EAA" w:rsidRDefault="00C86EAA" w:rsidP="00C86EAA">
            <w:pPr>
              <w:rPr>
                <w:rFonts w:asciiTheme="majorHAnsi" w:hAnsiTheme="majorHAnsi"/>
                <w:sz w:val="12"/>
                <w:szCs w:val="12"/>
              </w:rPr>
            </w:pPr>
          </w:p>
          <w:p w14:paraId="32D58F3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14:paraId="45E3A7EA" w14:textId="77777777" w:rsidR="00C86EAA" w:rsidRPr="00C86EAA" w:rsidRDefault="00C86EAA" w:rsidP="00C86EAA">
            <w:pPr>
              <w:rPr>
                <w:rFonts w:asciiTheme="majorHAnsi" w:hAnsiTheme="majorHAnsi"/>
                <w:sz w:val="12"/>
                <w:szCs w:val="12"/>
              </w:rPr>
            </w:pPr>
          </w:p>
          <w:p w14:paraId="49AD96AC" w14:textId="77777777" w:rsidR="00C86EAA" w:rsidRPr="00C86EAA" w:rsidRDefault="00C86EAA" w:rsidP="00C86EAA">
            <w:pPr>
              <w:rPr>
                <w:rFonts w:asciiTheme="majorHAnsi" w:hAnsiTheme="majorHAnsi"/>
                <w:sz w:val="12"/>
                <w:szCs w:val="12"/>
              </w:rPr>
            </w:pPr>
          </w:p>
          <w:p w14:paraId="237A16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14:paraId="1DADF60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Basic misunderstanding, misconceptions,  misinterpretations and/or superficial knowledge in places</w:t>
            </w:r>
          </w:p>
        </w:tc>
        <w:tc>
          <w:tcPr>
            <w:tcW w:w="1417" w:type="dxa"/>
            <w:shd w:val="clear" w:color="auto" w:fill="E5B8B7" w:themeFill="accent2" w:themeFillTint="66"/>
          </w:tcPr>
          <w:p w14:paraId="35C5231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Outline knowledge of  few key issues with evidence of understanding and application</w:t>
            </w:r>
          </w:p>
        </w:tc>
        <w:tc>
          <w:tcPr>
            <w:tcW w:w="1560" w:type="dxa"/>
            <w:shd w:val="clear" w:color="auto" w:fill="FFFF99"/>
          </w:tcPr>
          <w:p w14:paraId="66DF34E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14:paraId="1BFDEAD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77283C22"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5D97DD5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14:paraId="2613F9C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676100BB" w14:textId="77777777" w:rsidR="00C86EAA" w:rsidRPr="00C86EAA" w:rsidRDefault="00C86EAA" w:rsidP="00C86EAA">
            <w:pPr>
              <w:rPr>
                <w:rFonts w:asciiTheme="majorHAnsi" w:hAnsiTheme="majorHAnsi"/>
                <w:sz w:val="12"/>
                <w:szCs w:val="12"/>
              </w:rPr>
            </w:pPr>
          </w:p>
        </w:tc>
      </w:tr>
      <w:tr w:rsidR="00C86EAA" w:rsidRPr="006B7858" w14:paraId="20F5606D" w14:textId="77777777">
        <w:trPr>
          <w:trHeight w:val="694"/>
        </w:trPr>
        <w:tc>
          <w:tcPr>
            <w:tcW w:w="1242" w:type="dxa"/>
            <w:vMerge/>
          </w:tcPr>
          <w:p w14:paraId="560695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59E94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14:paraId="3FBFEE3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4121A69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14:paraId="4300D21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14:paraId="1187762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14:paraId="14CD3EF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14:paraId="7DAA4E81" w14:textId="77777777">
        <w:trPr>
          <w:trHeight w:val="159"/>
        </w:trPr>
        <w:tc>
          <w:tcPr>
            <w:tcW w:w="1242" w:type="dxa"/>
            <w:shd w:val="clear" w:color="auto" w:fill="D9D9D9" w:themeFill="background1" w:themeFillShade="D9"/>
          </w:tcPr>
          <w:p w14:paraId="0080EF2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6D63251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F9314F1"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18970CF0"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75D80D2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C7E8E2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1E2146E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D2ED355" w14:textId="77777777">
        <w:trPr>
          <w:trHeight w:val="653"/>
        </w:trPr>
        <w:tc>
          <w:tcPr>
            <w:tcW w:w="1242" w:type="dxa"/>
            <w:vMerge w:val="restart"/>
          </w:tcPr>
          <w:p w14:paraId="0992A05B"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14:paraId="591E6F57" w14:textId="77777777" w:rsidR="00C86EAA" w:rsidRPr="00C86EAA" w:rsidRDefault="00C86EAA" w:rsidP="00C86EAA">
            <w:pPr>
              <w:rPr>
                <w:rFonts w:asciiTheme="majorHAnsi" w:hAnsiTheme="majorHAnsi"/>
                <w:sz w:val="12"/>
                <w:szCs w:val="12"/>
              </w:rPr>
            </w:pPr>
          </w:p>
          <w:p w14:paraId="7FA243D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(argument)</w:t>
            </w:r>
          </w:p>
          <w:p w14:paraId="0F120DF1" w14:textId="77777777" w:rsidR="00C86EAA" w:rsidRPr="00C86EAA" w:rsidRDefault="00C86EAA" w:rsidP="00C86EAA">
            <w:pPr>
              <w:rPr>
                <w:rFonts w:asciiTheme="majorHAnsi" w:hAnsiTheme="majorHAnsi"/>
                <w:sz w:val="12"/>
                <w:szCs w:val="12"/>
              </w:rPr>
            </w:pPr>
          </w:p>
          <w:p w14:paraId="42AD80E3" w14:textId="77777777" w:rsidR="00C86EAA" w:rsidRPr="00C86EAA" w:rsidRDefault="00C86EAA" w:rsidP="00C86EAA">
            <w:pPr>
              <w:rPr>
                <w:rFonts w:asciiTheme="majorHAnsi" w:hAnsiTheme="majorHAnsi"/>
                <w:sz w:val="12"/>
                <w:szCs w:val="12"/>
              </w:rPr>
            </w:pPr>
          </w:p>
          <w:p w14:paraId="15364FFF" w14:textId="77777777" w:rsidR="00C86EAA" w:rsidRPr="00C86EAA" w:rsidRDefault="00C86EAA" w:rsidP="00C86EAA">
            <w:pPr>
              <w:rPr>
                <w:rFonts w:asciiTheme="majorHAnsi" w:hAnsiTheme="majorHAnsi"/>
                <w:sz w:val="12"/>
                <w:szCs w:val="12"/>
              </w:rPr>
            </w:pPr>
          </w:p>
          <w:p w14:paraId="5FA7A0B5" w14:textId="77777777" w:rsidR="00C86EAA" w:rsidRPr="00C86EAA" w:rsidRDefault="00C86EAA" w:rsidP="00C86EAA">
            <w:pPr>
              <w:rPr>
                <w:rFonts w:asciiTheme="majorHAnsi" w:hAnsiTheme="majorHAnsi"/>
                <w:sz w:val="12"/>
                <w:szCs w:val="12"/>
              </w:rPr>
            </w:pPr>
          </w:p>
          <w:p w14:paraId="3CCD2D00" w14:textId="77777777" w:rsidR="00C86EAA" w:rsidRPr="00C86EAA" w:rsidRDefault="00C86EAA" w:rsidP="00C86EAA">
            <w:pPr>
              <w:rPr>
                <w:rFonts w:asciiTheme="majorHAnsi" w:hAnsiTheme="majorHAnsi"/>
                <w:sz w:val="12"/>
                <w:szCs w:val="12"/>
              </w:rPr>
            </w:pPr>
          </w:p>
          <w:p w14:paraId="26442C6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(presentation of findings/analysis)</w:t>
            </w:r>
          </w:p>
          <w:p w14:paraId="2067FEE7" w14:textId="77777777" w:rsidR="00C86EAA" w:rsidRPr="00C86EAA" w:rsidRDefault="00C86EAA" w:rsidP="00C86EAA">
            <w:pPr>
              <w:rPr>
                <w:rFonts w:asciiTheme="majorHAnsi" w:hAnsiTheme="majorHAnsi"/>
                <w:sz w:val="12"/>
                <w:szCs w:val="12"/>
              </w:rPr>
            </w:pPr>
          </w:p>
          <w:p w14:paraId="50AAA016" w14:textId="77777777" w:rsidR="00C86EAA" w:rsidRPr="00C86EAA" w:rsidRDefault="00C86EAA" w:rsidP="00C86EAA">
            <w:pPr>
              <w:rPr>
                <w:rFonts w:asciiTheme="majorHAnsi" w:hAnsiTheme="majorHAnsi"/>
                <w:sz w:val="12"/>
                <w:szCs w:val="12"/>
              </w:rPr>
            </w:pPr>
          </w:p>
          <w:p w14:paraId="3CCC405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(critical /reflective evaluation)</w:t>
            </w:r>
          </w:p>
          <w:p w14:paraId="02CDF77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9C701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368521F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14:paraId="2C74B1A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The argument is beginning to be balanced with a growing  awareness of other viewpoints</w:t>
            </w:r>
          </w:p>
        </w:tc>
        <w:tc>
          <w:tcPr>
            <w:tcW w:w="1560" w:type="dxa"/>
            <w:shd w:val="clear" w:color="auto" w:fill="FFFF99"/>
          </w:tcPr>
          <w:p w14:paraId="13D06B5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14:paraId="3DB21B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14:paraId="74CA81B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14:paraId="17E0266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14:paraId="0E6E2D7C" w14:textId="77777777">
        <w:trPr>
          <w:trHeight w:val="886"/>
        </w:trPr>
        <w:tc>
          <w:tcPr>
            <w:tcW w:w="1242" w:type="dxa"/>
            <w:vMerge/>
          </w:tcPr>
          <w:p w14:paraId="586E0C0A"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0D0C3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14:paraId="33DF9CD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249079C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14:paraId="559BF44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interpretation and evaluation of data  to form reasonable conclusions</w:t>
            </w:r>
          </w:p>
        </w:tc>
        <w:tc>
          <w:tcPr>
            <w:tcW w:w="1559" w:type="dxa"/>
            <w:shd w:val="clear" w:color="auto" w:fill="EAF1DD" w:themeFill="accent3" w:themeFillTint="33"/>
          </w:tcPr>
          <w:p w14:paraId="5AF6F1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14:paraId="4E96E8C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14:paraId="6D3D5B88" w14:textId="77777777">
        <w:trPr>
          <w:trHeight w:val="410"/>
        </w:trPr>
        <w:tc>
          <w:tcPr>
            <w:tcW w:w="1242" w:type="dxa"/>
            <w:vMerge/>
          </w:tcPr>
          <w:p w14:paraId="33D3B12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B41285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14:paraId="6DB4C03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4A3F8D9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14:paraId="0327EB4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14:paraId="2D7A6561" w14:textId="77777777"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14:paraId="4B8FF881" w14:textId="77777777"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14:paraId="2AB1A793" w14:textId="77777777">
        <w:trPr>
          <w:trHeight w:val="135"/>
        </w:trPr>
        <w:tc>
          <w:tcPr>
            <w:tcW w:w="1242" w:type="dxa"/>
            <w:shd w:val="clear" w:color="auto" w:fill="D9D9D9" w:themeFill="background1" w:themeFillShade="D9"/>
          </w:tcPr>
          <w:p w14:paraId="65ED551C"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CE6F1CE"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22D7557D"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39F7543C"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606741A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744DDAC3"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69CE4ECB"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6867A416" w14:textId="77777777">
        <w:trPr>
          <w:trHeight w:val="92"/>
        </w:trPr>
        <w:tc>
          <w:tcPr>
            <w:tcW w:w="1242" w:type="dxa"/>
            <w:vMerge w:val="restart"/>
          </w:tcPr>
          <w:p w14:paraId="7C768678"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14:paraId="6A11A227" w14:textId="77777777" w:rsidR="00C86EAA" w:rsidRPr="00C86EAA" w:rsidRDefault="00C86EAA" w:rsidP="00C86EAA">
            <w:pPr>
              <w:rPr>
                <w:rFonts w:asciiTheme="majorHAnsi" w:hAnsiTheme="majorHAnsi"/>
                <w:sz w:val="12"/>
                <w:szCs w:val="12"/>
              </w:rPr>
            </w:pPr>
          </w:p>
          <w:p w14:paraId="4186960C" w14:textId="77777777" w:rsidR="00C86EAA" w:rsidRPr="00C86EAA" w:rsidRDefault="00C86EAA" w:rsidP="00C86EAA">
            <w:pPr>
              <w:rPr>
                <w:rFonts w:asciiTheme="majorHAnsi" w:hAnsiTheme="majorHAnsi"/>
                <w:sz w:val="12"/>
                <w:szCs w:val="12"/>
              </w:rPr>
            </w:pPr>
          </w:p>
          <w:p w14:paraId="6337291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(linking theory to practice)</w:t>
            </w:r>
          </w:p>
          <w:p w14:paraId="562F61CB" w14:textId="77777777" w:rsidR="00C86EAA" w:rsidRPr="00C86EAA" w:rsidRDefault="00C86EAA" w:rsidP="00C86EAA">
            <w:pPr>
              <w:rPr>
                <w:rFonts w:asciiTheme="majorHAnsi" w:hAnsiTheme="majorHAnsi"/>
                <w:sz w:val="12"/>
                <w:szCs w:val="12"/>
              </w:rPr>
            </w:pPr>
          </w:p>
          <w:p w14:paraId="72C782CF" w14:textId="77777777" w:rsidR="00C86EAA" w:rsidRPr="00C86EAA" w:rsidRDefault="00C86EAA" w:rsidP="00C86EAA">
            <w:pPr>
              <w:rPr>
                <w:rFonts w:asciiTheme="majorHAnsi" w:hAnsiTheme="majorHAnsi"/>
                <w:sz w:val="12"/>
                <w:szCs w:val="12"/>
              </w:rPr>
            </w:pPr>
          </w:p>
          <w:p w14:paraId="6AF225C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(professional reflection)</w:t>
            </w:r>
          </w:p>
          <w:p w14:paraId="66A01064" w14:textId="77777777" w:rsidR="00C86EAA" w:rsidRPr="00C86EAA" w:rsidRDefault="00C86EAA" w:rsidP="00C86EAA">
            <w:pPr>
              <w:rPr>
                <w:rFonts w:asciiTheme="majorHAnsi" w:hAnsiTheme="majorHAnsi"/>
                <w:sz w:val="12"/>
                <w:szCs w:val="12"/>
              </w:rPr>
            </w:pPr>
          </w:p>
          <w:p w14:paraId="25A1C916" w14:textId="77777777" w:rsidR="00C86EAA" w:rsidRPr="00C86EAA" w:rsidRDefault="00C86EAA" w:rsidP="00C86EAA">
            <w:pPr>
              <w:rPr>
                <w:rFonts w:asciiTheme="majorHAnsi" w:hAnsiTheme="majorHAnsi"/>
                <w:sz w:val="12"/>
                <w:szCs w:val="12"/>
              </w:rPr>
            </w:pPr>
          </w:p>
          <w:p w14:paraId="4AAC150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conduct  where appropriate)</w:t>
            </w:r>
          </w:p>
          <w:p w14:paraId="46AF84A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68210E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14:paraId="56D04E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106A293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Identifies principles/  concepts underlying theoretical frameworks and begins to identify their strengths and weaknesses with respect to the pedagogic and professional context(s) </w:t>
            </w:r>
          </w:p>
        </w:tc>
        <w:tc>
          <w:tcPr>
            <w:tcW w:w="1701" w:type="dxa"/>
            <w:shd w:val="clear" w:color="auto" w:fill="FDE9D9" w:themeFill="accent6" w:themeFillTint="33"/>
          </w:tcPr>
          <w:p w14:paraId="53BBFA6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6D82DA19"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4FF5DB4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25E9354A"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7EAE28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7A49484D" w14:textId="77777777" w:rsidR="00C86EAA" w:rsidRPr="00C86EAA" w:rsidRDefault="00C86EAA" w:rsidP="00C86EAA">
            <w:pPr>
              <w:rPr>
                <w:rFonts w:asciiTheme="majorHAnsi" w:hAnsiTheme="majorHAnsi"/>
                <w:sz w:val="12"/>
                <w:szCs w:val="12"/>
              </w:rPr>
            </w:pPr>
          </w:p>
        </w:tc>
      </w:tr>
      <w:tr w:rsidR="00C86EAA" w:rsidRPr="006B7858" w14:paraId="71E03B8B" w14:textId="77777777">
        <w:trPr>
          <w:trHeight w:val="226"/>
        </w:trPr>
        <w:tc>
          <w:tcPr>
            <w:tcW w:w="1242" w:type="dxa"/>
            <w:vMerge/>
          </w:tcPr>
          <w:p w14:paraId="6B0ED26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2AAC7A2" w14:textId="77777777"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14:paraId="5CB96266" w14:textId="77777777" w:rsidR="00C86EAA" w:rsidRPr="00525EA5" w:rsidRDefault="00C86EAA" w:rsidP="00C86EAA">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4F00C702"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14:paraId="6BDF7D67"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14:paraId="77DAC4E9"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14:paraId="1EC11F73"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14:paraId="5E74B548" w14:textId="77777777">
        <w:trPr>
          <w:trHeight w:val="750"/>
        </w:trPr>
        <w:tc>
          <w:tcPr>
            <w:tcW w:w="1242" w:type="dxa"/>
            <w:vMerge/>
          </w:tcPr>
          <w:p w14:paraId="4259294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190498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14:paraId="476097C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5FAAA27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14:paraId="3026FFB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14:paraId="632D564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clearly discussed in the context of  personal responsibility and professional codes of conduct</w:t>
            </w:r>
          </w:p>
        </w:tc>
        <w:tc>
          <w:tcPr>
            <w:tcW w:w="1559" w:type="dxa"/>
            <w:shd w:val="clear" w:color="auto" w:fill="EAF1DD" w:themeFill="accent3" w:themeFillTint="33"/>
          </w:tcPr>
          <w:p w14:paraId="5D53446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14:paraId="546B0E0D" w14:textId="77777777">
        <w:trPr>
          <w:trHeight w:val="129"/>
        </w:trPr>
        <w:tc>
          <w:tcPr>
            <w:tcW w:w="1242" w:type="dxa"/>
            <w:shd w:val="clear" w:color="auto" w:fill="D9D9D9" w:themeFill="background1" w:themeFillShade="D9"/>
          </w:tcPr>
          <w:p w14:paraId="3E5B6106"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2A60329"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45D42FE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783DD1D5"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76A7C55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1D49DF31"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36040CC7"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14:paraId="56FA8C1D" w14:textId="77777777">
        <w:trPr>
          <w:trHeight w:val="219"/>
        </w:trPr>
        <w:tc>
          <w:tcPr>
            <w:tcW w:w="1242" w:type="dxa"/>
            <w:vMerge w:val="restart"/>
          </w:tcPr>
          <w:p w14:paraId="2A06E7CF"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14:paraId="65F7B6EE" w14:textId="77777777" w:rsidR="00C86EAA" w:rsidRPr="00C86EAA" w:rsidRDefault="00C86EAA" w:rsidP="00C86EAA">
            <w:pPr>
              <w:rPr>
                <w:rFonts w:asciiTheme="majorHAnsi" w:hAnsiTheme="majorHAnsi"/>
                <w:sz w:val="12"/>
                <w:szCs w:val="12"/>
              </w:rPr>
            </w:pPr>
          </w:p>
          <w:p w14:paraId="6B31B448" w14:textId="77777777" w:rsidR="00C86EAA" w:rsidRPr="00C86EAA" w:rsidRDefault="00C86EAA" w:rsidP="00C86EAA">
            <w:pPr>
              <w:rPr>
                <w:rFonts w:asciiTheme="majorHAnsi" w:hAnsiTheme="majorHAnsi"/>
                <w:sz w:val="12"/>
                <w:szCs w:val="12"/>
              </w:rPr>
            </w:pPr>
          </w:p>
          <w:p w14:paraId="6CDE169B" w14:textId="77777777" w:rsidR="00C86EAA" w:rsidRPr="00C86EAA" w:rsidRDefault="00C86EAA" w:rsidP="00C86EAA">
            <w:pPr>
              <w:rPr>
                <w:rFonts w:asciiTheme="majorHAnsi" w:hAnsiTheme="majorHAnsi"/>
                <w:sz w:val="12"/>
                <w:szCs w:val="12"/>
              </w:rPr>
            </w:pPr>
          </w:p>
          <w:p w14:paraId="1F161A3E" w14:textId="77777777" w:rsidR="00C86EAA" w:rsidRPr="00C86EAA" w:rsidRDefault="00C86EAA" w:rsidP="00C86EAA">
            <w:pPr>
              <w:rPr>
                <w:rFonts w:asciiTheme="majorHAnsi" w:hAnsiTheme="majorHAnsi"/>
                <w:sz w:val="12"/>
                <w:szCs w:val="12"/>
              </w:rPr>
            </w:pPr>
          </w:p>
          <w:p w14:paraId="2DF97F96" w14:textId="77777777" w:rsidR="00C86EAA" w:rsidRPr="00C86EAA" w:rsidRDefault="00C86EAA" w:rsidP="00C86EAA">
            <w:pPr>
              <w:rPr>
                <w:rFonts w:asciiTheme="majorHAnsi" w:hAnsiTheme="majorHAnsi"/>
                <w:sz w:val="12"/>
                <w:szCs w:val="12"/>
              </w:rPr>
            </w:pPr>
          </w:p>
          <w:p w14:paraId="57A066C5" w14:textId="77777777" w:rsidR="00C86EAA" w:rsidRPr="00C86EAA" w:rsidRDefault="00C86EAA" w:rsidP="00C86EAA">
            <w:pPr>
              <w:rPr>
                <w:rFonts w:asciiTheme="majorHAnsi" w:hAnsiTheme="majorHAnsi"/>
                <w:sz w:val="12"/>
                <w:szCs w:val="12"/>
              </w:rPr>
            </w:pPr>
          </w:p>
          <w:p w14:paraId="3F93862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14:paraId="198D95C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7B7BB7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14:paraId="0E9F018C" w14:textId="77777777"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050B18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14:paraId="15B2DD6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14:paraId="09E4EA6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14:paraId="2E00279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14:paraId="7B48CD20" w14:textId="77777777">
        <w:trPr>
          <w:trHeight w:val="396"/>
        </w:trPr>
        <w:tc>
          <w:tcPr>
            <w:tcW w:w="1242" w:type="dxa"/>
            <w:vMerge/>
          </w:tcPr>
          <w:p w14:paraId="64DE155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6E59E8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14:paraId="21FF2E1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5597A65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14:paraId="35D4E86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14:paraId="43E4122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14:paraId="1F9A3DF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14:paraId="0D38DDCE" w14:textId="77777777">
        <w:trPr>
          <w:trHeight w:val="473"/>
        </w:trPr>
        <w:tc>
          <w:tcPr>
            <w:tcW w:w="1242" w:type="dxa"/>
            <w:vMerge/>
          </w:tcPr>
          <w:p w14:paraId="32F24A00"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40DA1C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14:paraId="6A03A5C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28FBD1B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5FA9D83C" w14:textId="77777777"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14:paraId="11D965D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14:paraId="5C23CB9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14:paraId="6446DA7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14:paraId="515844D2" w14:textId="77777777">
        <w:trPr>
          <w:trHeight w:val="551"/>
        </w:trPr>
        <w:tc>
          <w:tcPr>
            <w:tcW w:w="1242" w:type="dxa"/>
            <w:vMerge/>
          </w:tcPr>
          <w:p w14:paraId="59A1ECFE"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340DBF3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14:paraId="0E6D6C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16F6F40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14:paraId="1AFC161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14:paraId="53E86BF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14:paraId="1683978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42550A06" w14:textId="77777777" w:rsidR="00CD023A" w:rsidRDefault="00CD023A" w:rsidP="00C86EAA"/>
    <w:p w14:paraId="536E6AEF" w14:textId="77777777" w:rsidR="00CD023A" w:rsidRDefault="00CD023A" w:rsidP="00C86EAA"/>
    <w:p w14:paraId="4E093C19" w14:textId="77777777" w:rsidR="00CD023A" w:rsidRDefault="00CD023A" w:rsidP="00C86EAA"/>
    <w:p w14:paraId="53536CCA" w14:textId="77777777" w:rsidR="00CD023A" w:rsidRDefault="00CD023A" w:rsidP="00C86EAA"/>
    <w:p w14:paraId="428155D4" w14:textId="77777777" w:rsidR="00CD023A" w:rsidRDefault="00CD023A" w:rsidP="00C86EAA"/>
    <w:p w14:paraId="76C674B0" w14:textId="77777777" w:rsidR="00CD023A" w:rsidRDefault="00CD023A" w:rsidP="00C86EAA"/>
    <w:p w14:paraId="36777980" w14:textId="77777777" w:rsidR="00CD023A" w:rsidRDefault="00CD023A" w:rsidP="00C86EAA"/>
    <w:p w14:paraId="207CFD31" w14:textId="77777777" w:rsidR="00CD023A" w:rsidRDefault="00CD023A" w:rsidP="00C86EAA"/>
    <w:p w14:paraId="760A0488" w14:textId="77777777" w:rsidR="00CD023A" w:rsidRDefault="00CD023A" w:rsidP="00C86EAA"/>
    <w:p w14:paraId="795CDD66" w14:textId="77777777" w:rsidR="00CD023A" w:rsidRDefault="00CD023A" w:rsidP="00C86EAA"/>
    <w:p w14:paraId="7AA685F7" w14:textId="77777777" w:rsidR="00CD023A" w:rsidRDefault="00CD023A" w:rsidP="00C86EAA"/>
    <w:p w14:paraId="616E54EE" w14:textId="77777777" w:rsidR="00CD023A" w:rsidRDefault="00CD023A" w:rsidP="00C86EAA"/>
    <w:p w14:paraId="60BD2692" w14:textId="77777777" w:rsidR="00CD023A" w:rsidRDefault="00CD023A" w:rsidP="00C86EAA"/>
    <w:p w14:paraId="537D8F65"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1DC7A62B" w14:textId="77777777" w:rsidR="00C86EAA" w:rsidRPr="00525EA5"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331F0179" w14:textId="77777777"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6E4F7A4A" w:rsidR="0045662B" w:rsidRPr="00F61A20" w:rsidRDefault="00BC166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305AA98C" w:rsidR="0045662B" w:rsidRPr="00F61A20" w:rsidRDefault="00BC1667" w:rsidP="0045662B">
            <w:pPr>
              <w:rPr>
                <w:rFonts w:ascii="Calibri" w:hAnsi="Calibri"/>
                <w:szCs w:val="32"/>
              </w:rPr>
            </w:pPr>
            <w:r>
              <w:rPr>
                <w:rFonts w:ascii="Calibri" w:hAnsi="Calibri"/>
                <w:szCs w:val="32"/>
              </w:rPr>
              <w:sym w:font="Wingdings" w:char="F0FE"/>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82E0196" w:rsidR="0045662B" w:rsidRPr="00F61A20" w:rsidRDefault="00BC166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4A5F17BA" w:rsidR="0045662B" w:rsidRPr="00F61A20" w:rsidRDefault="00BC166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70E431E7" w:rsidR="00FC593C" w:rsidRPr="00CE0319" w:rsidRDefault="00BC1667" w:rsidP="00BC1667">
            <w:pPr>
              <w:pStyle w:val="BulletedList"/>
              <w:numPr>
                <w:ilvl w:val="0"/>
                <w:numId w:val="0"/>
              </w:numPr>
              <w:ind w:left="432"/>
              <w:rPr>
                <w:rFonts w:ascii="Calibri" w:hAnsi="Calibri"/>
                <w:sz w:val="20"/>
                <w:szCs w:val="20"/>
              </w:rPr>
            </w:pPr>
            <w:r>
              <w:rPr>
                <w:rFonts w:ascii="Calibri" w:hAnsi="Calibri"/>
                <w:sz w:val="20"/>
                <w:szCs w:val="20"/>
              </w:rPr>
              <w:t>I feel that the way in which I have researched and thought out the structure of this assignment went well.</w:t>
            </w:r>
          </w:p>
        </w:tc>
        <w:tc>
          <w:tcPr>
            <w:tcW w:w="5299" w:type="dxa"/>
            <w:tcBorders>
              <w:bottom w:val="single" w:sz="8" w:space="0" w:color="000000"/>
            </w:tcBorders>
          </w:tcPr>
          <w:p w14:paraId="5FBF479B" w14:textId="4E7D5455" w:rsidR="00FC593C" w:rsidRDefault="00BC1667" w:rsidP="00FC593C">
            <w:pPr>
              <w:pStyle w:val="BulletedList"/>
              <w:numPr>
                <w:ilvl w:val="0"/>
                <w:numId w:val="0"/>
              </w:numPr>
              <w:rPr>
                <w:rFonts w:ascii="Calibri" w:hAnsi="Calibri"/>
                <w:sz w:val="20"/>
                <w:szCs w:val="20"/>
              </w:rPr>
            </w:pPr>
            <w:r>
              <w:rPr>
                <w:rFonts w:ascii="Calibri" w:hAnsi="Calibri"/>
                <w:sz w:val="20"/>
                <w:szCs w:val="20"/>
              </w:rPr>
              <w:t>I feel that my critical analysis throughout this assignment could have been improved further.</w:t>
            </w:r>
          </w:p>
          <w:p w14:paraId="482AEAE9" w14:textId="7D5B5C6E" w:rsidR="00FC593C" w:rsidRPr="00CE0319" w:rsidRDefault="00BC1667" w:rsidP="00BC1667">
            <w:pPr>
              <w:pStyle w:val="BulletedList"/>
              <w:numPr>
                <w:ilvl w:val="0"/>
                <w:numId w:val="0"/>
              </w:numPr>
              <w:rPr>
                <w:rFonts w:ascii="Calibri" w:hAnsi="Calibri"/>
                <w:sz w:val="20"/>
                <w:szCs w:val="20"/>
              </w:rPr>
            </w:pPr>
            <w:r>
              <w:rPr>
                <w:rFonts w:ascii="Calibri" w:hAnsi="Calibri"/>
                <w:sz w:val="20"/>
                <w:szCs w:val="20"/>
              </w:rPr>
              <w:t>Also the ability to fully discuss and interact with further research and reading could have been greatly improved.</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118AA8E2"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11ED971B" w:rsidR="00FC593C" w:rsidRPr="00CE0319" w:rsidRDefault="00BC1667" w:rsidP="00FC593C">
            <w:pPr>
              <w:spacing w:before="120" w:after="120"/>
              <w:jc w:val="both"/>
              <w:rPr>
                <w:rFonts w:ascii="Calibri" w:hAnsi="Calibri" w:cs="Calibri"/>
                <w:b/>
              </w:rPr>
            </w:pPr>
            <w:r>
              <w:rPr>
                <w:rFonts w:ascii="Calibri" w:hAnsi="Calibri" w:cs="Calibri"/>
                <w:b/>
              </w:rPr>
              <w:t>Katie-Mae Scorey</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62CAACF1" w:rsidR="00FC593C" w:rsidRPr="00CE0319" w:rsidRDefault="00BC1667" w:rsidP="00FC593C">
            <w:pPr>
              <w:spacing w:before="120" w:after="120"/>
              <w:jc w:val="both"/>
              <w:rPr>
                <w:rFonts w:ascii="Calibri" w:hAnsi="Calibri" w:cs="Calibri"/>
                <w:b/>
              </w:rPr>
            </w:pPr>
            <w:r>
              <w:rPr>
                <w:rFonts w:ascii="Calibri" w:hAnsi="Calibri" w:cs="Calibri"/>
                <w:b/>
              </w:rPr>
              <w:t>14/12/17</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145973FE" w:rsidR="00FC593C" w:rsidRPr="00CE0319" w:rsidRDefault="00BC1667" w:rsidP="00FC593C">
            <w:pPr>
              <w:spacing w:before="120" w:after="120"/>
              <w:jc w:val="both"/>
              <w:rPr>
                <w:rFonts w:ascii="Calibri" w:hAnsi="Calibri" w:cs="Calibri"/>
                <w:b/>
              </w:rPr>
            </w:pPr>
            <w:r>
              <w:rPr>
                <w:rFonts w:ascii="Calibri" w:hAnsi="Calibri" w:cs="Calibri"/>
                <w:b/>
              </w:rPr>
              <w:t>K M Scorey</w:t>
            </w:r>
          </w:p>
        </w:tc>
      </w:tr>
    </w:tbl>
    <w:p w14:paraId="761FF891" w14:textId="77777777" w:rsidR="00C86EAA" w:rsidRPr="0045662B" w:rsidRDefault="00C86EAA" w:rsidP="0045662B">
      <w:pPr>
        <w:rPr>
          <w:rFonts w:ascii="Calibri" w:hAnsi="Calibri"/>
          <w:sz w:val="22"/>
          <w:szCs w:val="22"/>
        </w:rPr>
        <w:sectPr w:rsidR="00C86EAA" w:rsidRPr="0045662B">
          <w:footerReference w:type="default" r:id="rId12"/>
          <w:type w:val="continuous"/>
          <w:pgSz w:w="11894" w:h="16834"/>
          <w:pgMar w:top="720" w:right="720" w:bottom="720" w:left="720" w:header="706" w:footer="454" w:gutter="0"/>
          <w:paperSrc w:first="1" w:other="1"/>
          <w:cols w:space="720"/>
          <w:docGrid w:linePitch="272"/>
        </w:sectPr>
      </w:pPr>
    </w:p>
    <w:p w14:paraId="657DA148" w14:textId="77777777" w:rsidR="00BC1667" w:rsidRPr="00BC1667" w:rsidRDefault="00BC1667" w:rsidP="00BC1667">
      <w:pPr>
        <w:spacing w:after="200" w:line="360" w:lineRule="auto"/>
        <w:rPr>
          <w:rFonts w:eastAsia="Calibri"/>
          <w:sz w:val="28"/>
          <w:szCs w:val="22"/>
          <w:u w:val="single"/>
          <w:lang w:eastAsia="en-US"/>
        </w:rPr>
      </w:pPr>
      <w:r w:rsidRPr="00BC1667">
        <w:rPr>
          <w:rFonts w:eastAsia="Calibri"/>
          <w:sz w:val="28"/>
          <w:szCs w:val="22"/>
          <w:u w:val="single"/>
          <w:lang w:eastAsia="en-US"/>
        </w:rPr>
        <w:lastRenderedPageBreak/>
        <w:t xml:space="preserve">Critically analyse your creativity and enterprise dispositions in terms of the EntreComp framework and how you might develop these to the next level and demonstrate progression. </w:t>
      </w:r>
    </w:p>
    <w:p w14:paraId="1FA1300F"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Creativity has been defined by National Advisory Committee on Creative and Cultural Education as an ‘imaginative activity fashioned so as to produce outcomes that are both original and of value.’ (N.A.C.C.C.E. 1999: 30) Within the report they acknowledge that the process of being creative allows something original to be produced. There are four parts that are accompanied with this definition these include using imagination, pursuing purposes, being original and judging value. Being imaginative requires thinking in ways that may not be used currently and building on these thoughts to create ideas. Desailly (2012) agrees with the definition created by the N.A.C.C.C.E, she writes about how using imagination is something that brings elements of newness in what people see as creativity, which includes being original this links back to the four parts. This idea of newness allows the reader to think about something has never been thought of before and is a completely new way of thinking, linking to being original. This links with the models of divergent and convergent thinking. Proctor (1999) discusses these thinking processes by discussing that, divergent thinking is the process of generating lots of different ideas against a problem or a question creating alternatives to the solution. The convergence side is then limiting the ideas produced to create outcomes that are practical and will be beneficial, which is opposite to the divergent side of this thinking process. The divergent and convergent thinking processes cannot be used together at the same time, as the convergent process does not promote creative thinking as it is are part of the rational thinking process. However they can be used in conjunction towards the same problem, by using divergence thinking to come up with ideas, and then using the convergent thinking process to rationalise thoughts and come up with ideas that are beneficial. The Mindtools website (2017) discusses DeBonos thinking hats and discusses what each of the hats represent. DeBonos thinking hats could be used within this process by; using the green hat for creativity to brainstorm ideas as part of divergence thinking, and then use the yellow hat for the positive thinking towards ideas and to look at the benefits. The black hat could represent the risks and look at the negatives towards the ideas. The thinking hats would work within teaching children and young people to be creative and use their imagination but then be critical of these ideas, teachers could use the idea of the hats within their own thinking processes also.</w:t>
      </w:r>
    </w:p>
    <w:p w14:paraId="05BD6E51"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lastRenderedPageBreak/>
        <w:t>The word enterprise has been defined by the Quality Assurance Agency for Higher Education ‘as the application of creative ideas and innovations to practical situations.’ (2012: 8) This would require individuals to be able to creatively think, to develop their ideas and thought processes and apply these to practical situations. Enterprise skills have been defined as ‘generic skills that are transferrable across different jobs’ (Foundation for Young Australians, 2016:1) this will allow children and young people to develop ready for their future careers outside of education, these skills can also be transferable throughout the curriculum allowing children to become more rounded learners.</w:t>
      </w:r>
    </w:p>
    <w:p w14:paraId="4F3DDC1D"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The Entrepreneurship Competence framework (EntreComp) (Bacigalupo et al. 2016) was created following the ‘Recommendation on key competences for lifelong learning’ (European Parliament and Council, 2006). This framework aims to allow every individual to have a ‘capacity to turn ideas into action, ideas that generate value for someone other than oneself’ (Bacigalupo et al. 2016:7) with schools and other education facilities to teach children and young people the skills required to become enterprising. This framework can also be used by teachers to evaluate their own skills regarding their enterprise skills; the framework will be used within this essay to evaluate the author’s own creativity and enterprise dispositions. The EntreComp framework (Bacigalupo et al. 2016) provides 3 different areas within its ‘conceptual model’, these areas include different competences that can be achieved within creative and enterprise activities. The framework allows individuals to be prepared with the necessary competences, to be successful in a world where we do not necessarily know what the future holds.</w:t>
      </w:r>
    </w:p>
    <w:p w14:paraId="13321157"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Teaching itself has been described by Barnes (2015) as ‘a creative act relying continually on chance meetings of ideas and materials, curiosity, flexibility and adventurous thinking.’ (Barnes 2015:173) Building on ideas and then developing these to become a creative outcome are aspects of teaching which are carried out regularly in schools by children. Desailly (2012) discusses the importance of how teachers understanding their own creativity and by becoming a creative model to children, by showcasing their ideas, helps the learners discover their own creative skills. This however does not mean showing the individuals their own version of the piece of work they may be teaching, as this prevents the children’s creativity to be presented and prevents original, imaginative thought. Thorne (2007) writes that ‘We need people who learn from others’ mistakes. We need people who instead of asking ‘Why?’, ask ‘Why not?’ or ‘What if…?’ We need people who are capable of thinking crazy, out-of-the-box thoughts; we need people who shake us out of complacency.’ Children </w:t>
      </w:r>
      <w:r w:rsidRPr="00BC1667">
        <w:rPr>
          <w:rFonts w:eastAsia="Calibri"/>
          <w:szCs w:val="22"/>
          <w:lang w:eastAsia="en-US"/>
        </w:rPr>
        <w:lastRenderedPageBreak/>
        <w:t xml:space="preserve">should question their own creativity and the possible creative ideas of others; thus this will allow children to build on skills they will use in later life. </w:t>
      </w:r>
    </w:p>
    <w:p w14:paraId="02CFF10E"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For a teacher to be enterprising they must be able to equip the learners with the competence and confidence to generate ideas and to help build their skills in order for them to successfully produce ideas. In an article written by Jones (2016) he discusses the importance of enterprise education to children and for their futures, he states ‘No other domain of education is poised to help develop the specific attributes students need to navigate and succeed in the 21st century’ (Jones, 2016:2542) This is important to the future lives of the current students in schools, as they will need these skills later on in their future lives and careers. Elmes has written a piece for the Times Higher Education website and has quoted Boehm he writes ‘Professor Boehm said “Eighty per cent of jobs that will exist in 2025 don’t exist today; we have to prepare our students and graduates for a world that’s essentially not possible to prepare them for.”’ (Elmes, 2017.) This requires teachers to prepare children for a world of work we do not know what may be on offer to them. Therefore teachers should equip children with the necessary skills required to produce work and ideas, and to be creative in order for them to be informed and prepared for their future careers. This will allow the children to be successfully prepared with skills they are able to adapt to a range of different careers. Donaldson (2015) wants all children in Wales to be to be ‘enterprising, creative contributors.’ To be these individuals they must ‘connect and apply their knowledge and skills to create ideas and products.’ (2015:29) Which links to Jones and Elmes, as it is important for children to be able to have the skills and competencies in order to successfully be prepared for the future, a future which may not yet be known.</w:t>
      </w:r>
    </w:p>
    <w:p w14:paraId="7E5F4D45"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As discussed within the this paper the  author will reflect of their personal experiences within her Professional Teaching Experiences over the past two years, and use the EntreComp framework (Bacigalupo et al. 2016) and the conceptual model (see Appendix 1) to analyse the author’s creative and enterprise skills against the model and framework. The framework is split into three areas ‘Ideas and opportunities’, ‘Resources’ and ‘into action’ within these three areas are then competences that are skills that help promote enterprise skills. </w:t>
      </w:r>
    </w:p>
    <w:p w14:paraId="29245033"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Within the ‘Ideas and opportunities’ area there is a competence ‘Learning through experience’ this is something that is important to a teacher’s personal experience as they are constantly learning through their teaching and through the understanding of the learning that takes place. Within the authors most recent Professional Teaching Experience (PTE) there </w:t>
      </w:r>
      <w:r w:rsidRPr="00BC1667">
        <w:rPr>
          <w:rFonts w:eastAsia="Calibri"/>
          <w:szCs w:val="22"/>
          <w:lang w:eastAsia="en-US"/>
        </w:rPr>
        <w:lastRenderedPageBreak/>
        <w:t>was a lesson being taught on symmetry. During this lesson (see appendix 2 for the reflection of this lesson) the author observed that some of the children did not understand what was taught by the end of the lesson. This then required the author to think about new ways of combating complete understanding from all children. The following lesson on symmetry the author spoke to the children who were struggling individually, identified following the marking of the books and observation, and explained in a new way the process of symmetry and worked with them on a question to observe if they had understood the process. This allowed the author to gain knowledge that not all children will understand straight away and it may be a requirement to teach something in a new and different manner, as all children learn at different speeds and in different ways. Arthur and Cremin (2010) talk about different classroom approaches that build on children’s understanding, in one of these approaches they write ‘Reflecting and evaluating – Identifying children’s errors, using them as positive teaching points by exploring together.’ (2010:121) This was a way of teaching which required the author to use skills to teach the subject in a new manner as some of the children had not understood, and discussing these together with the children allowed the author to have an understanding on how to teach this for better understanding next time. It is important to be critical of yourself and reflect on what you have completed as Robinson, Bingle and Howard (2015) have stated ‘Taking ownership of your reflection harnesses a powerful vehicle for change in your practice.’ (2015:7) By reflecting and creating targets the author is allowing herself to be critical this allows the teaching to be more effective and be more beneficial for the children, it is important to carry on being critical also to further improve the teaching.</w:t>
      </w:r>
    </w:p>
    <w:p w14:paraId="71256FCB"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Within the area ‘Resources’ from the EntreComp framework (Bacigalupo et al. 2016), there is a competence named ‘Mobilising others’. This competence requires the individual to be able to work with others. The Framework states that this competence should be used to ‘inspire and enthuse relevant stakeholders’ (2016:13) The stakeholders here being the children within the classroom, it is important that they enjoy and are inspired within a lesson as this will allow them to be more engaged. The author during PTE engaged the pupils within a lesson, where the children were required to write an acrostic poem using Christmas words as the stimulus for the poems. As a class the children completed a poem all together using the word ‘Snow’ they then completed their own acrostic poems with a variety of differentiated words. This was assisted to the lower ability groups with a word mat that included different Christmas words. This process allowed the children to be creative and mobilised them by </w:t>
      </w:r>
      <w:r w:rsidRPr="00BC1667">
        <w:rPr>
          <w:rFonts w:eastAsia="Calibri"/>
          <w:szCs w:val="22"/>
          <w:lang w:eastAsia="en-US"/>
        </w:rPr>
        <w:lastRenderedPageBreak/>
        <w:t xml:space="preserve">discussing different aspects and words that could have been included first as a class, the children then tried to come up with adjectives to make their poem more creative. By the author discussing what could be included and working with the children in small groups it allowed the children to engage and be more creative within the lesson. Creative learning is an important aspect of teaching and learning as ‘creative learning implies facilitating youngsters to enhance their creative skills and helping them reach self-actualisation by allocating resources in a supportive way.’ (Oral, 2008. Cited in Craft, Cremin and Bernard, 2008:3) The children within this lesson were able to use information that they were discussing on the carpet, what they discussing within their groups with the author and individually, to be creative. The author was able to give children examples and support throughout their creative process in order to inspire and engage them in their creative poem. To improve the ability to enthuse children within the process it would be beneficial to give a creative reason as to why they were completing the process, the author could also give children time to ‘brainstorm’ ideas and words to include within their poem in order for the process to be more child-led. However the author could have engaged in discussion with the children while completing the ‘brainstorming’ activity to be more inspiring; and the author would have seen more original creative work. </w:t>
      </w:r>
    </w:p>
    <w:p w14:paraId="443EB296"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The last competence the author will be discussing within this paper is part of the ‘Ideas and opportunities’ area and the competence the author will be analysing is ‘Spotting opportunities.’ Within the EntreComp framework (Bacigalupo et al. 2016) this competence has been identified to ‘identify needs and challenged that need to be met and establish new connections and being together scattered elements of the landscape to create opportunities to create value.’ (2016:12) This the author has interpreted as there being an opportunity to further enhance the learning and understanding within the classroom. During the author’s PTE there were opportunities where the learning could have been moved on further in order to increase the amount of learning the children had received. The author could have done this more regularly, especially with the more able and talented children within the class. This is one target that could be improved during the next PTE and within her career. By completing this successfully it will be easier to see and complete progression steps. Donaldson (2015) has suggested that teachers should set tasks and teach linking to previous knowledge and understanding so that this process engages children’s interest and allows progression steps to be easily identified and moved forward. This will help the more able and talented children within the class by spotting the opportunities to move their learning forward. Arthur and </w:t>
      </w:r>
      <w:r w:rsidRPr="00BC1667">
        <w:rPr>
          <w:rFonts w:eastAsia="Calibri"/>
          <w:szCs w:val="22"/>
          <w:lang w:eastAsia="en-US"/>
        </w:rPr>
        <w:lastRenderedPageBreak/>
        <w:t xml:space="preserve">Cremin state that to further more able and talented children the author could  help them by talking to the children and discess that ‘If they see learning as a complex interwoven web, help them to make those connections and allow them to complexify the original task to make it more interesting and demanding.’ (2015:396) More able and talented children can interact with their previous knowledge and link these to the current knowledge, if they have found something more challenging and interesting they may be able to link their learning easier and it will be more beneficial to their future use of this knowledge. </w:t>
      </w:r>
    </w:p>
    <w:p w14:paraId="3455F74A" w14:textId="77777777" w:rsidR="00BC1667" w:rsidRPr="00BC1667" w:rsidRDefault="00BC1667" w:rsidP="00BC1667">
      <w:pPr>
        <w:spacing w:after="200" w:line="360" w:lineRule="auto"/>
        <w:rPr>
          <w:rFonts w:eastAsia="Calibri"/>
          <w:color w:val="000000"/>
          <w:szCs w:val="22"/>
          <w:lang w:eastAsia="en-US"/>
        </w:rPr>
      </w:pPr>
      <w:r w:rsidRPr="00BC1667">
        <w:rPr>
          <w:rFonts w:eastAsia="Calibri"/>
          <w:szCs w:val="22"/>
          <w:lang w:eastAsia="en-US"/>
        </w:rPr>
        <w:t xml:space="preserve">The author during this paper has analysed and evaluated her own creative and enterprise skills against the EntreComp framework (Bacigalupo et al. 2016) competences and discussed how these competences can be improved to the next level. It is important to set targets as a trainee teacher and as a practitioner later on in a career with childre, as children are expected to create targets in order to be critical of their work and themselves. By teachers being critical it can be a benefit as they are able to be positive role models to children. Donaldson (2015) states that the new curriculum for Wales should </w:t>
      </w:r>
      <w:r w:rsidRPr="00BC1667">
        <w:rPr>
          <w:rFonts w:eastAsia="Calibri"/>
          <w:color w:val="000000"/>
          <w:szCs w:val="22"/>
          <w:lang w:eastAsia="en-US"/>
        </w:rPr>
        <w:t xml:space="preserve">work towards </w:t>
      </w:r>
    </w:p>
    <w:p w14:paraId="60FCA0B5" w14:textId="77777777" w:rsidR="00BC1667" w:rsidRPr="00BC1667" w:rsidRDefault="00BC1667" w:rsidP="00BC1667">
      <w:pPr>
        <w:spacing w:after="200" w:line="360" w:lineRule="auto"/>
        <w:ind w:left="720"/>
        <w:rPr>
          <w:rFonts w:eastAsia="Calibri"/>
          <w:color w:val="000000"/>
          <w:szCs w:val="22"/>
          <w:lang w:eastAsia="en-US"/>
        </w:rPr>
      </w:pPr>
      <w:r w:rsidRPr="00BC1667">
        <w:rPr>
          <w:rFonts w:eastAsia="Calibri"/>
          <w:color w:val="000000"/>
          <w:szCs w:val="22"/>
          <w:lang w:eastAsia="en-US"/>
        </w:rPr>
        <w:t xml:space="preserve">‘developing the ability of children and young people to critically evaluate information, make connections, develop deep conceptual understanding and transfer knowledge and skills to new situations to solve complex problems in a creative way’ Donaldson (2015:65) </w:t>
      </w:r>
    </w:p>
    <w:p w14:paraId="56AE1CE4" w14:textId="77777777" w:rsidR="00BC1667" w:rsidRPr="00BC1667" w:rsidRDefault="00BC1667" w:rsidP="00BC1667">
      <w:pPr>
        <w:spacing w:after="200" w:line="360" w:lineRule="auto"/>
        <w:rPr>
          <w:rFonts w:eastAsia="Calibri"/>
          <w:color w:val="000000"/>
          <w:szCs w:val="22"/>
          <w:lang w:eastAsia="en-US"/>
        </w:rPr>
      </w:pPr>
      <w:r w:rsidRPr="00BC1667">
        <w:rPr>
          <w:rFonts w:eastAsia="Calibri"/>
          <w:color w:val="000000"/>
          <w:szCs w:val="22"/>
          <w:lang w:eastAsia="en-US"/>
        </w:rPr>
        <w:t xml:space="preserve">which allows children to use skills they would have learnt in a different context and apply these to new situations. It is important part to enable these children with the knowledge and understanding required to achieve this. However practitioners must be aware of the skills they possess and be able to apply these to their teaching in order to successfully enable children to have the best futures as possible. </w:t>
      </w:r>
    </w:p>
    <w:p w14:paraId="70972833" w14:textId="77777777" w:rsidR="00BC1667" w:rsidRPr="00BC1667" w:rsidRDefault="00BC1667" w:rsidP="00BC1667">
      <w:pPr>
        <w:spacing w:after="200" w:line="276" w:lineRule="auto"/>
        <w:rPr>
          <w:rFonts w:eastAsia="Calibri"/>
          <w:color w:val="000000"/>
          <w:szCs w:val="22"/>
          <w:lang w:eastAsia="en-US"/>
        </w:rPr>
      </w:pPr>
      <w:r w:rsidRPr="00BC1667">
        <w:rPr>
          <w:rFonts w:eastAsia="Calibri"/>
          <w:color w:val="000000"/>
          <w:szCs w:val="22"/>
          <w:lang w:eastAsia="en-US"/>
        </w:rPr>
        <w:t>Word Count: 2,600</w:t>
      </w:r>
    </w:p>
    <w:p w14:paraId="71EE1067" w14:textId="77777777" w:rsidR="00BC1667" w:rsidRPr="00BC1667" w:rsidRDefault="00BC1667" w:rsidP="00BC1667">
      <w:pPr>
        <w:spacing w:after="200" w:line="276" w:lineRule="auto"/>
        <w:rPr>
          <w:rFonts w:eastAsia="Calibri"/>
          <w:color w:val="000000"/>
          <w:szCs w:val="22"/>
          <w:lang w:eastAsia="en-US"/>
        </w:rPr>
      </w:pPr>
    </w:p>
    <w:p w14:paraId="54F84491" w14:textId="77777777" w:rsidR="00BC1667" w:rsidRPr="00BC1667" w:rsidRDefault="00BC1667" w:rsidP="00BC1667">
      <w:pPr>
        <w:spacing w:after="200" w:line="276" w:lineRule="auto"/>
        <w:rPr>
          <w:rFonts w:eastAsia="Calibri"/>
          <w:color w:val="000000"/>
          <w:szCs w:val="22"/>
          <w:lang w:eastAsia="en-US"/>
        </w:rPr>
      </w:pPr>
    </w:p>
    <w:p w14:paraId="536B3FF9" w14:textId="77777777" w:rsidR="00BC1667" w:rsidRPr="00BC1667" w:rsidRDefault="00BC1667" w:rsidP="00BC1667">
      <w:pPr>
        <w:spacing w:after="200" w:line="276" w:lineRule="auto"/>
        <w:rPr>
          <w:rFonts w:eastAsia="Calibri"/>
          <w:color w:val="000000"/>
          <w:szCs w:val="22"/>
          <w:lang w:eastAsia="en-US"/>
        </w:rPr>
      </w:pPr>
    </w:p>
    <w:p w14:paraId="5482105E" w14:textId="77777777" w:rsidR="00BC1667" w:rsidRPr="00BC1667" w:rsidRDefault="00BC1667" w:rsidP="00BC1667">
      <w:pPr>
        <w:spacing w:after="200" w:line="276" w:lineRule="auto"/>
        <w:rPr>
          <w:rFonts w:eastAsia="Calibri"/>
          <w:color w:val="000000"/>
          <w:szCs w:val="22"/>
          <w:lang w:eastAsia="en-US"/>
        </w:rPr>
      </w:pPr>
    </w:p>
    <w:p w14:paraId="1CBAC8FB" w14:textId="77777777" w:rsidR="00BC1667" w:rsidRPr="00BC1667" w:rsidRDefault="00BC1667" w:rsidP="00BC1667">
      <w:pPr>
        <w:spacing w:after="200" w:line="276" w:lineRule="auto"/>
        <w:rPr>
          <w:rFonts w:eastAsia="Calibri"/>
          <w:color w:val="000000"/>
          <w:szCs w:val="22"/>
          <w:lang w:eastAsia="en-US"/>
        </w:rPr>
      </w:pPr>
    </w:p>
    <w:p w14:paraId="44BD0F10" w14:textId="77777777" w:rsidR="00BC1667" w:rsidRPr="00BC1667" w:rsidRDefault="00BC1667" w:rsidP="00BC1667">
      <w:pPr>
        <w:spacing w:after="200" w:line="276" w:lineRule="auto"/>
        <w:rPr>
          <w:rFonts w:eastAsia="Calibri"/>
          <w:color w:val="000000"/>
          <w:szCs w:val="22"/>
          <w:lang w:eastAsia="en-US"/>
        </w:rPr>
      </w:pPr>
      <w:r w:rsidRPr="00BC1667">
        <w:rPr>
          <w:rFonts w:eastAsia="Calibri"/>
          <w:color w:val="000000"/>
          <w:szCs w:val="22"/>
          <w:lang w:eastAsia="en-US"/>
        </w:rPr>
        <w:br w:type="page"/>
      </w:r>
    </w:p>
    <w:p w14:paraId="23F7B666" w14:textId="77777777" w:rsidR="00BC1667" w:rsidRPr="00BC1667" w:rsidRDefault="00BC1667" w:rsidP="00BC1667">
      <w:pPr>
        <w:spacing w:after="200" w:line="276" w:lineRule="auto"/>
        <w:rPr>
          <w:rFonts w:eastAsia="Calibri"/>
          <w:color w:val="000000"/>
          <w:szCs w:val="22"/>
          <w:lang w:eastAsia="en-US"/>
        </w:rPr>
      </w:pPr>
    </w:p>
    <w:p w14:paraId="711D3BDF" w14:textId="77777777" w:rsidR="00BC1667" w:rsidRPr="00BC1667" w:rsidRDefault="00BC1667" w:rsidP="00BC1667">
      <w:pPr>
        <w:spacing w:after="200" w:line="276" w:lineRule="auto"/>
        <w:rPr>
          <w:rFonts w:eastAsia="Calibri"/>
          <w:b/>
          <w:szCs w:val="22"/>
          <w:u w:val="single"/>
          <w:lang w:val="en-US" w:eastAsia="en-US"/>
        </w:rPr>
      </w:pPr>
      <w:r w:rsidRPr="00BC1667">
        <w:rPr>
          <w:rFonts w:eastAsia="Calibri"/>
          <w:b/>
          <w:szCs w:val="22"/>
          <w:u w:val="single"/>
          <w:lang w:val="en-US" w:eastAsia="en-US"/>
        </w:rPr>
        <w:t>Appendix 2</w:t>
      </w:r>
    </w:p>
    <w:p w14:paraId="098ECB88" w14:textId="44094632" w:rsidR="00BC1667" w:rsidRPr="00BC1667" w:rsidRDefault="00BC1667" w:rsidP="00BC1667">
      <w:pPr>
        <w:spacing w:after="200" w:line="276" w:lineRule="auto"/>
        <w:rPr>
          <w:rFonts w:eastAsia="Calibri"/>
          <w:color w:val="000000"/>
          <w:szCs w:val="22"/>
          <w:lang w:eastAsia="en-US"/>
        </w:rPr>
      </w:pPr>
      <w:r>
        <w:rPr>
          <w:noProof/>
        </w:rPr>
        <mc:AlternateContent>
          <mc:Choice Requires="wps">
            <w:drawing>
              <wp:anchor distT="0" distB="0" distL="114300" distR="114300" simplePos="0" relativeHeight="251664384" behindDoc="0" locked="0" layoutInCell="1" allowOverlap="1" wp14:anchorId="521567F9" wp14:editId="46B25F92">
                <wp:simplePos x="0" y="0"/>
                <wp:positionH relativeFrom="column">
                  <wp:posOffset>201295</wp:posOffset>
                </wp:positionH>
                <wp:positionV relativeFrom="paragraph">
                  <wp:posOffset>5361305</wp:posOffset>
                </wp:positionV>
                <wp:extent cx="6015355" cy="715010"/>
                <wp:effectExtent l="0" t="0" r="4445" b="88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5355" cy="715010"/>
                        </a:xfrm>
                        <a:prstGeom prst="rect">
                          <a:avLst/>
                        </a:prstGeom>
                        <a:solidFill>
                          <a:sysClr val="window" lastClr="FFFFFF"/>
                        </a:solidFill>
                        <a:ln w="6350">
                          <a:noFill/>
                        </a:ln>
                        <a:effectLst/>
                      </wps:spPr>
                      <wps:txbx>
                        <w:txbxContent>
                          <w:p w14:paraId="1ABB3D95" w14:textId="77777777" w:rsidR="00BC1667" w:rsidRPr="00284267" w:rsidRDefault="00BC1667" w:rsidP="00BC1667">
                            <w:r w:rsidRPr="00284267">
                              <w:t>Bacigalupo, M., Kampylis, P., Punie, Y., Van den Brande, G. (2016). EntreComp: The Entrepreneurship Competence Framework. Luxembourg: Publication Office of the European Union</w:t>
                            </w:r>
                          </w:p>
                          <w:p w14:paraId="1C362D89" w14:textId="77777777" w:rsidR="00BC1667" w:rsidRDefault="00BC1667" w:rsidP="00BC16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 o:spid="_x0000_s1028" type="#_x0000_t202" style="position:absolute;margin-left:15.85pt;margin-top:422.15pt;width:473.65pt;height:5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" fillcolor="window" stroked="f" strokeweight=".5pt">
                <v:path arrowok="t"/>
                <v:textbox>
                  <w:txbxContent>
                    <w:p w14:paraId="1ABB3D95" w14:textId="77777777" w:rsidR="00BC1667" w:rsidRPr="00284267" w:rsidRDefault="00BC1667" w:rsidP="00BC1667">
                      <w:r w:rsidRPr="00284267">
                        <w:t>Bacigalupo, M., Kampylis, P., Punie, Y., Van den Brande, G. (2016). EntreComp: The Entrepreneurship Competence Framework. Luxembourg: Publication Office of the European Union</w:t>
                      </w:r>
                    </w:p>
                    <w:p w14:paraId="1C362D89" w14:textId="77777777" w:rsidR="00BC1667" w:rsidRDefault="00BC1667" w:rsidP="00BC1667"/>
                  </w:txbxContent>
                </v:textbox>
              </v:shape>
            </w:pict>
          </mc:Fallback>
        </mc:AlternateContent>
      </w:r>
      <w:r w:rsidRPr="00BC1667">
        <w:rPr>
          <w:rFonts w:ascii="Calibri" w:eastAsia="Calibri" w:hAnsi="Calibri"/>
          <w:noProof/>
          <w:sz w:val="22"/>
          <w:szCs w:val="22"/>
        </w:rPr>
        <w:drawing>
          <wp:anchor distT="0" distB="0" distL="114300" distR="114300" simplePos="0" relativeHeight="251663360" behindDoc="0" locked="0" layoutInCell="1" allowOverlap="1" wp14:anchorId="56DA21EF" wp14:editId="0954AF03">
            <wp:simplePos x="0" y="0"/>
            <wp:positionH relativeFrom="column">
              <wp:posOffset>-35560</wp:posOffset>
            </wp:positionH>
            <wp:positionV relativeFrom="paragraph">
              <wp:posOffset>142240</wp:posOffset>
            </wp:positionV>
            <wp:extent cx="5685155" cy="496443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4221" t="15784" r="25659" b="6368"/>
                    <a:stretch/>
                  </pic:blipFill>
                  <pic:spPr bwMode="auto">
                    <a:xfrm>
                      <a:off x="0" y="0"/>
                      <a:ext cx="5685155" cy="4964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C1667">
        <w:rPr>
          <w:rFonts w:eastAsia="Calibri"/>
          <w:color w:val="000000"/>
          <w:szCs w:val="22"/>
          <w:lang w:eastAsia="en-US"/>
        </w:rPr>
        <w:br w:type="page"/>
      </w:r>
    </w:p>
    <w:p w14:paraId="4622DB13" w14:textId="77777777" w:rsidR="00BC1667" w:rsidRPr="00BC1667" w:rsidRDefault="00BC1667" w:rsidP="00BC1667">
      <w:pPr>
        <w:spacing w:after="200" w:line="276" w:lineRule="auto"/>
        <w:rPr>
          <w:rFonts w:eastAsia="Calibri"/>
          <w:b/>
          <w:color w:val="000000"/>
          <w:szCs w:val="22"/>
          <w:u w:val="single"/>
          <w:lang w:eastAsia="en-US"/>
        </w:rPr>
      </w:pPr>
      <w:r w:rsidRPr="00BC1667">
        <w:rPr>
          <w:rFonts w:eastAsia="Calibri"/>
          <w:b/>
          <w:color w:val="000000"/>
          <w:szCs w:val="22"/>
          <w:u w:val="single"/>
          <w:lang w:eastAsia="en-US"/>
        </w:rPr>
        <w:lastRenderedPageBreak/>
        <w:t>Appendix 2</w:t>
      </w:r>
    </w:p>
    <w:p w14:paraId="423B4A5C" w14:textId="77777777" w:rsidR="00BC1667" w:rsidRPr="00BC1667" w:rsidRDefault="00BC1667" w:rsidP="00BC1667">
      <w:pPr>
        <w:pBdr>
          <w:bottom w:val="single" w:sz="8" w:space="4" w:color="4F81BD"/>
        </w:pBdr>
        <w:spacing w:after="300"/>
        <w:contextualSpacing/>
        <w:rPr>
          <w:rFonts w:ascii="Cambria" w:hAnsi="Cambria"/>
          <w:color w:val="17365D"/>
          <w:spacing w:val="5"/>
          <w:kern w:val="28"/>
          <w:sz w:val="44"/>
          <w:szCs w:val="52"/>
          <w:lang w:val="cy-GB" w:eastAsia="en-US"/>
        </w:rPr>
      </w:pPr>
      <w:r w:rsidRPr="00BC1667">
        <w:rPr>
          <w:rFonts w:ascii="Cambria" w:hAnsi="Cambria"/>
          <w:color w:val="17365D"/>
          <w:spacing w:val="5"/>
          <w:kern w:val="28"/>
          <w:sz w:val="44"/>
          <w:szCs w:val="52"/>
          <w:lang w:val="cy-GB" w:eastAsia="en-US"/>
        </w:rPr>
        <w:t>Model Casgliadau Adfyfyriol â Chymorth (ARC) (Model ‘Myfyrio a Newid’)</w:t>
      </w:r>
    </w:p>
    <w:p w14:paraId="77A078D2" w14:textId="77777777" w:rsidR="00BC1667" w:rsidRPr="00BC1667" w:rsidRDefault="00BC1667" w:rsidP="00BC1667">
      <w:pPr>
        <w:pBdr>
          <w:bottom w:val="single" w:sz="8" w:space="4" w:color="4F81BD"/>
        </w:pBdr>
        <w:spacing w:after="300"/>
        <w:contextualSpacing/>
        <w:rPr>
          <w:rFonts w:ascii="Cambria" w:hAnsi="Cambria"/>
          <w:color w:val="17365D"/>
          <w:spacing w:val="5"/>
          <w:kern w:val="28"/>
          <w:sz w:val="44"/>
          <w:szCs w:val="52"/>
          <w:lang w:eastAsia="en-US"/>
        </w:rPr>
      </w:pPr>
      <w:r w:rsidRPr="00BC1667">
        <w:rPr>
          <w:rFonts w:ascii="Cambria" w:hAnsi="Cambria"/>
          <w:i/>
          <w:color w:val="17365D"/>
          <w:spacing w:val="5"/>
          <w:kern w:val="28"/>
          <w:sz w:val="44"/>
          <w:szCs w:val="52"/>
          <w:lang w:eastAsia="en-US"/>
        </w:rPr>
        <w:t>Assisted Reflective Conclusions (ARC) Model</w:t>
      </w:r>
    </w:p>
    <w:p w14:paraId="6248027A" w14:textId="77777777" w:rsidR="00BC1667" w:rsidRPr="00BC1667" w:rsidRDefault="00BC1667" w:rsidP="00BC1667">
      <w:pPr>
        <w:spacing w:after="200" w:line="276" w:lineRule="auto"/>
        <w:rPr>
          <w:rFonts w:ascii="Calibri" w:eastAsia="Calibri" w:hAnsi="Calibri"/>
          <w:b/>
          <w:sz w:val="22"/>
          <w:szCs w:val="22"/>
          <w:u w:val="single"/>
          <w:lang w:eastAsia="en-US"/>
        </w:rPr>
      </w:pPr>
      <w:r w:rsidRPr="00BC1667">
        <w:rPr>
          <w:rFonts w:ascii="Calibri" w:eastAsia="Calibri" w:hAnsi="Calibri"/>
          <w:b/>
          <w:sz w:val="22"/>
          <w:szCs w:val="22"/>
          <w:u w:val="single"/>
          <w:lang w:eastAsia="en-US"/>
        </w:rPr>
        <w:t>Dyddiad/</w:t>
      </w:r>
      <w:r w:rsidRPr="00BC1667">
        <w:rPr>
          <w:rFonts w:ascii="Calibri" w:eastAsia="Calibri" w:hAnsi="Calibri"/>
          <w:b/>
          <w:i/>
          <w:sz w:val="22"/>
          <w:szCs w:val="22"/>
          <w:u w:val="single"/>
          <w:lang w:eastAsia="en-US"/>
        </w:rPr>
        <w:t>Date</w:t>
      </w:r>
      <w:r w:rsidRPr="00BC1667">
        <w:rPr>
          <w:rFonts w:ascii="Calibri" w:eastAsia="Calibri" w:hAnsi="Calibri"/>
          <w:b/>
          <w:sz w:val="22"/>
          <w:szCs w:val="22"/>
          <w:u w:val="single"/>
          <w:lang w:eastAsia="en-US"/>
        </w:rPr>
        <w:t>: 8/3/17</w:t>
      </w:r>
    </w:p>
    <w:p w14:paraId="7F93FBA0" w14:textId="77777777" w:rsidR="00BC1667" w:rsidRPr="00BC1667" w:rsidRDefault="00BC1667" w:rsidP="00BC1667">
      <w:pPr>
        <w:spacing w:after="200" w:line="276" w:lineRule="auto"/>
        <w:rPr>
          <w:rFonts w:ascii="Calibri" w:eastAsia="Calibri" w:hAnsi="Calibri"/>
          <w:b/>
          <w:sz w:val="22"/>
          <w:szCs w:val="22"/>
          <w:u w:val="single"/>
          <w:lang w:val="en-US" w:eastAsia="en-US"/>
        </w:rPr>
      </w:pPr>
      <w:r w:rsidRPr="00BC1667">
        <w:rPr>
          <w:rFonts w:ascii="Calibri" w:eastAsia="Calibri" w:hAnsi="Calibri"/>
          <w:b/>
          <w:sz w:val="22"/>
          <w:szCs w:val="22"/>
          <w:u w:val="single"/>
          <w:lang w:val="en-US" w:eastAsia="en-US"/>
        </w:rPr>
        <w:t>Digwyddiad critigol (Ffocws)/</w:t>
      </w:r>
      <w:r w:rsidRPr="00BC1667">
        <w:rPr>
          <w:rFonts w:ascii="Calibri" w:eastAsia="Calibri" w:hAnsi="Calibri"/>
          <w:b/>
          <w:i/>
          <w:sz w:val="22"/>
          <w:szCs w:val="22"/>
          <w:u w:val="single"/>
          <w:lang w:val="en-US" w:eastAsia="en-US"/>
        </w:rPr>
        <w:t>Critical incident (focus):</w:t>
      </w:r>
      <w:r w:rsidRPr="00BC1667">
        <w:rPr>
          <w:rFonts w:ascii="Calibri" w:eastAsia="Calibri" w:hAnsi="Calibri"/>
          <w:b/>
          <w:sz w:val="22"/>
          <w:szCs w:val="22"/>
          <w:u w:val="single"/>
          <w:lang w:val="en-US" w:eastAsia="en-US"/>
        </w:rPr>
        <w:t xml:space="preserve"> Maths Symmetry </w:t>
      </w:r>
    </w:p>
    <w:p w14:paraId="6B292C3F" w14:textId="77777777" w:rsidR="00BC1667" w:rsidRPr="00BC1667" w:rsidRDefault="00BC1667" w:rsidP="00BC1667">
      <w:pPr>
        <w:spacing w:after="200" w:line="276" w:lineRule="auto"/>
        <w:rPr>
          <w:rFonts w:ascii="Calibri" w:eastAsia="Calibri" w:hAnsi="Calibri"/>
          <w:b/>
          <w:sz w:val="22"/>
          <w:szCs w:val="22"/>
          <w:u w:val="single"/>
          <w:lang w:val="en-US" w:eastAsia="en-US"/>
        </w:rPr>
      </w:pPr>
    </w:p>
    <w:tbl>
      <w:tblPr>
        <w:tblStyle w:val="TableGrid1"/>
        <w:tblW w:w="10206" w:type="dxa"/>
        <w:tblInd w:w="-459" w:type="dxa"/>
        <w:tblLook w:val="04A0" w:firstRow="1" w:lastRow="0" w:firstColumn="1" w:lastColumn="0" w:noHBand="0" w:noVBand="1"/>
      </w:tblPr>
      <w:tblGrid>
        <w:gridCol w:w="2552"/>
        <w:gridCol w:w="7654"/>
      </w:tblGrid>
      <w:tr w:rsidR="00BC1667" w:rsidRPr="00BC1667" w14:paraId="1723C206" w14:textId="77777777" w:rsidTr="00E60179">
        <w:tc>
          <w:tcPr>
            <w:tcW w:w="10206" w:type="dxa"/>
            <w:gridSpan w:val="2"/>
            <w:shd w:val="clear" w:color="auto" w:fill="EEECE1" w:themeFill="background2"/>
          </w:tcPr>
          <w:p w14:paraId="25936825" w14:textId="77777777" w:rsidR="00BC1667" w:rsidRPr="00BC1667" w:rsidRDefault="00BC1667" w:rsidP="00BC1667">
            <w:pPr>
              <w:jc w:val="center"/>
              <w:rPr>
                <w:i/>
                <w:lang w:val="en-US" w:eastAsia="en-US"/>
              </w:rPr>
            </w:pPr>
            <w:r w:rsidRPr="00BC1667">
              <w:rPr>
                <w:lang w:val="en-US" w:eastAsia="en-US"/>
              </w:rPr>
              <w:t xml:space="preserve">Profiad/ </w:t>
            </w:r>
            <w:r w:rsidRPr="00BC1667">
              <w:rPr>
                <w:i/>
                <w:lang w:val="en-US" w:eastAsia="en-US"/>
              </w:rPr>
              <w:t>Experience</w:t>
            </w:r>
          </w:p>
          <w:p w14:paraId="230F25A4" w14:textId="77777777" w:rsidR="00BC1667" w:rsidRPr="00BC1667" w:rsidRDefault="00BC1667" w:rsidP="00BC1667">
            <w:pPr>
              <w:rPr>
                <w:b/>
                <w:u w:val="single"/>
                <w:lang w:val="en-US" w:eastAsia="en-US"/>
              </w:rPr>
            </w:pPr>
          </w:p>
        </w:tc>
      </w:tr>
      <w:tr w:rsidR="00BC1667" w:rsidRPr="00BC1667" w14:paraId="09CF6F55" w14:textId="77777777" w:rsidTr="00E60179">
        <w:tc>
          <w:tcPr>
            <w:tcW w:w="2552" w:type="dxa"/>
          </w:tcPr>
          <w:p w14:paraId="51D7118F" w14:textId="77777777" w:rsidR="00BC1667" w:rsidRPr="00BC1667" w:rsidRDefault="00BC1667" w:rsidP="00BC1667">
            <w:pPr>
              <w:rPr>
                <w:lang w:val="en-US" w:eastAsia="en-US"/>
              </w:rPr>
            </w:pPr>
            <w:r w:rsidRPr="00BC1667">
              <w:rPr>
                <w:lang w:val="en-US" w:eastAsia="en-US"/>
              </w:rPr>
              <w:t>Teimladau/</w:t>
            </w:r>
          </w:p>
          <w:p w14:paraId="42C96953" w14:textId="77777777" w:rsidR="00BC1667" w:rsidRPr="00BC1667" w:rsidRDefault="00BC1667" w:rsidP="00BC1667">
            <w:pPr>
              <w:rPr>
                <w:i/>
                <w:lang w:val="en-US" w:eastAsia="en-US"/>
              </w:rPr>
            </w:pPr>
            <w:r w:rsidRPr="00BC1667">
              <w:rPr>
                <w:i/>
                <w:lang w:val="en-US" w:eastAsia="en-US"/>
              </w:rPr>
              <w:t>Feelings</w:t>
            </w:r>
          </w:p>
          <w:p w14:paraId="43DA6ED7" w14:textId="77777777" w:rsidR="00BC1667" w:rsidRPr="00BC1667" w:rsidRDefault="00BC1667" w:rsidP="00BC1667">
            <w:pPr>
              <w:rPr>
                <w:i/>
                <w:lang w:val="en-US" w:eastAsia="en-US"/>
              </w:rPr>
            </w:pPr>
          </w:p>
          <w:p w14:paraId="2DDB1835" w14:textId="77777777" w:rsidR="00BC1667" w:rsidRPr="00BC1667" w:rsidRDefault="00BC1667" w:rsidP="00BC1667">
            <w:pPr>
              <w:rPr>
                <w:i/>
                <w:sz w:val="16"/>
                <w:lang w:val="en-US" w:eastAsia="en-US"/>
              </w:rPr>
            </w:pPr>
            <w:r w:rsidRPr="00BC1667">
              <w:rPr>
                <w:i/>
                <w:sz w:val="16"/>
                <w:lang w:val="en-US" w:eastAsia="en-US"/>
              </w:rPr>
              <w:t>“What are your feelings regarding the experience?”</w:t>
            </w:r>
          </w:p>
        </w:tc>
        <w:tc>
          <w:tcPr>
            <w:tcW w:w="7654" w:type="dxa"/>
          </w:tcPr>
          <w:p w14:paraId="493C6486"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I felt that the lesson went well as the children already had some experience with using symmetry from the lesson the day before. They all gained new skills by having to copy the patterns into their books however I feel like I should have been more in charge and allowed myself to make decisions better.</w:t>
            </w:r>
          </w:p>
          <w:p w14:paraId="2CE93628" w14:textId="77777777" w:rsidR="00BC1667" w:rsidRPr="00BC1667" w:rsidRDefault="00BC1667" w:rsidP="00BC1667">
            <w:pPr>
              <w:rPr>
                <w:lang w:val="en-US" w:eastAsia="en-US"/>
              </w:rPr>
            </w:pPr>
          </w:p>
        </w:tc>
      </w:tr>
      <w:tr w:rsidR="00BC1667" w:rsidRPr="00BC1667" w14:paraId="7FE9960D" w14:textId="77777777" w:rsidTr="00E60179">
        <w:tc>
          <w:tcPr>
            <w:tcW w:w="2552" w:type="dxa"/>
          </w:tcPr>
          <w:p w14:paraId="75EEB856" w14:textId="77777777" w:rsidR="00BC1667" w:rsidRPr="00BC1667" w:rsidRDefault="00BC1667" w:rsidP="00BC1667">
            <w:pPr>
              <w:rPr>
                <w:lang w:val="en-US" w:eastAsia="en-US"/>
              </w:rPr>
            </w:pPr>
            <w:r w:rsidRPr="00BC1667">
              <w:rPr>
                <w:lang w:val="en-US" w:eastAsia="en-US"/>
              </w:rPr>
              <w:t>Cofio a Deall/</w:t>
            </w:r>
          </w:p>
          <w:p w14:paraId="6222BEBD" w14:textId="77777777" w:rsidR="00BC1667" w:rsidRPr="00BC1667" w:rsidRDefault="00BC1667" w:rsidP="00BC1667">
            <w:pPr>
              <w:rPr>
                <w:i/>
                <w:lang w:val="en-US" w:eastAsia="en-US"/>
              </w:rPr>
            </w:pPr>
            <w:r w:rsidRPr="00BC1667">
              <w:rPr>
                <w:i/>
                <w:lang w:val="en-US" w:eastAsia="en-US"/>
              </w:rPr>
              <w:t>Remember and Understand</w:t>
            </w:r>
          </w:p>
          <w:p w14:paraId="69FC5078" w14:textId="77777777" w:rsidR="00BC1667" w:rsidRPr="00BC1667" w:rsidRDefault="00BC1667" w:rsidP="00BC1667">
            <w:pPr>
              <w:rPr>
                <w:i/>
                <w:sz w:val="16"/>
                <w:lang w:val="en-US" w:eastAsia="en-US"/>
              </w:rPr>
            </w:pPr>
          </w:p>
          <w:p w14:paraId="0FA7F672" w14:textId="77777777" w:rsidR="00BC1667" w:rsidRPr="00BC1667" w:rsidRDefault="00BC1667" w:rsidP="00BC1667">
            <w:pPr>
              <w:rPr>
                <w:i/>
                <w:sz w:val="16"/>
                <w:lang w:val="en-US" w:eastAsia="en-US"/>
              </w:rPr>
            </w:pPr>
            <w:r w:rsidRPr="00BC1667">
              <w:rPr>
                <w:i/>
                <w:sz w:val="16"/>
                <w:lang w:val="en-US" w:eastAsia="en-US"/>
              </w:rPr>
              <w:t>“Can you list the aspects of the learning experience that went well?”</w:t>
            </w:r>
          </w:p>
          <w:p w14:paraId="39A627A4" w14:textId="77777777" w:rsidR="00BC1667" w:rsidRPr="00BC1667" w:rsidRDefault="00BC1667" w:rsidP="00BC1667">
            <w:pPr>
              <w:rPr>
                <w:i/>
                <w:sz w:val="16"/>
                <w:lang w:val="en-US" w:eastAsia="en-US"/>
              </w:rPr>
            </w:pPr>
          </w:p>
          <w:p w14:paraId="364B8935" w14:textId="77777777" w:rsidR="00BC1667" w:rsidRPr="00BC1667" w:rsidRDefault="00BC1667" w:rsidP="00BC1667">
            <w:pPr>
              <w:rPr>
                <w:i/>
                <w:sz w:val="16"/>
                <w:lang w:val="en-US" w:eastAsia="en-US"/>
              </w:rPr>
            </w:pPr>
            <w:r w:rsidRPr="00BC1667">
              <w:rPr>
                <w:i/>
                <w:sz w:val="16"/>
                <w:lang w:val="en-US" w:eastAsia="en-US"/>
              </w:rPr>
              <w:t>“What were the elements of the learning experience that were disappointing?”</w:t>
            </w:r>
          </w:p>
          <w:p w14:paraId="0ADB8CCD" w14:textId="77777777" w:rsidR="00BC1667" w:rsidRPr="00BC1667" w:rsidRDefault="00BC1667" w:rsidP="00BC1667">
            <w:pPr>
              <w:rPr>
                <w:i/>
                <w:sz w:val="16"/>
                <w:lang w:val="en-US" w:eastAsia="en-US"/>
              </w:rPr>
            </w:pPr>
          </w:p>
        </w:tc>
        <w:tc>
          <w:tcPr>
            <w:tcW w:w="7654" w:type="dxa"/>
          </w:tcPr>
          <w:p w14:paraId="23B54015"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 xml:space="preserve">The children all seemed capable of completing the work and showed understanding following their wish on their piece of work form yesterday. I found it very helpful to be able to speak to the children who seemed to struggle the day before and work with them before they started the new piece of work in order for them to completely understand. </w:t>
            </w:r>
          </w:p>
          <w:p w14:paraId="7B683486"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However I should have explained to the class to complete 1-3 on the sheet and then stick 1-3 into their books before then copying out number 4 onwards in their books as this would have saved time and would have allowed some of the children to complete more of the work.</w:t>
            </w:r>
          </w:p>
          <w:p w14:paraId="67B40325" w14:textId="77777777" w:rsidR="00BC1667" w:rsidRPr="00BC1667" w:rsidRDefault="00BC1667" w:rsidP="00BC1667">
            <w:pPr>
              <w:rPr>
                <w:lang w:val="en-US" w:eastAsia="en-US"/>
              </w:rPr>
            </w:pPr>
          </w:p>
        </w:tc>
      </w:tr>
      <w:tr w:rsidR="00BC1667" w:rsidRPr="00BC1667" w14:paraId="2C857963" w14:textId="77777777" w:rsidTr="00E60179">
        <w:tc>
          <w:tcPr>
            <w:tcW w:w="2552" w:type="dxa"/>
          </w:tcPr>
          <w:p w14:paraId="3F2E7B57" w14:textId="77777777" w:rsidR="00BC1667" w:rsidRPr="00BC1667" w:rsidRDefault="00BC1667" w:rsidP="00BC1667">
            <w:pPr>
              <w:rPr>
                <w:lang w:val="en-US" w:eastAsia="en-US"/>
              </w:rPr>
            </w:pPr>
            <w:r w:rsidRPr="00BC1667">
              <w:rPr>
                <w:lang w:val="en-US" w:eastAsia="en-US"/>
              </w:rPr>
              <w:t>Gwerthuso a dadansoddi/</w:t>
            </w:r>
          </w:p>
          <w:p w14:paraId="753E93CA" w14:textId="77777777" w:rsidR="00BC1667" w:rsidRPr="00BC1667" w:rsidRDefault="00BC1667" w:rsidP="00BC1667">
            <w:pPr>
              <w:rPr>
                <w:i/>
                <w:lang w:val="en-US" w:eastAsia="en-US"/>
              </w:rPr>
            </w:pPr>
            <w:r w:rsidRPr="00BC1667">
              <w:rPr>
                <w:i/>
                <w:lang w:val="en-US" w:eastAsia="en-US"/>
              </w:rPr>
              <w:t>Evaluate and analyse</w:t>
            </w:r>
          </w:p>
          <w:p w14:paraId="7CB8AEC1" w14:textId="77777777" w:rsidR="00BC1667" w:rsidRPr="00BC1667" w:rsidRDefault="00BC1667" w:rsidP="00BC1667">
            <w:pPr>
              <w:rPr>
                <w:i/>
                <w:sz w:val="16"/>
                <w:lang w:val="en-US" w:eastAsia="en-US"/>
              </w:rPr>
            </w:pPr>
          </w:p>
          <w:p w14:paraId="5415246A" w14:textId="77777777" w:rsidR="00BC1667" w:rsidRPr="00BC1667" w:rsidRDefault="00BC1667" w:rsidP="00BC1667">
            <w:pPr>
              <w:rPr>
                <w:i/>
                <w:sz w:val="16"/>
                <w:lang w:val="en-US" w:eastAsia="en-US"/>
              </w:rPr>
            </w:pPr>
            <w:r w:rsidRPr="00BC1667">
              <w:rPr>
                <w:i/>
                <w:sz w:val="16"/>
                <w:lang w:val="en-US" w:eastAsia="en-US"/>
              </w:rPr>
              <w:t>“What will you keep the same to ensure effective teaching and learning in the future?”</w:t>
            </w:r>
          </w:p>
          <w:p w14:paraId="4A22CB8D" w14:textId="77777777" w:rsidR="00BC1667" w:rsidRPr="00BC1667" w:rsidRDefault="00BC1667" w:rsidP="00BC1667">
            <w:pPr>
              <w:rPr>
                <w:i/>
                <w:sz w:val="16"/>
                <w:lang w:val="en-US" w:eastAsia="en-US"/>
              </w:rPr>
            </w:pPr>
          </w:p>
          <w:p w14:paraId="33E7C048" w14:textId="77777777" w:rsidR="00BC1667" w:rsidRPr="00BC1667" w:rsidRDefault="00BC1667" w:rsidP="00BC1667">
            <w:pPr>
              <w:rPr>
                <w:i/>
                <w:sz w:val="16"/>
                <w:lang w:val="en-US" w:eastAsia="en-US"/>
              </w:rPr>
            </w:pPr>
            <w:r w:rsidRPr="00BC1667">
              <w:rPr>
                <w:i/>
                <w:sz w:val="16"/>
                <w:lang w:val="en-US" w:eastAsia="en-US"/>
              </w:rPr>
              <w:t>“What was the cause of the most important disappointing element?”</w:t>
            </w:r>
          </w:p>
          <w:p w14:paraId="5CC85EC0" w14:textId="77777777" w:rsidR="00BC1667" w:rsidRPr="00BC1667" w:rsidRDefault="00BC1667" w:rsidP="00BC1667">
            <w:pPr>
              <w:rPr>
                <w:i/>
                <w:sz w:val="16"/>
                <w:lang w:val="en-US" w:eastAsia="en-US"/>
              </w:rPr>
            </w:pPr>
          </w:p>
        </w:tc>
        <w:tc>
          <w:tcPr>
            <w:tcW w:w="7654" w:type="dxa"/>
          </w:tcPr>
          <w:p w14:paraId="0DE7C85D"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 xml:space="preserve">I feel like it is extremely important following marking books to speak to the children I felt struggled with something that I was unable to pick up on within the lesson on a later date like I was able to do during this particular lesson and I will continue to do this throughout my teaching. </w:t>
            </w:r>
          </w:p>
          <w:p w14:paraId="0FFE5EBF"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I should have had more confidence in myself to decide and make decisions when starting the lesson to save the children time and effort when completing the work. I feel like my confidence to do this successfully from now on has definitely improved and I will continue.</w:t>
            </w:r>
          </w:p>
        </w:tc>
      </w:tr>
      <w:tr w:rsidR="00BC1667" w:rsidRPr="00BC1667" w14:paraId="28A236CA" w14:textId="77777777" w:rsidTr="00E60179">
        <w:trPr>
          <w:trHeight w:val="2555"/>
        </w:trPr>
        <w:tc>
          <w:tcPr>
            <w:tcW w:w="2552" w:type="dxa"/>
          </w:tcPr>
          <w:p w14:paraId="178EA70E" w14:textId="77777777" w:rsidR="00BC1667" w:rsidRPr="00BC1667" w:rsidRDefault="00BC1667" w:rsidP="00BC1667">
            <w:pPr>
              <w:rPr>
                <w:lang w:val="en-US" w:eastAsia="en-US"/>
              </w:rPr>
            </w:pPr>
            <w:r w:rsidRPr="00BC1667">
              <w:rPr>
                <w:lang w:val="en-US" w:eastAsia="en-US"/>
              </w:rPr>
              <w:t>Casgliadau a chamau gweithredu/</w:t>
            </w:r>
          </w:p>
          <w:p w14:paraId="56AB80A0" w14:textId="77777777" w:rsidR="00BC1667" w:rsidRPr="00BC1667" w:rsidRDefault="00BC1667" w:rsidP="00BC1667">
            <w:pPr>
              <w:rPr>
                <w:i/>
                <w:lang w:val="en-US" w:eastAsia="en-US"/>
              </w:rPr>
            </w:pPr>
            <w:r w:rsidRPr="00BC1667">
              <w:rPr>
                <w:i/>
                <w:lang w:val="en-US" w:eastAsia="en-US"/>
              </w:rPr>
              <w:t>Conclusions and actions</w:t>
            </w:r>
          </w:p>
          <w:p w14:paraId="0C727157" w14:textId="77777777" w:rsidR="00BC1667" w:rsidRPr="00BC1667" w:rsidRDefault="00BC1667" w:rsidP="00BC1667">
            <w:pPr>
              <w:rPr>
                <w:i/>
                <w:sz w:val="16"/>
                <w:lang w:val="en-US" w:eastAsia="en-US"/>
              </w:rPr>
            </w:pPr>
          </w:p>
          <w:p w14:paraId="1D72C9B6" w14:textId="77777777" w:rsidR="00BC1667" w:rsidRPr="00BC1667" w:rsidRDefault="00BC1667" w:rsidP="00BC1667">
            <w:pPr>
              <w:rPr>
                <w:i/>
                <w:sz w:val="16"/>
                <w:lang w:val="en-US" w:eastAsia="en-US"/>
              </w:rPr>
            </w:pPr>
            <w:r w:rsidRPr="00BC1667">
              <w:rPr>
                <w:i/>
                <w:sz w:val="16"/>
                <w:lang w:val="en-US" w:eastAsia="en-US"/>
              </w:rPr>
              <w:t>“What are your possible solutions to the disappointing issues identified?”</w:t>
            </w:r>
          </w:p>
          <w:p w14:paraId="57B0F9F2" w14:textId="77777777" w:rsidR="00BC1667" w:rsidRPr="00BC1667" w:rsidRDefault="00BC1667" w:rsidP="00BC1667">
            <w:pPr>
              <w:rPr>
                <w:i/>
                <w:sz w:val="16"/>
                <w:lang w:val="en-US" w:eastAsia="en-US"/>
              </w:rPr>
            </w:pPr>
          </w:p>
          <w:p w14:paraId="3B71A6E9" w14:textId="77777777" w:rsidR="00BC1667" w:rsidRPr="00BC1667" w:rsidRDefault="00BC1667" w:rsidP="00BC1667">
            <w:pPr>
              <w:rPr>
                <w:i/>
                <w:sz w:val="16"/>
                <w:lang w:val="en-US" w:eastAsia="en-US"/>
              </w:rPr>
            </w:pPr>
            <w:r w:rsidRPr="00BC1667">
              <w:rPr>
                <w:i/>
                <w:sz w:val="16"/>
                <w:lang w:val="en-US" w:eastAsia="en-US"/>
              </w:rPr>
              <w:t>“What will you do next?”</w:t>
            </w:r>
          </w:p>
          <w:p w14:paraId="121D0500" w14:textId="77777777" w:rsidR="00BC1667" w:rsidRPr="00BC1667" w:rsidRDefault="00BC1667" w:rsidP="00BC1667">
            <w:pPr>
              <w:rPr>
                <w:i/>
                <w:sz w:val="16"/>
                <w:lang w:val="en-US" w:eastAsia="en-US"/>
              </w:rPr>
            </w:pPr>
          </w:p>
        </w:tc>
        <w:tc>
          <w:tcPr>
            <w:tcW w:w="7654" w:type="dxa"/>
          </w:tcPr>
          <w:p w14:paraId="7E5587FE" w14:textId="77777777" w:rsidR="00BC1667" w:rsidRPr="00BC1667" w:rsidRDefault="00BC1667" w:rsidP="00BC1667">
            <w:pPr>
              <w:numPr>
                <w:ilvl w:val="0"/>
                <w:numId w:val="10"/>
              </w:numPr>
              <w:contextualSpacing/>
              <w:rPr>
                <w:szCs w:val="28"/>
                <w:lang w:val="en-US" w:eastAsia="en-US"/>
              </w:rPr>
            </w:pPr>
            <w:r w:rsidRPr="00BC1667">
              <w:rPr>
                <w:szCs w:val="28"/>
                <w:lang w:val="en-US" w:eastAsia="en-US"/>
              </w:rPr>
              <w:t>I will work on building my confidence when controlling decisions that would need to be made in a classroom setting and under pressure then and there. I will work on this throughout my placement and hopefully will be able to confidently make these decisions without hesitation.</w:t>
            </w:r>
          </w:p>
          <w:p w14:paraId="324F27EA" w14:textId="77777777" w:rsidR="00BC1667" w:rsidRPr="00BC1667" w:rsidRDefault="00BC1667" w:rsidP="00BC1667">
            <w:pPr>
              <w:rPr>
                <w:lang w:val="en-US" w:eastAsia="en-US"/>
              </w:rPr>
            </w:pPr>
          </w:p>
          <w:p w14:paraId="21BB139A" w14:textId="77777777" w:rsidR="00BC1667" w:rsidRPr="00BC1667" w:rsidRDefault="00BC1667" w:rsidP="00BC1667">
            <w:pPr>
              <w:rPr>
                <w:lang w:val="en-US" w:eastAsia="en-US"/>
              </w:rPr>
            </w:pPr>
          </w:p>
          <w:p w14:paraId="20EBBB63" w14:textId="77777777" w:rsidR="00BC1667" w:rsidRPr="00BC1667" w:rsidRDefault="00BC1667" w:rsidP="00BC1667">
            <w:pPr>
              <w:rPr>
                <w:lang w:val="en-US" w:eastAsia="en-US"/>
              </w:rPr>
            </w:pPr>
          </w:p>
          <w:p w14:paraId="0E808089" w14:textId="77777777" w:rsidR="00BC1667" w:rsidRPr="00BC1667" w:rsidRDefault="00BC1667" w:rsidP="00BC1667">
            <w:pPr>
              <w:rPr>
                <w:lang w:val="en-US" w:eastAsia="en-US"/>
              </w:rPr>
            </w:pPr>
          </w:p>
          <w:p w14:paraId="72CFCAC1" w14:textId="77777777" w:rsidR="00BC1667" w:rsidRPr="00BC1667" w:rsidRDefault="00BC1667" w:rsidP="00BC1667">
            <w:pPr>
              <w:rPr>
                <w:lang w:val="en-US" w:eastAsia="en-US"/>
              </w:rPr>
            </w:pPr>
          </w:p>
        </w:tc>
      </w:tr>
      <w:tr w:rsidR="00BC1667" w:rsidRPr="00BC1667" w14:paraId="5229D5AC" w14:textId="77777777" w:rsidTr="00E60179">
        <w:tc>
          <w:tcPr>
            <w:tcW w:w="10206" w:type="dxa"/>
            <w:gridSpan w:val="2"/>
            <w:shd w:val="clear" w:color="auto" w:fill="EEECE1" w:themeFill="background2"/>
          </w:tcPr>
          <w:p w14:paraId="721CB3C7" w14:textId="77777777" w:rsidR="00BC1667" w:rsidRPr="00BC1667" w:rsidRDefault="00BC1667" w:rsidP="00BC1667">
            <w:pPr>
              <w:jc w:val="center"/>
              <w:rPr>
                <w:i/>
                <w:lang w:val="en-US" w:eastAsia="en-US"/>
              </w:rPr>
            </w:pPr>
            <w:r w:rsidRPr="00BC1667">
              <w:rPr>
                <w:lang w:val="en-US" w:eastAsia="en-US"/>
              </w:rPr>
              <w:t xml:space="preserve">Y profiad newydd / </w:t>
            </w:r>
            <w:r w:rsidRPr="00BC1667">
              <w:rPr>
                <w:i/>
                <w:lang w:val="en-US" w:eastAsia="en-US"/>
              </w:rPr>
              <w:t>Transformed experience</w:t>
            </w:r>
          </w:p>
        </w:tc>
      </w:tr>
    </w:tbl>
    <w:p w14:paraId="0601E652" w14:textId="77777777" w:rsidR="00BC1667" w:rsidRDefault="00BC1667" w:rsidP="00BC1667">
      <w:pPr>
        <w:spacing w:after="200" w:line="360" w:lineRule="auto"/>
        <w:rPr>
          <w:rFonts w:eastAsia="Calibri"/>
          <w:b/>
          <w:sz w:val="28"/>
          <w:szCs w:val="22"/>
          <w:u w:val="single"/>
          <w:lang w:eastAsia="en-US"/>
        </w:rPr>
      </w:pPr>
    </w:p>
    <w:p w14:paraId="29F71568" w14:textId="77777777" w:rsidR="00BC1667" w:rsidRPr="00BC1667" w:rsidRDefault="00BC1667" w:rsidP="00BC1667">
      <w:pPr>
        <w:spacing w:after="200" w:line="360" w:lineRule="auto"/>
        <w:rPr>
          <w:rFonts w:eastAsia="Calibri"/>
          <w:b/>
          <w:sz w:val="28"/>
          <w:szCs w:val="22"/>
          <w:u w:val="single"/>
          <w:lang w:eastAsia="en-US"/>
        </w:rPr>
      </w:pPr>
      <w:r w:rsidRPr="00BC1667">
        <w:rPr>
          <w:rFonts w:eastAsia="Calibri"/>
          <w:b/>
          <w:sz w:val="28"/>
          <w:szCs w:val="22"/>
          <w:u w:val="single"/>
          <w:lang w:eastAsia="en-US"/>
        </w:rPr>
        <w:lastRenderedPageBreak/>
        <w:t xml:space="preserve">References </w:t>
      </w:r>
    </w:p>
    <w:p w14:paraId="06FCFC2B"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Arthur, J. and Cremin, T. ed., (2010). </w:t>
      </w:r>
      <w:r w:rsidRPr="00BC1667">
        <w:rPr>
          <w:rFonts w:eastAsia="Calibri"/>
          <w:i/>
          <w:iCs/>
          <w:szCs w:val="22"/>
          <w:lang w:eastAsia="en-US"/>
        </w:rPr>
        <w:t>Learning to Teach in the Primary School</w:t>
      </w:r>
      <w:r w:rsidRPr="00BC1667">
        <w:rPr>
          <w:rFonts w:eastAsia="Calibri"/>
          <w:szCs w:val="22"/>
          <w:lang w:eastAsia="en-US"/>
        </w:rPr>
        <w:t>. 2nd ed. Abingdon: Routledge.</w:t>
      </w:r>
    </w:p>
    <w:p w14:paraId="3262B8BE"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Bacigalupo, M., Kampylis, P., Punie, Y., Van den Brande, G. (2016). EntreComp: The Entrepreneurship Competence Framework. Luxembourg: Publication Office of the European Union</w:t>
      </w:r>
    </w:p>
    <w:p w14:paraId="10561091"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Barnes, J. (2015). </w:t>
      </w:r>
      <w:r w:rsidRPr="00BC1667">
        <w:rPr>
          <w:rFonts w:eastAsia="Calibri"/>
          <w:i/>
          <w:iCs/>
          <w:szCs w:val="22"/>
          <w:lang w:eastAsia="en-US"/>
        </w:rPr>
        <w:t>Cross-curricular learning 3-14</w:t>
      </w:r>
      <w:r w:rsidRPr="00BC1667">
        <w:rPr>
          <w:rFonts w:eastAsia="Calibri"/>
          <w:szCs w:val="22"/>
          <w:lang w:eastAsia="en-US"/>
        </w:rPr>
        <w:t>. London: Sage publications.</w:t>
      </w:r>
    </w:p>
    <w:p w14:paraId="50C63F5A"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Craft, A., Cremin, T. and Bernard, P. ed., (2008). </w:t>
      </w:r>
      <w:r w:rsidRPr="00BC1667">
        <w:rPr>
          <w:rFonts w:eastAsia="Calibri"/>
          <w:i/>
          <w:iCs/>
          <w:szCs w:val="22"/>
          <w:lang w:eastAsia="en-US"/>
        </w:rPr>
        <w:t>Creative learning 3-11 and how we document it</w:t>
      </w:r>
      <w:r w:rsidRPr="00BC1667">
        <w:rPr>
          <w:rFonts w:eastAsia="Calibri"/>
          <w:szCs w:val="22"/>
          <w:lang w:eastAsia="en-US"/>
        </w:rPr>
        <w:t>. 1st ed. Stoke on Trent: Trentham.</w:t>
      </w:r>
    </w:p>
    <w:p w14:paraId="60792DC5"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Desailly, J. (2012). </w:t>
      </w:r>
      <w:r w:rsidRPr="00BC1667">
        <w:rPr>
          <w:rFonts w:eastAsia="Calibri"/>
          <w:i/>
          <w:iCs/>
          <w:szCs w:val="22"/>
          <w:lang w:eastAsia="en-US"/>
        </w:rPr>
        <w:t>Creativity in the primary classroom</w:t>
      </w:r>
      <w:r w:rsidRPr="00BC1667">
        <w:rPr>
          <w:rFonts w:eastAsia="Calibri"/>
          <w:szCs w:val="22"/>
          <w:lang w:eastAsia="en-US"/>
        </w:rPr>
        <w:t>. Los Angeles: Sage Publications.</w:t>
      </w:r>
    </w:p>
    <w:p w14:paraId="23DDC2BF"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 xml:space="preserve">Donaldson, G (2015) </w:t>
      </w:r>
      <w:r w:rsidRPr="00BC1667">
        <w:rPr>
          <w:rFonts w:eastAsia="Calibri"/>
          <w:i/>
          <w:szCs w:val="22"/>
          <w:lang w:eastAsia="en-US"/>
        </w:rPr>
        <w:t>Successful Futures.</w:t>
      </w:r>
      <w:r w:rsidRPr="00BC1667">
        <w:rPr>
          <w:rFonts w:eastAsia="Calibri"/>
          <w:szCs w:val="22"/>
          <w:lang w:eastAsia="en-US"/>
        </w:rPr>
        <w:t xml:space="preserve"> Cardiff. WAG</w:t>
      </w:r>
    </w:p>
    <w:p w14:paraId="0D84ED9C"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Elmes, J. (2017). </w:t>
      </w:r>
      <w:r w:rsidRPr="00BC1667">
        <w:rPr>
          <w:rFonts w:eastAsia="Calibri"/>
          <w:i/>
          <w:iCs/>
          <w:szCs w:val="22"/>
          <w:lang w:eastAsia="en-US"/>
        </w:rPr>
        <w:t>Martin Boehm: preparing students for jobs that don’t exist yet</w:t>
      </w:r>
      <w:r w:rsidRPr="00BC1667">
        <w:rPr>
          <w:rFonts w:eastAsia="Calibri"/>
          <w:szCs w:val="22"/>
          <w:lang w:eastAsia="en-US"/>
        </w:rPr>
        <w:t>. [online] Times Higher Education (THE). Available at: https://www.timeshighereducation.com/news/martin-boehm-preparing-students-for-jobs-that-dont-exist-yet [Accessed 9 Dec. 2017].</w:t>
      </w:r>
    </w:p>
    <w:p w14:paraId="3F9C3371"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European Parliament and the Council. (2006). Recommendation of the European Parliament and of the Council of 18 December 2006 on key competences for lifelong learning. Official Journal of the European Union</w:t>
      </w:r>
    </w:p>
    <w:p w14:paraId="666E519C"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Foundation for Young Australians (2016). </w:t>
      </w:r>
      <w:r w:rsidRPr="00BC1667">
        <w:rPr>
          <w:rFonts w:eastAsia="Calibri"/>
          <w:i/>
          <w:iCs/>
          <w:szCs w:val="22"/>
          <w:lang w:eastAsia="en-US"/>
        </w:rPr>
        <w:t>Enterprise skills and careers education in schools: Why Australia needs a national strategy</w:t>
      </w:r>
      <w:r w:rsidRPr="00BC1667">
        <w:rPr>
          <w:rFonts w:eastAsia="Calibri"/>
          <w:szCs w:val="22"/>
          <w:lang w:eastAsia="en-US"/>
        </w:rPr>
        <w:t>. Melbourne: Foundation for Young Australians.</w:t>
      </w:r>
    </w:p>
    <w:p w14:paraId="313DCC87"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Jones, C. (2017). Enterprise Education: Towards the Development of the Heutagogical Learner. </w:t>
      </w:r>
      <w:r w:rsidRPr="00BC1667">
        <w:rPr>
          <w:rFonts w:eastAsia="Calibri"/>
          <w:i/>
          <w:iCs/>
          <w:szCs w:val="22"/>
          <w:lang w:eastAsia="en-US"/>
        </w:rPr>
        <w:t>The All Ireland Journal of Teaching &amp; Learning in Higher Education</w:t>
      </w:r>
      <w:r w:rsidRPr="00BC1667">
        <w:rPr>
          <w:rFonts w:eastAsia="Calibri"/>
          <w:szCs w:val="22"/>
          <w:lang w:eastAsia="en-US"/>
        </w:rPr>
        <w:t>, 8(1), pp.2541-2544.</w:t>
      </w:r>
    </w:p>
    <w:p w14:paraId="2ADC1E60"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Mindtools (2017). </w:t>
      </w:r>
      <w:r w:rsidRPr="00BC1667">
        <w:rPr>
          <w:rFonts w:eastAsia="Calibri"/>
          <w:i/>
          <w:iCs/>
          <w:szCs w:val="22"/>
          <w:lang w:eastAsia="en-US"/>
        </w:rPr>
        <w:t>Six Thinking Hats: Looking at a Decision From All Points of View</w:t>
      </w:r>
      <w:r w:rsidRPr="00BC1667">
        <w:rPr>
          <w:rFonts w:eastAsia="Calibri"/>
          <w:szCs w:val="22"/>
          <w:lang w:eastAsia="en-US"/>
        </w:rPr>
        <w:t>. [online] Mindtools.com. Available at: https://www.mindtools.com/pages/article/newTED_07.htm [Accessed 13 Dec. 2017].</w:t>
      </w:r>
    </w:p>
    <w:p w14:paraId="59861FB7" w14:textId="77777777" w:rsidR="00BC1667" w:rsidRPr="00BC1667" w:rsidRDefault="00BC1667" w:rsidP="00BC1667">
      <w:pPr>
        <w:spacing w:after="200" w:line="360" w:lineRule="auto"/>
        <w:rPr>
          <w:rFonts w:eastAsia="Calibri"/>
          <w:szCs w:val="22"/>
          <w:lang w:eastAsia="en-US"/>
        </w:rPr>
      </w:pPr>
      <w:r w:rsidRPr="00BC1667">
        <w:rPr>
          <w:szCs w:val="22"/>
          <w:lang w:eastAsia="en-US"/>
        </w:rPr>
        <w:t xml:space="preserve">N.A.C.C.C.E. (1999) </w:t>
      </w:r>
      <w:r w:rsidRPr="00BC1667">
        <w:rPr>
          <w:i/>
          <w:szCs w:val="22"/>
          <w:lang w:eastAsia="en-US"/>
        </w:rPr>
        <w:t>All our futures: creativity, culture and education,</w:t>
      </w:r>
      <w:r w:rsidRPr="00BC1667">
        <w:rPr>
          <w:szCs w:val="22"/>
          <w:lang w:eastAsia="en-US"/>
        </w:rPr>
        <w:t xml:space="preserve"> London: DfEE.</w:t>
      </w:r>
    </w:p>
    <w:p w14:paraId="097B9D54"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lastRenderedPageBreak/>
        <w:t>Proctor, T. (1999). </w:t>
      </w:r>
      <w:r w:rsidRPr="00BC1667">
        <w:rPr>
          <w:rFonts w:eastAsia="Calibri"/>
          <w:i/>
          <w:iCs/>
          <w:szCs w:val="22"/>
          <w:lang w:eastAsia="en-US"/>
        </w:rPr>
        <w:t>Creative Problem Solving for Managers</w:t>
      </w:r>
      <w:r w:rsidRPr="00BC1667">
        <w:rPr>
          <w:rFonts w:eastAsia="Calibri"/>
          <w:szCs w:val="22"/>
          <w:lang w:eastAsia="en-US"/>
        </w:rPr>
        <w:t>. 1st ed. London: Routledge.</w:t>
      </w:r>
    </w:p>
    <w:p w14:paraId="664F5DEE"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Robinson, C., Bingle, B. and Howard, C. (2015). </w:t>
      </w:r>
      <w:r w:rsidRPr="00BC1667">
        <w:rPr>
          <w:rFonts w:eastAsia="Calibri"/>
          <w:i/>
          <w:szCs w:val="22"/>
          <w:lang w:eastAsia="en-US"/>
        </w:rPr>
        <w:t>Your primary school-based experience</w:t>
      </w:r>
      <w:r w:rsidRPr="00BC1667">
        <w:rPr>
          <w:rFonts w:eastAsia="Calibri"/>
          <w:szCs w:val="22"/>
          <w:lang w:eastAsia="en-US"/>
        </w:rPr>
        <w:t>. 2nd ed. Critical Pub.</w:t>
      </w:r>
    </w:p>
    <w:p w14:paraId="0DD35911"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The Quality Assurance Agency for Higher Education (2012). </w:t>
      </w:r>
      <w:r w:rsidRPr="00BC1667">
        <w:rPr>
          <w:rFonts w:eastAsia="Calibri"/>
          <w:i/>
          <w:iCs/>
          <w:szCs w:val="22"/>
          <w:lang w:eastAsia="en-US"/>
        </w:rPr>
        <w:t>Enterprise and entrepreneurship education: Guidance for UK higher education providers</w:t>
      </w:r>
      <w:r w:rsidRPr="00BC1667">
        <w:rPr>
          <w:rFonts w:eastAsia="Calibri"/>
          <w:szCs w:val="22"/>
          <w:lang w:eastAsia="en-US"/>
        </w:rPr>
        <w:t>. The Quality Assurance Agency for Higher Education.</w:t>
      </w:r>
    </w:p>
    <w:p w14:paraId="000CA058" w14:textId="77777777" w:rsidR="00BC1667" w:rsidRPr="00BC1667" w:rsidRDefault="00BC1667" w:rsidP="00BC1667">
      <w:pPr>
        <w:spacing w:after="200" w:line="360" w:lineRule="auto"/>
        <w:rPr>
          <w:rFonts w:eastAsia="Calibri"/>
          <w:szCs w:val="22"/>
          <w:lang w:eastAsia="en-US"/>
        </w:rPr>
      </w:pPr>
      <w:r w:rsidRPr="00BC1667">
        <w:rPr>
          <w:rFonts w:eastAsia="Calibri"/>
          <w:szCs w:val="22"/>
          <w:lang w:eastAsia="en-US"/>
        </w:rPr>
        <w:t>Thorne, K. (2007). </w:t>
      </w:r>
      <w:r w:rsidRPr="00BC1667">
        <w:rPr>
          <w:rFonts w:eastAsia="Calibri"/>
          <w:i/>
          <w:iCs/>
          <w:szCs w:val="22"/>
          <w:lang w:eastAsia="en-US"/>
        </w:rPr>
        <w:t>Essential creativity in the classroom</w:t>
      </w:r>
      <w:r w:rsidRPr="00BC1667">
        <w:rPr>
          <w:rFonts w:eastAsia="Calibri"/>
          <w:szCs w:val="22"/>
          <w:lang w:eastAsia="en-US"/>
        </w:rPr>
        <w:t>. Abington: Routledge.</w:t>
      </w:r>
    </w:p>
    <w:p w14:paraId="7F700829" w14:textId="77777777" w:rsidR="00BC1667" w:rsidRPr="00BC1667" w:rsidRDefault="00BC1667" w:rsidP="00BC1667">
      <w:pPr>
        <w:tabs>
          <w:tab w:val="left" w:pos="1732"/>
        </w:tabs>
        <w:spacing w:after="200" w:line="360" w:lineRule="auto"/>
        <w:rPr>
          <w:rFonts w:eastAsia="Calibri"/>
          <w:sz w:val="28"/>
          <w:szCs w:val="22"/>
          <w:lang w:eastAsia="en-US"/>
        </w:rPr>
      </w:pPr>
    </w:p>
    <w:p w14:paraId="59FBEFD2" w14:textId="77777777" w:rsidR="003B73BF" w:rsidRPr="00C54019" w:rsidRDefault="003B73BF" w:rsidP="003B73BF">
      <w:pPr>
        <w:spacing w:line="360" w:lineRule="auto"/>
        <w:rPr>
          <w:rFonts w:ascii="Arial" w:hAnsi="Arial"/>
          <w:szCs w:val="2"/>
        </w:rPr>
      </w:pPr>
    </w:p>
    <w:sectPr w:rsidR="003B73BF" w:rsidRPr="00C5401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2B4F19" w14:textId="77777777" w:rsidR="00520A70" w:rsidRDefault="00520A70">
      <w:r>
        <w:separator/>
      </w:r>
    </w:p>
  </w:endnote>
  <w:endnote w:type="continuationSeparator" w:id="0">
    <w:p w14:paraId="0C238B7E" w14:textId="77777777" w:rsidR="00520A70" w:rsidRDefault="00520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0368827"/>
      <w:docPartObj>
        <w:docPartGallery w:val="Page Numbers (Bottom of Page)"/>
        <w:docPartUnique/>
      </w:docPartObj>
    </w:sdtPr>
    <w:sdtEndPr>
      <w:rPr>
        <w:rFonts w:ascii="Times New Roman" w:hAnsi="Times New Roman"/>
        <w:noProof/>
      </w:rPr>
    </w:sdtEndPr>
    <w:sdtContent>
      <w:p w14:paraId="3B6CE6FD" w14:textId="2CD29052" w:rsidR="00BC1667" w:rsidRPr="00BC1667" w:rsidRDefault="00BC1667">
        <w:pPr>
          <w:pStyle w:val="Footer"/>
          <w:jc w:val="center"/>
          <w:rPr>
            <w:rFonts w:ascii="Times New Roman" w:hAnsi="Times New Roman"/>
          </w:rPr>
        </w:pPr>
        <w:r w:rsidRPr="00BC1667">
          <w:rPr>
            <w:rFonts w:ascii="Times New Roman" w:hAnsi="Times New Roman"/>
          </w:rPr>
          <w:fldChar w:fldCharType="begin"/>
        </w:r>
        <w:r w:rsidRPr="00BC1667">
          <w:rPr>
            <w:rFonts w:ascii="Times New Roman" w:hAnsi="Times New Roman"/>
          </w:rPr>
          <w:instrText xml:space="preserve"> PAGE   \* MERGEFORMAT </w:instrText>
        </w:r>
        <w:r w:rsidRPr="00BC1667">
          <w:rPr>
            <w:rFonts w:ascii="Times New Roman" w:hAnsi="Times New Roman"/>
          </w:rPr>
          <w:fldChar w:fldCharType="separate"/>
        </w:r>
        <w:r>
          <w:rPr>
            <w:rFonts w:ascii="Times New Roman" w:hAnsi="Times New Roman"/>
            <w:noProof/>
          </w:rPr>
          <w:t>1</w:t>
        </w:r>
        <w:r w:rsidRPr="00BC1667">
          <w:rPr>
            <w:rFonts w:ascii="Times New Roman" w:hAnsi="Times New Roman"/>
            <w:noProof/>
          </w:rPr>
          <w:fldChar w:fldCharType="end"/>
        </w:r>
      </w:p>
    </w:sdtContent>
  </w:sdt>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632310"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BC1667">
      <w:rPr>
        <w:rFonts w:asciiTheme="majorHAnsi" w:hAnsiTheme="majorHAnsi"/>
        <w:b/>
        <w:noProof/>
      </w:rPr>
      <w:t>4</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BC1667">
      <w:rPr>
        <w:rFonts w:asciiTheme="majorHAnsi" w:hAnsiTheme="majorHAnsi"/>
        <w:b/>
        <w:noProof/>
      </w:rPr>
      <w:t>14</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266651"/>
      <w:docPartObj>
        <w:docPartGallery w:val="Page Numbers (Bottom of Page)"/>
        <w:docPartUnique/>
      </w:docPartObj>
    </w:sdtPr>
    <w:sdtEndPr>
      <w:rPr>
        <w:rFonts w:ascii="Times New Roman" w:hAnsi="Times New Roman"/>
        <w:noProof/>
      </w:rPr>
    </w:sdtEndPr>
    <w:sdtContent>
      <w:p w14:paraId="142605CB" w14:textId="77777777" w:rsidR="00F35FDD" w:rsidRPr="00F35FDD" w:rsidRDefault="00520A70">
        <w:pPr>
          <w:pStyle w:val="Footer"/>
          <w:jc w:val="center"/>
          <w:rPr>
            <w:rFonts w:ascii="Times New Roman" w:hAnsi="Times New Roman"/>
          </w:rPr>
        </w:pPr>
        <w:r w:rsidRPr="00F35FDD">
          <w:rPr>
            <w:rFonts w:ascii="Times New Roman" w:hAnsi="Times New Roman"/>
          </w:rPr>
          <w:fldChar w:fldCharType="begin"/>
        </w:r>
        <w:r w:rsidRPr="00F35FDD">
          <w:rPr>
            <w:rFonts w:ascii="Times New Roman" w:hAnsi="Times New Roman"/>
          </w:rPr>
          <w:instrText xml:space="preserve"> PAGE   \* MERGEFORMAT </w:instrText>
        </w:r>
        <w:r w:rsidRPr="00F35FDD">
          <w:rPr>
            <w:rFonts w:ascii="Times New Roman" w:hAnsi="Times New Roman"/>
          </w:rPr>
          <w:fldChar w:fldCharType="separate"/>
        </w:r>
        <w:r w:rsidR="00BC1667">
          <w:rPr>
            <w:rFonts w:ascii="Times New Roman" w:hAnsi="Times New Roman"/>
            <w:noProof/>
          </w:rPr>
          <w:t>14</w:t>
        </w:r>
        <w:r w:rsidRPr="00F35FDD">
          <w:rPr>
            <w:rFonts w:ascii="Times New Roman" w:hAnsi="Times New Roman"/>
            <w:noProof/>
          </w:rPr>
          <w:fldChar w:fldCharType="end"/>
        </w:r>
      </w:p>
    </w:sdtContent>
  </w:sdt>
  <w:p w14:paraId="11B908A7" w14:textId="77777777" w:rsidR="00F35FDD" w:rsidRDefault="00520A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DFCC2D" w14:textId="77777777" w:rsidR="00520A70" w:rsidRDefault="00520A70">
      <w:r>
        <w:separator/>
      </w:r>
    </w:p>
  </w:footnote>
  <w:footnote w:type="continuationSeparator" w:id="0">
    <w:p w14:paraId="3A1E323B" w14:textId="77777777" w:rsidR="00520A70" w:rsidRDefault="00520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AA9C2" w14:textId="77777777" w:rsidR="00F35FDD" w:rsidRPr="00F35FDD" w:rsidRDefault="00520A70">
    <w:pPr>
      <w:pStyle w:val="Header"/>
      <w:rPr>
        <w:rFonts w:ascii="Times New Roman" w:hAnsi="Times New Roman"/>
      </w:rPr>
    </w:pPr>
    <w:r w:rsidRPr="00F35FDD">
      <w:rPr>
        <w:rFonts w:ascii="Times New Roman" w:hAnsi="Times New Roman"/>
      </w:rPr>
      <w:t>1500628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702A1"/>
    <w:multiLevelType w:val="hybridMultilevel"/>
    <w:tmpl w:val="066C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7">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6"/>
  </w:num>
  <w:num w:numId="4">
    <w:abstractNumId w:val="5"/>
  </w:num>
  <w:num w:numId="5">
    <w:abstractNumId w:val="2"/>
  </w:num>
  <w:num w:numId="6">
    <w:abstractNumId w:val="4"/>
  </w:num>
  <w:num w:numId="7">
    <w:abstractNumId w:val="9"/>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D91"/>
    <w:rsid w:val="0000698B"/>
    <w:rsid w:val="00037442"/>
    <w:rsid w:val="000A1E99"/>
    <w:rsid w:val="000B05BC"/>
    <w:rsid w:val="00101C71"/>
    <w:rsid w:val="001119B6"/>
    <w:rsid w:val="00133440"/>
    <w:rsid w:val="001A41C4"/>
    <w:rsid w:val="001E79BE"/>
    <w:rsid w:val="002917E6"/>
    <w:rsid w:val="003778DA"/>
    <w:rsid w:val="003A0352"/>
    <w:rsid w:val="003B73BF"/>
    <w:rsid w:val="003C1D24"/>
    <w:rsid w:val="00421FA4"/>
    <w:rsid w:val="0045662B"/>
    <w:rsid w:val="00490D4C"/>
    <w:rsid w:val="0049569C"/>
    <w:rsid w:val="004D6C31"/>
    <w:rsid w:val="004F28C9"/>
    <w:rsid w:val="00520A70"/>
    <w:rsid w:val="005A2CD2"/>
    <w:rsid w:val="00614CF5"/>
    <w:rsid w:val="00644E0E"/>
    <w:rsid w:val="006662A9"/>
    <w:rsid w:val="00685929"/>
    <w:rsid w:val="00736151"/>
    <w:rsid w:val="00795393"/>
    <w:rsid w:val="007E4660"/>
    <w:rsid w:val="0089540D"/>
    <w:rsid w:val="008F6EC9"/>
    <w:rsid w:val="00912317"/>
    <w:rsid w:val="00934ECD"/>
    <w:rsid w:val="00944197"/>
    <w:rsid w:val="00975F83"/>
    <w:rsid w:val="00980248"/>
    <w:rsid w:val="009953D0"/>
    <w:rsid w:val="009B1EFA"/>
    <w:rsid w:val="009E2D83"/>
    <w:rsid w:val="00A04B98"/>
    <w:rsid w:val="00A47BD7"/>
    <w:rsid w:val="00A56069"/>
    <w:rsid w:val="00A66626"/>
    <w:rsid w:val="00A67904"/>
    <w:rsid w:val="00A75D84"/>
    <w:rsid w:val="00B04E72"/>
    <w:rsid w:val="00B53B6D"/>
    <w:rsid w:val="00B70D91"/>
    <w:rsid w:val="00BC1667"/>
    <w:rsid w:val="00C02FF8"/>
    <w:rsid w:val="00C039B2"/>
    <w:rsid w:val="00C33012"/>
    <w:rsid w:val="00C54019"/>
    <w:rsid w:val="00C67A68"/>
    <w:rsid w:val="00C70728"/>
    <w:rsid w:val="00C86EAA"/>
    <w:rsid w:val="00CC6674"/>
    <w:rsid w:val="00CD023A"/>
    <w:rsid w:val="00D14C2C"/>
    <w:rsid w:val="00D40450"/>
    <w:rsid w:val="00D413E7"/>
    <w:rsid w:val="00D615C5"/>
    <w:rsid w:val="00E03D66"/>
    <w:rsid w:val="00E1300D"/>
    <w:rsid w:val="00E57529"/>
    <w:rsid w:val="00EB174B"/>
    <w:rsid w:val="00ED1D8E"/>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table" w:customStyle="1" w:styleId="TableGrid1">
    <w:name w:val="Table Grid1"/>
    <w:basedOn w:val="TableNormal"/>
    <w:next w:val="TableGrid"/>
    <w:uiPriority w:val="59"/>
    <w:rsid w:val="00BC166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Revision" w:semiHidden="1"/>
    <w:lsdException w:name="List Paragraph" w:uiPriority="34" w:qFormat="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table" w:customStyle="1" w:styleId="TableGrid1">
    <w:name w:val="Table Grid1"/>
    <w:basedOn w:val="TableNormal"/>
    <w:next w:val="TableGrid"/>
    <w:uiPriority w:val="59"/>
    <w:rsid w:val="00BC166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4950</Words>
  <Characters>28215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33099</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Alun Thomas</dc:creator>
  <cp:lastModifiedBy>User</cp:lastModifiedBy>
  <cp:revision>2</cp:revision>
  <cp:lastPrinted>2016-10-02T12:07:00Z</cp:lastPrinted>
  <dcterms:created xsi:type="dcterms:W3CDTF">2017-12-14T23:57:00Z</dcterms:created>
  <dcterms:modified xsi:type="dcterms:W3CDTF">2017-12-14T23:57:00Z</dcterms:modified>
</cp:coreProperties>
</file>