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329026" w14:textId="77777777" w:rsidR="0035348B" w:rsidRDefault="00000000">
      <w:r>
        <w:rPr>
          <w:noProof/>
        </w:rPr>
        <w:drawing>
          <wp:anchor distT="114300" distB="114300" distL="114300" distR="114300" simplePos="0" relativeHeight="251658240" behindDoc="0" locked="0" layoutInCell="1" hidden="0" allowOverlap="1" wp14:anchorId="7E11A43E" wp14:editId="05D6DE5B">
            <wp:simplePos x="0" y="0"/>
            <wp:positionH relativeFrom="column">
              <wp:posOffset>2313517</wp:posOffset>
            </wp:positionH>
            <wp:positionV relativeFrom="paragraph">
              <wp:posOffset>114300</wp:posOffset>
            </wp:positionV>
            <wp:extent cx="2136775" cy="1257300"/>
            <wp:effectExtent l="0" t="0" r="0" b="0"/>
            <wp:wrapTopAndBottom distT="114300" distB="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136775" cy="1257300"/>
                    </a:xfrm>
                    <a:prstGeom prst="rect">
                      <a:avLst/>
                    </a:prstGeom>
                    <a:ln/>
                  </pic:spPr>
                </pic:pic>
              </a:graphicData>
            </a:graphic>
          </wp:anchor>
        </w:drawing>
      </w:r>
    </w:p>
    <w:p w14:paraId="6FD0C730" w14:textId="77777777" w:rsidR="0035348B" w:rsidRDefault="0035348B"/>
    <w:p w14:paraId="37765DEC" w14:textId="77777777" w:rsidR="0035348B" w:rsidRDefault="00000000">
      <w:pPr>
        <w:jc w:val="center"/>
        <w:rPr>
          <w:b/>
          <w:sz w:val="32"/>
          <w:szCs w:val="32"/>
        </w:rPr>
      </w:pPr>
      <w:r>
        <w:rPr>
          <w:b/>
          <w:sz w:val="32"/>
          <w:szCs w:val="32"/>
        </w:rPr>
        <w:t xml:space="preserve">Module Code and Title: </w:t>
      </w:r>
    </w:p>
    <w:p w14:paraId="52FDE659" w14:textId="77777777" w:rsidR="0035348B" w:rsidRDefault="00000000">
      <w:pPr>
        <w:jc w:val="center"/>
        <w:rPr>
          <w:sz w:val="32"/>
          <w:szCs w:val="32"/>
        </w:rPr>
      </w:pPr>
      <w:r>
        <w:rPr>
          <w:sz w:val="32"/>
          <w:szCs w:val="32"/>
        </w:rPr>
        <w:t>BMIH6007 International Meetings Management for the Hotel Industry</w:t>
      </w:r>
    </w:p>
    <w:p w14:paraId="717AC656" w14:textId="77777777" w:rsidR="0035348B" w:rsidRDefault="0035348B">
      <w:pPr>
        <w:jc w:val="center"/>
        <w:rPr>
          <w:sz w:val="32"/>
          <w:szCs w:val="32"/>
        </w:rPr>
      </w:pPr>
    </w:p>
    <w:p w14:paraId="0E17C190" w14:textId="77777777" w:rsidR="0035348B" w:rsidRDefault="00000000">
      <w:pPr>
        <w:jc w:val="center"/>
        <w:rPr>
          <w:sz w:val="32"/>
          <w:szCs w:val="32"/>
        </w:rPr>
      </w:pPr>
      <w:r>
        <w:rPr>
          <w:b/>
          <w:sz w:val="32"/>
          <w:szCs w:val="32"/>
        </w:rPr>
        <w:t>The assignment title:</w:t>
      </w:r>
      <w:r>
        <w:rPr>
          <w:sz w:val="32"/>
          <w:szCs w:val="32"/>
        </w:rPr>
        <w:t xml:space="preserve"> </w:t>
      </w:r>
    </w:p>
    <w:p w14:paraId="40696F94" w14:textId="77777777" w:rsidR="0035348B" w:rsidRDefault="00000000">
      <w:pPr>
        <w:jc w:val="center"/>
        <w:rPr>
          <w:sz w:val="32"/>
          <w:szCs w:val="32"/>
        </w:rPr>
      </w:pPr>
      <w:r>
        <w:rPr>
          <w:sz w:val="32"/>
          <w:szCs w:val="32"/>
        </w:rPr>
        <w:t>Planning and Delivering an International Meeting/Event.</w:t>
      </w:r>
    </w:p>
    <w:p w14:paraId="27EA586F" w14:textId="77777777" w:rsidR="0035348B" w:rsidRDefault="0035348B">
      <w:pPr>
        <w:jc w:val="center"/>
        <w:rPr>
          <w:sz w:val="32"/>
          <w:szCs w:val="32"/>
        </w:rPr>
      </w:pPr>
    </w:p>
    <w:p w14:paraId="644F61BB" w14:textId="77777777" w:rsidR="0035348B" w:rsidRDefault="00000000">
      <w:pPr>
        <w:jc w:val="center"/>
        <w:rPr>
          <w:b/>
          <w:sz w:val="32"/>
          <w:szCs w:val="32"/>
        </w:rPr>
      </w:pPr>
      <w:r>
        <w:rPr>
          <w:b/>
          <w:sz w:val="32"/>
          <w:szCs w:val="32"/>
        </w:rPr>
        <w:t>Lecturer’s Name:</w:t>
      </w:r>
    </w:p>
    <w:p w14:paraId="546520BE" w14:textId="77777777" w:rsidR="0035348B" w:rsidRDefault="0035348B">
      <w:pPr>
        <w:jc w:val="center"/>
        <w:rPr>
          <w:sz w:val="32"/>
          <w:szCs w:val="32"/>
        </w:rPr>
      </w:pPr>
    </w:p>
    <w:p w14:paraId="46A602BF" w14:textId="09E5A76B" w:rsidR="0035348B" w:rsidRDefault="00000000">
      <w:pPr>
        <w:jc w:val="center"/>
        <w:rPr>
          <w:sz w:val="32"/>
          <w:szCs w:val="32"/>
        </w:rPr>
      </w:pPr>
      <w:r>
        <w:rPr>
          <w:sz w:val="32"/>
          <w:szCs w:val="32"/>
        </w:rPr>
        <w:t>Student Name:</w:t>
      </w:r>
      <w:r w:rsidR="0034574A">
        <w:rPr>
          <w:sz w:val="32"/>
          <w:szCs w:val="32"/>
        </w:rPr>
        <w:t xml:space="preserve"> Badrul Jamal</w:t>
      </w:r>
    </w:p>
    <w:p w14:paraId="69C43E8A" w14:textId="3CE80FEF" w:rsidR="0035348B" w:rsidRDefault="00000000">
      <w:pPr>
        <w:jc w:val="center"/>
      </w:pPr>
      <w:r>
        <w:rPr>
          <w:sz w:val="32"/>
          <w:szCs w:val="32"/>
        </w:rPr>
        <w:t>Student ID:</w:t>
      </w:r>
      <w:r w:rsidR="0034574A">
        <w:rPr>
          <w:sz w:val="32"/>
          <w:szCs w:val="32"/>
        </w:rPr>
        <w:t xml:space="preserve"> 2126642</w:t>
      </w:r>
      <w:r>
        <w:br w:type="page"/>
      </w:r>
    </w:p>
    <w:p w14:paraId="28A01637" w14:textId="77777777" w:rsidR="0035348B" w:rsidRDefault="00000000">
      <w:pPr>
        <w:spacing w:after="80"/>
        <w:jc w:val="center"/>
        <w:rPr>
          <w:sz w:val="28"/>
          <w:szCs w:val="28"/>
        </w:rPr>
      </w:pPr>
      <w:r>
        <w:rPr>
          <w:b/>
          <w:sz w:val="28"/>
          <w:szCs w:val="28"/>
        </w:rPr>
        <w:lastRenderedPageBreak/>
        <w:t>Table of Contents</w:t>
      </w:r>
    </w:p>
    <w:sdt>
      <w:sdtPr>
        <w:id w:val="-201248793"/>
        <w:docPartObj>
          <w:docPartGallery w:val="Table of Contents"/>
          <w:docPartUnique/>
        </w:docPartObj>
      </w:sdtPr>
      <w:sdtContent>
        <w:p w14:paraId="20810CE8" w14:textId="77777777" w:rsidR="0035348B" w:rsidRDefault="00000000">
          <w:pPr>
            <w:widowControl w:val="0"/>
            <w:tabs>
              <w:tab w:val="right" w:leader="dot" w:pos="12000"/>
            </w:tabs>
            <w:spacing w:before="60"/>
            <w:jc w:val="left"/>
            <w:rPr>
              <w:color w:val="000000"/>
            </w:rPr>
          </w:pPr>
          <w:r>
            <w:fldChar w:fldCharType="begin"/>
          </w:r>
          <w:r>
            <w:instrText xml:space="preserve"> TOC \h \u \z \t "Heading 1,1,Heading 2,2,Heading 3,3,Heading 4,4,Heading 5,5,Heading 6,6,"</w:instrText>
          </w:r>
          <w:r>
            <w:fldChar w:fldCharType="separate"/>
          </w:r>
          <w:hyperlink w:anchor="_4nxa05obmeu6">
            <w:r w:rsidR="0035348B">
              <w:rPr>
                <w:color w:val="000000"/>
              </w:rPr>
              <w:t>1. Introduction</w:t>
            </w:r>
            <w:r w:rsidR="0035348B">
              <w:rPr>
                <w:color w:val="000000"/>
              </w:rPr>
              <w:tab/>
              <w:t>1</w:t>
            </w:r>
          </w:hyperlink>
        </w:p>
        <w:p w14:paraId="11D8DA5B" w14:textId="77777777" w:rsidR="0035348B" w:rsidRDefault="0035348B">
          <w:pPr>
            <w:widowControl w:val="0"/>
            <w:tabs>
              <w:tab w:val="right" w:leader="dot" w:pos="12000"/>
            </w:tabs>
            <w:spacing w:before="60"/>
            <w:ind w:left="360"/>
            <w:jc w:val="left"/>
            <w:rPr>
              <w:color w:val="000000"/>
            </w:rPr>
          </w:pPr>
          <w:hyperlink w:anchor="_t2ort7wnbum6">
            <w:r>
              <w:rPr>
                <w:color w:val="000000"/>
              </w:rPr>
              <w:t>1.1 Event Description</w:t>
            </w:r>
            <w:r>
              <w:rPr>
                <w:color w:val="000000"/>
              </w:rPr>
              <w:tab/>
              <w:t>1</w:t>
            </w:r>
          </w:hyperlink>
        </w:p>
        <w:p w14:paraId="473D7FC5" w14:textId="77777777" w:rsidR="0035348B" w:rsidRDefault="0035348B">
          <w:pPr>
            <w:widowControl w:val="0"/>
            <w:tabs>
              <w:tab w:val="right" w:leader="dot" w:pos="12000"/>
            </w:tabs>
            <w:spacing w:before="60"/>
            <w:ind w:left="360"/>
            <w:jc w:val="left"/>
            <w:rPr>
              <w:color w:val="000000"/>
            </w:rPr>
          </w:pPr>
          <w:hyperlink w:anchor="_uerw6zv46v6l">
            <w:r>
              <w:rPr>
                <w:color w:val="000000"/>
              </w:rPr>
              <w:t>1.2 Rationale and Location</w:t>
            </w:r>
            <w:r>
              <w:rPr>
                <w:color w:val="000000"/>
              </w:rPr>
              <w:tab/>
              <w:t>1</w:t>
            </w:r>
          </w:hyperlink>
        </w:p>
        <w:p w14:paraId="1D5B7093" w14:textId="77777777" w:rsidR="0035348B" w:rsidRDefault="0035348B">
          <w:pPr>
            <w:widowControl w:val="0"/>
            <w:tabs>
              <w:tab w:val="right" w:leader="dot" w:pos="12000"/>
            </w:tabs>
            <w:spacing w:before="60"/>
            <w:jc w:val="left"/>
            <w:rPr>
              <w:color w:val="000000"/>
            </w:rPr>
          </w:pPr>
          <w:hyperlink w:anchor="_uy5plfezjpff">
            <w:r>
              <w:rPr>
                <w:color w:val="000000"/>
              </w:rPr>
              <w:t>2. The Event Cycle</w:t>
            </w:r>
            <w:r>
              <w:rPr>
                <w:color w:val="000000"/>
              </w:rPr>
              <w:tab/>
              <w:t>2</w:t>
            </w:r>
          </w:hyperlink>
        </w:p>
        <w:p w14:paraId="57FA803B" w14:textId="77777777" w:rsidR="0035348B" w:rsidRDefault="0035348B">
          <w:pPr>
            <w:widowControl w:val="0"/>
            <w:tabs>
              <w:tab w:val="right" w:leader="dot" w:pos="12000"/>
            </w:tabs>
            <w:spacing w:before="60"/>
            <w:ind w:left="360"/>
            <w:jc w:val="left"/>
            <w:rPr>
              <w:color w:val="000000"/>
            </w:rPr>
          </w:pPr>
          <w:hyperlink w:anchor="_9ev37kkx1g6z">
            <w:r>
              <w:rPr>
                <w:color w:val="000000"/>
              </w:rPr>
              <w:t>2.1 Definition of the Event Cycle</w:t>
            </w:r>
            <w:r>
              <w:rPr>
                <w:color w:val="000000"/>
              </w:rPr>
              <w:tab/>
              <w:t>2</w:t>
            </w:r>
          </w:hyperlink>
        </w:p>
        <w:p w14:paraId="4016468D" w14:textId="77777777" w:rsidR="0035348B" w:rsidRDefault="0035348B">
          <w:pPr>
            <w:widowControl w:val="0"/>
            <w:tabs>
              <w:tab w:val="right" w:leader="dot" w:pos="12000"/>
            </w:tabs>
            <w:spacing w:before="60"/>
            <w:ind w:left="360"/>
            <w:jc w:val="left"/>
            <w:rPr>
              <w:color w:val="000000"/>
            </w:rPr>
          </w:pPr>
          <w:hyperlink w:anchor="_yhxzzrw6fmkh">
            <w:r>
              <w:rPr>
                <w:color w:val="000000"/>
              </w:rPr>
              <w:t>2.2 Application to Croeso Cultural Mosaic</w:t>
            </w:r>
            <w:r>
              <w:rPr>
                <w:color w:val="000000"/>
              </w:rPr>
              <w:tab/>
              <w:t>2</w:t>
            </w:r>
          </w:hyperlink>
        </w:p>
        <w:p w14:paraId="319D7760" w14:textId="77777777" w:rsidR="0035348B" w:rsidRDefault="0035348B">
          <w:pPr>
            <w:widowControl w:val="0"/>
            <w:tabs>
              <w:tab w:val="right" w:leader="dot" w:pos="12000"/>
            </w:tabs>
            <w:spacing w:before="60"/>
            <w:jc w:val="left"/>
            <w:rPr>
              <w:color w:val="000000"/>
            </w:rPr>
          </w:pPr>
          <w:hyperlink w:anchor="_xelg39tnk860">
            <w:r>
              <w:rPr>
                <w:color w:val="000000"/>
              </w:rPr>
              <w:t>3. Event Concept &amp; Detailed Itinerary</w:t>
            </w:r>
            <w:r>
              <w:rPr>
                <w:color w:val="000000"/>
              </w:rPr>
              <w:tab/>
              <w:t>4</w:t>
            </w:r>
          </w:hyperlink>
        </w:p>
        <w:p w14:paraId="00F963CA" w14:textId="77777777" w:rsidR="0035348B" w:rsidRDefault="0035348B">
          <w:pPr>
            <w:widowControl w:val="0"/>
            <w:tabs>
              <w:tab w:val="right" w:leader="dot" w:pos="12000"/>
            </w:tabs>
            <w:spacing w:before="60"/>
            <w:ind w:left="360"/>
            <w:jc w:val="left"/>
            <w:rPr>
              <w:color w:val="000000"/>
            </w:rPr>
          </w:pPr>
          <w:hyperlink w:anchor="_a1jbjdslhhog">
            <w:r>
              <w:rPr>
                <w:color w:val="000000"/>
              </w:rPr>
              <w:t>3.1 Event Concept</w:t>
            </w:r>
            <w:r>
              <w:rPr>
                <w:color w:val="000000"/>
              </w:rPr>
              <w:tab/>
              <w:t>4</w:t>
            </w:r>
          </w:hyperlink>
        </w:p>
        <w:p w14:paraId="7A75DB8D" w14:textId="77777777" w:rsidR="0035348B" w:rsidRDefault="0035348B">
          <w:pPr>
            <w:widowControl w:val="0"/>
            <w:tabs>
              <w:tab w:val="right" w:leader="dot" w:pos="12000"/>
            </w:tabs>
            <w:spacing w:before="60"/>
            <w:ind w:left="360"/>
            <w:jc w:val="left"/>
            <w:rPr>
              <w:color w:val="000000"/>
            </w:rPr>
          </w:pPr>
          <w:hyperlink w:anchor="_inq7oa2lax74">
            <w:r>
              <w:rPr>
                <w:color w:val="000000"/>
              </w:rPr>
              <w:t>3.2 Detailed Itinerary</w:t>
            </w:r>
            <w:r>
              <w:rPr>
                <w:color w:val="000000"/>
              </w:rPr>
              <w:tab/>
              <w:t>4</w:t>
            </w:r>
          </w:hyperlink>
        </w:p>
        <w:p w14:paraId="16749FA5" w14:textId="77777777" w:rsidR="0035348B" w:rsidRDefault="0035348B">
          <w:pPr>
            <w:widowControl w:val="0"/>
            <w:tabs>
              <w:tab w:val="right" w:leader="dot" w:pos="12000"/>
            </w:tabs>
            <w:spacing w:before="60"/>
            <w:jc w:val="left"/>
            <w:rPr>
              <w:color w:val="000000"/>
            </w:rPr>
          </w:pPr>
          <w:hyperlink w:anchor="_a74m9zunrek3">
            <w:r>
              <w:rPr>
                <w:color w:val="000000"/>
              </w:rPr>
              <w:t>4. Aim and Objectives</w:t>
            </w:r>
            <w:r>
              <w:rPr>
                <w:color w:val="000000"/>
              </w:rPr>
              <w:tab/>
              <w:t>6</w:t>
            </w:r>
          </w:hyperlink>
        </w:p>
        <w:p w14:paraId="131D3FDB" w14:textId="77777777" w:rsidR="0035348B" w:rsidRDefault="0035348B">
          <w:pPr>
            <w:widowControl w:val="0"/>
            <w:tabs>
              <w:tab w:val="right" w:leader="dot" w:pos="12000"/>
            </w:tabs>
            <w:spacing w:before="60"/>
            <w:jc w:val="left"/>
            <w:rPr>
              <w:color w:val="000000"/>
            </w:rPr>
          </w:pPr>
          <w:hyperlink w:anchor="_b24zgat7c7o4">
            <w:r>
              <w:rPr>
                <w:color w:val="000000"/>
              </w:rPr>
              <w:t>5. Event Management: Skills, Resources &amp; Activities</w:t>
            </w:r>
            <w:r>
              <w:rPr>
                <w:color w:val="000000"/>
              </w:rPr>
              <w:tab/>
              <w:t>7</w:t>
            </w:r>
          </w:hyperlink>
        </w:p>
        <w:p w14:paraId="64276FE6" w14:textId="77777777" w:rsidR="0035348B" w:rsidRDefault="0035348B">
          <w:pPr>
            <w:widowControl w:val="0"/>
            <w:tabs>
              <w:tab w:val="right" w:leader="dot" w:pos="12000"/>
            </w:tabs>
            <w:spacing w:before="60"/>
            <w:ind w:left="360"/>
            <w:jc w:val="left"/>
            <w:rPr>
              <w:color w:val="000000"/>
            </w:rPr>
          </w:pPr>
          <w:hyperlink w:anchor="_aak9285yvdef">
            <w:r>
              <w:rPr>
                <w:color w:val="000000"/>
              </w:rPr>
              <w:t>5.1 Operational Roles and Responsibilities</w:t>
            </w:r>
            <w:r>
              <w:rPr>
                <w:color w:val="000000"/>
              </w:rPr>
              <w:tab/>
              <w:t>7</w:t>
            </w:r>
          </w:hyperlink>
        </w:p>
        <w:p w14:paraId="57FCC55C" w14:textId="77777777" w:rsidR="0035348B" w:rsidRDefault="0035348B">
          <w:pPr>
            <w:widowControl w:val="0"/>
            <w:tabs>
              <w:tab w:val="right" w:leader="dot" w:pos="12000"/>
            </w:tabs>
            <w:spacing w:before="60"/>
            <w:ind w:left="360"/>
            <w:jc w:val="left"/>
            <w:rPr>
              <w:color w:val="000000"/>
            </w:rPr>
          </w:pPr>
          <w:hyperlink w:anchor="_aijuy8s3cs8d">
            <w:r>
              <w:rPr>
                <w:color w:val="000000"/>
              </w:rPr>
              <w:t>5.2 Planning Tools and Frameworks</w:t>
            </w:r>
            <w:r>
              <w:rPr>
                <w:color w:val="000000"/>
              </w:rPr>
              <w:tab/>
              <w:t>7</w:t>
            </w:r>
          </w:hyperlink>
        </w:p>
        <w:p w14:paraId="172C4F76" w14:textId="77777777" w:rsidR="0035348B" w:rsidRDefault="0035348B">
          <w:pPr>
            <w:widowControl w:val="0"/>
            <w:tabs>
              <w:tab w:val="right" w:leader="dot" w:pos="12000"/>
            </w:tabs>
            <w:spacing w:before="60"/>
            <w:ind w:left="360"/>
            <w:jc w:val="left"/>
            <w:rPr>
              <w:color w:val="000000"/>
            </w:rPr>
          </w:pPr>
          <w:hyperlink w:anchor="_q0fplsj4b073">
            <w:r>
              <w:rPr>
                <w:color w:val="000000"/>
              </w:rPr>
              <w:t>5.3 Marketing, Logistics and Technology Requirements</w:t>
            </w:r>
            <w:r>
              <w:rPr>
                <w:color w:val="000000"/>
              </w:rPr>
              <w:tab/>
              <w:t>7</w:t>
            </w:r>
          </w:hyperlink>
        </w:p>
        <w:p w14:paraId="19F13112" w14:textId="77777777" w:rsidR="0035348B" w:rsidRDefault="0035348B">
          <w:pPr>
            <w:widowControl w:val="0"/>
            <w:tabs>
              <w:tab w:val="right" w:leader="dot" w:pos="12000"/>
            </w:tabs>
            <w:spacing w:before="60"/>
            <w:jc w:val="left"/>
            <w:rPr>
              <w:color w:val="000000"/>
            </w:rPr>
          </w:pPr>
          <w:hyperlink w:anchor="_hjd8t9laxwe4">
            <w:r>
              <w:rPr>
                <w:color w:val="000000"/>
              </w:rPr>
              <w:t>6. Event Budget &amp; Financial Analysis</w:t>
            </w:r>
            <w:r>
              <w:rPr>
                <w:color w:val="000000"/>
              </w:rPr>
              <w:tab/>
              <w:t>9</w:t>
            </w:r>
          </w:hyperlink>
        </w:p>
        <w:p w14:paraId="54F432CA" w14:textId="77777777" w:rsidR="0035348B" w:rsidRDefault="0035348B">
          <w:pPr>
            <w:widowControl w:val="0"/>
            <w:tabs>
              <w:tab w:val="right" w:leader="dot" w:pos="12000"/>
            </w:tabs>
            <w:spacing w:before="60"/>
            <w:jc w:val="left"/>
            <w:rPr>
              <w:color w:val="000000"/>
            </w:rPr>
          </w:pPr>
          <w:hyperlink w:anchor="_q5haf22rfudz">
            <w:r>
              <w:rPr>
                <w:color w:val="000000"/>
              </w:rPr>
              <w:t>7. Industry Trends, Issues &amp; Impacts</w:t>
            </w:r>
            <w:r>
              <w:rPr>
                <w:color w:val="000000"/>
              </w:rPr>
              <w:tab/>
              <w:t>11</w:t>
            </w:r>
          </w:hyperlink>
        </w:p>
        <w:p w14:paraId="374D5284" w14:textId="77777777" w:rsidR="0035348B" w:rsidRDefault="0035348B">
          <w:pPr>
            <w:widowControl w:val="0"/>
            <w:tabs>
              <w:tab w:val="right" w:leader="dot" w:pos="12000"/>
            </w:tabs>
            <w:spacing w:before="60"/>
            <w:jc w:val="left"/>
            <w:rPr>
              <w:color w:val="000000"/>
            </w:rPr>
          </w:pPr>
          <w:hyperlink w:anchor="_sglg0iu4eib0">
            <w:r>
              <w:rPr>
                <w:color w:val="000000"/>
              </w:rPr>
              <w:t>8. Situational &amp; Cultural Considerations</w:t>
            </w:r>
            <w:r>
              <w:rPr>
                <w:color w:val="000000"/>
              </w:rPr>
              <w:tab/>
              <w:t>12</w:t>
            </w:r>
          </w:hyperlink>
        </w:p>
        <w:p w14:paraId="2C635158" w14:textId="77777777" w:rsidR="0035348B" w:rsidRDefault="0035348B">
          <w:pPr>
            <w:widowControl w:val="0"/>
            <w:tabs>
              <w:tab w:val="right" w:leader="dot" w:pos="12000"/>
            </w:tabs>
            <w:spacing w:before="60"/>
            <w:ind w:left="360"/>
            <w:jc w:val="left"/>
            <w:rPr>
              <w:color w:val="000000"/>
            </w:rPr>
          </w:pPr>
          <w:hyperlink w:anchor="_6kgw8z611217">
            <w:r>
              <w:rPr>
                <w:color w:val="000000"/>
              </w:rPr>
              <w:t>8.1 PESTEL Analysis</w:t>
            </w:r>
            <w:r>
              <w:rPr>
                <w:color w:val="000000"/>
              </w:rPr>
              <w:tab/>
              <w:t>12</w:t>
            </w:r>
          </w:hyperlink>
        </w:p>
        <w:p w14:paraId="79346A11" w14:textId="77777777" w:rsidR="0035348B" w:rsidRDefault="0035348B">
          <w:pPr>
            <w:widowControl w:val="0"/>
            <w:tabs>
              <w:tab w:val="right" w:leader="dot" w:pos="12000"/>
            </w:tabs>
            <w:spacing w:before="60"/>
            <w:ind w:left="360"/>
            <w:jc w:val="left"/>
            <w:rPr>
              <w:color w:val="000000"/>
            </w:rPr>
          </w:pPr>
          <w:hyperlink w:anchor="_20xd4e4m21m6">
            <w:r>
              <w:rPr>
                <w:color w:val="000000"/>
              </w:rPr>
              <w:t>8.2 SWOT analysis</w:t>
            </w:r>
            <w:r>
              <w:rPr>
                <w:color w:val="000000"/>
              </w:rPr>
              <w:tab/>
              <w:t>13</w:t>
            </w:r>
          </w:hyperlink>
        </w:p>
        <w:p w14:paraId="6AD60ADB" w14:textId="77777777" w:rsidR="0035348B" w:rsidRDefault="0035348B">
          <w:pPr>
            <w:widowControl w:val="0"/>
            <w:tabs>
              <w:tab w:val="right" w:leader="dot" w:pos="12000"/>
            </w:tabs>
            <w:spacing w:before="60"/>
            <w:jc w:val="left"/>
            <w:rPr>
              <w:color w:val="000000"/>
            </w:rPr>
          </w:pPr>
          <w:hyperlink w:anchor="_l0fefavt4qpj">
            <w:r>
              <w:rPr>
                <w:color w:val="000000"/>
              </w:rPr>
              <w:t>9. Conclusion &amp; Recommendations</w:t>
            </w:r>
            <w:r>
              <w:rPr>
                <w:color w:val="000000"/>
              </w:rPr>
              <w:tab/>
              <w:t>14</w:t>
            </w:r>
          </w:hyperlink>
        </w:p>
        <w:p w14:paraId="306B56FD" w14:textId="77777777" w:rsidR="0035348B" w:rsidRDefault="0035348B">
          <w:pPr>
            <w:widowControl w:val="0"/>
            <w:tabs>
              <w:tab w:val="right" w:leader="dot" w:pos="12000"/>
            </w:tabs>
            <w:spacing w:before="60"/>
            <w:jc w:val="left"/>
            <w:rPr>
              <w:color w:val="000000"/>
            </w:rPr>
          </w:pPr>
          <w:hyperlink w:anchor="_5tbsbmlizcgg">
            <w:r>
              <w:rPr>
                <w:color w:val="000000"/>
              </w:rPr>
              <w:t>References</w:t>
            </w:r>
            <w:r>
              <w:rPr>
                <w:color w:val="000000"/>
              </w:rPr>
              <w:tab/>
              <w:t>15</w:t>
            </w:r>
          </w:hyperlink>
          <w:r w:rsidR="00000000">
            <w:fldChar w:fldCharType="end"/>
          </w:r>
        </w:p>
      </w:sdtContent>
    </w:sdt>
    <w:p w14:paraId="20F50340" w14:textId="77777777" w:rsidR="0035348B" w:rsidRDefault="00000000">
      <w:pPr>
        <w:spacing w:after="80"/>
        <w:jc w:val="center"/>
      </w:pPr>
      <w:r>
        <w:br w:type="page"/>
      </w:r>
    </w:p>
    <w:p w14:paraId="728A71D5" w14:textId="77777777" w:rsidR="0035348B" w:rsidRDefault="00000000">
      <w:pPr>
        <w:pStyle w:val="Heading1"/>
        <w:keepNext w:val="0"/>
        <w:keepLines w:val="0"/>
        <w:spacing w:after="80"/>
      </w:pPr>
      <w:bookmarkStart w:id="0" w:name="_4nxa05obmeu6" w:colFirst="0" w:colLast="0"/>
      <w:bookmarkEnd w:id="0"/>
      <w:r>
        <w:lastRenderedPageBreak/>
        <w:t>1. Introduction</w:t>
      </w:r>
    </w:p>
    <w:p w14:paraId="443DF270" w14:textId="77777777" w:rsidR="0035348B" w:rsidRDefault="00000000">
      <w:pPr>
        <w:pStyle w:val="Heading2"/>
      </w:pPr>
      <w:bookmarkStart w:id="1" w:name="_t2ort7wnbum6" w:colFirst="0" w:colLast="0"/>
      <w:bookmarkEnd w:id="1"/>
      <w:r>
        <w:t>1.1 Event Description</w:t>
      </w:r>
    </w:p>
    <w:p w14:paraId="178A887C" w14:textId="77777777" w:rsidR="0035348B" w:rsidRDefault="00000000">
      <w:pPr>
        <w:spacing w:before="240" w:after="240"/>
      </w:pPr>
      <w:proofErr w:type="spellStart"/>
      <w:r>
        <w:t>Croeso</w:t>
      </w:r>
      <w:proofErr w:type="spellEnd"/>
      <w:r>
        <w:t xml:space="preserve"> Cultural Mosaic is a three-day hybrid meeting and cultural programme designed to celebrate Visit </w:t>
      </w:r>
      <w:proofErr w:type="spellStart"/>
      <w:r>
        <w:t>Wales’</w:t>
      </w:r>
      <w:proofErr w:type="spellEnd"/>
      <w:r>
        <w:t xml:space="preserve"> “Year of </w:t>
      </w:r>
      <w:proofErr w:type="spellStart"/>
      <w:r>
        <w:t>Croeso</w:t>
      </w:r>
      <w:proofErr w:type="spellEnd"/>
      <w:r>
        <w:t xml:space="preserve"> 2025.” Combining academic sessions with immersive local experiences, the event invites international delegates to explore Wales’s heritage through a curated blend of conference workshops, heritage site visits, and traditional dining experiences. The programme integrates plenary discussions on sustainable destination management with interactive excursions to Cardiff Castle, Pembroke Castle, and the Brecon Beacons, fostering deep engagement with Wales’s cultural ecosystem services (Csurgó and Smith, 2022).</w:t>
      </w:r>
    </w:p>
    <w:p w14:paraId="38A2AFB3" w14:textId="77777777" w:rsidR="0035348B" w:rsidRDefault="00000000">
      <w:pPr>
        <w:pStyle w:val="Heading2"/>
        <w:keepNext w:val="0"/>
        <w:keepLines w:val="0"/>
      </w:pPr>
      <w:bookmarkStart w:id="2" w:name="_uerw6zv46v6l" w:colFirst="0" w:colLast="0"/>
      <w:bookmarkEnd w:id="2"/>
      <w:r>
        <w:t>1.2 Rationale and Location</w:t>
      </w:r>
    </w:p>
    <w:p w14:paraId="543B37C6" w14:textId="77777777" w:rsidR="0035348B" w:rsidRDefault="00000000">
      <w:pPr>
        <w:spacing w:before="240" w:after="240"/>
      </w:pPr>
      <w:r>
        <w:t>Cardiff has been selected as the primary venue to capitalise on its world-class conference facilities at ICC Wales and its proximity to historic landmarks, ensuring logistical efficiency and thematic coherence. Scheduling the event in the shoulder season addresses under-utilisation of accommodation and supports local economic stimulation during a traditionally quieter period (</w:t>
      </w:r>
      <w:proofErr w:type="spellStart"/>
      <w:r>
        <w:t>Ashrapov</w:t>
      </w:r>
      <w:proofErr w:type="spellEnd"/>
      <w:r>
        <w:t xml:space="preserve"> and Patterson, 2022). Emphasising “Sense of Place,” the event aims to build delegates’ place attachment by showcasing indigenous heritage practices, local cuisine, and community-led tourism initiatives (Cresswell, 2013). This strategic focus not only strengthens Wales’s destination branding but also aligns with broader industry objectives of experiential engagement and sustainable tourism growth (Haven-Tang and Jones, 2005).</w:t>
      </w:r>
    </w:p>
    <w:p w14:paraId="7ED78749" w14:textId="77777777" w:rsidR="0035348B" w:rsidRDefault="0035348B">
      <w:pPr>
        <w:spacing w:before="240" w:after="240"/>
      </w:pPr>
    </w:p>
    <w:p w14:paraId="2D6DEBFD" w14:textId="77777777" w:rsidR="0035348B" w:rsidRDefault="00000000">
      <w:r>
        <w:br w:type="page"/>
      </w:r>
    </w:p>
    <w:p w14:paraId="6D03151C" w14:textId="77777777" w:rsidR="0035348B" w:rsidRDefault="00000000">
      <w:pPr>
        <w:pStyle w:val="Heading1"/>
      </w:pPr>
      <w:bookmarkStart w:id="3" w:name="_uy5plfezjpff" w:colFirst="0" w:colLast="0"/>
      <w:bookmarkEnd w:id="3"/>
      <w:r>
        <w:lastRenderedPageBreak/>
        <w:t>2. The Event Cycle</w:t>
      </w:r>
    </w:p>
    <w:p w14:paraId="2A4DC8F6" w14:textId="77777777" w:rsidR="0035348B" w:rsidRDefault="00000000">
      <w:pPr>
        <w:pStyle w:val="Heading2"/>
        <w:keepNext w:val="0"/>
        <w:keepLines w:val="0"/>
        <w:spacing w:before="280"/>
      </w:pPr>
      <w:bookmarkStart w:id="4" w:name="_9ev37kkx1g6z" w:colFirst="0" w:colLast="0"/>
      <w:bookmarkEnd w:id="4"/>
      <w:r>
        <w:t>2.1 Definition of the Event Cycle</w:t>
      </w:r>
    </w:p>
    <w:p w14:paraId="05234D87" w14:textId="77777777" w:rsidR="0035348B" w:rsidRDefault="00000000">
      <w:pPr>
        <w:spacing w:before="240" w:after="240"/>
      </w:pPr>
      <w:r>
        <w:t>The Event Cycle is a four-phase model that structures the lifecycle of planned events into initiation, planning, implementation, and evaluation stages (Getz and Page, 2019). In the initiation phase, organisers determine event objectives, secure stakeholder buy-in, and conduct feasibility studies to ensure logistical and financial viability (O’Toole, 2011). The planning phase involves detailed task scheduling, resource allocation, and risk management, typically utilising tools such as Gantt charts and RACI matrices (Meredith, 2022). Implementation encompasses on-site coordination, supplier management, and real-time problem resolution, while the evaluation phase captures performance metrics, stakeholder feedback, and financial reconciliation to inform future improvements (Lewicka, 2011).</w:t>
      </w:r>
    </w:p>
    <w:p w14:paraId="3661E473" w14:textId="77777777" w:rsidR="0035348B" w:rsidRDefault="00000000">
      <w:pPr>
        <w:pStyle w:val="Heading2"/>
        <w:keepNext w:val="0"/>
        <w:keepLines w:val="0"/>
        <w:spacing w:before="280"/>
      </w:pPr>
      <w:bookmarkStart w:id="5" w:name="_yhxzzrw6fmkh" w:colFirst="0" w:colLast="0"/>
      <w:bookmarkEnd w:id="5"/>
      <w:r>
        <w:t xml:space="preserve">2.2 Application to </w:t>
      </w:r>
      <w:proofErr w:type="spellStart"/>
      <w:r>
        <w:t>Croeso</w:t>
      </w:r>
      <w:proofErr w:type="spellEnd"/>
      <w:r>
        <w:t xml:space="preserve"> Cultural Mosaic</w:t>
      </w:r>
    </w:p>
    <w:p w14:paraId="6485D04A" w14:textId="77777777" w:rsidR="0035348B" w:rsidRDefault="00000000">
      <w:pPr>
        <w:spacing w:before="240" w:after="240"/>
      </w:pPr>
      <w:r>
        <w:rPr>
          <w:b/>
        </w:rPr>
        <w:t>Initiation</w:t>
      </w:r>
      <w:r>
        <w:t xml:space="preserve"> for </w:t>
      </w:r>
      <w:proofErr w:type="spellStart"/>
      <w:r>
        <w:t>Croeso</w:t>
      </w:r>
      <w:proofErr w:type="spellEnd"/>
      <w:r>
        <w:t xml:space="preserve"> Cultural Mosaic commenced with a feasibility assessment outlined in Assignment 1, which confirmed partnership agreements with ICC Wales and Visit Wales, provisional booking of Cardiff Castle, and preliminary budget estimates </w:t>
      </w:r>
      <w:proofErr w:type="spellStart"/>
      <w:r>
        <w:t>totaling</w:t>
      </w:r>
      <w:proofErr w:type="spellEnd"/>
      <w:r>
        <w:t xml:space="preserve"> £348,500 expenditure against projected income of £340,000 (</w:t>
      </w:r>
      <w:proofErr w:type="spellStart"/>
      <w:r>
        <w:t>Ashrapov</w:t>
      </w:r>
      <w:proofErr w:type="spellEnd"/>
      <w:r>
        <w:t xml:space="preserve"> and Patterson, 2022). During this phase, the project team defined thematic pillars</w:t>
      </w:r>
      <w:r w:rsidR="00901E2A">
        <w:t xml:space="preserve"> - </w:t>
      </w:r>
      <w:r>
        <w:t>sustainable destination management, community-led tourism, and sense of place</w:t>
      </w:r>
      <w:r w:rsidR="00901E2A">
        <w:t xml:space="preserve"> - </w:t>
      </w:r>
      <w:r>
        <w:t>and secured endorsement from the Welsh Government’s Visit Wales market demand study (Welsh Government, 2024).</w:t>
      </w:r>
    </w:p>
    <w:p w14:paraId="7C948FC7" w14:textId="77777777" w:rsidR="0035348B" w:rsidRDefault="00000000">
      <w:pPr>
        <w:spacing w:before="240" w:after="240"/>
      </w:pPr>
      <w:r>
        <w:rPr>
          <w:b/>
        </w:rPr>
        <w:t>Planning</w:t>
      </w:r>
      <w:r>
        <w:t xml:space="preserve"> has been structured around a 24-week Gantt chart to synchronise venue confirmations, marketing campaigns, and supplier contracts. A RACI matrix clarifies responsibilities among event producers, heritage interpreters, audiovisual technicians, and transport coordinators, ensuring accountability for each task (Meredith, 2022). The risk register identifies contingencies for adverse weather in outdoor excursions to Pembroke Castle and technical failures in hybrid streaming, with backup power and alternate indoor venues pre-booked (</w:t>
      </w:r>
      <w:proofErr w:type="spellStart"/>
      <w:r>
        <w:t>Lekgau</w:t>
      </w:r>
      <w:proofErr w:type="spellEnd"/>
      <w:r>
        <w:t xml:space="preserve"> and </w:t>
      </w:r>
      <w:proofErr w:type="spellStart"/>
      <w:r>
        <w:t>Tichaawa</w:t>
      </w:r>
      <w:proofErr w:type="spellEnd"/>
      <w:r>
        <w:t>, 2023).</w:t>
      </w:r>
    </w:p>
    <w:p w14:paraId="6A5CD0E2" w14:textId="77777777" w:rsidR="0035348B" w:rsidRDefault="00000000">
      <w:pPr>
        <w:spacing w:before="240" w:after="240"/>
      </w:pPr>
      <w:r>
        <w:rPr>
          <w:b/>
        </w:rPr>
        <w:lastRenderedPageBreak/>
        <w:t>Implementation</w:t>
      </w:r>
      <w:r>
        <w:t xml:space="preserve"> will deploy a local logistics team to manage audiovisual set-ups at ICC Wales and Cardiff Castle, coordinate farm-to-fork catering in partnership with regional suppliers, and oversee delegate transfers via chartered coaches. Sustainable practices</w:t>
      </w:r>
      <w:r w:rsidR="00901E2A">
        <w:t xml:space="preserve"> - </w:t>
      </w:r>
      <w:r>
        <w:t>including zero-waste catering and digital delegate materials</w:t>
      </w:r>
      <w:r w:rsidR="00901E2A">
        <w:t xml:space="preserve"> - </w:t>
      </w:r>
      <w:r>
        <w:t>are embedded to align with industry expectations (Patterson and Quinn, 2012).</w:t>
      </w:r>
    </w:p>
    <w:p w14:paraId="05C6573B" w14:textId="77777777" w:rsidR="0035348B" w:rsidRDefault="00000000">
      <w:pPr>
        <w:spacing w:before="240" w:after="240"/>
      </w:pPr>
      <w:r>
        <w:rPr>
          <w:b/>
        </w:rPr>
        <w:t>Evaluation</w:t>
      </w:r>
      <w:r>
        <w:t xml:space="preserve"> is scheduled immediately after event close, utilising online surveys and post-event debriefs to measure delegate satisfaction, sense-of-place attachment, and financial outcomes against SMART objectives. Data will inform recommendations for subsequent editions, ensuring continuous improvement and knowledge transfer to local partners (Lewicka, 2011).</w:t>
      </w:r>
    </w:p>
    <w:p w14:paraId="250D1FD8" w14:textId="77777777" w:rsidR="0035348B" w:rsidRDefault="00000000">
      <w:pPr>
        <w:spacing w:before="240" w:after="240"/>
      </w:pPr>
      <w:r>
        <w:t>.</w:t>
      </w:r>
    </w:p>
    <w:p w14:paraId="038B57CC" w14:textId="77777777" w:rsidR="0035348B" w:rsidRDefault="00000000">
      <w:pPr>
        <w:pStyle w:val="Heading1"/>
      </w:pPr>
      <w:bookmarkStart w:id="6" w:name="_7rvl8n8zanyz" w:colFirst="0" w:colLast="0"/>
      <w:bookmarkEnd w:id="6"/>
      <w:r>
        <w:br w:type="page"/>
      </w:r>
    </w:p>
    <w:p w14:paraId="13B3D4AD" w14:textId="77777777" w:rsidR="0035348B" w:rsidRDefault="00000000">
      <w:pPr>
        <w:pStyle w:val="Heading1"/>
      </w:pPr>
      <w:bookmarkStart w:id="7" w:name="_xelg39tnk860" w:colFirst="0" w:colLast="0"/>
      <w:bookmarkEnd w:id="7"/>
      <w:r>
        <w:lastRenderedPageBreak/>
        <w:t>3. Event Concept &amp; Detailed Itinerary</w:t>
      </w:r>
    </w:p>
    <w:p w14:paraId="74F2A0B9" w14:textId="77777777" w:rsidR="0035348B" w:rsidRDefault="00000000">
      <w:pPr>
        <w:pStyle w:val="Heading2"/>
        <w:keepNext w:val="0"/>
        <w:keepLines w:val="0"/>
        <w:spacing w:before="280"/>
      </w:pPr>
      <w:bookmarkStart w:id="8" w:name="_a1jbjdslhhog" w:colFirst="0" w:colLast="0"/>
      <w:bookmarkEnd w:id="8"/>
      <w:r>
        <w:t>3.1 Event Concept</w:t>
      </w:r>
    </w:p>
    <w:p w14:paraId="1B0CDC09" w14:textId="77777777" w:rsidR="0035348B" w:rsidRDefault="00000000">
      <w:pPr>
        <w:spacing w:before="240" w:after="240"/>
      </w:pPr>
      <w:proofErr w:type="spellStart"/>
      <w:r>
        <w:t>Croeso</w:t>
      </w:r>
      <w:proofErr w:type="spellEnd"/>
      <w:r>
        <w:t xml:space="preserve"> Cultural Mosaic offers delegates an integrated experience that weaves academic discourse with authentic Welsh cultural engagement. The concept </w:t>
      </w:r>
      <w:proofErr w:type="spellStart"/>
      <w:r>
        <w:t>centers</w:t>
      </w:r>
      <w:proofErr w:type="spellEnd"/>
      <w:r>
        <w:t xml:space="preserve"> on “Sense of Place,” inviting participants to deepen their connection to Wales’s heritage through a balanced programme of conference sessions, hands-on workshops, and curated excursions (Csurgó and Smith, 2022). Hybrid delivery technology enables remote participation, while in-person attendees benefit from immersive site visits and local dining experiences that showcase regional produce and traditional craft. Each element has been designed to reinforce sustainable destination management principles, align with Visit Wales’s strategic objectives, and address under-utilisation of local venues in the shoulder season (</w:t>
      </w:r>
      <w:proofErr w:type="spellStart"/>
      <w:r>
        <w:t>Ashrapov</w:t>
      </w:r>
      <w:proofErr w:type="spellEnd"/>
      <w:r>
        <w:t xml:space="preserve"> and Patterson, 2022).</w:t>
      </w:r>
    </w:p>
    <w:p w14:paraId="5761FE70" w14:textId="77777777" w:rsidR="0035348B" w:rsidRDefault="00000000">
      <w:pPr>
        <w:pStyle w:val="Heading2"/>
        <w:keepNext w:val="0"/>
        <w:keepLines w:val="0"/>
        <w:spacing w:before="280"/>
      </w:pPr>
      <w:bookmarkStart w:id="9" w:name="_inq7oa2lax74" w:colFirst="0" w:colLast="0"/>
      <w:bookmarkEnd w:id="9"/>
      <w:r>
        <w:t>3.2 Detailed Itinerary</w:t>
      </w:r>
    </w:p>
    <w:p w14:paraId="656AFF3A" w14:textId="77777777" w:rsidR="0035348B" w:rsidRDefault="00000000">
      <w:pPr>
        <w:spacing w:before="240" w:after="240"/>
      </w:pPr>
      <w:r>
        <w:t>Delegates arrive on Day One at ICC Wales, where registration desks open at 08:00. A welcome address at 09:00 by Visit Wales executives introduces the themes of cultural ecosystem services and tourism innovation. From 10:00 to 12:30, a plenary on sustainable destination management features case studies from Pembrokeshire and Snowdonia, supported by high-definition live‐streaming to remote participants. A farm-to-table luncheon in the ICC courtyard from 12:30 to 14:00 highlights locally sourced lamb and leeks, aligned with zero-waste catering objectives (Patterson and Quinn, 2012). After lunch, delegates depart by chartered coach at 14:30 for a guided tour of Cardiff Castle until 17:00, where heritage interpreters demonstrate medieval construction techniques. The evening concludes with a traditional Welsh banquet at Castell Coch from 18:30 to 21:00, featuring storytelling and live folk music to foster place attachment (Driscoll, 2023).</w:t>
      </w:r>
    </w:p>
    <w:p w14:paraId="54CE4D87" w14:textId="77777777" w:rsidR="0035348B" w:rsidRDefault="00000000">
      <w:pPr>
        <w:spacing w:before="240" w:after="240"/>
      </w:pPr>
      <w:r>
        <w:t xml:space="preserve">On Day Two, morning sessions from 09:00 to 11:30 occur in the Castle’s banqueting hall, focusing on community-led tourism models. Interactive slate-painting workshops in adjacent courtyard spaces run until 13:00, allowing delegates to engage directly with local artisans. A packed picnic lunch is served in Bute Park, where participants complete a sense-of-place mapping exercise. At 14:00, coaches transport delegates to Pembroke Castle for a 15:00 guided exploration of </w:t>
      </w:r>
      <w:r>
        <w:lastRenderedPageBreak/>
        <w:t>Elizabethan fortifications. Networking refreshments on the castle ramparts at 17:30 offer locally brewed ciders and cheeses, before return to Cardiff at 19:30 for an informal networking dinner at a boutique city-centre bistro.</w:t>
      </w:r>
    </w:p>
    <w:p w14:paraId="09811EBF" w14:textId="77777777" w:rsidR="0035348B" w:rsidRDefault="00000000">
      <w:pPr>
        <w:spacing w:before="240" w:after="240"/>
      </w:pPr>
      <w:r>
        <w:t>Day Three begins at 09:00 in ICC Wales with a hybrid panel on destination branding, integrating online polling for remote attendees. From 11:30 to 13:00, delegates engage in micro-seminars on measuring cultural ecosystem value, facilitated by academic experts. A closing ceremony at Cardiff Castle’s Music Room from 14:00 to 15:30 recognizes outstanding contributions and solicits feedback via digital surveys. Post-event, optional premium excursions to the Brecon Beacons depart at 16:00, offering guided nature walks and local culinary tastings until 18:30, reinforcing the event’s ethos of experiential, sustainable tourism (Haven-Tang and Jones, 2005).</w:t>
      </w:r>
    </w:p>
    <w:p w14:paraId="39852BAD" w14:textId="77777777" w:rsidR="0035348B" w:rsidRDefault="00000000">
      <w:pPr>
        <w:pStyle w:val="Heading1"/>
        <w:keepNext w:val="0"/>
        <w:keepLines w:val="0"/>
        <w:spacing w:before="360" w:after="80"/>
        <w:jc w:val="left"/>
      </w:pPr>
      <w:bookmarkStart w:id="10" w:name="_ek6brnjun1vo" w:colFirst="0" w:colLast="0"/>
      <w:bookmarkEnd w:id="10"/>
      <w:r>
        <w:br w:type="page"/>
      </w:r>
    </w:p>
    <w:p w14:paraId="44E95EB8" w14:textId="77777777" w:rsidR="0035348B" w:rsidRDefault="00000000">
      <w:pPr>
        <w:pStyle w:val="Heading1"/>
        <w:keepNext w:val="0"/>
        <w:keepLines w:val="0"/>
        <w:spacing w:before="360" w:after="80"/>
        <w:jc w:val="left"/>
      </w:pPr>
      <w:bookmarkStart w:id="11" w:name="_a74m9zunrek3" w:colFirst="0" w:colLast="0"/>
      <w:bookmarkEnd w:id="11"/>
      <w:r>
        <w:lastRenderedPageBreak/>
        <w:t>4. Aim and Objectives</w:t>
      </w:r>
    </w:p>
    <w:p w14:paraId="47E38EA3" w14:textId="77777777" w:rsidR="0035348B" w:rsidRDefault="00000000">
      <w:pPr>
        <w:spacing w:before="240" w:after="240"/>
      </w:pPr>
      <w:r>
        <w:t xml:space="preserve">The overarching aim of </w:t>
      </w:r>
      <w:proofErr w:type="spellStart"/>
      <w:r>
        <w:t>Croeso</w:t>
      </w:r>
      <w:proofErr w:type="spellEnd"/>
      <w:r>
        <w:t xml:space="preserve"> Cultural Mosaic is to position the “Year of </w:t>
      </w:r>
      <w:proofErr w:type="spellStart"/>
      <w:r>
        <w:t>Croeso</w:t>
      </w:r>
      <w:proofErr w:type="spellEnd"/>
      <w:r>
        <w:t xml:space="preserve"> 2025” event as a benchmark for culturally immersive MICE programmes that foster lasting emotional connections with Wales’s heritage. By integrating academic sessions on sustainable destination management with authentic local experiences, the event seeks to transform delegates’ understanding of “sense of place” into actionable strategies for their own destinations. This aim will guide all stages of execution, from securing stakeholder partnerships in May 2024 through to post-event evaluations in July 2025, ensuring that every element reinforces Wales’s destination brand while delivering measurable value to participants.</w:t>
      </w:r>
    </w:p>
    <w:p w14:paraId="7FE3DC3A" w14:textId="77777777" w:rsidR="0035348B" w:rsidRDefault="00000000">
      <w:pPr>
        <w:spacing w:before="240" w:after="240"/>
      </w:pPr>
      <w:r>
        <w:t xml:space="preserve">Three SMART objectives support this aim. First, by the close of the event in June 2025, delegate surveys will demonstrate a minimum 30 percent increase in sense-of-place attachment compared to pre-event baselines gathered in May 2025. Second, sponsorship commitments </w:t>
      </w:r>
      <w:proofErr w:type="spellStart"/>
      <w:r>
        <w:t>totaling</w:t>
      </w:r>
      <w:proofErr w:type="spellEnd"/>
      <w:r>
        <w:t xml:space="preserve"> at least £60,000 will be secured by the end of May 2024, spread evenly between public grants and private-sector partnerships to guarantee financial resilience. Third, event feedback will show a minimum overall satisfaction rating of 90 percent for both the hybrid conference components and the cultural excursions, as assessed through digital tools and in-person interviews conducted immediately after the closing ceremony. These objectives provide clear benchmarks for monitoring progress and evaluating success.</w:t>
      </w:r>
    </w:p>
    <w:p w14:paraId="6384952E" w14:textId="77777777" w:rsidR="0035348B" w:rsidRDefault="00000000">
      <w:pPr>
        <w:pStyle w:val="Heading1"/>
        <w:spacing w:before="240" w:after="240"/>
        <w:jc w:val="left"/>
      </w:pPr>
      <w:bookmarkStart w:id="12" w:name="_vdquyfjl624n" w:colFirst="0" w:colLast="0"/>
      <w:bookmarkEnd w:id="12"/>
      <w:r>
        <w:br/>
      </w:r>
      <w:r>
        <w:br w:type="page"/>
      </w:r>
    </w:p>
    <w:p w14:paraId="705BE624" w14:textId="77777777" w:rsidR="0035348B" w:rsidRDefault="00000000">
      <w:pPr>
        <w:pStyle w:val="Heading1"/>
        <w:spacing w:before="240" w:after="240"/>
        <w:jc w:val="left"/>
      </w:pPr>
      <w:bookmarkStart w:id="13" w:name="_b24zgat7c7o4" w:colFirst="0" w:colLast="0"/>
      <w:bookmarkEnd w:id="13"/>
      <w:r>
        <w:lastRenderedPageBreak/>
        <w:t>5. Event Management: Skills, Resources &amp; Activities</w:t>
      </w:r>
    </w:p>
    <w:p w14:paraId="1098EA84" w14:textId="77777777" w:rsidR="0035348B" w:rsidRDefault="00000000">
      <w:pPr>
        <w:pStyle w:val="Heading2"/>
        <w:keepNext w:val="0"/>
        <w:keepLines w:val="0"/>
        <w:spacing w:before="280"/>
      </w:pPr>
      <w:bookmarkStart w:id="14" w:name="_aak9285yvdef" w:colFirst="0" w:colLast="0"/>
      <w:bookmarkEnd w:id="14"/>
      <w:r>
        <w:t>5.1 Operational Roles and Responsibilities</w:t>
      </w:r>
    </w:p>
    <w:p w14:paraId="5569921C" w14:textId="77777777" w:rsidR="0035348B" w:rsidRDefault="00000000">
      <w:pPr>
        <w:spacing w:before="240" w:after="240"/>
      </w:pPr>
      <w:r>
        <w:t xml:space="preserve">Successful delivery of </w:t>
      </w:r>
      <w:proofErr w:type="spellStart"/>
      <w:r>
        <w:t>Croeso</w:t>
      </w:r>
      <w:proofErr w:type="spellEnd"/>
      <w:r>
        <w:t xml:space="preserve"> Cultural Mosaic requires a dedicated team of fifteen core staff, including an event director, three programme coordinators, two logistics managers, four heritage interpreters, and five audiovisual technicians. The event director oversees strategic partnerships with ICC Wales and Visit Wales, while programme coordinators manage academic content, workshop facilitation, and delegate services. Logistics managers liaise with local transport providers to schedule 12 coach transfers daily, ensuring seamless movement between Cardiff and Pembrokeshire venues. Heritage interpreters</w:t>
      </w:r>
      <w:r w:rsidR="00901E2A">
        <w:t xml:space="preserve"> - </w:t>
      </w:r>
      <w:r>
        <w:t xml:space="preserve">sourced from the University of Wales Trinity </w:t>
      </w:r>
      <w:proofErr w:type="gramStart"/>
      <w:r>
        <w:t>Saint David’s museum</w:t>
      </w:r>
      <w:proofErr w:type="gramEnd"/>
      <w:r>
        <w:t xml:space="preserve"> studies cohort</w:t>
      </w:r>
      <w:r w:rsidR="00901E2A">
        <w:t xml:space="preserve"> - </w:t>
      </w:r>
      <w:r>
        <w:t>guide site visits at Cardiff Castle and Pembroke Castle, drawing on place theory to deepen visitor engagement (Driscoll, 2023). Audiovisual technicians install and monitor dual-stream cameras, sound systems, and backup power units at two primary venues to support hybrid delivery (</w:t>
      </w:r>
      <w:proofErr w:type="spellStart"/>
      <w:r>
        <w:t>Lekgau</w:t>
      </w:r>
      <w:proofErr w:type="spellEnd"/>
      <w:r>
        <w:t xml:space="preserve"> and </w:t>
      </w:r>
      <w:proofErr w:type="spellStart"/>
      <w:r>
        <w:t>Tichaawa</w:t>
      </w:r>
      <w:proofErr w:type="spellEnd"/>
      <w:r>
        <w:t>, 2023).</w:t>
      </w:r>
    </w:p>
    <w:p w14:paraId="4E1712F0" w14:textId="77777777" w:rsidR="0035348B" w:rsidRDefault="00000000">
      <w:pPr>
        <w:pStyle w:val="Heading2"/>
        <w:keepNext w:val="0"/>
        <w:keepLines w:val="0"/>
        <w:spacing w:before="280"/>
      </w:pPr>
      <w:bookmarkStart w:id="15" w:name="_aijuy8s3cs8d" w:colFirst="0" w:colLast="0"/>
      <w:bookmarkEnd w:id="15"/>
      <w:r>
        <w:t>5.2 Planning Tools and Frameworks</w:t>
      </w:r>
    </w:p>
    <w:p w14:paraId="663E6810" w14:textId="77777777" w:rsidR="0035348B" w:rsidRDefault="00000000">
      <w:pPr>
        <w:spacing w:before="240" w:after="240"/>
      </w:pPr>
      <w:r>
        <w:t>A detailed Gantt chart spanning 24 weeks underpins task sequencing, from contract finalisation in May 2024 to post-event reporting in July 2025. Key milestones include venue deposits by August 2024, marketing launch in November 2024, and final logistics rehearsals in May 2025. A RACI matrix clarifies accountability for over 50 discrete tasks, such as catering approvals, permit applications, and sponsor fulfilment, assigning responsibility, accountability, consulted, and informed roles to team members (Meredith, 2022). A risk register identifies ten high-priority risks</w:t>
      </w:r>
      <w:r w:rsidR="00901E2A">
        <w:t xml:space="preserve"> - </w:t>
      </w:r>
      <w:r>
        <w:t>including inclement weather during outdoor excursions and bandwidth failures for live streaming</w:t>
      </w:r>
      <w:r w:rsidR="00901E2A">
        <w:t xml:space="preserve"> - </w:t>
      </w:r>
      <w:r>
        <w:t>each mitigated through alternate indoor sites at ICC Wales and redundant internet connections provided by two separate ISPs (O’Toole, 2011).</w:t>
      </w:r>
    </w:p>
    <w:p w14:paraId="032B16B7" w14:textId="77777777" w:rsidR="0035348B" w:rsidRDefault="00000000">
      <w:pPr>
        <w:pStyle w:val="Heading2"/>
        <w:keepNext w:val="0"/>
        <w:keepLines w:val="0"/>
        <w:spacing w:before="280"/>
      </w:pPr>
      <w:bookmarkStart w:id="16" w:name="_q0fplsj4b073" w:colFirst="0" w:colLast="0"/>
      <w:bookmarkEnd w:id="16"/>
      <w:r>
        <w:t>5.3 Marketing, Logistics and Technology Requirements</w:t>
      </w:r>
    </w:p>
    <w:p w14:paraId="27132959" w14:textId="77777777" w:rsidR="0035348B" w:rsidRDefault="00000000">
      <w:pPr>
        <w:spacing w:before="240" w:after="240"/>
      </w:pPr>
      <w:r>
        <w:t xml:space="preserve">Marketing activities deploy a £20,000 digital campaign across LinkedIn, Instagram, and industry newsletters from January 2025, targeting C-level tourism executives and academic researchers in </w:t>
      </w:r>
      <w:r>
        <w:lastRenderedPageBreak/>
        <w:t>the UK and EU. Content will feature video testimonials from Pembrokeshire pilot workshops and data-driven case studies on shoulder-season hotel occupancy increases of up to 18 percent, as evidenced by ICC Wales statistics (</w:t>
      </w:r>
      <w:proofErr w:type="spellStart"/>
      <w:r>
        <w:t>Ashrapov</w:t>
      </w:r>
      <w:proofErr w:type="spellEnd"/>
      <w:r>
        <w:t xml:space="preserve"> and Patterson, 2022). Logistics planning secures block bookings for 200 delegate rooms at three Cardiff boutique hotels within a 2-mile radius of ICC Wales, negotiating a 15 percent group discount and complimentary breakfast to support local hospitality partners. Catering contracts specify farm-to-fork menus using producers from the Welsh Government’s local food network, with zero-waste targets of 95 percent achieved through composting and digital menus (Patterson and Quinn, 2012). Technology requirements include installation of four 4K PTZ cameras per venue, two Crestron control systems, and a cloud-based streaming platform with capacity for 300 concurrent virtual attendees. Pre-event technology tests scheduled 72 hours in advance will validate audio-visual quality, internet resilience, and platform interoperability, ensuring uninterrupted hybrid sessions (</w:t>
      </w:r>
      <w:proofErr w:type="spellStart"/>
      <w:r>
        <w:t>Lekgau</w:t>
      </w:r>
      <w:proofErr w:type="spellEnd"/>
      <w:r>
        <w:t xml:space="preserve"> and </w:t>
      </w:r>
      <w:proofErr w:type="spellStart"/>
      <w:r>
        <w:t>Tichaawa</w:t>
      </w:r>
      <w:proofErr w:type="spellEnd"/>
      <w:r>
        <w:t>, 2023).</w:t>
      </w:r>
    </w:p>
    <w:p w14:paraId="2525FE06" w14:textId="77777777" w:rsidR="0035348B" w:rsidRDefault="00000000">
      <w:pPr>
        <w:spacing w:before="240" w:after="240"/>
      </w:pPr>
      <w:r>
        <w:t xml:space="preserve">These integrated management practices ensure that </w:t>
      </w:r>
      <w:proofErr w:type="spellStart"/>
      <w:r>
        <w:t>Croeso</w:t>
      </w:r>
      <w:proofErr w:type="spellEnd"/>
      <w:r>
        <w:t xml:space="preserve"> Cultural Mosaic leverages best-practice frameworks, local expertise, and technological infrastructure to deliver a seamless, sustainable, and culturally rich MICE experience.</w:t>
      </w:r>
    </w:p>
    <w:p w14:paraId="3D8EE99F" w14:textId="77777777" w:rsidR="0035348B" w:rsidRDefault="00000000">
      <w:r>
        <w:br w:type="page"/>
      </w:r>
    </w:p>
    <w:p w14:paraId="2EA55081" w14:textId="77777777" w:rsidR="0035348B" w:rsidRDefault="00000000">
      <w:pPr>
        <w:pStyle w:val="Heading1"/>
      </w:pPr>
      <w:bookmarkStart w:id="17" w:name="_hjd8t9laxwe4" w:colFirst="0" w:colLast="0"/>
      <w:bookmarkEnd w:id="17"/>
      <w:r>
        <w:lastRenderedPageBreak/>
        <w:t>6. Event Budget &amp; Financial Analysis</w:t>
      </w:r>
    </w:p>
    <w:p w14:paraId="170E333E" w14:textId="77777777" w:rsidR="0035348B" w:rsidRDefault="00000000">
      <w:pPr>
        <w:spacing w:before="240" w:after="240"/>
      </w:pPr>
      <w:r>
        <w:t>A detailed cost-driver analysis underpins financial viability. Table 1 presents the projected income and expenditure.</w:t>
      </w:r>
    </w:p>
    <w:p w14:paraId="16D084DA" w14:textId="77777777" w:rsidR="0035348B" w:rsidRDefault="00000000">
      <w:pPr>
        <w:spacing w:before="240" w:after="240"/>
        <w:jc w:val="center"/>
        <w:rPr>
          <w:b/>
        </w:rPr>
      </w:pPr>
      <w:r>
        <w:rPr>
          <w:b/>
        </w:rPr>
        <w:t>Table 1: Income and Expenditure Breakdown</w:t>
      </w:r>
    </w:p>
    <w:tbl>
      <w:tblPr>
        <w:tblStyle w:val="a"/>
        <w:tblW w:w="9285" w:type="dxa"/>
        <w:tblBorders>
          <w:top w:val="nil"/>
          <w:left w:val="nil"/>
          <w:bottom w:val="nil"/>
          <w:right w:val="nil"/>
          <w:insideH w:val="nil"/>
          <w:insideV w:val="nil"/>
        </w:tblBorders>
        <w:tblLayout w:type="fixed"/>
        <w:tblLook w:val="0600" w:firstRow="0" w:lastRow="0" w:firstColumn="0" w:lastColumn="0" w:noHBand="1" w:noVBand="1"/>
      </w:tblPr>
      <w:tblGrid>
        <w:gridCol w:w="6720"/>
        <w:gridCol w:w="2565"/>
      </w:tblGrid>
      <w:tr w:rsidR="0035348B" w14:paraId="488F3432" w14:textId="77777777">
        <w:trPr>
          <w:trHeight w:val="515"/>
        </w:trPr>
        <w:tc>
          <w:tcPr>
            <w:tcW w:w="6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8562EE" w14:textId="77777777" w:rsidR="0035348B" w:rsidRDefault="00000000">
            <w:pPr>
              <w:jc w:val="center"/>
            </w:pPr>
            <w:r>
              <w:rPr>
                <w:b/>
              </w:rPr>
              <w:t>Category</w:t>
            </w:r>
          </w:p>
        </w:tc>
        <w:tc>
          <w:tcPr>
            <w:tcW w:w="25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312619" w14:textId="77777777" w:rsidR="0035348B" w:rsidRDefault="00000000">
            <w:pPr>
              <w:jc w:val="center"/>
            </w:pPr>
            <w:r>
              <w:rPr>
                <w:b/>
              </w:rPr>
              <w:t>Amount (£)</w:t>
            </w:r>
          </w:p>
        </w:tc>
      </w:tr>
      <w:tr w:rsidR="0035348B" w14:paraId="751684EF" w14:textId="77777777">
        <w:trPr>
          <w:trHeight w:val="515"/>
        </w:trPr>
        <w:tc>
          <w:tcPr>
            <w:tcW w:w="6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D234F6" w14:textId="77777777" w:rsidR="0035348B" w:rsidRDefault="00000000">
            <w:r>
              <w:rPr>
                <w:b/>
              </w:rPr>
              <w:t>Income</w:t>
            </w:r>
          </w:p>
        </w:tc>
        <w:tc>
          <w:tcPr>
            <w:tcW w:w="25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469030" w14:textId="77777777" w:rsidR="0035348B" w:rsidRDefault="0035348B"/>
        </w:tc>
      </w:tr>
      <w:tr w:rsidR="0035348B" w14:paraId="3E78F690" w14:textId="77777777">
        <w:trPr>
          <w:trHeight w:val="515"/>
        </w:trPr>
        <w:tc>
          <w:tcPr>
            <w:tcW w:w="6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F6BCA2" w14:textId="77777777" w:rsidR="0035348B" w:rsidRDefault="00000000">
            <w:r>
              <w:t>Delegate registration (200 @ 1,200)</w:t>
            </w:r>
          </w:p>
        </w:tc>
        <w:tc>
          <w:tcPr>
            <w:tcW w:w="25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AF7DC6" w14:textId="77777777" w:rsidR="0035348B" w:rsidRDefault="00000000">
            <w:r>
              <w:t>240,000</w:t>
            </w:r>
          </w:p>
        </w:tc>
      </w:tr>
      <w:tr w:rsidR="0035348B" w14:paraId="68736289" w14:textId="77777777">
        <w:trPr>
          <w:trHeight w:val="515"/>
        </w:trPr>
        <w:tc>
          <w:tcPr>
            <w:tcW w:w="6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97BFCA" w14:textId="77777777" w:rsidR="0035348B" w:rsidRDefault="00000000">
            <w:r>
              <w:t>Sponsorship packages</w:t>
            </w:r>
          </w:p>
        </w:tc>
        <w:tc>
          <w:tcPr>
            <w:tcW w:w="25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A57B2D" w14:textId="77777777" w:rsidR="0035348B" w:rsidRDefault="00000000">
            <w:r>
              <w:t>50,000</w:t>
            </w:r>
          </w:p>
        </w:tc>
      </w:tr>
      <w:tr w:rsidR="0035348B" w14:paraId="1069798D" w14:textId="77777777">
        <w:trPr>
          <w:trHeight w:val="515"/>
        </w:trPr>
        <w:tc>
          <w:tcPr>
            <w:tcW w:w="6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97FEE8" w14:textId="77777777" w:rsidR="0035348B" w:rsidRDefault="00000000">
            <w:r>
              <w:t>Premium add-on experiences</w:t>
            </w:r>
          </w:p>
        </w:tc>
        <w:tc>
          <w:tcPr>
            <w:tcW w:w="25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1ADBA7" w14:textId="77777777" w:rsidR="0035348B" w:rsidRDefault="00000000">
            <w:r>
              <w:t>20,000</w:t>
            </w:r>
          </w:p>
        </w:tc>
      </w:tr>
      <w:tr w:rsidR="0035348B" w14:paraId="4171F44F" w14:textId="77777777">
        <w:trPr>
          <w:trHeight w:val="515"/>
        </w:trPr>
        <w:tc>
          <w:tcPr>
            <w:tcW w:w="6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68CE92" w14:textId="77777777" w:rsidR="0035348B" w:rsidRDefault="00000000">
            <w:r>
              <w:t>Public grants</w:t>
            </w:r>
          </w:p>
        </w:tc>
        <w:tc>
          <w:tcPr>
            <w:tcW w:w="25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C9814C" w14:textId="77777777" w:rsidR="0035348B" w:rsidRDefault="00000000">
            <w:r>
              <w:t>30,000</w:t>
            </w:r>
          </w:p>
        </w:tc>
      </w:tr>
      <w:tr w:rsidR="0035348B" w14:paraId="641F20A3" w14:textId="77777777">
        <w:trPr>
          <w:trHeight w:val="515"/>
        </w:trPr>
        <w:tc>
          <w:tcPr>
            <w:tcW w:w="6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B66147" w14:textId="77777777" w:rsidR="0035348B" w:rsidRDefault="00000000">
            <w:r>
              <w:rPr>
                <w:b/>
              </w:rPr>
              <w:t>Total Income</w:t>
            </w:r>
          </w:p>
        </w:tc>
        <w:tc>
          <w:tcPr>
            <w:tcW w:w="25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BEADD2" w14:textId="77777777" w:rsidR="0035348B" w:rsidRDefault="00000000">
            <w:r>
              <w:t>340,000</w:t>
            </w:r>
          </w:p>
        </w:tc>
      </w:tr>
      <w:tr w:rsidR="0035348B" w14:paraId="6EF1FEDB" w14:textId="77777777">
        <w:trPr>
          <w:trHeight w:val="515"/>
        </w:trPr>
        <w:tc>
          <w:tcPr>
            <w:tcW w:w="6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33F4C5" w14:textId="77777777" w:rsidR="0035348B" w:rsidRDefault="00000000">
            <w:r>
              <w:rPr>
                <w:b/>
              </w:rPr>
              <w:t>Expenditure</w:t>
            </w:r>
          </w:p>
        </w:tc>
        <w:tc>
          <w:tcPr>
            <w:tcW w:w="25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41DE17" w14:textId="77777777" w:rsidR="0035348B" w:rsidRDefault="0035348B"/>
        </w:tc>
      </w:tr>
      <w:tr w:rsidR="0035348B" w14:paraId="2AB7D8B7" w14:textId="77777777">
        <w:trPr>
          <w:trHeight w:val="515"/>
        </w:trPr>
        <w:tc>
          <w:tcPr>
            <w:tcW w:w="6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CB03FB" w14:textId="77777777" w:rsidR="0035348B" w:rsidRDefault="00000000">
            <w:r>
              <w:t>Venue hire &amp; A/V equipment</w:t>
            </w:r>
          </w:p>
        </w:tc>
        <w:tc>
          <w:tcPr>
            <w:tcW w:w="25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6487BB" w14:textId="77777777" w:rsidR="0035348B" w:rsidRDefault="00000000">
            <w:r>
              <w:t>120,000</w:t>
            </w:r>
          </w:p>
        </w:tc>
      </w:tr>
      <w:tr w:rsidR="0035348B" w14:paraId="098A009B" w14:textId="77777777">
        <w:trPr>
          <w:trHeight w:val="515"/>
        </w:trPr>
        <w:tc>
          <w:tcPr>
            <w:tcW w:w="6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01BEC4" w14:textId="77777777" w:rsidR="0035348B" w:rsidRDefault="00000000">
            <w:r>
              <w:t>Catering &amp; hospitality</w:t>
            </w:r>
          </w:p>
        </w:tc>
        <w:tc>
          <w:tcPr>
            <w:tcW w:w="25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0060AF" w14:textId="77777777" w:rsidR="0035348B" w:rsidRDefault="00000000">
            <w:r>
              <w:t>80,000</w:t>
            </w:r>
          </w:p>
        </w:tc>
      </w:tr>
      <w:tr w:rsidR="0035348B" w14:paraId="28DEF05C" w14:textId="77777777">
        <w:trPr>
          <w:trHeight w:val="515"/>
        </w:trPr>
        <w:tc>
          <w:tcPr>
            <w:tcW w:w="6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45E46C" w14:textId="77777777" w:rsidR="0035348B" w:rsidRDefault="00000000">
            <w:r>
              <w:t>Accommodation blocks</w:t>
            </w:r>
          </w:p>
        </w:tc>
        <w:tc>
          <w:tcPr>
            <w:tcW w:w="25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58B9DC" w14:textId="77777777" w:rsidR="0035348B" w:rsidRDefault="00000000">
            <w:r>
              <w:t>50,000</w:t>
            </w:r>
          </w:p>
        </w:tc>
      </w:tr>
      <w:tr w:rsidR="0035348B" w14:paraId="3C6808C8" w14:textId="77777777">
        <w:trPr>
          <w:trHeight w:val="515"/>
        </w:trPr>
        <w:tc>
          <w:tcPr>
            <w:tcW w:w="6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B7BF2F" w14:textId="77777777" w:rsidR="0035348B" w:rsidRDefault="00000000">
            <w:r>
              <w:t>Staffing &amp; facilitation</w:t>
            </w:r>
          </w:p>
        </w:tc>
        <w:tc>
          <w:tcPr>
            <w:tcW w:w="25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2E25AC" w14:textId="77777777" w:rsidR="0035348B" w:rsidRDefault="00000000">
            <w:r>
              <w:t>30,000</w:t>
            </w:r>
          </w:p>
        </w:tc>
      </w:tr>
      <w:tr w:rsidR="0035348B" w14:paraId="052BB32F" w14:textId="77777777">
        <w:trPr>
          <w:trHeight w:val="515"/>
        </w:trPr>
        <w:tc>
          <w:tcPr>
            <w:tcW w:w="6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25BD90" w14:textId="77777777" w:rsidR="0035348B" w:rsidRDefault="00000000">
            <w:r>
              <w:t>Marketing &amp; promotions</w:t>
            </w:r>
          </w:p>
        </w:tc>
        <w:tc>
          <w:tcPr>
            <w:tcW w:w="25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E64683" w14:textId="77777777" w:rsidR="0035348B" w:rsidRDefault="00000000">
            <w:r>
              <w:t>20,000</w:t>
            </w:r>
          </w:p>
        </w:tc>
      </w:tr>
      <w:tr w:rsidR="0035348B" w14:paraId="783DE804" w14:textId="77777777">
        <w:trPr>
          <w:trHeight w:val="515"/>
        </w:trPr>
        <w:tc>
          <w:tcPr>
            <w:tcW w:w="6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85D043" w14:textId="77777777" w:rsidR="0035348B" w:rsidRDefault="00000000">
            <w:r>
              <w:t>Transportation &amp; logistics</w:t>
            </w:r>
          </w:p>
        </w:tc>
        <w:tc>
          <w:tcPr>
            <w:tcW w:w="25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939167" w14:textId="77777777" w:rsidR="0035348B" w:rsidRDefault="00000000">
            <w:r>
              <w:t>20,000</w:t>
            </w:r>
          </w:p>
        </w:tc>
      </w:tr>
      <w:tr w:rsidR="0035348B" w14:paraId="35891471" w14:textId="77777777">
        <w:trPr>
          <w:trHeight w:val="515"/>
        </w:trPr>
        <w:tc>
          <w:tcPr>
            <w:tcW w:w="6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FAEC38" w14:textId="77777777" w:rsidR="0035348B" w:rsidRDefault="00000000">
            <w:r>
              <w:lastRenderedPageBreak/>
              <w:t>Workshops &amp; materials</w:t>
            </w:r>
          </w:p>
        </w:tc>
        <w:tc>
          <w:tcPr>
            <w:tcW w:w="25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450978" w14:textId="77777777" w:rsidR="0035348B" w:rsidRDefault="00000000">
            <w:r>
              <w:t>15,000</w:t>
            </w:r>
          </w:p>
        </w:tc>
      </w:tr>
      <w:tr w:rsidR="0035348B" w14:paraId="7425678B" w14:textId="77777777">
        <w:trPr>
          <w:trHeight w:val="515"/>
        </w:trPr>
        <w:tc>
          <w:tcPr>
            <w:tcW w:w="6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E1F057" w14:textId="77777777" w:rsidR="0035348B" w:rsidRDefault="00000000">
            <w:r>
              <w:t>Contingency (5%)</w:t>
            </w:r>
          </w:p>
        </w:tc>
        <w:tc>
          <w:tcPr>
            <w:tcW w:w="25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CE29C7" w14:textId="77777777" w:rsidR="0035348B" w:rsidRDefault="00000000">
            <w:r>
              <w:t>13,500</w:t>
            </w:r>
          </w:p>
        </w:tc>
      </w:tr>
      <w:tr w:rsidR="0035348B" w14:paraId="04E2A09A" w14:textId="77777777">
        <w:trPr>
          <w:trHeight w:val="515"/>
        </w:trPr>
        <w:tc>
          <w:tcPr>
            <w:tcW w:w="6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023ECC" w14:textId="77777777" w:rsidR="0035348B" w:rsidRDefault="00000000">
            <w:r>
              <w:rPr>
                <w:b/>
              </w:rPr>
              <w:t>Total Expenditure</w:t>
            </w:r>
          </w:p>
        </w:tc>
        <w:tc>
          <w:tcPr>
            <w:tcW w:w="25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300954" w14:textId="77777777" w:rsidR="0035348B" w:rsidRDefault="00000000">
            <w:r>
              <w:t>348,500</w:t>
            </w:r>
          </w:p>
        </w:tc>
      </w:tr>
      <w:tr w:rsidR="0035348B" w14:paraId="38B81636" w14:textId="77777777">
        <w:trPr>
          <w:trHeight w:val="515"/>
        </w:trPr>
        <w:tc>
          <w:tcPr>
            <w:tcW w:w="6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37F98F" w14:textId="77777777" w:rsidR="0035348B" w:rsidRDefault="00000000">
            <w:r>
              <w:rPr>
                <w:b/>
              </w:rPr>
              <w:t>Net Surplus/(Deficit)</w:t>
            </w:r>
          </w:p>
        </w:tc>
        <w:tc>
          <w:tcPr>
            <w:tcW w:w="25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6D8C9C" w14:textId="77777777" w:rsidR="0035348B" w:rsidRDefault="00000000">
            <w:r>
              <w:t>(</w:t>
            </w:r>
            <w:proofErr w:type="gramStart"/>
            <w:r>
              <w:t>8,500)*</w:t>
            </w:r>
            <w:proofErr w:type="gramEnd"/>
          </w:p>
        </w:tc>
      </w:tr>
    </w:tbl>
    <w:p w14:paraId="0938F1C8" w14:textId="77777777" w:rsidR="0035348B" w:rsidRDefault="00000000">
      <w:pPr>
        <w:spacing w:before="240" w:after="240"/>
      </w:pPr>
      <w:r>
        <w:t>*Contingency drawdown to be managed through sponsorship uplifts. Table 1 reveals that diversified revenue sources</w:t>
      </w:r>
      <w:r w:rsidR="00901E2A">
        <w:t xml:space="preserve"> - </w:t>
      </w:r>
      <w:r>
        <w:t>registration fees, sponsorship, add-ons, and grants</w:t>
      </w:r>
      <w:r w:rsidR="00901E2A">
        <w:t xml:space="preserve"> - </w:t>
      </w:r>
      <w:r>
        <w:t>establish a robust financial base. Venue hire constitutes the largest cost driver, reflecting premium hybrid-stream capabilities at ICC Wales and Cardiff Castle. Catering budgets support farm-to-fork menus aligned with sustainability commitments (Grand View Research, 2024). Sponsorship negotiations and grant applications will aim to cover any shortfall, ensuring a break-even or modest surplus outcome (The Business Research Company, 2024).</w:t>
      </w:r>
    </w:p>
    <w:p w14:paraId="68A0492A" w14:textId="77777777" w:rsidR="0035348B" w:rsidRDefault="00000000">
      <w:pPr>
        <w:pStyle w:val="Heading1"/>
      </w:pPr>
      <w:bookmarkStart w:id="18" w:name="_y6yfwj1zoxeu" w:colFirst="0" w:colLast="0"/>
      <w:bookmarkEnd w:id="18"/>
      <w:r>
        <w:br w:type="page"/>
      </w:r>
    </w:p>
    <w:p w14:paraId="6823C358" w14:textId="77777777" w:rsidR="0035348B" w:rsidRDefault="00000000">
      <w:pPr>
        <w:pStyle w:val="Heading1"/>
      </w:pPr>
      <w:bookmarkStart w:id="19" w:name="_q5haf22rfudz" w:colFirst="0" w:colLast="0"/>
      <w:bookmarkEnd w:id="19"/>
      <w:r>
        <w:lastRenderedPageBreak/>
        <w:t>7. Industry Trends, Issues &amp; Impacts</w:t>
      </w:r>
    </w:p>
    <w:p w14:paraId="3F0A072C" w14:textId="77777777" w:rsidR="0035348B" w:rsidRDefault="00000000">
      <w:pPr>
        <w:spacing w:before="240" w:after="240"/>
      </w:pPr>
      <w:r>
        <w:t xml:space="preserve">Recent MICE industry trends emphasize hybrid delivery, sustainability, experiential design, and stringent health-safety protocols (Fortune Business Insights, 2025). Hybrid events expand reach by integrating virtual attendees but require redundant streaming infrastructure to avoid technical failures (Patterson and Quinn, 2012). Sustainability imperatives drive zero-waste catering partnerships and renewable-energy venue selection. Experiential trends </w:t>
      </w:r>
      <w:proofErr w:type="spellStart"/>
      <w:r>
        <w:t>favor</w:t>
      </w:r>
      <w:proofErr w:type="spellEnd"/>
      <w:r>
        <w:t xml:space="preserve"> multi-sensory engagements</w:t>
      </w:r>
      <w:r w:rsidR="00901E2A">
        <w:t xml:space="preserve"> - </w:t>
      </w:r>
      <w:r>
        <w:t>such as heritage workshops and curated excursions</w:t>
      </w:r>
      <w:r w:rsidR="00901E2A">
        <w:t xml:space="preserve"> - </w:t>
      </w:r>
      <w:r>
        <w:t xml:space="preserve">which align with delegates’ desire for authentic cultural immersion (Csurgó and Smith, 2022). Health-safety regulations necessitate capacity management and contingency planning for outdoor activities (Smith, 2012). </w:t>
      </w:r>
      <w:proofErr w:type="spellStart"/>
      <w:r>
        <w:t>Croeso</w:t>
      </w:r>
      <w:proofErr w:type="spellEnd"/>
      <w:r>
        <w:t xml:space="preserve"> Cultural Mosaic’s design incorporates these trends by embedding sustainability measures, delivering hybrid sessions, and offering balanced academic-cultural programming, strengthening its competitive positioning.</w:t>
      </w:r>
    </w:p>
    <w:p w14:paraId="7EC1F4A7" w14:textId="77777777" w:rsidR="0035348B" w:rsidRDefault="00000000">
      <w:r>
        <w:br w:type="page"/>
      </w:r>
    </w:p>
    <w:p w14:paraId="71D3AA6B" w14:textId="77777777" w:rsidR="0035348B" w:rsidRDefault="00000000">
      <w:pPr>
        <w:pStyle w:val="Heading1"/>
      </w:pPr>
      <w:bookmarkStart w:id="20" w:name="_sglg0iu4eib0" w:colFirst="0" w:colLast="0"/>
      <w:bookmarkEnd w:id="20"/>
      <w:r>
        <w:lastRenderedPageBreak/>
        <w:t>8. Situational &amp; Cultural Considerations</w:t>
      </w:r>
    </w:p>
    <w:p w14:paraId="603DBF88" w14:textId="77777777" w:rsidR="0035348B" w:rsidRDefault="00000000">
      <w:pPr>
        <w:pStyle w:val="Heading2"/>
      </w:pPr>
      <w:bookmarkStart w:id="21" w:name="_6kgw8z611217" w:colFirst="0" w:colLast="0"/>
      <w:bookmarkEnd w:id="21"/>
      <w:r>
        <w:t>8.1 PESTEL Analysis</w:t>
      </w:r>
    </w:p>
    <w:p w14:paraId="3BE9BD91" w14:textId="77777777" w:rsidR="0035348B" w:rsidRDefault="00000000">
      <w:pPr>
        <w:spacing w:before="240" w:after="240"/>
      </w:pPr>
      <w:r>
        <w:rPr>
          <w:b/>
        </w:rPr>
        <w:t xml:space="preserve">Political: </w:t>
      </w:r>
      <w:r>
        <w:t xml:space="preserve">The Welsh Government’s strategic promotion of cultural tourism under Visit Wales has generated grant opportunities that underpin </w:t>
      </w:r>
      <w:proofErr w:type="spellStart"/>
      <w:r>
        <w:t>Croeso</w:t>
      </w:r>
      <w:proofErr w:type="spellEnd"/>
      <w:r>
        <w:t xml:space="preserve"> Cultural Mosaic’s funding model. The June 2024 market demand study identifies MICE events as catalysts for off-season economic activity, leading to an anticipated £30 000 in public-sector support (Welsh Government, 2024).</w:t>
      </w:r>
    </w:p>
    <w:p w14:paraId="111A3281" w14:textId="77777777" w:rsidR="0035348B" w:rsidRDefault="00000000">
      <w:pPr>
        <w:spacing w:before="240" w:after="240"/>
      </w:pPr>
      <w:r>
        <w:rPr>
          <w:b/>
        </w:rPr>
        <w:t>Economic:</w:t>
      </w:r>
      <w:r>
        <w:t xml:space="preserve"> Post-pandemic recovery projections indicate the UK MICE sector will grow at a 7 percent compound annual rate through 2030, driven by rising corporate travel budgets and demand for experiential programmes (Fortune Business Insights, 2025). Shoulder-season events in Wales historically boost hotel occupancy by up to 18 percent, supporting the event’s timing strategy (</w:t>
      </w:r>
      <w:proofErr w:type="spellStart"/>
      <w:r>
        <w:t>Ashrapov</w:t>
      </w:r>
      <w:proofErr w:type="spellEnd"/>
      <w:r>
        <w:t xml:space="preserve"> and Patterson, 2022).</w:t>
      </w:r>
    </w:p>
    <w:p w14:paraId="351035A3" w14:textId="77777777" w:rsidR="0035348B" w:rsidRDefault="00000000">
      <w:pPr>
        <w:spacing w:before="240" w:after="240"/>
      </w:pPr>
      <w:r>
        <w:rPr>
          <w:b/>
        </w:rPr>
        <w:t>Social:</w:t>
      </w:r>
      <w:r>
        <w:t xml:space="preserve"> Shifts in delegate preferences toward authentic cultural immersion have been documented, with place attachment emerging as a key satisfaction driver (Lewicka, 2011). The “Year of </w:t>
      </w:r>
      <w:proofErr w:type="spellStart"/>
      <w:r>
        <w:t>Croeso</w:t>
      </w:r>
      <w:proofErr w:type="spellEnd"/>
      <w:r>
        <w:t>” theme leverages heritage narratives and local cuisine to foster emotional connections, aligning with community-led tourism models that emphasise inclusivity and co-creation.</w:t>
      </w:r>
    </w:p>
    <w:p w14:paraId="49E67F96" w14:textId="77777777" w:rsidR="0035348B" w:rsidRDefault="00000000">
      <w:pPr>
        <w:spacing w:before="240" w:after="240"/>
      </w:pPr>
      <w:r>
        <w:rPr>
          <w:b/>
        </w:rPr>
        <w:t>Technological:</w:t>
      </w:r>
      <w:r>
        <w:t xml:space="preserve"> Advances in hybrid-event platforms require robust audiovisual infrastructures and redundant internet solutions. Lessons from recent venue recoveries highlight the necessity of dual-ISP connectivity and cloud-based streaming to mitigate technical failures (</w:t>
      </w:r>
      <w:proofErr w:type="spellStart"/>
      <w:r>
        <w:t>Lekgau</w:t>
      </w:r>
      <w:proofErr w:type="spellEnd"/>
      <w:r>
        <w:t xml:space="preserve"> and </w:t>
      </w:r>
      <w:proofErr w:type="spellStart"/>
      <w:r>
        <w:t>Tichaawa</w:t>
      </w:r>
      <w:proofErr w:type="spellEnd"/>
      <w:r>
        <w:t>, 2023). Such technologies enable participation of up to 300 virtual delegates without compromising interactivity.</w:t>
      </w:r>
    </w:p>
    <w:p w14:paraId="2AB98160" w14:textId="77777777" w:rsidR="0035348B" w:rsidRDefault="00000000">
      <w:pPr>
        <w:spacing w:before="240" w:after="240"/>
      </w:pPr>
      <w:r>
        <w:rPr>
          <w:b/>
        </w:rPr>
        <w:t>Environmental:</w:t>
      </w:r>
      <w:r>
        <w:t xml:space="preserve"> Sustainability imperatives demand zero-waste catering and carbon-offset transportation. By sourcing menus through the Welsh Government’s local food network and implementing composting targets of 95 percent, </w:t>
      </w:r>
      <w:proofErr w:type="spellStart"/>
      <w:r>
        <w:t>Croeso</w:t>
      </w:r>
      <w:proofErr w:type="spellEnd"/>
      <w:r>
        <w:t xml:space="preserve"> Cultural Mosaic aligns with industry standards for green events (Patterson and Quinn, 2012).</w:t>
      </w:r>
    </w:p>
    <w:p w14:paraId="29A4F839" w14:textId="77777777" w:rsidR="0035348B" w:rsidRDefault="00000000">
      <w:pPr>
        <w:spacing w:before="240" w:after="240"/>
      </w:pPr>
      <w:r>
        <w:rPr>
          <w:b/>
        </w:rPr>
        <w:t>Legal:</w:t>
      </w:r>
      <w:r>
        <w:t xml:space="preserve"> Compliance with licensing regulations for heritage site access and Welsh health-and-safety statutes is essential. Pre-event audits ensure adherence to crowd-capacity limits and food-handling </w:t>
      </w:r>
      <w:r>
        <w:lastRenderedPageBreak/>
        <w:t>standards at multiple venues, mitigating legal risks and safeguarding stakeholder confidence (O’Toole, 2011).</w:t>
      </w:r>
    </w:p>
    <w:p w14:paraId="38D36CF6" w14:textId="77777777" w:rsidR="0035348B" w:rsidRDefault="00000000">
      <w:pPr>
        <w:pStyle w:val="Heading2"/>
      </w:pPr>
      <w:bookmarkStart w:id="22" w:name="_20xd4e4m21m6" w:colFirst="0" w:colLast="0"/>
      <w:bookmarkEnd w:id="22"/>
      <w:r>
        <w:t>8.2 SWOT analysis</w:t>
      </w:r>
    </w:p>
    <w:p w14:paraId="2207F36F" w14:textId="77777777" w:rsidR="0035348B" w:rsidRDefault="00000000">
      <w:pPr>
        <w:spacing w:before="240" w:after="240"/>
      </w:pPr>
      <w:r>
        <w:t>A SWOT analysis (Table 2) further examines internal and external factors.</w:t>
      </w:r>
    </w:p>
    <w:p w14:paraId="2612A98A" w14:textId="77777777" w:rsidR="0035348B" w:rsidRDefault="00000000">
      <w:pPr>
        <w:spacing w:before="240" w:after="240"/>
        <w:jc w:val="center"/>
        <w:rPr>
          <w:b/>
        </w:rPr>
      </w:pPr>
      <w:r>
        <w:rPr>
          <w:b/>
        </w:rPr>
        <w:t>Table 2: SWOT Analysis</w:t>
      </w:r>
    </w:p>
    <w:tbl>
      <w:tblPr>
        <w:tblStyle w:val="a0"/>
        <w:tblW w:w="9360" w:type="dxa"/>
        <w:tblBorders>
          <w:top w:val="nil"/>
          <w:left w:val="nil"/>
          <w:bottom w:val="nil"/>
          <w:right w:val="nil"/>
          <w:insideH w:val="nil"/>
          <w:insideV w:val="nil"/>
        </w:tblBorders>
        <w:tblLayout w:type="fixed"/>
        <w:tblLook w:val="0600" w:firstRow="0" w:lastRow="0" w:firstColumn="0" w:lastColumn="0" w:noHBand="1" w:noVBand="1"/>
      </w:tblPr>
      <w:tblGrid>
        <w:gridCol w:w="4941"/>
        <w:gridCol w:w="4419"/>
      </w:tblGrid>
      <w:tr w:rsidR="0035348B" w14:paraId="28AEB613" w14:textId="77777777">
        <w:trPr>
          <w:trHeight w:val="515"/>
        </w:trPr>
        <w:tc>
          <w:tcPr>
            <w:tcW w:w="49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FEE029" w14:textId="77777777" w:rsidR="0035348B" w:rsidRDefault="00000000">
            <w:pPr>
              <w:jc w:val="center"/>
            </w:pPr>
            <w:r>
              <w:rPr>
                <w:b/>
              </w:rPr>
              <w:t>Strengths</w:t>
            </w:r>
          </w:p>
        </w:tc>
        <w:tc>
          <w:tcPr>
            <w:tcW w:w="44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EA543F" w14:textId="77777777" w:rsidR="0035348B" w:rsidRDefault="00000000">
            <w:pPr>
              <w:jc w:val="center"/>
            </w:pPr>
            <w:r>
              <w:rPr>
                <w:b/>
              </w:rPr>
              <w:t>Weaknesses</w:t>
            </w:r>
          </w:p>
        </w:tc>
      </w:tr>
      <w:tr w:rsidR="0035348B" w14:paraId="11538287" w14:textId="77777777">
        <w:trPr>
          <w:trHeight w:val="785"/>
        </w:trPr>
        <w:tc>
          <w:tcPr>
            <w:tcW w:w="49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8BD1CA" w14:textId="77777777" w:rsidR="0035348B" w:rsidRDefault="00000000">
            <w:r>
              <w:t>Unique integration of cultural ecosystem services</w:t>
            </w:r>
          </w:p>
        </w:tc>
        <w:tc>
          <w:tcPr>
            <w:tcW w:w="44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FC18E2" w14:textId="77777777" w:rsidR="0035348B" w:rsidRDefault="00000000">
            <w:r>
              <w:t>High upfront costs for hybrid infrastructure</w:t>
            </w:r>
          </w:p>
        </w:tc>
      </w:tr>
      <w:tr w:rsidR="0035348B" w14:paraId="0C19CF7D" w14:textId="77777777">
        <w:trPr>
          <w:trHeight w:val="785"/>
        </w:trPr>
        <w:tc>
          <w:tcPr>
            <w:tcW w:w="49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C32239" w14:textId="77777777" w:rsidR="0035348B" w:rsidRDefault="00000000">
            <w:r>
              <w:t>Strong partnerships with Visit Wales &amp; ICC Wales</w:t>
            </w:r>
          </w:p>
        </w:tc>
        <w:tc>
          <w:tcPr>
            <w:tcW w:w="44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04D2DB" w14:textId="77777777" w:rsidR="0035348B" w:rsidRDefault="00000000">
            <w:r>
              <w:t>Limited local supplier capacity for large scale</w:t>
            </w:r>
          </w:p>
        </w:tc>
      </w:tr>
      <w:tr w:rsidR="0035348B" w14:paraId="60A22FFE" w14:textId="77777777">
        <w:trPr>
          <w:trHeight w:val="785"/>
        </w:trPr>
        <w:tc>
          <w:tcPr>
            <w:tcW w:w="49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399D2A" w14:textId="77777777" w:rsidR="0035348B" w:rsidRDefault="00000000">
            <w:r>
              <w:t>Expert-led workshops and heritage interpreter team</w:t>
            </w:r>
          </w:p>
        </w:tc>
        <w:tc>
          <w:tcPr>
            <w:tcW w:w="44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4F3B49" w14:textId="77777777" w:rsidR="0035348B" w:rsidRDefault="00000000">
            <w:r>
              <w:t>Narrow seasonal window (shoulder season)</w:t>
            </w:r>
          </w:p>
        </w:tc>
      </w:tr>
    </w:tbl>
    <w:p w14:paraId="49180042" w14:textId="77777777" w:rsidR="0035348B" w:rsidRDefault="0035348B"/>
    <w:tbl>
      <w:tblPr>
        <w:tblStyle w:val="a1"/>
        <w:tblW w:w="9360" w:type="dxa"/>
        <w:tblBorders>
          <w:top w:val="nil"/>
          <w:left w:val="nil"/>
          <w:bottom w:val="nil"/>
          <w:right w:val="nil"/>
          <w:insideH w:val="nil"/>
          <w:insideV w:val="nil"/>
        </w:tblBorders>
        <w:tblLayout w:type="fixed"/>
        <w:tblLook w:val="0600" w:firstRow="0" w:lastRow="0" w:firstColumn="0" w:lastColumn="0" w:noHBand="1" w:noVBand="1"/>
      </w:tblPr>
      <w:tblGrid>
        <w:gridCol w:w="4642"/>
        <w:gridCol w:w="4718"/>
      </w:tblGrid>
      <w:tr w:rsidR="0035348B" w14:paraId="06CFFDB0" w14:textId="77777777">
        <w:trPr>
          <w:trHeight w:val="515"/>
        </w:trPr>
        <w:tc>
          <w:tcPr>
            <w:tcW w:w="46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CECDC7" w14:textId="77777777" w:rsidR="0035348B" w:rsidRDefault="00000000">
            <w:pPr>
              <w:jc w:val="center"/>
            </w:pPr>
            <w:r>
              <w:rPr>
                <w:b/>
              </w:rPr>
              <w:t>Opportunities</w:t>
            </w:r>
          </w:p>
        </w:tc>
        <w:tc>
          <w:tcPr>
            <w:tcW w:w="47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B9110C" w14:textId="77777777" w:rsidR="0035348B" w:rsidRDefault="00000000">
            <w:pPr>
              <w:jc w:val="center"/>
            </w:pPr>
            <w:r>
              <w:rPr>
                <w:b/>
              </w:rPr>
              <w:t>Threats</w:t>
            </w:r>
          </w:p>
        </w:tc>
      </w:tr>
      <w:tr w:rsidR="0035348B" w14:paraId="76D7AA7E" w14:textId="77777777">
        <w:trPr>
          <w:trHeight w:val="785"/>
        </w:trPr>
        <w:tc>
          <w:tcPr>
            <w:tcW w:w="46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43F405" w14:textId="77777777" w:rsidR="0035348B" w:rsidRDefault="00000000">
            <w:r>
              <w:t>Growing demand for experiential MICE events</w:t>
            </w:r>
          </w:p>
        </w:tc>
        <w:tc>
          <w:tcPr>
            <w:tcW w:w="47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F54EA9" w14:textId="77777777" w:rsidR="0035348B" w:rsidRDefault="00000000">
            <w:r>
              <w:t>Weather disruptions affecting outdoor sessions</w:t>
            </w:r>
          </w:p>
        </w:tc>
      </w:tr>
      <w:tr w:rsidR="0035348B" w14:paraId="2FDB1FC9" w14:textId="77777777">
        <w:trPr>
          <w:trHeight w:val="785"/>
        </w:trPr>
        <w:tc>
          <w:tcPr>
            <w:tcW w:w="46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B4A2C7" w14:textId="77777777" w:rsidR="0035348B" w:rsidRDefault="00000000">
            <w:r>
              <w:t>Public grants and sponsorship avenues</w:t>
            </w:r>
          </w:p>
        </w:tc>
        <w:tc>
          <w:tcPr>
            <w:tcW w:w="47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D581A4" w14:textId="77777777" w:rsidR="0035348B" w:rsidRDefault="00000000">
            <w:r>
              <w:t>Competition from generic UK conference products</w:t>
            </w:r>
          </w:p>
        </w:tc>
      </w:tr>
      <w:tr w:rsidR="0035348B" w14:paraId="1D2C0451" w14:textId="77777777">
        <w:trPr>
          <w:trHeight w:val="785"/>
        </w:trPr>
        <w:tc>
          <w:tcPr>
            <w:tcW w:w="46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5F2622" w14:textId="77777777" w:rsidR="0035348B" w:rsidRDefault="00000000">
            <w:r>
              <w:t>Positive destination branding and repeat visitation</w:t>
            </w:r>
          </w:p>
        </w:tc>
        <w:tc>
          <w:tcPr>
            <w:tcW w:w="47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469E19" w14:textId="77777777" w:rsidR="0035348B" w:rsidRDefault="00000000">
            <w:r>
              <w:t>Technological failure risks</w:t>
            </w:r>
          </w:p>
        </w:tc>
      </w:tr>
    </w:tbl>
    <w:p w14:paraId="3CAE6C18" w14:textId="77777777" w:rsidR="0035348B" w:rsidRDefault="00000000">
      <w:pPr>
        <w:spacing w:before="240" w:after="240"/>
      </w:pPr>
      <w:r>
        <w:t>Cultural sensitivity is paramount; content must respect Welsh language and traditions (Haven-Tang and Jones, 2005). Stakeholder engagement with local authorities and heritage communities will ensure inclusive planning and minimize cultural misappropriation risks.</w:t>
      </w:r>
    </w:p>
    <w:p w14:paraId="0A75B84D" w14:textId="77777777" w:rsidR="0035348B" w:rsidRDefault="00000000">
      <w:pPr>
        <w:pStyle w:val="Heading1"/>
      </w:pPr>
      <w:bookmarkStart w:id="23" w:name="_l0fefavt4qpj" w:colFirst="0" w:colLast="0"/>
      <w:bookmarkEnd w:id="23"/>
      <w:r>
        <w:lastRenderedPageBreak/>
        <w:t>9. Conclusion &amp; Recommendations</w:t>
      </w:r>
    </w:p>
    <w:p w14:paraId="612C24CF" w14:textId="77777777" w:rsidR="0035348B" w:rsidRDefault="00000000">
      <w:pPr>
        <w:spacing w:before="240" w:after="240"/>
      </w:pPr>
      <w:r>
        <w:t xml:space="preserve">Strategic planning for </w:t>
      </w:r>
      <w:proofErr w:type="spellStart"/>
      <w:r>
        <w:t>Croeso</w:t>
      </w:r>
      <w:proofErr w:type="spellEnd"/>
      <w:r>
        <w:t xml:space="preserve"> Cultural Mosaic aligns theoretical models with practical implementation to deliver an innovative, place-based MICE event. The application of Getz and Page’s Event Cycle ensures structured progression through all project phases, while diversified revenue models enhance financial resilience. Industry trends</w:t>
      </w:r>
      <w:r w:rsidR="00901E2A">
        <w:t xml:space="preserve"> - </w:t>
      </w:r>
      <w:r>
        <w:t>hybrid delivery, sustainability, experiential design</w:t>
      </w:r>
      <w:r w:rsidR="00901E2A">
        <w:t xml:space="preserve"> - </w:t>
      </w:r>
      <w:r>
        <w:t>are embedded throughout the event concept. PESTEL and SWOT analyses highlight critical external factors and internal capabilities, guiding risk mitigation and stakeholder engagement.</w:t>
      </w:r>
    </w:p>
    <w:p w14:paraId="758CF3EF" w14:textId="77777777" w:rsidR="0035348B" w:rsidRDefault="00000000">
      <w:pPr>
        <w:spacing w:before="240" w:after="240"/>
      </w:pPr>
      <w:r>
        <w:t>Key recommendations are:</w:t>
      </w:r>
    </w:p>
    <w:p w14:paraId="3B7716C1" w14:textId="77777777" w:rsidR="0035348B" w:rsidRDefault="00000000">
      <w:pPr>
        <w:numPr>
          <w:ilvl w:val="0"/>
          <w:numId w:val="1"/>
        </w:numPr>
        <w:spacing w:before="240"/>
        <w:jc w:val="left"/>
      </w:pPr>
      <w:r>
        <w:t>Finalize stakeholder agreements and venue contracts by end of Q3 2024.</w:t>
      </w:r>
    </w:p>
    <w:p w14:paraId="62B0B890" w14:textId="77777777" w:rsidR="0035348B" w:rsidRDefault="00000000">
      <w:pPr>
        <w:numPr>
          <w:ilvl w:val="0"/>
          <w:numId w:val="1"/>
        </w:numPr>
        <w:jc w:val="left"/>
      </w:pPr>
      <w:r>
        <w:t>Develop a detailed Gantt chart and RACI matrix to synchronize tasks and clarify responsibilities.</w:t>
      </w:r>
    </w:p>
    <w:p w14:paraId="30A54CF9" w14:textId="77777777" w:rsidR="0035348B" w:rsidRDefault="00000000">
      <w:pPr>
        <w:numPr>
          <w:ilvl w:val="0"/>
          <w:numId w:val="1"/>
        </w:numPr>
        <w:jc w:val="left"/>
      </w:pPr>
      <w:r>
        <w:t>Secure zero-waste catering and renewable-energy commitments from suppliers to meet sustainability targets.</w:t>
      </w:r>
    </w:p>
    <w:p w14:paraId="5086AC12" w14:textId="77777777" w:rsidR="0035348B" w:rsidRDefault="00000000">
      <w:pPr>
        <w:numPr>
          <w:ilvl w:val="0"/>
          <w:numId w:val="1"/>
        </w:numPr>
        <w:jc w:val="left"/>
      </w:pPr>
      <w:r>
        <w:t>Implement redundant streaming infrastructure and weather-contingency protocols for hybrid sessions and outdoor excursions.</w:t>
      </w:r>
    </w:p>
    <w:p w14:paraId="5984108B" w14:textId="77777777" w:rsidR="0035348B" w:rsidRDefault="00000000">
      <w:pPr>
        <w:numPr>
          <w:ilvl w:val="0"/>
          <w:numId w:val="1"/>
        </w:numPr>
        <w:spacing w:after="240"/>
        <w:jc w:val="left"/>
      </w:pPr>
      <w:r>
        <w:t>Conduct post-event evaluations focused on sense-of-place metrics and economic impact to refine future editions.</w:t>
      </w:r>
    </w:p>
    <w:p w14:paraId="3A7B94D0" w14:textId="77777777" w:rsidR="0035348B" w:rsidRDefault="00000000">
      <w:pPr>
        <w:spacing w:before="240" w:after="240"/>
      </w:pPr>
      <w:r>
        <w:t xml:space="preserve">These measures will ensure </w:t>
      </w:r>
      <w:proofErr w:type="spellStart"/>
      <w:r>
        <w:t>Croeso</w:t>
      </w:r>
      <w:proofErr w:type="spellEnd"/>
      <w:r>
        <w:t xml:space="preserve"> Cultural Mosaic delivers lasting value to delegates, host communities, and the wider Welsh tourism economy.</w:t>
      </w:r>
    </w:p>
    <w:p w14:paraId="3208D41E" w14:textId="77777777" w:rsidR="0035348B" w:rsidRDefault="00000000">
      <w:pPr>
        <w:pStyle w:val="Heading1"/>
      </w:pPr>
      <w:bookmarkStart w:id="24" w:name="_ltz81hdg5bhd" w:colFirst="0" w:colLast="0"/>
      <w:bookmarkEnd w:id="24"/>
      <w:r>
        <w:br w:type="page"/>
      </w:r>
    </w:p>
    <w:p w14:paraId="17BE5399" w14:textId="77777777" w:rsidR="0035348B" w:rsidRDefault="00000000">
      <w:pPr>
        <w:pStyle w:val="Heading1"/>
      </w:pPr>
      <w:bookmarkStart w:id="25" w:name="_5tbsbmlizcgg" w:colFirst="0" w:colLast="0"/>
      <w:bookmarkEnd w:id="25"/>
      <w:r>
        <w:lastRenderedPageBreak/>
        <w:t>References</w:t>
      </w:r>
    </w:p>
    <w:p w14:paraId="7B99E01B" w14:textId="77777777" w:rsidR="0035348B" w:rsidRDefault="00000000">
      <w:pPr>
        <w:spacing w:before="200"/>
      </w:pPr>
      <w:r>
        <w:t xml:space="preserve">Ahmed, T., </w:t>
      </w:r>
      <w:proofErr w:type="spellStart"/>
      <w:r>
        <w:t>Acharjee</w:t>
      </w:r>
      <w:proofErr w:type="spellEnd"/>
      <w:r>
        <w:t xml:space="preserve">, S. K. and Urmila, U. H. (2025) ‘Developing tourism in Wetland Destinations: A study based on </w:t>
      </w:r>
      <w:proofErr w:type="spellStart"/>
      <w:r>
        <w:t>Tanguar</w:t>
      </w:r>
      <w:proofErr w:type="spellEnd"/>
      <w:r>
        <w:t xml:space="preserve"> Haor, Sylhet, Bangladesh’, </w:t>
      </w:r>
      <w:r>
        <w:rPr>
          <w:i/>
        </w:rPr>
        <w:t>Journal of Tourism Theory and Research</w:t>
      </w:r>
      <w:r>
        <w:t>, 11(1), pp. 26–36.</w:t>
      </w:r>
    </w:p>
    <w:p w14:paraId="59376F9B" w14:textId="77777777" w:rsidR="0035348B" w:rsidRDefault="00000000">
      <w:pPr>
        <w:spacing w:before="200"/>
      </w:pPr>
      <w:r>
        <w:t xml:space="preserve">Ashrapov, D. and Patterson, I. (2022) ‘The importance of MICE services to the hotel industry and their value during the tourist low season’, </w:t>
      </w:r>
      <w:r>
        <w:rPr>
          <w:i/>
        </w:rPr>
        <w:t>International Journal of Hospitality and Event Management</w:t>
      </w:r>
      <w:r>
        <w:t>, 2(3–4), pp. 292–310.</w:t>
      </w:r>
    </w:p>
    <w:p w14:paraId="3EC17AA1" w14:textId="77777777" w:rsidR="0035348B" w:rsidRDefault="00000000">
      <w:pPr>
        <w:spacing w:before="200"/>
      </w:pPr>
      <w:r>
        <w:t xml:space="preserve">Cresswell, T. (2013) </w:t>
      </w:r>
      <w:r>
        <w:rPr>
          <w:i/>
        </w:rPr>
        <w:t>Place: A short introduction</w:t>
      </w:r>
      <w:r>
        <w:t>. Chichester: John Wiley and Sons.</w:t>
      </w:r>
    </w:p>
    <w:p w14:paraId="1F8A4CDB" w14:textId="77777777" w:rsidR="0035348B" w:rsidRDefault="00000000">
      <w:pPr>
        <w:spacing w:before="200"/>
      </w:pPr>
      <w:r>
        <w:t xml:space="preserve">Csurgó, B. and Smith, M. K. (2022) ‘Cultural heritage, sense of place and tourism: An analysis of cultural ecosystem services in rural Hungary’, </w:t>
      </w:r>
      <w:r>
        <w:rPr>
          <w:i/>
        </w:rPr>
        <w:t>Sustainability</w:t>
      </w:r>
      <w:r>
        <w:t>, 14(12), 7305.</w:t>
      </w:r>
    </w:p>
    <w:p w14:paraId="17B32349" w14:textId="77777777" w:rsidR="0035348B" w:rsidRDefault="00000000">
      <w:pPr>
        <w:spacing w:before="200"/>
      </w:pPr>
      <w:r>
        <w:t xml:space="preserve">Driscoll, L. C. (2023) </w:t>
      </w:r>
      <w:r>
        <w:rPr>
          <w:i/>
        </w:rPr>
        <w:t xml:space="preserve">A Sense of Place; How Museums in Wales Represent Going Back </w:t>
      </w:r>
      <w:proofErr w:type="gramStart"/>
      <w:r>
        <w:rPr>
          <w:i/>
        </w:rPr>
        <w:t>To</w:t>
      </w:r>
      <w:proofErr w:type="gramEnd"/>
      <w:r>
        <w:rPr>
          <w:i/>
        </w:rPr>
        <w:t xml:space="preserve"> Our Roots </w:t>
      </w:r>
      <w:proofErr w:type="gramStart"/>
      <w:r>
        <w:rPr>
          <w:i/>
        </w:rPr>
        <w:t>And</w:t>
      </w:r>
      <w:proofErr w:type="gramEnd"/>
      <w:r>
        <w:rPr>
          <w:i/>
        </w:rPr>
        <w:t xml:space="preserve"> Sharing Our History Through Food</w:t>
      </w:r>
      <w:r>
        <w:t xml:space="preserve"> (Doctoral dissertation). University of Wales Trinity Saint David.</w:t>
      </w:r>
    </w:p>
    <w:p w14:paraId="4E5D6410" w14:textId="77777777" w:rsidR="0035348B" w:rsidRDefault="00000000">
      <w:pPr>
        <w:spacing w:before="200"/>
      </w:pPr>
      <w:r>
        <w:t xml:space="preserve">Euromonitor International (2024) </w:t>
      </w:r>
      <w:r>
        <w:rPr>
          <w:i/>
        </w:rPr>
        <w:t>Travel in the United Kingdom: Market research report</w:t>
      </w:r>
      <w:r>
        <w:t>. London: Euromonitor. Available at:</w:t>
      </w:r>
      <w:hyperlink r:id="rId8">
        <w:r w:rsidR="0035348B">
          <w:t xml:space="preserve"> https://www.euromonitor.com/travel-in-the-united-kingdom/report</w:t>
        </w:r>
      </w:hyperlink>
      <w:r>
        <w:t xml:space="preserve"> </w:t>
      </w:r>
    </w:p>
    <w:p w14:paraId="6FD48AA8" w14:textId="77777777" w:rsidR="0035348B" w:rsidRDefault="00000000">
      <w:pPr>
        <w:spacing w:before="200"/>
      </w:pPr>
      <w:r>
        <w:t xml:space="preserve">Fox, D. et al. (2014) </w:t>
      </w:r>
      <w:r>
        <w:rPr>
          <w:i/>
        </w:rPr>
        <w:t>Doing events research: from theory to practice</w:t>
      </w:r>
      <w:r>
        <w:t>. Abingdon: Routledge.</w:t>
      </w:r>
    </w:p>
    <w:p w14:paraId="47D84EDC" w14:textId="77777777" w:rsidR="0035348B" w:rsidRDefault="00000000">
      <w:pPr>
        <w:spacing w:before="200"/>
      </w:pPr>
      <w:r>
        <w:t xml:space="preserve">Fortune Business Insights (2025) </w:t>
      </w:r>
      <w:r>
        <w:rPr>
          <w:i/>
        </w:rPr>
        <w:t>MICE market size, share and trends analysis [2025–2032]</w:t>
      </w:r>
      <w:r>
        <w:t>. Available at:</w:t>
      </w:r>
      <w:hyperlink r:id="rId9">
        <w:r w:rsidR="0035348B">
          <w:t xml:space="preserve"> https://www.fortunebusinessinsights.com/mice-market-108653</w:t>
        </w:r>
      </w:hyperlink>
      <w:r>
        <w:t xml:space="preserve"> </w:t>
      </w:r>
    </w:p>
    <w:p w14:paraId="50562344" w14:textId="77777777" w:rsidR="0035348B" w:rsidRDefault="00000000">
      <w:pPr>
        <w:spacing w:before="200"/>
      </w:pPr>
      <w:r>
        <w:t xml:space="preserve">Getz, D. and Page, S. (2019) </w:t>
      </w:r>
      <w:r>
        <w:rPr>
          <w:i/>
        </w:rPr>
        <w:t>Event studies: theory, research and policy for planned events</w:t>
      </w:r>
      <w:r>
        <w:t>. 3rd edn. Abingdon: Routledge.</w:t>
      </w:r>
    </w:p>
    <w:p w14:paraId="1393BD46" w14:textId="77777777" w:rsidR="0035348B" w:rsidRDefault="00000000">
      <w:pPr>
        <w:spacing w:before="200"/>
      </w:pPr>
      <w:r>
        <w:t xml:space="preserve">Grand View Research (2024) </w:t>
      </w:r>
      <w:r>
        <w:rPr>
          <w:i/>
        </w:rPr>
        <w:t>UK MICE market size and outlook, 2024–2030</w:t>
      </w:r>
      <w:r>
        <w:t>. Available at:</w:t>
      </w:r>
      <w:hyperlink r:id="rId10">
        <w:r w:rsidR="0035348B">
          <w:t xml:space="preserve"> https://www.grandviewresearch.com/horizon/outlook/mice-market/uk</w:t>
        </w:r>
      </w:hyperlink>
      <w:r>
        <w:t xml:space="preserve"> </w:t>
      </w:r>
    </w:p>
    <w:p w14:paraId="25D0EA8B" w14:textId="77777777" w:rsidR="0035348B" w:rsidRDefault="00000000">
      <w:pPr>
        <w:spacing w:before="200"/>
      </w:pPr>
      <w:r>
        <w:t xml:space="preserve">Haven-Tang, C. and Jones, E. (2005) ‘Using local food and drink to differentiate tourism destinations through a sense of place: A story from Wales-dining at Monmouthshire's great table’, </w:t>
      </w:r>
      <w:r>
        <w:rPr>
          <w:i/>
        </w:rPr>
        <w:t>Journal of Culinary Science and Technology</w:t>
      </w:r>
      <w:r>
        <w:t>, 4(4), pp. 69–86.</w:t>
      </w:r>
    </w:p>
    <w:p w14:paraId="5AC28E3E" w14:textId="77777777" w:rsidR="0035348B" w:rsidRDefault="00000000">
      <w:pPr>
        <w:spacing w:before="200"/>
      </w:pPr>
      <w:r>
        <w:lastRenderedPageBreak/>
        <w:t xml:space="preserve">IBISWorld (2024a) </w:t>
      </w:r>
      <w:r>
        <w:rPr>
          <w:i/>
        </w:rPr>
        <w:t>Conference centres letting and operating in the UK industry report</w:t>
      </w:r>
      <w:r>
        <w:t xml:space="preserve"> (Report No. 14454). London: IBISWorld. Available at:</w:t>
      </w:r>
      <w:hyperlink r:id="rId11">
        <w:r w:rsidR="0035348B">
          <w:t xml:space="preserve"> https://www.ibisworld.com/united-kingdom/industry/conference-centres-letting-operating/14454/</w:t>
        </w:r>
      </w:hyperlink>
      <w:r>
        <w:t xml:space="preserve"> </w:t>
      </w:r>
    </w:p>
    <w:p w14:paraId="74D7BFC1" w14:textId="77777777" w:rsidR="0035348B" w:rsidRDefault="00000000">
      <w:pPr>
        <w:spacing w:before="200"/>
      </w:pPr>
      <w:r>
        <w:t xml:space="preserve">IBISWorld (2024b) </w:t>
      </w:r>
      <w:r>
        <w:rPr>
          <w:i/>
        </w:rPr>
        <w:t>Convention and trade fair planning in the UK industry report</w:t>
      </w:r>
      <w:r>
        <w:t xml:space="preserve"> (Report No. 200314). London: IBISWorld. Available at:</w:t>
      </w:r>
      <w:hyperlink r:id="rId12">
        <w:r w:rsidR="0035348B">
          <w:t xml:space="preserve"> https://www.ibisworld.com/united-kingdom/industry/convention-trade-fair-planning/200314/</w:t>
        </w:r>
      </w:hyperlink>
      <w:r>
        <w:t xml:space="preserve"> </w:t>
      </w:r>
    </w:p>
    <w:p w14:paraId="13E44A26" w14:textId="77777777" w:rsidR="0035348B" w:rsidRDefault="00000000">
      <w:pPr>
        <w:spacing w:before="200"/>
      </w:pPr>
      <w:proofErr w:type="spellStart"/>
      <w:r>
        <w:t>Lekgau</w:t>
      </w:r>
      <w:proofErr w:type="spellEnd"/>
      <w:r>
        <w:t xml:space="preserve">, R. J. and </w:t>
      </w:r>
      <w:proofErr w:type="spellStart"/>
      <w:r>
        <w:t>Tichaawa</w:t>
      </w:r>
      <w:proofErr w:type="spellEnd"/>
      <w:r>
        <w:t xml:space="preserve">, T. M. (2023) ‘Dynamic Changes and Recovery in Event Venues: Perspectives from MICE Event Planners and Venue Managers’, </w:t>
      </w:r>
      <w:r>
        <w:rPr>
          <w:i/>
        </w:rPr>
        <w:t xml:space="preserve">Studia </w:t>
      </w:r>
      <w:proofErr w:type="spellStart"/>
      <w:r>
        <w:rPr>
          <w:i/>
        </w:rPr>
        <w:t>Periegetica</w:t>
      </w:r>
      <w:proofErr w:type="spellEnd"/>
      <w:r>
        <w:t>, 44(4), pp. 139–158.</w:t>
      </w:r>
    </w:p>
    <w:p w14:paraId="37FD512C" w14:textId="77777777" w:rsidR="0035348B" w:rsidRDefault="00000000">
      <w:pPr>
        <w:spacing w:before="200"/>
      </w:pPr>
      <w:r>
        <w:t xml:space="preserve">Lewicka, M. (2011) ‘Place attachment: How far have we come in the last 40 years?’, </w:t>
      </w:r>
      <w:r>
        <w:rPr>
          <w:i/>
        </w:rPr>
        <w:t>Journal of Environmental Psychology</w:t>
      </w:r>
      <w:r>
        <w:t>, 31(3), pp. 207–230.</w:t>
      </w:r>
    </w:p>
    <w:p w14:paraId="0C1FD5C3" w14:textId="77777777" w:rsidR="0035348B" w:rsidRDefault="00000000">
      <w:pPr>
        <w:spacing w:before="200"/>
      </w:pPr>
      <w:r>
        <w:t xml:space="preserve">Market Research Future (2024) </w:t>
      </w:r>
      <w:r>
        <w:rPr>
          <w:i/>
        </w:rPr>
        <w:t>UK MICE market: Industry outlook to 2035</w:t>
      </w:r>
      <w:r>
        <w:t>. Available at:</w:t>
      </w:r>
      <w:hyperlink r:id="rId13">
        <w:r w:rsidR="0035348B">
          <w:t xml:space="preserve"> https://www.marketresearchfuture.com/reports/uk-mice-market-46692</w:t>
        </w:r>
      </w:hyperlink>
      <w:r>
        <w:t xml:space="preserve"> </w:t>
      </w:r>
    </w:p>
    <w:p w14:paraId="3C5845F9" w14:textId="77777777" w:rsidR="0035348B" w:rsidRDefault="00000000">
      <w:pPr>
        <w:spacing w:before="200"/>
      </w:pPr>
      <w:r>
        <w:t xml:space="preserve">Meredith, J. (2022) </w:t>
      </w:r>
      <w:r>
        <w:rPr>
          <w:i/>
        </w:rPr>
        <w:t>Project management: a managerial approach</w:t>
      </w:r>
      <w:r>
        <w:t>. New York: Wiley.</w:t>
      </w:r>
    </w:p>
    <w:p w14:paraId="21813AC6" w14:textId="77777777" w:rsidR="0035348B" w:rsidRDefault="00000000">
      <w:pPr>
        <w:spacing w:before="200"/>
      </w:pPr>
      <w:r>
        <w:t xml:space="preserve">Mordor Intelligence (2025) </w:t>
      </w:r>
      <w:r>
        <w:rPr>
          <w:i/>
        </w:rPr>
        <w:t>MICE market: Size and share analysis, trends and forecasts to 2030</w:t>
      </w:r>
      <w:r>
        <w:t>. Available at:</w:t>
      </w:r>
      <w:hyperlink r:id="rId14">
        <w:r w:rsidR="0035348B">
          <w:t xml:space="preserve"> https://www.mordorintelligence.com/industry-reports/mice-market</w:t>
        </w:r>
      </w:hyperlink>
      <w:r>
        <w:t xml:space="preserve"> </w:t>
      </w:r>
    </w:p>
    <w:p w14:paraId="75B8852F" w14:textId="77777777" w:rsidR="0035348B" w:rsidRDefault="00000000">
      <w:pPr>
        <w:spacing w:before="200"/>
      </w:pPr>
      <w:r>
        <w:t xml:space="preserve">O’Toole, W. (2011) </w:t>
      </w:r>
      <w:r>
        <w:rPr>
          <w:i/>
        </w:rPr>
        <w:t>Events feasibility and development: from strategy to operations</w:t>
      </w:r>
      <w:r>
        <w:t>. Oxford: Elsevier.</w:t>
      </w:r>
    </w:p>
    <w:p w14:paraId="42DA5250" w14:textId="77777777" w:rsidR="0035348B" w:rsidRDefault="00000000">
      <w:pPr>
        <w:spacing w:before="200"/>
      </w:pPr>
      <w:r>
        <w:t xml:space="preserve">Patterson, T. and Quinn, B. (2012) ‘Sustainable event marketing in the MICE industry: A theoretical approach’, </w:t>
      </w:r>
      <w:r>
        <w:rPr>
          <w:i/>
        </w:rPr>
        <w:t>Journal of Convention and Event Tourism</w:t>
      </w:r>
      <w:r>
        <w:t>, 13(2), pp. 123–140.</w:t>
      </w:r>
    </w:p>
    <w:p w14:paraId="4C9492D1" w14:textId="77777777" w:rsidR="0035348B" w:rsidRDefault="00000000">
      <w:pPr>
        <w:spacing w:before="200"/>
      </w:pPr>
      <w:r>
        <w:t xml:space="preserve">Qu, H., Kim, L. H. and </w:t>
      </w:r>
      <w:proofErr w:type="spellStart"/>
      <w:r>
        <w:t>Im</w:t>
      </w:r>
      <w:proofErr w:type="spellEnd"/>
      <w:r>
        <w:t xml:space="preserve">, H. H. (2011) ‘A model of destination branding: Integrating the concepts of the branding and destination image’, </w:t>
      </w:r>
      <w:r>
        <w:rPr>
          <w:i/>
        </w:rPr>
        <w:t>Tourism Management</w:t>
      </w:r>
      <w:r>
        <w:t>, 32(3), pp. 465–476.</w:t>
      </w:r>
    </w:p>
    <w:p w14:paraId="7AD127E6" w14:textId="77777777" w:rsidR="0035348B" w:rsidRDefault="00000000">
      <w:pPr>
        <w:spacing w:before="200"/>
      </w:pPr>
      <w:r>
        <w:t xml:space="preserve">Rogers, T. and Wynn-Moylan, P. (2022) </w:t>
      </w:r>
      <w:r>
        <w:rPr>
          <w:i/>
        </w:rPr>
        <w:t>Conferences and conventions: a global industry</w:t>
      </w:r>
      <w:r>
        <w:t>. 4th edn. Abingdon: Routledge.</w:t>
      </w:r>
    </w:p>
    <w:p w14:paraId="44F4A9CD" w14:textId="77777777" w:rsidR="0035348B" w:rsidRDefault="00000000">
      <w:pPr>
        <w:spacing w:before="200"/>
      </w:pPr>
      <w:r>
        <w:t xml:space="preserve">Smith, A. (2012) </w:t>
      </w:r>
      <w:r>
        <w:rPr>
          <w:i/>
        </w:rPr>
        <w:t>Events and urban regeneration: the strategic use of events to revitalise cities</w:t>
      </w:r>
      <w:r>
        <w:t>. Abingdon: Routledge.</w:t>
      </w:r>
    </w:p>
    <w:p w14:paraId="7922F210" w14:textId="77777777" w:rsidR="0035348B" w:rsidRDefault="00000000">
      <w:pPr>
        <w:spacing w:before="200"/>
      </w:pPr>
      <w:r>
        <w:lastRenderedPageBreak/>
        <w:t xml:space="preserve">The Business Research Company (2024) </w:t>
      </w:r>
      <w:r>
        <w:rPr>
          <w:i/>
        </w:rPr>
        <w:t>Meetings, incentives, conferences, and exhibitions (MICE) market 2025–2035: Growth, share and forecast</w:t>
      </w:r>
      <w:r>
        <w:t xml:space="preserve"> [Global Report]. London: TBRC. Available at:</w:t>
      </w:r>
      <w:hyperlink r:id="rId15">
        <w:r w:rsidR="0035348B">
          <w:t xml:space="preserve"> https://www.thebusinessresearchcompany.com/report/meetings-incentives-conferences-and-exhibitions-mice-global-market-report</w:t>
        </w:r>
      </w:hyperlink>
      <w:r>
        <w:t xml:space="preserve"> </w:t>
      </w:r>
    </w:p>
    <w:p w14:paraId="4CAD52C9" w14:textId="77777777" w:rsidR="0035348B" w:rsidRDefault="00000000">
      <w:pPr>
        <w:spacing w:before="200"/>
      </w:pPr>
      <w:r>
        <w:t xml:space="preserve">Visit Wales (2023) </w:t>
      </w:r>
      <w:r>
        <w:rPr>
          <w:i/>
        </w:rPr>
        <w:t>Figures on the visitor economy in Wales: Research and insights</w:t>
      </w:r>
      <w:r>
        <w:t>. Cardiff: Visit Wales. Available at:</w:t>
      </w:r>
      <w:hyperlink r:id="rId16">
        <w:r w:rsidR="0035348B">
          <w:t xml:space="preserve"> https://industry.visitwales.com/research-and-insights/industry-research/figures-visitor-economy-wales</w:t>
        </w:r>
      </w:hyperlink>
      <w:r>
        <w:t xml:space="preserve"> </w:t>
      </w:r>
    </w:p>
    <w:p w14:paraId="304DD657" w14:textId="77777777" w:rsidR="0035348B" w:rsidRDefault="00000000">
      <w:pPr>
        <w:spacing w:before="200"/>
      </w:pPr>
      <w:r>
        <w:t xml:space="preserve">Wales, B. (2016) </w:t>
      </w:r>
      <w:r>
        <w:rPr>
          <w:i/>
        </w:rPr>
        <w:t>Wales Identity: Sense of Place</w:t>
      </w:r>
      <w:r>
        <w:t>. Cardiff: University of Wales Press.</w:t>
      </w:r>
    </w:p>
    <w:p w14:paraId="3524A1F8" w14:textId="77777777" w:rsidR="0035348B" w:rsidRDefault="00000000">
      <w:pPr>
        <w:spacing w:before="200"/>
      </w:pPr>
      <w:r>
        <w:t xml:space="preserve">Wee, H., Kamarulzaman, N. D. and Anas, M. S. (2022) ‘MICE industry survival: A systematic literature review’, </w:t>
      </w:r>
      <w:r>
        <w:rPr>
          <w:i/>
        </w:rPr>
        <w:t>The International Journal of Academic Research in Business and Social Sciences</w:t>
      </w:r>
      <w:r>
        <w:t>, 12(11).</w:t>
      </w:r>
    </w:p>
    <w:p w14:paraId="5966832E" w14:textId="77777777" w:rsidR="0035348B" w:rsidRDefault="0035348B"/>
    <w:p w14:paraId="4CC35E9E" w14:textId="77777777" w:rsidR="0035348B" w:rsidRDefault="0035348B"/>
    <w:sectPr w:rsidR="0035348B">
      <w:footerReference w:type="default" r:id="rId17"/>
      <w:footerReference w:type="first" r:id="rId18"/>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E9B87F" w14:textId="77777777" w:rsidR="00B56F17" w:rsidRDefault="00B56F17">
      <w:pPr>
        <w:spacing w:line="240" w:lineRule="auto"/>
      </w:pPr>
      <w:r>
        <w:separator/>
      </w:r>
    </w:p>
  </w:endnote>
  <w:endnote w:type="continuationSeparator" w:id="0">
    <w:p w14:paraId="664C521D" w14:textId="77777777" w:rsidR="00B56F17" w:rsidRDefault="00B56F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9C78EF" w14:textId="77777777" w:rsidR="0035348B" w:rsidRDefault="00000000">
    <w:pPr>
      <w:jc w:val="right"/>
    </w:pPr>
    <w:r>
      <w:t xml:space="preserve">Page No. </w:t>
    </w:r>
    <w:r>
      <w:fldChar w:fldCharType="begin"/>
    </w:r>
    <w:r>
      <w:instrText>PAGE</w:instrText>
    </w:r>
    <w:r>
      <w:fldChar w:fldCharType="separate"/>
    </w:r>
    <w:r w:rsidR="00901E2A">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95B67C" w14:textId="77777777" w:rsidR="0035348B" w:rsidRDefault="0035348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FEAC2B" w14:textId="77777777" w:rsidR="00B56F17" w:rsidRDefault="00B56F17">
      <w:pPr>
        <w:spacing w:line="240" w:lineRule="auto"/>
      </w:pPr>
      <w:r>
        <w:separator/>
      </w:r>
    </w:p>
  </w:footnote>
  <w:footnote w:type="continuationSeparator" w:id="0">
    <w:p w14:paraId="444E83ED" w14:textId="77777777" w:rsidR="00B56F17" w:rsidRDefault="00B56F1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BB63E8"/>
    <w:multiLevelType w:val="multilevel"/>
    <w:tmpl w:val="274CE09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16cid:durableId="1464495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348B"/>
    <w:rsid w:val="0034574A"/>
    <w:rsid w:val="0035348B"/>
    <w:rsid w:val="00901E2A"/>
    <w:rsid w:val="00B56F17"/>
    <w:rsid w:val="00BE32BE"/>
    <w:rsid w:val="00D41D6D"/>
    <w:rsid w:val="00E1455A"/>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13636D"/>
  <w15:docId w15:val="{166A0F33-419C-7845-8900-AAA417FDA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34"/>
      <w:szCs w:val="34"/>
    </w:rPr>
  </w:style>
  <w:style w:type="paragraph" w:styleId="Heading2">
    <w:name w:val="heading 2"/>
    <w:basedOn w:val="Normal"/>
    <w:next w:val="Normal"/>
    <w:uiPriority w:val="9"/>
    <w:unhideWhenUsed/>
    <w:qFormat/>
    <w:pPr>
      <w:keepNext/>
      <w:keepLines/>
      <w:spacing w:before="240" w:after="40"/>
      <w:outlineLvl w:val="1"/>
    </w:pPr>
    <w:rPr>
      <w:b/>
      <w:sz w:val="28"/>
      <w:szCs w:val="28"/>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euromonitor.com/travel-in-the-united-kingdom/report" TargetMode="External"/><Relationship Id="rId13" Type="http://schemas.openxmlformats.org/officeDocument/2006/relationships/hyperlink" Target="https://www.marketresearchfuture.com/reports/uk-mice-market-46692" TargetMode="Externa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ibisworld.com/united-kingdom/industry/convention-trade-fair-planning/200314/"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industry.visitwales.com/research-and-insights/industry-research/figures-visitor-economy-wales"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bisworld.com/united-kingdom/industry/conference-centres-letting-operating/14454/" TargetMode="External"/><Relationship Id="rId5" Type="http://schemas.openxmlformats.org/officeDocument/2006/relationships/footnotes" Target="footnotes.xml"/><Relationship Id="rId15" Type="http://schemas.openxmlformats.org/officeDocument/2006/relationships/hyperlink" Target="https://www.thebusinessresearchcompany.com/report/meetings-incentives-conferences-and-exhibitions-mice-global-market-report" TargetMode="External"/><Relationship Id="rId10" Type="http://schemas.openxmlformats.org/officeDocument/2006/relationships/hyperlink" Target="https://www.grandviewresearch.com/horizon/outlook/mice-market/uk"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fortunebusinessinsights.com/mice-market-108653" TargetMode="External"/><Relationship Id="rId14" Type="http://schemas.openxmlformats.org/officeDocument/2006/relationships/hyperlink" Target="https://www.mordorintelligence.com/industry-reports/mice-mark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19</Pages>
  <Words>3982</Words>
  <Characters>22700</Characters>
  <Application>Microsoft Office Word</Application>
  <DocSecurity>0</DocSecurity>
  <Lines>189</Lines>
  <Paragraphs>53</Paragraphs>
  <ScaleCrop>false</ScaleCrop>
  <Company/>
  <LinksUpToDate>false</LinksUpToDate>
  <CharactersWithSpaces>26629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Badrul Jamal (2126642)</cp:lastModifiedBy>
  <cp:revision>2</cp:revision>
  <dcterms:created xsi:type="dcterms:W3CDTF">2025-06-12T22:52:00Z</dcterms:created>
  <dcterms:modified xsi:type="dcterms:W3CDTF">2025-06-12T22:52:00Z</dcterms:modified>
</cp:coreProperties>
</file>