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78D785" w14:textId="309FBF86" w:rsidR="00BD6159" w:rsidRDefault="00BD615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0" distB="0" distL="0" distR="0" wp14:anchorId="5082131D" wp14:editId="21E75725">
            <wp:extent cx="2973705" cy="1633855"/>
            <wp:effectExtent l="0" t="0" r="0" b="4445"/>
            <wp:docPr id="105816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3705" cy="1633855"/>
                    </a:xfrm>
                    <a:prstGeom prst="rect">
                      <a:avLst/>
                    </a:prstGeom>
                    <a:noFill/>
                  </pic:spPr>
                </pic:pic>
              </a:graphicData>
            </a:graphic>
          </wp:inline>
        </w:drawing>
      </w:r>
    </w:p>
    <w:p w14:paraId="4C598B7D" w14:textId="77777777" w:rsidR="00BD6159" w:rsidRDefault="00BD6159">
      <w:pPr>
        <w:spacing w:before="240" w:after="240"/>
        <w:jc w:val="center"/>
        <w:rPr>
          <w:rFonts w:ascii="Times New Roman" w:eastAsia="Times New Roman" w:hAnsi="Times New Roman" w:cs="Times New Roman"/>
          <w:b/>
          <w:bCs/>
          <w:sz w:val="24"/>
          <w:szCs w:val="24"/>
        </w:rPr>
      </w:pPr>
    </w:p>
    <w:p w14:paraId="0ADE2AAC" w14:textId="77777777" w:rsidR="00BD6159" w:rsidRDefault="00BD6159" w:rsidP="00BD6159">
      <w:pPr>
        <w:pStyle w:val="Heading2"/>
        <w:keepNext w:val="0"/>
        <w:keepLines w:val="0"/>
        <w:jc w:val="center"/>
        <w:rPr>
          <w:rFonts w:asciiTheme="majorHAnsi" w:hAnsiTheme="majorHAnsi" w:cstheme="majorHAnsi"/>
          <w:sz w:val="32"/>
          <w:szCs w:val="32"/>
        </w:rPr>
      </w:pPr>
      <w:r w:rsidRPr="008A5BCE">
        <w:rPr>
          <w:rFonts w:asciiTheme="majorHAnsi" w:hAnsiTheme="majorHAnsi" w:cstheme="majorHAnsi"/>
          <w:sz w:val="32"/>
          <w:szCs w:val="32"/>
        </w:rPr>
        <w:t>Subject: Strategic Management</w:t>
      </w:r>
    </w:p>
    <w:p w14:paraId="0817D07F" w14:textId="77777777" w:rsidR="00BD6159" w:rsidRDefault="00BD6159" w:rsidP="00BD6159">
      <w:pPr>
        <w:jc w:val="center"/>
        <w:rPr>
          <w:b/>
          <w:bCs/>
          <w:sz w:val="28"/>
          <w:szCs w:val="28"/>
        </w:rPr>
      </w:pPr>
      <w:r w:rsidRPr="008A5BCE">
        <w:rPr>
          <w:b/>
          <w:bCs/>
          <w:sz w:val="28"/>
          <w:szCs w:val="28"/>
        </w:rPr>
        <w:t>Subject</w:t>
      </w:r>
      <w:r>
        <w:rPr>
          <w:b/>
          <w:bCs/>
          <w:sz w:val="28"/>
          <w:szCs w:val="28"/>
        </w:rPr>
        <w:t xml:space="preserve"> Code: LCMB7003</w:t>
      </w:r>
    </w:p>
    <w:p w14:paraId="14A63A9B" w14:textId="77777777" w:rsidR="00BD6159" w:rsidRDefault="00BD6159" w:rsidP="00BD6159">
      <w:pPr>
        <w:jc w:val="center"/>
        <w:rPr>
          <w:b/>
          <w:bCs/>
          <w:sz w:val="28"/>
          <w:szCs w:val="28"/>
        </w:rPr>
      </w:pPr>
    </w:p>
    <w:p w14:paraId="646138E0" w14:textId="00CFCD69" w:rsidR="00BD6159" w:rsidRDefault="00BD6159" w:rsidP="00BD6159">
      <w:pPr>
        <w:jc w:val="center"/>
        <w:rPr>
          <w:b/>
          <w:bCs/>
          <w:sz w:val="28"/>
          <w:szCs w:val="28"/>
        </w:rPr>
      </w:pPr>
      <w:r>
        <w:rPr>
          <w:b/>
          <w:bCs/>
          <w:sz w:val="28"/>
          <w:szCs w:val="28"/>
        </w:rPr>
        <w:t xml:space="preserve">Student name: </w:t>
      </w:r>
      <w:r>
        <w:rPr>
          <w:b/>
          <w:bCs/>
          <w:sz w:val="28"/>
          <w:szCs w:val="28"/>
        </w:rPr>
        <w:t xml:space="preserve">Yash </w:t>
      </w:r>
      <w:proofErr w:type="spellStart"/>
      <w:r>
        <w:rPr>
          <w:b/>
          <w:bCs/>
          <w:sz w:val="28"/>
          <w:szCs w:val="28"/>
        </w:rPr>
        <w:t>Pravinbhai</w:t>
      </w:r>
      <w:proofErr w:type="spellEnd"/>
      <w:r>
        <w:rPr>
          <w:b/>
          <w:bCs/>
          <w:sz w:val="28"/>
          <w:szCs w:val="28"/>
        </w:rPr>
        <w:t xml:space="preserve"> Patel</w:t>
      </w:r>
    </w:p>
    <w:p w14:paraId="04EBEEF7" w14:textId="7AA5C626" w:rsidR="00BD6159" w:rsidRDefault="00BD6159" w:rsidP="00BD6159">
      <w:pPr>
        <w:jc w:val="center"/>
        <w:rPr>
          <w:b/>
          <w:bCs/>
          <w:sz w:val="28"/>
          <w:szCs w:val="28"/>
        </w:rPr>
      </w:pPr>
      <w:r>
        <w:rPr>
          <w:b/>
          <w:bCs/>
          <w:sz w:val="28"/>
          <w:szCs w:val="28"/>
        </w:rPr>
        <w:br/>
        <w:t>Student ID: 2</w:t>
      </w:r>
      <w:r>
        <w:rPr>
          <w:b/>
          <w:bCs/>
          <w:sz w:val="28"/>
          <w:szCs w:val="28"/>
        </w:rPr>
        <w:t>435237</w:t>
      </w:r>
    </w:p>
    <w:p w14:paraId="6A3B3FA3" w14:textId="77777777" w:rsidR="00BD6159" w:rsidRDefault="00BD6159" w:rsidP="00BD6159">
      <w:pPr>
        <w:jc w:val="center"/>
        <w:rPr>
          <w:b/>
          <w:bCs/>
          <w:sz w:val="28"/>
          <w:szCs w:val="28"/>
        </w:rPr>
      </w:pPr>
    </w:p>
    <w:p w14:paraId="7E053C1C" w14:textId="77777777" w:rsidR="00BD6159" w:rsidRDefault="00BD6159" w:rsidP="00BD6159">
      <w:pPr>
        <w:jc w:val="center"/>
        <w:rPr>
          <w:b/>
          <w:bCs/>
          <w:sz w:val="28"/>
          <w:szCs w:val="28"/>
        </w:rPr>
      </w:pPr>
      <w:r>
        <w:rPr>
          <w:b/>
          <w:bCs/>
          <w:sz w:val="28"/>
          <w:szCs w:val="28"/>
        </w:rPr>
        <w:t>Term-2</w:t>
      </w:r>
    </w:p>
    <w:p w14:paraId="29DFED98" w14:textId="77777777" w:rsidR="00BD6159" w:rsidRDefault="00BD6159" w:rsidP="00BD6159">
      <w:pPr>
        <w:jc w:val="center"/>
        <w:rPr>
          <w:b/>
          <w:bCs/>
          <w:sz w:val="28"/>
          <w:szCs w:val="28"/>
        </w:rPr>
      </w:pPr>
    </w:p>
    <w:p w14:paraId="0EAA9798" w14:textId="77777777" w:rsidR="00BD6159" w:rsidRPr="004B18E9" w:rsidRDefault="00BD6159" w:rsidP="00BD6159">
      <w:pPr>
        <w:jc w:val="center"/>
        <w:rPr>
          <w:b/>
          <w:bCs/>
          <w:sz w:val="28"/>
          <w:szCs w:val="28"/>
        </w:rPr>
      </w:pPr>
      <w:r>
        <w:rPr>
          <w:b/>
          <w:bCs/>
          <w:sz w:val="28"/>
          <w:szCs w:val="28"/>
        </w:rPr>
        <w:t xml:space="preserve">Prof: Dr. Andry </w:t>
      </w:r>
      <w:proofErr w:type="spellStart"/>
      <w:r>
        <w:rPr>
          <w:b/>
          <w:bCs/>
          <w:sz w:val="28"/>
          <w:szCs w:val="28"/>
        </w:rPr>
        <w:t>Rakotovololona</w:t>
      </w:r>
      <w:proofErr w:type="spellEnd"/>
    </w:p>
    <w:p w14:paraId="68A34C88" w14:textId="77777777" w:rsidR="00BD6159" w:rsidRDefault="00BD6159">
      <w:pPr>
        <w:spacing w:before="240" w:after="240"/>
        <w:jc w:val="center"/>
        <w:rPr>
          <w:rFonts w:ascii="Times New Roman" w:eastAsia="Times New Roman" w:hAnsi="Times New Roman" w:cs="Times New Roman"/>
          <w:b/>
          <w:bCs/>
          <w:sz w:val="24"/>
          <w:szCs w:val="24"/>
        </w:rPr>
      </w:pPr>
    </w:p>
    <w:p w14:paraId="4D811B82" w14:textId="77777777" w:rsidR="00BD6159" w:rsidRDefault="00BD6159" w:rsidP="00BD6159">
      <w:pPr>
        <w:spacing w:before="240" w:after="240"/>
        <w:rPr>
          <w:rFonts w:ascii="Times New Roman" w:eastAsia="Times New Roman" w:hAnsi="Times New Roman" w:cs="Times New Roman"/>
          <w:b/>
          <w:bCs/>
          <w:sz w:val="24"/>
          <w:szCs w:val="24"/>
        </w:rPr>
      </w:pPr>
    </w:p>
    <w:p w14:paraId="1A155480" w14:textId="037C2AC3" w:rsidR="002847F8" w:rsidRPr="00BD6159" w:rsidRDefault="00000000">
      <w:pPr>
        <w:spacing w:before="240" w:after="240"/>
        <w:jc w:val="center"/>
        <w:rPr>
          <w:rFonts w:ascii="Times New Roman" w:eastAsia="Times New Roman" w:hAnsi="Times New Roman" w:cs="Times New Roman"/>
          <w:b/>
          <w:bCs/>
          <w:sz w:val="28"/>
          <w:szCs w:val="28"/>
        </w:rPr>
      </w:pPr>
      <w:r w:rsidRPr="00BD6159">
        <w:rPr>
          <w:rFonts w:ascii="Times New Roman" w:eastAsia="Times New Roman" w:hAnsi="Times New Roman" w:cs="Times New Roman"/>
          <w:b/>
          <w:bCs/>
          <w:sz w:val="28"/>
          <w:szCs w:val="28"/>
        </w:rPr>
        <w:t>Strategic Expansion Plan for Wipro Limited: An International Market Entry Strategy into Germany</w:t>
      </w:r>
    </w:p>
    <w:p w14:paraId="3F577064" w14:textId="77777777" w:rsidR="002847F8" w:rsidRDefault="002847F8">
      <w:pPr>
        <w:pStyle w:val="Heading1"/>
      </w:pPr>
      <w:bookmarkStart w:id="0" w:name="_heading=h.x9mn5pmtgj7h" w:colFirst="0" w:colLast="0"/>
      <w:bookmarkEnd w:id="0"/>
    </w:p>
    <w:p w14:paraId="187F8785" w14:textId="77777777" w:rsidR="002847F8" w:rsidRDefault="00000000">
      <w:pPr>
        <w:pStyle w:val="Heading1"/>
      </w:pPr>
      <w:bookmarkStart w:id="1" w:name="_heading=h.d6ivhobfn7d7" w:colFirst="0" w:colLast="0"/>
      <w:bookmarkEnd w:id="1"/>
      <w:r>
        <w:br w:type="page"/>
      </w:r>
    </w:p>
    <w:p w14:paraId="6F7EAEF6" w14:textId="77777777" w:rsidR="002847F8" w:rsidRDefault="00000000">
      <w:pPr>
        <w:pStyle w:val="Heading1"/>
        <w:jc w:val="center"/>
        <w:rPr>
          <w:b w:val="0"/>
          <w:bCs w:val="0"/>
        </w:rPr>
      </w:pPr>
      <w:bookmarkStart w:id="2" w:name="_heading=h.k3qkucecepgj" w:colFirst="0" w:colLast="0"/>
      <w:bookmarkEnd w:id="2"/>
      <w:r>
        <w:lastRenderedPageBreak/>
        <w:t>Table of contents</w:t>
      </w:r>
    </w:p>
    <w:sdt>
      <w:sdtPr>
        <w:id w:val="-2114222310"/>
        <w:docPartObj>
          <w:docPartGallery w:val="Table of Contents"/>
          <w:docPartUnique/>
        </w:docPartObj>
      </w:sdtPr>
      <w:sdtContent>
        <w:p w14:paraId="6A0B15AA"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er313v67jrfu">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fldChar w:fldCharType="begin"/>
          </w:r>
          <w:r>
            <w:instrText xml:space="preserve"> PAGEREF _heading=h.er313v67jrfu \h </w:instrText>
          </w:r>
          <w:r>
            <w:fldChar w:fldCharType="separate"/>
          </w:r>
          <w:r>
            <w:rPr>
              <w:rFonts w:ascii="Times New Roman" w:eastAsia="Times New Roman" w:hAnsi="Times New Roman" w:cs="Times New Roman"/>
              <w:sz w:val="24"/>
              <w:szCs w:val="24"/>
            </w:rPr>
            <w:t>2</w:t>
          </w:r>
          <w:r>
            <w:fldChar w:fldCharType="end"/>
          </w:r>
        </w:p>
        <w:p w14:paraId="464B162A"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7dpfopsedzul">
            <w:r>
              <w:rPr>
                <w:rFonts w:ascii="Times New Roman" w:eastAsia="Times New Roman" w:hAnsi="Times New Roman" w:cs="Times New Roman"/>
                <w:color w:val="000000"/>
                <w:sz w:val="24"/>
                <w:szCs w:val="24"/>
              </w:rPr>
              <w:t>1.1 Background of Wipro Limited</w:t>
            </w:r>
            <w:r>
              <w:rPr>
                <w:rFonts w:ascii="Times New Roman" w:eastAsia="Times New Roman" w:hAnsi="Times New Roman" w:cs="Times New Roman"/>
                <w:color w:val="000000"/>
                <w:sz w:val="24"/>
                <w:szCs w:val="24"/>
              </w:rPr>
              <w:tab/>
            </w:r>
          </w:hyperlink>
          <w:r>
            <w:fldChar w:fldCharType="begin"/>
          </w:r>
          <w:r>
            <w:instrText xml:space="preserve"> PAGEREF _heading=h.7dpfopsedzul \h </w:instrText>
          </w:r>
          <w:r>
            <w:fldChar w:fldCharType="separate"/>
          </w:r>
          <w:r>
            <w:rPr>
              <w:rFonts w:ascii="Times New Roman" w:eastAsia="Times New Roman" w:hAnsi="Times New Roman" w:cs="Times New Roman"/>
              <w:sz w:val="24"/>
              <w:szCs w:val="24"/>
            </w:rPr>
            <w:t>2</w:t>
          </w:r>
          <w:r>
            <w:fldChar w:fldCharType="end"/>
          </w:r>
        </w:p>
        <w:p w14:paraId="499E2951"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sk9g2dn2zdi4">
            <w:r>
              <w:rPr>
                <w:rFonts w:ascii="Times New Roman" w:eastAsia="Times New Roman" w:hAnsi="Times New Roman" w:cs="Times New Roman"/>
                <w:color w:val="000000"/>
                <w:sz w:val="24"/>
                <w:szCs w:val="24"/>
              </w:rPr>
              <w:t>1.2 Reason behind the choice of Wipro.</w:t>
            </w:r>
            <w:r>
              <w:rPr>
                <w:rFonts w:ascii="Times New Roman" w:eastAsia="Times New Roman" w:hAnsi="Times New Roman" w:cs="Times New Roman"/>
                <w:color w:val="000000"/>
                <w:sz w:val="24"/>
                <w:szCs w:val="24"/>
              </w:rPr>
              <w:tab/>
            </w:r>
          </w:hyperlink>
          <w:r>
            <w:fldChar w:fldCharType="begin"/>
          </w:r>
          <w:r>
            <w:instrText xml:space="preserve"> PAGEREF _heading=h.sk9g2dn2zdi4 \h </w:instrText>
          </w:r>
          <w:r>
            <w:fldChar w:fldCharType="separate"/>
          </w:r>
          <w:r>
            <w:rPr>
              <w:rFonts w:ascii="Times New Roman" w:eastAsia="Times New Roman" w:hAnsi="Times New Roman" w:cs="Times New Roman"/>
              <w:sz w:val="24"/>
              <w:szCs w:val="24"/>
            </w:rPr>
            <w:t>3</w:t>
          </w:r>
          <w:r>
            <w:fldChar w:fldCharType="end"/>
          </w:r>
        </w:p>
        <w:p w14:paraId="53A3DD05"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rt6i7c6gdgxj">
            <w:r>
              <w:rPr>
                <w:rFonts w:ascii="Times New Roman" w:eastAsia="Times New Roman" w:hAnsi="Times New Roman" w:cs="Times New Roman"/>
                <w:color w:val="000000"/>
                <w:sz w:val="24"/>
                <w:szCs w:val="24"/>
              </w:rPr>
              <w:t>1.3 Selection of Target Market: Germany.</w:t>
            </w:r>
            <w:r>
              <w:rPr>
                <w:rFonts w:ascii="Times New Roman" w:eastAsia="Times New Roman" w:hAnsi="Times New Roman" w:cs="Times New Roman"/>
                <w:color w:val="000000"/>
                <w:sz w:val="24"/>
                <w:szCs w:val="24"/>
              </w:rPr>
              <w:tab/>
            </w:r>
          </w:hyperlink>
          <w:r>
            <w:fldChar w:fldCharType="begin"/>
          </w:r>
          <w:r>
            <w:instrText xml:space="preserve"> PAGEREF _heading=h.rt6i7c6gdgxj \h </w:instrText>
          </w:r>
          <w:r>
            <w:fldChar w:fldCharType="separate"/>
          </w:r>
          <w:r>
            <w:rPr>
              <w:rFonts w:ascii="Times New Roman" w:eastAsia="Times New Roman" w:hAnsi="Times New Roman" w:cs="Times New Roman"/>
              <w:sz w:val="24"/>
              <w:szCs w:val="24"/>
            </w:rPr>
            <w:t>3</w:t>
          </w:r>
          <w:r>
            <w:fldChar w:fldCharType="end"/>
          </w:r>
        </w:p>
        <w:p w14:paraId="5062E56D"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iqzggrhowegm">
            <w:r>
              <w:rPr>
                <w:rFonts w:ascii="Times New Roman" w:eastAsia="Times New Roman" w:hAnsi="Times New Roman" w:cs="Times New Roman"/>
                <w:color w:val="000000"/>
                <w:sz w:val="24"/>
                <w:szCs w:val="24"/>
              </w:rPr>
              <w:t>2. Strategy analysis</w:t>
            </w:r>
            <w:r>
              <w:rPr>
                <w:rFonts w:ascii="Times New Roman" w:eastAsia="Times New Roman" w:hAnsi="Times New Roman" w:cs="Times New Roman"/>
                <w:color w:val="000000"/>
                <w:sz w:val="24"/>
                <w:szCs w:val="24"/>
              </w:rPr>
              <w:tab/>
            </w:r>
          </w:hyperlink>
          <w:r>
            <w:fldChar w:fldCharType="begin"/>
          </w:r>
          <w:r>
            <w:instrText xml:space="preserve"> PAGEREF _heading=h.iqzggrhowegm \h </w:instrText>
          </w:r>
          <w:r>
            <w:fldChar w:fldCharType="separate"/>
          </w:r>
          <w:r>
            <w:rPr>
              <w:rFonts w:ascii="Times New Roman" w:eastAsia="Times New Roman" w:hAnsi="Times New Roman" w:cs="Times New Roman"/>
              <w:sz w:val="24"/>
              <w:szCs w:val="24"/>
            </w:rPr>
            <w:t>4</w:t>
          </w:r>
          <w:r>
            <w:fldChar w:fldCharType="end"/>
          </w:r>
        </w:p>
        <w:p w14:paraId="7D0873EA"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gej95wrn6vwf">
            <w:r>
              <w:rPr>
                <w:rFonts w:ascii="Times New Roman" w:eastAsia="Times New Roman" w:hAnsi="Times New Roman" w:cs="Times New Roman"/>
                <w:color w:val="000000"/>
                <w:sz w:val="24"/>
                <w:szCs w:val="24"/>
              </w:rPr>
              <w:t>2.1 Macro-Environmental Analysis.</w:t>
            </w:r>
            <w:r>
              <w:rPr>
                <w:rFonts w:ascii="Times New Roman" w:eastAsia="Times New Roman" w:hAnsi="Times New Roman" w:cs="Times New Roman"/>
                <w:color w:val="000000"/>
                <w:sz w:val="24"/>
                <w:szCs w:val="24"/>
              </w:rPr>
              <w:tab/>
            </w:r>
          </w:hyperlink>
          <w:r>
            <w:fldChar w:fldCharType="begin"/>
          </w:r>
          <w:r>
            <w:instrText xml:space="preserve"> PAGEREF _heading=h.gej95wrn6vwf \h </w:instrText>
          </w:r>
          <w:r>
            <w:fldChar w:fldCharType="separate"/>
          </w:r>
          <w:r>
            <w:rPr>
              <w:rFonts w:ascii="Times New Roman" w:eastAsia="Times New Roman" w:hAnsi="Times New Roman" w:cs="Times New Roman"/>
              <w:sz w:val="24"/>
              <w:szCs w:val="24"/>
            </w:rPr>
            <w:t>4</w:t>
          </w:r>
          <w:r>
            <w:fldChar w:fldCharType="end"/>
          </w:r>
        </w:p>
        <w:p w14:paraId="4853D8BC"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xfoskkb0c63p">
            <w:r>
              <w:rPr>
                <w:rFonts w:ascii="Times New Roman" w:eastAsia="Times New Roman" w:hAnsi="Times New Roman" w:cs="Times New Roman"/>
                <w:color w:val="000000"/>
                <w:sz w:val="24"/>
                <w:szCs w:val="24"/>
              </w:rPr>
              <w:t>2.2 Industry and Competitive Landscape Porters Five Forces</w:t>
            </w:r>
            <w:r>
              <w:rPr>
                <w:rFonts w:ascii="Times New Roman" w:eastAsia="Times New Roman" w:hAnsi="Times New Roman" w:cs="Times New Roman"/>
                <w:color w:val="000000"/>
                <w:sz w:val="24"/>
                <w:szCs w:val="24"/>
              </w:rPr>
              <w:tab/>
            </w:r>
          </w:hyperlink>
          <w:r>
            <w:fldChar w:fldCharType="begin"/>
          </w:r>
          <w:r>
            <w:instrText xml:space="preserve"> PAGEREF _heading=h.xfoskkb0c63p \h </w:instrText>
          </w:r>
          <w:r>
            <w:fldChar w:fldCharType="separate"/>
          </w:r>
          <w:r>
            <w:rPr>
              <w:rFonts w:ascii="Times New Roman" w:eastAsia="Times New Roman" w:hAnsi="Times New Roman" w:cs="Times New Roman"/>
              <w:sz w:val="24"/>
              <w:szCs w:val="24"/>
            </w:rPr>
            <w:t>7</w:t>
          </w:r>
          <w:r>
            <w:fldChar w:fldCharType="end"/>
          </w:r>
        </w:p>
        <w:p w14:paraId="53AE8088"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h4ooptuetviz">
            <w:r>
              <w:rPr>
                <w:rFonts w:ascii="Times New Roman" w:eastAsia="Times New Roman" w:hAnsi="Times New Roman" w:cs="Times New Roman"/>
                <w:color w:val="000000"/>
                <w:sz w:val="24"/>
                <w:szCs w:val="24"/>
              </w:rPr>
              <w:t>2.3 Internal Analysis VRIO and Resource Capability</w:t>
            </w:r>
            <w:r>
              <w:rPr>
                <w:rFonts w:ascii="Times New Roman" w:eastAsia="Times New Roman" w:hAnsi="Times New Roman" w:cs="Times New Roman"/>
                <w:color w:val="000000"/>
                <w:sz w:val="24"/>
                <w:szCs w:val="24"/>
              </w:rPr>
              <w:tab/>
            </w:r>
          </w:hyperlink>
          <w:r>
            <w:fldChar w:fldCharType="begin"/>
          </w:r>
          <w:r>
            <w:instrText xml:space="preserve"> PAGEREF _heading=h.h4ooptuetviz \h </w:instrText>
          </w:r>
          <w:r>
            <w:fldChar w:fldCharType="separate"/>
          </w:r>
          <w:r>
            <w:rPr>
              <w:rFonts w:ascii="Times New Roman" w:eastAsia="Times New Roman" w:hAnsi="Times New Roman" w:cs="Times New Roman"/>
              <w:sz w:val="24"/>
              <w:szCs w:val="24"/>
            </w:rPr>
            <w:t>9</w:t>
          </w:r>
          <w:r>
            <w:fldChar w:fldCharType="end"/>
          </w:r>
        </w:p>
        <w:p w14:paraId="6885D23F" w14:textId="77777777" w:rsidR="002847F8" w:rsidRDefault="0000000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ryzxiuvvw6j6">
            <w:r>
              <w:rPr>
                <w:rFonts w:ascii="Times New Roman" w:eastAsia="Times New Roman" w:hAnsi="Times New Roman" w:cs="Times New Roman"/>
                <w:color w:val="000000"/>
                <w:sz w:val="24"/>
                <w:szCs w:val="24"/>
              </w:rPr>
              <w:t>VRIO Analysis Table – Wipro</w:t>
            </w:r>
            <w:r>
              <w:rPr>
                <w:rFonts w:ascii="Times New Roman" w:eastAsia="Times New Roman" w:hAnsi="Times New Roman" w:cs="Times New Roman"/>
                <w:color w:val="000000"/>
                <w:sz w:val="24"/>
                <w:szCs w:val="24"/>
              </w:rPr>
              <w:tab/>
            </w:r>
          </w:hyperlink>
          <w:r>
            <w:fldChar w:fldCharType="begin"/>
          </w:r>
          <w:r>
            <w:instrText xml:space="preserve"> PAGEREF _heading=h.ryzxiuvvw6j6 \h </w:instrText>
          </w:r>
          <w:r>
            <w:fldChar w:fldCharType="separate"/>
          </w:r>
          <w:r>
            <w:rPr>
              <w:rFonts w:ascii="Times New Roman" w:eastAsia="Times New Roman" w:hAnsi="Times New Roman" w:cs="Times New Roman"/>
              <w:sz w:val="24"/>
              <w:szCs w:val="24"/>
            </w:rPr>
            <w:t>9</w:t>
          </w:r>
          <w:r>
            <w:fldChar w:fldCharType="end"/>
          </w:r>
        </w:p>
        <w:p w14:paraId="70DFA9DA"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rw1wcptt40t0">
            <w:r>
              <w:rPr>
                <w:rFonts w:ascii="Times New Roman" w:eastAsia="Times New Roman" w:hAnsi="Times New Roman" w:cs="Times New Roman"/>
                <w:color w:val="000000"/>
                <w:sz w:val="24"/>
                <w:szCs w:val="24"/>
              </w:rPr>
              <w:t>2.4 Portfolio and Growth Position BCG Matrix and Ansoff Matrix</w:t>
            </w:r>
            <w:r>
              <w:rPr>
                <w:rFonts w:ascii="Times New Roman" w:eastAsia="Times New Roman" w:hAnsi="Times New Roman" w:cs="Times New Roman"/>
                <w:color w:val="000000"/>
                <w:sz w:val="24"/>
                <w:szCs w:val="24"/>
              </w:rPr>
              <w:tab/>
            </w:r>
          </w:hyperlink>
          <w:r>
            <w:fldChar w:fldCharType="begin"/>
          </w:r>
          <w:r>
            <w:instrText xml:space="preserve"> PAGEREF _heading=h.rw1wcptt40t0 \h </w:instrText>
          </w:r>
          <w:r>
            <w:fldChar w:fldCharType="separate"/>
          </w:r>
          <w:r>
            <w:rPr>
              <w:rFonts w:ascii="Times New Roman" w:eastAsia="Times New Roman" w:hAnsi="Times New Roman" w:cs="Times New Roman"/>
              <w:sz w:val="24"/>
              <w:szCs w:val="24"/>
            </w:rPr>
            <w:t>11</w:t>
          </w:r>
          <w:r>
            <w:fldChar w:fldCharType="end"/>
          </w:r>
        </w:p>
        <w:p w14:paraId="4F8410C6" w14:textId="77777777" w:rsidR="002847F8" w:rsidRDefault="0000000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5l7l764kzv2a">
            <w:r>
              <w:rPr>
                <w:rFonts w:ascii="Times New Roman" w:eastAsia="Times New Roman" w:hAnsi="Times New Roman" w:cs="Times New Roman"/>
                <w:color w:val="000000"/>
                <w:sz w:val="24"/>
                <w:szCs w:val="24"/>
              </w:rPr>
              <w:t>BCG Matrix Analysis of Wipro’s Service Portfolio</w:t>
            </w:r>
            <w:r>
              <w:rPr>
                <w:rFonts w:ascii="Times New Roman" w:eastAsia="Times New Roman" w:hAnsi="Times New Roman" w:cs="Times New Roman"/>
                <w:color w:val="000000"/>
                <w:sz w:val="24"/>
                <w:szCs w:val="24"/>
              </w:rPr>
              <w:tab/>
            </w:r>
          </w:hyperlink>
          <w:r>
            <w:fldChar w:fldCharType="begin"/>
          </w:r>
          <w:r>
            <w:instrText xml:space="preserve"> PAGEREF _heading=h.5l7l764kzv2a \h </w:instrText>
          </w:r>
          <w:r>
            <w:fldChar w:fldCharType="separate"/>
          </w:r>
          <w:r>
            <w:rPr>
              <w:rFonts w:ascii="Times New Roman" w:eastAsia="Times New Roman" w:hAnsi="Times New Roman" w:cs="Times New Roman"/>
              <w:sz w:val="24"/>
              <w:szCs w:val="24"/>
            </w:rPr>
            <w:t>11</w:t>
          </w:r>
          <w:r>
            <w:fldChar w:fldCharType="end"/>
          </w:r>
        </w:p>
        <w:p w14:paraId="18844A15" w14:textId="77777777" w:rsidR="002847F8" w:rsidRDefault="0000000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s97jpaljds66">
            <w:r>
              <w:rPr>
                <w:rFonts w:ascii="Times New Roman" w:eastAsia="Times New Roman" w:hAnsi="Times New Roman" w:cs="Times New Roman"/>
                <w:color w:val="000000"/>
                <w:sz w:val="24"/>
                <w:szCs w:val="24"/>
              </w:rPr>
              <w:t>Ansoff Matrix – Wipro’s Growth Strategy for Germany</w:t>
            </w:r>
            <w:r>
              <w:rPr>
                <w:rFonts w:ascii="Times New Roman" w:eastAsia="Times New Roman" w:hAnsi="Times New Roman" w:cs="Times New Roman"/>
                <w:color w:val="000000"/>
                <w:sz w:val="24"/>
                <w:szCs w:val="24"/>
              </w:rPr>
              <w:tab/>
            </w:r>
          </w:hyperlink>
          <w:r>
            <w:fldChar w:fldCharType="begin"/>
          </w:r>
          <w:r>
            <w:instrText xml:space="preserve"> PAGEREF _heading=h.s97jpaljds66 \h </w:instrText>
          </w:r>
          <w:r>
            <w:fldChar w:fldCharType="separate"/>
          </w:r>
          <w:r>
            <w:rPr>
              <w:rFonts w:ascii="Times New Roman" w:eastAsia="Times New Roman" w:hAnsi="Times New Roman" w:cs="Times New Roman"/>
              <w:sz w:val="24"/>
              <w:szCs w:val="24"/>
            </w:rPr>
            <w:t>13</w:t>
          </w:r>
          <w:r>
            <w:fldChar w:fldCharType="end"/>
          </w:r>
        </w:p>
        <w:p w14:paraId="261ACC6A"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1yvt9pa7tga7">
            <w:r>
              <w:rPr>
                <w:rFonts w:ascii="Times New Roman" w:eastAsia="Times New Roman" w:hAnsi="Times New Roman" w:cs="Times New Roman"/>
                <w:color w:val="000000"/>
                <w:sz w:val="24"/>
                <w:szCs w:val="24"/>
              </w:rPr>
              <w:t>2.5 SWOT Analysis</w:t>
            </w:r>
            <w:r>
              <w:rPr>
                <w:rFonts w:ascii="Times New Roman" w:eastAsia="Times New Roman" w:hAnsi="Times New Roman" w:cs="Times New Roman"/>
                <w:color w:val="000000"/>
                <w:sz w:val="24"/>
                <w:szCs w:val="24"/>
              </w:rPr>
              <w:tab/>
            </w:r>
          </w:hyperlink>
          <w:r>
            <w:fldChar w:fldCharType="begin"/>
          </w:r>
          <w:r>
            <w:instrText xml:space="preserve"> PAGEREF _heading=h.1yvt9pa7tga7 \h </w:instrText>
          </w:r>
          <w:r>
            <w:fldChar w:fldCharType="separate"/>
          </w:r>
          <w:r>
            <w:rPr>
              <w:rFonts w:ascii="Times New Roman" w:eastAsia="Times New Roman" w:hAnsi="Times New Roman" w:cs="Times New Roman"/>
              <w:sz w:val="24"/>
              <w:szCs w:val="24"/>
            </w:rPr>
            <w:t>14</w:t>
          </w:r>
          <w:r>
            <w:fldChar w:fldCharType="end"/>
          </w:r>
        </w:p>
        <w:p w14:paraId="6D20CE9B" w14:textId="77777777" w:rsidR="002847F8" w:rsidRDefault="0000000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35j1wqjq8jp3">
            <w:r>
              <w:rPr>
                <w:rFonts w:ascii="Times New Roman" w:eastAsia="Times New Roman" w:hAnsi="Times New Roman" w:cs="Times New Roman"/>
                <w:color w:val="000000"/>
                <w:sz w:val="24"/>
                <w:szCs w:val="24"/>
              </w:rPr>
              <w:t>SWOT Analysis Table</w:t>
            </w:r>
            <w:r>
              <w:rPr>
                <w:rFonts w:ascii="Times New Roman" w:eastAsia="Times New Roman" w:hAnsi="Times New Roman" w:cs="Times New Roman"/>
                <w:color w:val="000000"/>
                <w:sz w:val="24"/>
                <w:szCs w:val="24"/>
              </w:rPr>
              <w:tab/>
            </w:r>
          </w:hyperlink>
          <w:r>
            <w:fldChar w:fldCharType="begin"/>
          </w:r>
          <w:r>
            <w:instrText xml:space="preserve"> PAGEREF _heading=h.35j1wqjq8jp3 \h </w:instrText>
          </w:r>
          <w:r>
            <w:fldChar w:fldCharType="separate"/>
          </w:r>
          <w:r>
            <w:rPr>
              <w:rFonts w:ascii="Times New Roman" w:eastAsia="Times New Roman" w:hAnsi="Times New Roman" w:cs="Times New Roman"/>
              <w:sz w:val="24"/>
              <w:szCs w:val="24"/>
            </w:rPr>
            <w:t>14</w:t>
          </w:r>
          <w:r>
            <w:fldChar w:fldCharType="end"/>
          </w:r>
        </w:p>
        <w:p w14:paraId="1EA2F0D2"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drpieohayvj">
            <w:r>
              <w:rPr>
                <w:rFonts w:ascii="Times New Roman" w:eastAsia="Times New Roman" w:hAnsi="Times New Roman" w:cs="Times New Roman"/>
                <w:color w:val="000000"/>
                <w:sz w:val="24"/>
                <w:szCs w:val="24"/>
              </w:rPr>
              <w:t>3. Planning of Strategy development and market entry.</w:t>
            </w:r>
            <w:r>
              <w:rPr>
                <w:rFonts w:ascii="Times New Roman" w:eastAsia="Times New Roman" w:hAnsi="Times New Roman" w:cs="Times New Roman"/>
                <w:color w:val="000000"/>
                <w:sz w:val="24"/>
                <w:szCs w:val="24"/>
              </w:rPr>
              <w:tab/>
            </w:r>
          </w:hyperlink>
          <w:r>
            <w:fldChar w:fldCharType="begin"/>
          </w:r>
          <w:r>
            <w:instrText xml:space="preserve"> PAGEREF _heading=h.drpieohayvj \h </w:instrText>
          </w:r>
          <w:r>
            <w:fldChar w:fldCharType="separate"/>
          </w:r>
          <w:r>
            <w:rPr>
              <w:rFonts w:ascii="Times New Roman" w:eastAsia="Times New Roman" w:hAnsi="Times New Roman" w:cs="Times New Roman"/>
              <w:sz w:val="24"/>
              <w:szCs w:val="24"/>
            </w:rPr>
            <w:t>16</w:t>
          </w:r>
          <w:r>
            <w:fldChar w:fldCharType="end"/>
          </w:r>
        </w:p>
        <w:p w14:paraId="6BFD59F7"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xyrbfypqyo3b">
            <w:r>
              <w:rPr>
                <w:rFonts w:ascii="Times New Roman" w:eastAsia="Times New Roman" w:hAnsi="Times New Roman" w:cs="Times New Roman"/>
                <w:color w:val="000000"/>
                <w:sz w:val="24"/>
                <w:szCs w:val="24"/>
              </w:rPr>
              <w:t>3.1 Strategic Direction and Vision Alignment</w:t>
            </w:r>
            <w:r>
              <w:rPr>
                <w:rFonts w:ascii="Times New Roman" w:eastAsia="Times New Roman" w:hAnsi="Times New Roman" w:cs="Times New Roman"/>
                <w:color w:val="000000"/>
                <w:sz w:val="24"/>
                <w:szCs w:val="24"/>
              </w:rPr>
              <w:tab/>
            </w:r>
          </w:hyperlink>
          <w:r>
            <w:fldChar w:fldCharType="begin"/>
          </w:r>
          <w:r>
            <w:instrText xml:space="preserve"> PAGEREF _heading=h.xyrbfypqyo3b \h </w:instrText>
          </w:r>
          <w:r>
            <w:fldChar w:fldCharType="separate"/>
          </w:r>
          <w:r>
            <w:rPr>
              <w:rFonts w:ascii="Times New Roman" w:eastAsia="Times New Roman" w:hAnsi="Times New Roman" w:cs="Times New Roman"/>
              <w:sz w:val="24"/>
              <w:szCs w:val="24"/>
            </w:rPr>
            <w:t>16</w:t>
          </w:r>
          <w:r>
            <w:fldChar w:fldCharType="end"/>
          </w:r>
        </w:p>
        <w:p w14:paraId="717142FA"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4d2brkdfr84y">
            <w:r>
              <w:rPr>
                <w:rFonts w:ascii="Times New Roman" w:eastAsia="Times New Roman" w:hAnsi="Times New Roman" w:cs="Times New Roman"/>
                <w:color w:val="000000"/>
                <w:sz w:val="24"/>
                <w:szCs w:val="24"/>
              </w:rPr>
              <w:t>3.2 Generic Competitive Strategy (Porter): Differentiation Strategy</w:t>
            </w:r>
            <w:r>
              <w:rPr>
                <w:rFonts w:ascii="Times New Roman" w:eastAsia="Times New Roman" w:hAnsi="Times New Roman" w:cs="Times New Roman"/>
                <w:color w:val="000000"/>
                <w:sz w:val="24"/>
                <w:szCs w:val="24"/>
              </w:rPr>
              <w:tab/>
            </w:r>
          </w:hyperlink>
          <w:r>
            <w:fldChar w:fldCharType="begin"/>
          </w:r>
          <w:r>
            <w:instrText xml:space="preserve"> PAGEREF _heading=h.4d2brkdfr84y \h </w:instrText>
          </w:r>
          <w:r>
            <w:fldChar w:fldCharType="separate"/>
          </w:r>
          <w:r>
            <w:rPr>
              <w:rFonts w:ascii="Times New Roman" w:eastAsia="Times New Roman" w:hAnsi="Times New Roman" w:cs="Times New Roman"/>
              <w:sz w:val="24"/>
              <w:szCs w:val="24"/>
            </w:rPr>
            <w:t>16</w:t>
          </w:r>
          <w:r>
            <w:fldChar w:fldCharType="end"/>
          </w:r>
        </w:p>
        <w:p w14:paraId="2123608A"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c7i0vb6z7zft">
            <w:r>
              <w:rPr>
                <w:rFonts w:ascii="Times New Roman" w:eastAsia="Times New Roman" w:hAnsi="Times New Roman" w:cs="Times New Roman"/>
                <w:color w:val="000000"/>
                <w:sz w:val="24"/>
                <w:szCs w:val="24"/>
              </w:rPr>
              <w:t>3.3 Mode of Market entry to Germany</w:t>
            </w:r>
            <w:r>
              <w:rPr>
                <w:rFonts w:ascii="Times New Roman" w:eastAsia="Times New Roman" w:hAnsi="Times New Roman" w:cs="Times New Roman"/>
                <w:color w:val="000000"/>
                <w:sz w:val="24"/>
                <w:szCs w:val="24"/>
              </w:rPr>
              <w:tab/>
            </w:r>
          </w:hyperlink>
          <w:r>
            <w:fldChar w:fldCharType="begin"/>
          </w:r>
          <w:r>
            <w:instrText xml:space="preserve"> PAGEREF _heading=h.c7i0vb6z7zft \h </w:instrText>
          </w:r>
          <w:r>
            <w:fldChar w:fldCharType="separate"/>
          </w:r>
          <w:r>
            <w:rPr>
              <w:rFonts w:ascii="Times New Roman" w:eastAsia="Times New Roman" w:hAnsi="Times New Roman" w:cs="Times New Roman"/>
              <w:sz w:val="24"/>
              <w:szCs w:val="24"/>
            </w:rPr>
            <w:t>17</w:t>
          </w:r>
          <w:r>
            <w:fldChar w:fldCharType="end"/>
          </w:r>
        </w:p>
        <w:p w14:paraId="653B6160"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2e7kvooxstwp">
            <w:r>
              <w:rPr>
                <w:rFonts w:ascii="Times New Roman" w:eastAsia="Times New Roman" w:hAnsi="Times New Roman" w:cs="Times New Roman"/>
                <w:color w:val="000000"/>
                <w:sz w:val="24"/>
                <w:szCs w:val="24"/>
              </w:rPr>
              <w:t>3.4 Implementation Roadmap</w:t>
            </w:r>
            <w:r>
              <w:rPr>
                <w:rFonts w:ascii="Times New Roman" w:eastAsia="Times New Roman" w:hAnsi="Times New Roman" w:cs="Times New Roman"/>
                <w:color w:val="000000"/>
                <w:sz w:val="24"/>
                <w:szCs w:val="24"/>
              </w:rPr>
              <w:tab/>
            </w:r>
          </w:hyperlink>
          <w:r>
            <w:fldChar w:fldCharType="begin"/>
          </w:r>
          <w:r>
            <w:instrText xml:space="preserve"> PAGEREF _heading=h.2e7kvooxstwp \h </w:instrText>
          </w:r>
          <w:r>
            <w:fldChar w:fldCharType="separate"/>
          </w:r>
          <w:r>
            <w:rPr>
              <w:rFonts w:ascii="Times New Roman" w:eastAsia="Times New Roman" w:hAnsi="Times New Roman" w:cs="Times New Roman"/>
              <w:sz w:val="24"/>
              <w:szCs w:val="24"/>
            </w:rPr>
            <w:t>17</w:t>
          </w:r>
          <w:r>
            <w:fldChar w:fldCharType="end"/>
          </w:r>
        </w:p>
        <w:p w14:paraId="32139883"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aljv29cs6ml8">
            <w:r>
              <w:rPr>
                <w:rFonts w:ascii="Times New Roman" w:eastAsia="Times New Roman" w:hAnsi="Times New Roman" w:cs="Times New Roman"/>
                <w:color w:val="000000"/>
                <w:sz w:val="24"/>
                <w:szCs w:val="24"/>
              </w:rPr>
              <w:t>3.5 Risk Assessment &amp; Mitigation</w:t>
            </w:r>
            <w:r>
              <w:rPr>
                <w:rFonts w:ascii="Times New Roman" w:eastAsia="Times New Roman" w:hAnsi="Times New Roman" w:cs="Times New Roman"/>
                <w:color w:val="000000"/>
                <w:sz w:val="24"/>
                <w:szCs w:val="24"/>
              </w:rPr>
              <w:tab/>
            </w:r>
          </w:hyperlink>
          <w:r>
            <w:fldChar w:fldCharType="begin"/>
          </w:r>
          <w:r>
            <w:instrText xml:space="preserve"> PAGEREF _heading=h.aljv29cs6ml8 \h </w:instrText>
          </w:r>
          <w:r>
            <w:fldChar w:fldCharType="separate"/>
          </w:r>
          <w:r>
            <w:rPr>
              <w:rFonts w:ascii="Times New Roman" w:eastAsia="Times New Roman" w:hAnsi="Times New Roman" w:cs="Times New Roman"/>
              <w:sz w:val="24"/>
              <w:szCs w:val="24"/>
            </w:rPr>
            <w:t>18</w:t>
          </w:r>
          <w:r>
            <w:fldChar w:fldCharType="end"/>
          </w:r>
        </w:p>
        <w:p w14:paraId="34CE9E00" w14:textId="77777777" w:rsidR="002847F8" w:rsidRDefault="00000000">
          <w:pPr>
            <w:widowControl w:val="0"/>
            <w:tabs>
              <w:tab w:val="right" w:pos="9360"/>
            </w:tabs>
            <w:spacing w:before="60" w:line="240" w:lineRule="auto"/>
            <w:ind w:left="720"/>
            <w:rPr>
              <w:rFonts w:ascii="Times New Roman" w:eastAsia="Times New Roman" w:hAnsi="Times New Roman" w:cs="Times New Roman"/>
              <w:color w:val="000000"/>
              <w:sz w:val="24"/>
              <w:szCs w:val="24"/>
            </w:rPr>
          </w:pPr>
          <w:hyperlink w:anchor="_heading=h.pucrzev05skp">
            <w:r>
              <w:rPr>
                <w:rFonts w:ascii="Times New Roman" w:eastAsia="Times New Roman" w:hAnsi="Times New Roman" w:cs="Times New Roman"/>
                <w:color w:val="000000"/>
                <w:sz w:val="24"/>
                <w:szCs w:val="24"/>
              </w:rPr>
              <w:t>Risk Assessment &amp; Mitigation Table</w:t>
            </w:r>
            <w:r>
              <w:rPr>
                <w:rFonts w:ascii="Times New Roman" w:eastAsia="Times New Roman" w:hAnsi="Times New Roman" w:cs="Times New Roman"/>
                <w:color w:val="000000"/>
                <w:sz w:val="24"/>
                <w:szCs w:val="24"/>
              </w:rPr>
              <w:tab/>
            </w:r>
          </w:hyperlink>
          <w:r>
            <w:fldChar w:fldCharType="begin"/>
          </w:r>
          <w:r>
            <w:instrText xml:space="preserve"> PAGEREF _heading=h.pucrzev05skp \h </w:instrText>
          </w:r>
          <w:r>
            <w:fldChar w:fldCharType="separate"/>
          </w:r>
          <w:r>
            <w:rPr>
              <w:rFonts w:ascii="Times New Roman" w:eastAsia="Times New Roman" w:hAnsi="Times New Roman" w:cs="Times New Roman"/>
              <w:sz w:val="24"/>
              <w:szCs w:val="24"/>
            </w:rPr>
            <w:t>18</w:t>
          </w:r>
          <w:r>
            <w:fldChar w:fldCharType="end"/>
          </w:r>
        </w:p>
        <w:p w14:paraId="7590399E"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7xcmzqy8uygn">
            <w:r>
              <w:rPr>
                <w:rFonts w:ascii="Times New Roman" w:eastAsia="Times New Roman" w:hAnsi="Times New Roman" w:cs="Times New Roman"/>
                <w:color w:val="000000"/>
                <w:sz w:val="24"/>
                <w:szCs w:val="24"/>
              </w:rPr>
              <w:t>4. PERFORMANCE EVALUATION FRAMEWORK</w:t>
            </w:r>
            <w:r>
              <w:rPr>
                <w:rFonts w:ascii="Times New Roman" w:eastAsia="Times New Roman" w:hAnsi="Times New Roman" w:cs="Times New Roman"/>
                <w:color w:val="000000"/>
                <w:sz w:val="24"/>
                <w:szCs w:val="24"/>
              </w:rPr>
              <w:tab/>
            </w:r>
          </w:hyperlink>
          <w:r>
            <w:fldChar w:fldCharType="begin"/>
          </w:r>
          <w:r>
            <w:instrText xml:space="preserve"> PAGEREF _heading=h.7xcmzqy8uygn \h </w:instrText>
          </w:r>
          <w:r>
            <w:fldChar w:fldCharType="separate"/>
          </w:r>
          <w:r>
            <w:rPr>
              <w:rFonts w:ascii="Times New Roman" w:eastAsia="Times New Roman" w:hAnsi="Times New Roman" w:cs="Times New Roman"/>
              <w:sz w:val="24"/>
              <w:szCs w:val="24"/>
            </w:rPr>
            <w:t>19</w:t>
          </w:r>
          <w:r>
            <w:fldChar w:fldCharType="end"/>
          </w:r>
        </w:p>
        <w:p w14:paraId="38FF5783"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44a7rymjam5a">
            <w:r>
              <w:rPr>
                <w:rFonts w:ascii="Times New Roman" w:eastAsia="Times New Roman" w:hAnsi="Times New Roman" w:cs="Times New Roman"/>
                <w:color w:val="000000"/>
                <w:sz w:val="24"/>
                <w:szCs w:val="24"/>
              </w:rPr>
              <w:t>4.1 Balanced Scorecard Model</w:t>
            </w:r>
            <w:r>
              <w:rPr>
                <w:rFonts w:ascii="Times New Roman" w:eastAsia="Times New Roman" w:hAnsi="Times New Roman" w:cs="Times New Roman"/>
                <w:color w:val="000000"/>
                <w:sz w:val="24"/>
                <w:szCs w:val="24"/>
              </w:rPr>
              <w:tab/>
            </w:r>
          </w:hyperlink>
          <w:r>
            <w:fldChar w:fldCharType="begin"/>
          </w:r>
          <w:r>
            <w:instrText xml:space="preserve"> PAGEREF _heading=h.44a7rymjam5a \h </w:instrText>
          </w:r>
          <w:r>
            <w:fldChar w:fldCharType="separate"/>
          </w:r>
          <w:r>
            <w:rPr>
              <w:rFonts w:ascii="Times New Roman" w:eastAsia="Times New Roman" w:hAnsi="Times New Roman" w:cs="Times New Roman"/>
              <w:sz w:val="24"/>
              <w:szCs w:val="24"/>
            </w:rPr>
            <w:t>19</w:t>
          </w:r>
          <w:r>
            <w:fldChar w:fldCharType="end"/>
          </w:r>
        </w:p>
        <w:p w14:paraId="36CD12D5" w14:textId="77777777" w:rsidR="002847F8" w:rsidRDefault="00000000">
          <w:pPr>
            <w:widowControl w:val="0"/>
            <w:tabs>
              <w:tab w:val="right" w:pos="9360"/>
            </w:tabs>
            <w:spacing w:before="60" w:line="240" w:lineRule="auto"/>
            <w:ind w:left="360"/>
            <w:rPr>
              <w:rFonts w:ascii="Times New Roman" w:eastAsia="Times New Roman" w:hAnsi="Times New Roman" w:cs="Times New Roman"/>
              <w:color w:val="000000"/>
              <w:sz w:val="24"/>
              <w:szCs w:val="24"/>
            </w:rPr>
          </w:pPr>
          <w:hyperlink w:anchor="_heading=h.n1kbxlulpqm7">
            <w:r>
              <w:rPr>
                <w:rFonts w:ascii="Times New Roman" w:eastAsia="Times New Roman" w:hAnsi="Times New Roman" w:cs="Times New Roman"/>
                <w:color w:val="000000"/>
                <w:sz w:val="24"/>
                <w:szCs w:val="24"/>
              </w:rPr>
              <w:t>4.2 Triple Bottom Line (TBL) Evaluation</w:t>
            </w:r>
            <w:r>
              <w:rPr>
                <w:rFonts w:ascii="Times New Roman" w:eastAsia="Times New Roman" w:hAnsi="Times New Roman" w:cs="Times New Roman"/>
                <w:color w:val="000000"/>
                <w:sz w:val="24"/>
                <w:szCs w:val="24"/>
              </w:rPr>
              <w:tab/>
            </w:r>
          </w:hyperlink>
          <w:r>
            <w:fldChar w:fldCharType="begin"/>
          </w:r>
          <w:r>
            <w:instrText xml:space="preserve"> PAGEREF _heading=h.n1kbxlulpqm7 \h </w:instrText>
          </w:r>
          <w:r>
            <w:fldChar w:fldCharType="separate"/>
          </w:r>
          <w:r>
            <w:rPr>
              <w:rFonts w:ascii="Times New Roman" w:eastAsia="Times New Roman" w:hAnsi="Times New Roman" w:cs="Times New Roman"/>
              <w:sz w:val="24"/>
              <w:szCs w:val="24"/>
            </w:rPr>
            <w:t>20</w:t>
          </w:r>
          <w:r>
            <w:fldChar w:fldCharType="end"/>
          </w:r>
        </w:p>
        <w:p w14:paraId="745851D6"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arf025nceyw2">
            <w:r>
              <w:rPr>
                <w:rFonts w:ascii="Times New Roman" w:eastAsia="Times New Roman" w:hAnsi="Times New Roman" w:cs="Times New Roman"/>
                <w:color w:val="000000"/>
                <w:sz w:val="24"/>
                <w:szCs w:val="24"/>
              </w:rPr>
              <w:t>5. Conclusion and Strategic Recommendations.</w:t>
            </w:r>
            <w:r>
              <w:rPr>
                <w:rFonts w:ascii="Times New Roman" w:eastAsia="Times New Roman" w:hAnsi="Times New Roman" w:cs="Times New Roman"/>
                <w:color w:val="000000"/>
                <w:sz w:val="24"/>
                <w:szCs w:val="24"/>
              </w:rPr>
              <w:tab/>
            </w:r>
          </w:hyperlink>
          <w:r>
            <w:fldChar w:fldCharType="begin"/>
          </w:r>
          <w:r>
            <w:instrText xml:space="preserve"> PAGEREF _heading=h.arf025nceyw2 \h </w:instrText>
          </w:r>
          <w:r>
            <w:fldChar w:fldCharType="separate"/>
          </w:r>
          <w:r>
            <w:rPr>
              <w:rFonts w:ascii="Times New Roman" w:eastAsia="Times New Roman" w:hAnsi="Times New Roman" w:cs="Times New Roman"/>
              <w:sz w:val="24"/>
              <w:szCs w:val="24"/>
            </w:rPr>
            <w:t>21</w:t>
          </w:r>
          <w:r>
            <w:fldChar w:fldCharType="end"/>
          </w:r>
        </w:p>
        <w:p w14:paraId="7B48847C" w14:textId="77777777" w:rsidR="002847F8" w:rsidRDefault="00000000">
          <w:pPr>
            <w:widowControl w:val="0"/>
            <w:tabs>
              <w:tab w:val="right" w:pos="9360"/>
            </w:tabs>
            <w:spacing w:before="60" w:line="240" w:lineRule="auto"/>
            <w:rPr>
              <w:rFonts w:ascii="Times New Roman" w:eastAsia="Times New Roman" w:hAnsi="Times New Roman" w:cs="Times New Roman"/>
              <w:color w:val="000000"/>
              <w:sz w:val="24"/>
              <w:szCs w:val="24"/>
            </w:rPr>
          </w:pPr>
          <w:hyperlink w:anchor="_heading=h.6jkn6d2vg9tt">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_heading=h.6jkn6d2vg9tt \h </w:instrText>
          </w:r>
          <w:r>
            <w:fldChar w:fldCharType="separate"/>
          </w:r>
          <w:r>
            <w:rPr>
              <w:rFonts w:ascii="Times New Roman" w:eastAsia="Times New Roman" w:hAnsi="Times New Roman" w:cs="Times New Roman"/>
              <w:sz w:val="24"/>
              <w:szCs w:val="24"/>
            </w:rPr>
            <w:t>22</w:t>
          </w:r>
          <w:r>
            <w:fldChar w:fldCharType="end"/>
          </w:r>
          <w:r>
            <w:fldChar w:fldCharType="end"/>
          </w:r>
        </w:p>
      </w:sdtContent>
    </w:sdt>
    <w:p w14:paraId="280F9218" w14:textId="77777777" w:rsidR="002847F8" w:rsidRDefault="002847F8">
      <w:pPr>
        <w:rPr>
          <w:rFonts w:ascii="Times New Roman" w:eastAsia="Times New Roman" w:hAnsi="Times New Roman" w:cs="Times New Roman"/>
          <w:sz w:val="24"/>
          <w:szCs w:val="24"/>
        </w:rPr>
      </w:pPr>
    </w:p>
    <w:p w14:paraId="78645EBC" w14:textId="77777777" w:rsidR="002847F8" w:rsidRDefault="00000000">
      <w:pPr>
        <w:pStyle w:val="Heading1"/>
        <w:rPr>
          <w:b w:val="0"/>
          <w:bCs w:val="0"/>
        </w:rPr>
      </w:pPr>
      <w:bookmarkStart w:id="3" w:name="_heading=h.wcvvblulvbj" w:colFirst="0" w:colLast="0"/>
      <w:bookmarkEnd w:id="3"/>
      <w:r>
        <w:br w:type="page"/>
      </w:r>
    </w:p>
    <w:p w14:paraId="3D933F18" w14:textId="77777777" w:rsidR="002847F8" w:rsidRDefault="00000000">
      <w:pPr>
        <w:pStyle w:val="Heading1"/>
      </w:pPr>
      <w:bookmarkStart w:id="4" w:name="_heading=h.er313v67jrfu" w:colFirst="0" w:colLast="0"/>
      <w:bookmarkEnd w:id="4"/>
      <w:r>
        <w:lastRenderedPageBreak/>
        <w:t xml:space="preserve">1. Introduction </w:t>
      </w:r>
    </w:p>
    <w:p w14:paraId="54E84BAB" w14:textId="77777777" w:rsidR="002847F8" w:rsidRDefault="00000000">
      <w:pPr>
        <w:pStyle w:val="Heading2"/>
      </w:pPr>
      <w:bookmarkStart w:id="5" w:name="_heading=h.7dpfopsedzul" w:colFirst="0" w:colLast="0"/>
      <w:bookmarkEnd w:id="5"/>
      <w:r>
        <w:t>1.1 Background of Wipro Limited</w:t>
      </w:r>
    </w:p>
    <w:p w14:paraId="6EABB1B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Limited is a leading multinational company of India with regards to information technology and consulting industry. The company started in 1945 in the production of vegetable oils and consumer goods under the name Western India Vegetable Products Ltd and was founded by Mohamed Premji (Wipro, 2025). The company </w:t>
      </w:r>
      <w:proofErr w:type="gramStart"/>
      <w:r>
        <w:rPr>
          <w:rFonts w:ascii="Times New Roman" w:eastAsia="Times New Roman" w:hAnsi="Times New Roman" w:cs="Times New Roman"/>
          <w:sz w:val="24"/>
          <w:szCs w:val="24"/>
        </w:rPr>
        <w:t>had experienced</w:t>
      </w:r>
      <w:proofErr w:type="gramEnd"/>
      <w:r>
        <w:rPr>
          <w:rFonts w:ascii="Times New Roman" w:eastAsia="Times New Roman" w:hAnsi="Times New Roman" w:cs="Times New Roman"/>
          <w:sz w:val="24"/>
          <w:szCs w:val="24"/>
        </w:rPr>
        <w:t xml:space="preserve"> a strategic shift in the late 1970s during which the son of the founder Azim Premji steered the company to the growing IT business. This diversification represented the commencement of the transition to a </w:t>
      </w:r>
      <w:proofErr w:type="gramStart"/>
      <w:r>
        <w:rPr>
          <w:rFonts w:ascii="Times New Roman" w:eastAsia="Times New Roman" w:hAnsi="Times New Roman" w:cs="Times New Roman"/>
          <w:sz w:val="24"/>
          <w:szCs w:val="24"/>
        </w:rPr>
        <w:t>technology based</w:t>
      </w:r>
      <w:proofErr w:type="gramEnd"/>
      <w:r>
        <w:rPr>
          <w:rFonts w:ascii="Times New Roman" w:eastAsia="Times New Roman" w:hAnsi="Times New Roman" w:cs="Times New Roman"/>
          <w:sz w:val="24"/>
          <w:szCs w:val="24"/>
        </w:rPr>
        <w:t xml:space="preserve"> company at Wipro. By the 1990s, Wipro had managed to rebrand itself as a </w:t>
      </w:r>
      <w:proofErr w:type="gramStart"/>
      <w:r>
        <w:rPr>
          <w:rFonts w:ascii="Times New Roman" w:eastAsia="Times New Roman" w:hAnsi="Times New Roman" w:cs="Times New Roman"/>
          <w:sz w:val="24"/>
          <w:szCs w:val="24"/>
        </w:rPr>
        <w:t>front-runners</w:t>
      </w:r>
      <w:proofErr w:type="gramEnd"/>
      <w:r>
        <w:rPr>
          <w:rFonts w:ascii="Times New Roman" w:eastAsia="Times New Roman" w:hAnsi="Times New Roman" w:cs="Times New Roman"/>
          <w:sz w:val="24"/>
          <w:szCs w:val="24"/>
        </w:rPr>
        <w:t xml:space="preserve"> in the IT services industry, taking advantage of the fast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of software outsourcing services and digital services (Wipro, 2023). In fiscal year 2022–23, Wipro Limited recorded IT-services revenue of approximately </w:t>
      </w:r>
      <w:r>
        <w:rPr>
          <w:rFonts w:ascii="Times New Roman" w:eastAsia="Times New Roman" w:hAnsi="Times New Roman" w:cs="Times New Roman"/>
          <w:b/>
          <w:bCs/>
          <w:sz w:val="24"/>
          <w:szCs w:val="24"/>
        </w:rPr>
        <w:t>US $11.2 billion</w:t>
      </w:r>
      <w:r>
        <w:rPr>
          <w:rFonts w:ascii="Times New Roman" w:eastAsia="Times New Roman" w:hAnsi="Times New Roman" w:cs="Times New Roman"/>
          <w:sz w:val="24"/>
          <w:szCs w:val="24"/>
        </w:rPr>
        <w:t xml:space="preserve">, highlighting its strong global market presence and sustained client demand (Wipro Limited, 2023). The company also reported an operating margin of around </w:t>
      </w:r>
      <w:r>
        <w:rPr>
          <w:rFonts w:ascii="Times New Roman" w:eastAsia="Times New Roman" w:hAnsi="Times New Roman" w:cs="Times New Roman"/>
          <w:b/>
          <w:bCs/>
          <w:sz w:val="24"/>
          <w:szCs w:val="24"/>
        </w:rPr>
        <w:t>15.7%</w:t>
      </w:r>
      <w:r>
        <w:rPr>
          <w:rFonts w:ascii="Times New Roman" w:eastAsia="Times New Roman" w:hAnsi="Times New Roman" w:cs="Times New Roman"/>
          <w:sz w:val="24"/>
          <w:szCs w:val="24"/>
        </w:rPr>
        <w:t xml:space="preserve">, reflecting stable profitability in a competitive industry (Wipro Limited, 2023). As of March 2023, Wipro employed </w:t>
      </w:r>
      <w:r>
        <w:rPr>
          <w:rFonts w:ascii="Times New Roman" w:eastAsia="Times New Roman" w:hAnsi="Times New Roman" w:cs="Times New Roman"/>
          <w:b/>
          <w:bCs/>
          <w:sz w:val="24"/>
          <w:szCs w:val="24"/>
        </w:rPr>
        <w:t>256,921 people</w:t>
      </w:r>
      <w:r>
        <w:rPr>
          <w:rFonts w:ascii="Times New Roman" w:eastAsia="Times New Roman" w:hAnsi="Times New Roman" w:cs="Times New Roman"/>
          <w:sz w:val="24"/>
          <w:szCs w:val="24"/>
        </w:rPr>
        <w:t xml:space="preserve"> worldwide, demonstrating its extensive workforce capacity to support global service delivery and innovation (Macrotrends, 2023). These financial and human-capital indicators confirm Wipro’s position as one of the leading multinational IT service providers.</w:t>
      </w:r>
    </w:p>
    <w:p w14:paraId="4BCCB39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has a high global presence in the Americas and Europe, Asia-Pacific, the Middle East and Africa where it serves clients in more than 65 countries. Through acquisitions of other companies like Capco, </w:t>
      </w:r>
      <w:proofErr w:type="spellStart"/>
      <w:r>
        <w:rPr>
          <w:rFonts w:ascii="Times New Roman" w:eastAsia="Times New Roman" w:hAnsi="Times New Roman" w:cs="Times New Roman"/>
          <w:sz w:val="24"/>
          <w:szCs w:val="24"/>
        </w:rPr>
        <w:t>Rizing</w:t>
      </w:r>
      <w:proofErr w:type="spellEnd"/>
      <w:r>
        <w:rPr>
          <w:rFonts w:ascii="Times New Roman" w:eastAsia="Times New Roman" w:hAnsi="Times New Roman" w:cs="Times New Roman"/>
          <w:sz w:val="24"/>
          <w:szCs w:val="24"/>
        </w:rPr>
        <w:t xml:space="preserve"> and Consulting firms in Europe, the company has been able to boost their specific industry consulting capacity and penetration of the market in the different regions (Wipro Foundation, 2024). </w:t>
      </w:r>
    </w:p>
    <w:p w14:paraId="071244B5" w14:textId="77777777" w:rsidR="002847F8" w:rsidRDefault="00000000">
      <w:pPr>
        <w:pStyle w:val="Heading2"/>
      </w:pPr>
      <w:bookmarkStart w:id="6" w:name="_heading=h.sk9g2dn2zdi4" w:colFirst="0" w:colLast="0"/>
      <w:bookmarkEnd w:id="6"/>
      <w:r>
        <w:t>1.2 Reason behind the choice of Wipro.</w:t>
      </w:r>
    </w:p>
    <w:p w14:paraId="62E2849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Employing Wipro as an example, its business strategy is clearly the focus on innovation, and the company constantly invests in research and development, digital labs, and strategic partnerships with world technology giants, including Microsoft, Google, Amazon Web Services (AWS), and SAP. Such alliances permit Wipro to provide modern cloud-native and AI-led solutions at the scale. Moreover, Wipro has created industry-specific digital solutions that respond to complex enterprise issues, which provide it with </w:t>
      </w:r>
      <w:proofErr w:type="gramStart"/>
      <w:r>
        <w:rPr>
          <w:rFonts w:ascii="Times New Roman" w:eastAsia="Times New Roman" w:hAnsi="Times New Roman" w:cs="Times New Roman"/>
          <w:sz w:val="24"/>
          <w:szCs w:val="24"/>
        </w:rPr>
        <w:t>a high</w:t>
      </w:r>
      <w:proofErr w:type="gramEnd"/>
      <w:r>
        <w:rPr>
          <w:rFonts w:ascii="Times New Roman" w:eastAsia="Times New Roman" w:hAnsi="Times New Roman" w:cs="Times New Roman"/>
          <w:sz w:val="24"/>
          <w:szCs w:val="24"/>
        </w:rPr>
        <w:t xml:space="preserve"> competitiveness in regulated sectors in such fields as finance, healthcare, and manufacturing (Kolte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Wipro was selected due to its strong financial performance, global workforce, and consistent investment in digital transformation. With annual IT-services revenue exceeding </w:t>
      </w:r>
      <w:r>
        <w:rPr>
          <w:rFonts w:ascii="Times New Roman" w:eastAsia="Times New Roman" w:hAnsi="Times New Roman" w:cs="Times New Roman"/>
          <w:b/>
          <w:bCs/>
          <w:sz w:val="24"/>
          <w:szCs w:val="24"/>
        </w:rPr>
        <w:t>US $11.2 billion in FY 2022–23</w:t>
      </w:r>
      <w:r>
        <w:rPr>
          <w:rFonts w:ascii="Times New Roman" w:eastAsia="Times New Roman" w:hAnsi="Times New Roman" w:cs="Times New Roman"/>
          <w:sz w:val="24"/>
          <w:szCs w:val="24"/>
        </w:rPr>
        <w:t xml:space="preserve">, the company possesses sufficient financial strength to support large-scale innovation and international growth initiatives (Wipro Limited, 2023). Additionally, Wipro’s workforce of over </w:t>
      </w:r>
      <w:r>
        <w:rPr>
          <w:rFonts w:ascii="Times New Roman" w:eastAsia="Times New Roman" w:hAnsi="Times New Roman" w:cs="Times New Roman"/>
          <w:b/>
          <w:bCs/>
          <w:sz w:val="24"/>
          <w:szCs w:val="24"/>
        </w:rPr>
        <w:t>256,000 employees</w:t>
      </w:r>
      <w:r>
        <w:rPr>
          <w:rFonts w:ascii="Times New Roman" w:eastAsia="Times New Roman" w:hAnsi="Times New Roman" w:cs="Times New Roman"/>
          <w:sz w:val="24"/>
          <w:szCs w:val="24"/>
        </w:rPr>
        <w:t xml:space="preserve"> enables large and complex project execution across multiple geographies (Macrotrends, 2023). This balance of </w:t>
      </w:r>
      <w:r>
        <w:rPr>
          <w:rFonts w:ascii="Times New Roman" w:eastAsia="Times New Roman" w:hAnsi="Times New Roman" w:cs="Times New Roman"/>
          <w:sz w:val="24"/>
          <w:szCs w:val="24"/>
        </w:rPr>
        <w:lastRenderedPageBreak/>
        <w:t xml:space="preserve">financial strength and human resources makes Wipro a reliable and strategic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proposing long-term digital expansion strategies.</w:t>
      </w:r>
    </w:p>
    <w:p w14:paraId="270618A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important reason why Wipro was chosen is its position ahead in sustainability and Environmental, Social and Governance (ESG) practices. The company is determined to achieve net-zero carbon emissions by 2040 and has implemented sustainability in its business process by using green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energy-efficient digital data centers, and ethical AI systems (Leading with Resilience and Responsibility, 2023). This is highly compatible with the international regulatory </w:t>
      </w:r>
      <w:proofErr w:type="gramStart"/>
      <w:r>
        <w:rPr>
          <w:rFonts w:ascii="Times New Roman" w:eastAsia="Times New Roman" w:hAnsi="Times New Roman" w:cs="Times New Roman"/>
          <w:sz w:val="24"/>
          <w:szCs w:val="24"/>
        </w:rPr>
        <w:t>requirements</w:t>
      </w:r>
      <w:proofErr w:type="gramEnd"/>
      <w:r>
        <w:rPr>
          <w:rFonts w:ascii="Times New Roman" w:eastAsia="Times New Roman" w:hAnsi="Times New Roman" w:cs="Times New Roman"/>
          <w:sz w:val="24"/>
          <w:szCs w:val="24"/>
        </w:rPr>
        <w:t xml:space="preserve"> especially in European markets where compliance on sustainability is very high.</w:t>
      </w:r>
    </w:p>
    <w:p w14:paraId="2FEBCF07" w14:textId="77777777" w:rsidR="002847F8" w:rsidRDefault="00000000">
      <w:pPr>
        <w:pStyle w:val="Heading2"/>
      </w:pPr>
      <w:bookmarkStart w:id="7" w:name="_heading=h.rt6i7c6gdgxj" w:colFirst="0" w:colLast="0"/>
      <w:bookmarkEnd w:id="7"/>
      <w:r>
        <w:t>1.3 Selection of Target Market: Germany.</w:t>
      </w:r>
    </w:p>
    <w:p w14:paraId="047200A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reason behind Wipro choosing Germany as the proposed target foreign market to expand is its economic power, developed industrial ecosystem, digital maturity, and high spending on corporate technology. Germany presents an attractive market with a stable, high-value environment on digital services to enterprise, given that it is the largest economy in Europe and the fourth largest economy in the world (</w:t>
      </w:r>
      <w:proofErr w:type="spellStart"/>
      <w:r>
        <w:rPr>
          <w:rFonts w:ascii="Times New Roman" w:eastAsia="Times New Roman" w:hAnsi="Times New Roman" w:cs="Times New Roman"/>
          <w:sz w:val="24"/>
          <w:szCs w:val="24"/>
        </w:rPr>
        <w:t>Chornenka</w:t>
      </w:r>
      <w:proofErr w:type="spellEnd"/>
      <w:r>
        <w:rPr>
          <w:rFonts w:ascii="Times New Roman" w:eastAsia="Times New Roman" w:hAnsi="Times New Roman" w:cs="Times New Roman"/>
          <w:sz w:val="24"/>
          <w:szCs w:val="24"/>
        </w:rPr>
        <w:t xml:space="preserve">, 2025). There is a continuous need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Industry 4.0 and smart digital solutions due to its high industrial foundation especially in automotive, engineering, healthcare, chemicals and high-end production.</w:t>
      </w:r>
    </w:p>
    <w:p w14:paraId="249000F4"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global awareness of Germany in terms of Industry 4.0 is its implementation of cyber-physical system into industrial production with the addition of automation, AI, cloud computing, and data analytics. The need to transform manufacturing and supply chain processes faster and with greater digitalization is spurred by the growing and rapid increase in the number of manufacturing companies that are adopting cloud platforms, cybersecurity infrastructure, AI-based automation and enterprise digital integration (Mohsen, 2023).</w:t>
      </w:r>
    </w:p>
    <w:p w14:paraId="438154E7" w14:textId="77777777" w:rsidR="002847F8" w:rsidRDefault="00000000">
      <w:pPr>
        <w:pStyle w:val="Heading1"/>
      </w:pPr>
      <w:bookmarkStart w:id="8" w:name="_heading=h.iqzggrhowegm" w:colFirst="0" w:colLast="0"/>
      <w:bookmarkEnd w:id="8"/>
      <w:r>
        <w:t xml:space="preserve">2. Strategy analysis </w:t>
      </w:r>
    </w:p>
    <w:p w14:paraId="53A2E79A" w14:textId="77777777" w:rsidR="002847F8" w:rsidRDefault="00000000">
      <w:pPr>
        <w:pStyle w:val="Heading2"/>
      </w:pPr>
      <w:bookmarkStart w:id="9" w:name="_heading=h.gej95wrn6vwf" w:colFirst="0" w:colLast="0"/>
      <w:bookmarkEnd w:id="9"/>
      <w:r>
        <w:t>2.1 Macro-Environmental Analysis.</w:t>
      </w:r>
    </w:p>
    <w:p w14:paraId="2B9BD5F0" w14:textId="77777777" w:rsidR="002847F8" w:rsidRDefault="00000000">
      <w:pPr>
        <w:spacing w:before="240" w:after="240"/>
        <w:jc w:val="both"/>
        <w:rPr>
          <w:b/>
          <w:bCs/>
        </w:rPr>
      </w:pPr>
      <w:r>
        <w:rPr>
          <w:rFonts w:ascii="Times New Roman" w:eastAsia="Times New Roman" w:hAnsi="Times New Roman" w:cs="Times New Roman"/>
          <w:b/>
          <w:bCs/>
          <w:sz w:val="24"/>
          <w:szCs w:val="24"/>
        </w:rPr>
        <w:t xml:space="preserve">PESTLE </w:t>
      </w:r>
    </w:p>
    <w:p w14:paraId="146B2D9C"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Political Factors</w:t>
      </w:r>
    </w:p>
    <w:p w14:paraId="6EC16FD8"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environment in Germany is highly stable and predictable and as a result, it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among the most appealing foreign direct investment destinations in Europe (Ormston, 2025).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is actively supported at the national level by the German government as illustrated by national strategies like the Digital Strategy 2025, massive investments in digital infrastructures, including 5G networks, smart cities, and industrial digital transformation (Jarzębowski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These are initiatives that are directly aligned with the development of </w:t>
      </w:r>
      <w:r>
        <w:rPr>
          <w:rFonts w:ascii="Times New Roman" w:eastAsia="Times New Roman" w:hAnsi="Times New Roman" w:cs="Times New Roman"/>
          <w:sz w:val="24"/>
          <w:szCs w:val="24"/>
        </w:rPr>
        <w:lastRenderedPageBreak/>
        <w:t>cloud computing, AI, and cybersecurity services which are the areas of the business model of Wipro.</w:t>
      </w:r>
    </w:p>
    <w:p w14:paraId="0DEC97D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governance and digital sovereignty are priority issues in the European Union (EU) policy, particularly via legislation like the General Data Protection Regulation (GDPR). On the one hand, GDPR promotes consumer trust and a higher level of data safety; however, on the other hand, the compliance expenses are also higher among foreign IT companies (Ke and Sudhir, 2023). However, the high level of political institutions, continuity of the policy, and long-term investment in digital innovation in Germany makes it a low-risk country to invest in the long-term strategic plans.</w:t>
      </w:r>
    </w:p>
    <w:p w14:paraId="488931EC" w14:textId="77777777" w:rsidR="002847F8" w:rsidRDefault="002847F8">
      <w:pPr>
        <w:spacing w:before="240" w:after="240"/>
        <w:jc w:val="both"/>
        <w:rPr>
          <w:rFonts w:ascii="Times New Roman" w:eastAsia="Times New Roman" w:hAnsi="Times New Roman" w:cs="Times New Roman"/>
          <w:sz w:val="24"/>
          <w:szCs w:val="24"/>
        </w:rPr>
      </w:pPr>
    </w:p>
    <w:p w14:paraId="524D1462"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Economic Factors</w:t>
      </w:r>
    </w:p>
    <w:p w14:paraId="7213D1C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boasts of the largest economy in Europe and the fourth largest economy in the world with automotive, engineering, healthcare, chemicals and manufacture industries being its strong automotive, engineering, healthcare, chemical and manufacturing sectors. Despite the average growth in the GDP in the recent period because of the uncertainty in the global economy, Germany </w:t>
      </w:r>
      <w:proofErr w:type="gramStart"/>
      <w:r>
        <w:rPr>
          <w:rFonts w:ascii="Times New Roman" w:eastAsia="Times New Roman" w:hAnsi="Times New Roman" w:cs="Times New Roman"/>
          <w:sz w:val="24"/>
          <w:szCs w:val="24"/>
        </w:rPr>
        <w:t>still remains</w:t>
      </w:r>
      <w:proofErr w:type="gramEnd"/>
      <w:r>
        <w:rPr>
          <w:rFonts w:ascii="Times New Roman" w:eastAsia="Times New Roman" w:hAnsi="Times New Roman" w:cs="Times New Roman"/>
          <w:sz w:val="24"/>
          <w:szCs w:val="24"/>
        </w:rPr>
        <w:t xml:space="preserve"> resilient and productive in its enterprises. The nation has a high level of export and demand of </w:t>
      </w:r>
      <w:proofErr w:type="gramStart"/>
      <w:r>
        <w:rPr>
          <w:rFonts w:ascii="Times New Roman" w:eastAsia="Times New Roman" w:hAnsi="Times New Roman" w:cs="Times New Roman"/>
          <w:sz w:val="24"/>
          <w:szCs w:val="24"/>
        </w:rPr>
        <w:t>the high</w:t>
      </w:r>
      <w:proofErr w:type="gramEnd"/>
      <w:r>
        <w:rPr>
          <w:rFonts w:ascii="Times New Roman" w:eastAsia="Times New Roman" w:hAnsi="Times New Roman" w:cs="Times New Roman"/>
          <w:sz w:val="24"/>
          <w:szCs w:val="24"/>
        </w:rPr>
        <w:t>-value digital solutions.</w:t>
      </w:r>
    </w:p>
    <w:p w14:paraId="7D63F238"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past years are characterized by a rise in inflation and </w:t>
      </w:r>
      <w:proofErr w:type="gramStart"/>
      <w:r>
        <w:rPr>
          <w:rFonts w:ascii="Times New Roman" w:eastAsia="Times New Roman" w:hAnsi="Times New Roman" w:cs="Times New Roman"/>
          <w:sz w:val="24"/>
          <w:szCs w:val="24"/>
        </w:rPr>
        <w:t>the interest</w:t>
      </w:r>
      <w:proofErr w:type="gramEnd"/>
      <w:r>
        <w:rPr>
          <w:rFonts w:ascii="Times New Roman" w:eastAsia="Times New Roman" w:hAnsi="Times New Roman" w:cs="Times New Roman"/>
          <w:sz w:val="24"/>
          <w:szCs w:val="24"/>
        </w:rPr>
        <w:t xml:space="preserve"> rates as the operational financing costs have risen because of the post-pandemic recovery and geopolitical instability. Nonetheless, IT expenditure at the enterprise level is high because German companies still focus on digital transformation as a way of enhancing efficiency and automation and improving resistance to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Imarc</w:t>
      </w:r>
      <w:proofErr w:type="spellEnd"/>
      <w:r>
        <w:rPr>
          <w:rFonts w:ascii="Times New Roman" w:eastAsia="Times New Roman" w:hAnsi="Times New Roman" w:cs="Times New Roman"/>
          <w:sz w:val="24"/>
          <w:szCs w:val="24"/>
        </w:rPr>
        <w:t xml:space="preserve"> group, 2023). The increasing IT investments in </w:t>
      </w:r>
      <w:proofErr w:type="gramStart"/>
      <w:r>
        <w:rPr>
          <w:rFonts w:ascii="Times New Roman" w:eastAsia="Times New Roman" w:hAnsi="Times New Roman" w:cs="Times New Roman"/>
          <w:sz w:val="24"/>
          <w:szCs w:val="24"/>
        </w:rPr>
        <w:t>the cloud</w:t>
      </w:r>
      <w:proofErr w:type="gramEnd"/>
      <w:r>
        <w:rPr>
          <w:rFonts w:ascii="Times New Roman" w:eastAsia="Times New Roman" w:hAnsi="Times New Roman" w:cs="Times New Roman"/>
          <w:sz w:val="24"/>
          <w:szCs w:val="24"/>
        </w:rPr>
        <w:t xml:space="preserve"> services, Artificial Intelligence and smart manufacturing platforms are a major growth opportunity to the digital services portfolio of Wipro.</w:t>
      </w:r>
    </w:p>
    <w:p w14:paraId="7E504540" w14:textId="77777777" w:rsidR="002847F8" w:rsidRDefault="002847F8">
      <w:pPr>
        <w:spacing w:before="240" w:after="240"/>
        <w:jc w:val="both"/>
        <w:rPr>
          <w:rFonts w:ascii="Times New Roman" w:eastAsia="Times New Roman" w:hAnsi="Times New Roman" w:cs="Times New Roman"/>
          <w:sz w:val="24"/>
          <w:szCs w:val="24"/>
        </w:rPr>
      </w:pPr>
    </w:p>
    <w:p w14:paraId="687DB2A4"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Social Factors</w:t>
      </w:r>
    </w:p>
    <w:p w14:paraId="393B2A4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demographic trend in Germany has been typified by an ageing workforce and a decreasing birth rate, which has posed a long-term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shortage in the industries and technology sectors. This forces German companies to </w:t>
      </w:r>
      <w:proofErr w:type="gramStart"/>
      <w:r>
        <w:rPr>
          <w:rFonts w:ascii="Times New Roman" w:eastAsia="Times New Roman" w:hAnsi="Times New Roman" w:cs="Times New Roman"/>
          <w:sz w:val="24"/>
          <w:szCs w:val="24"/>
        </w:rPr>
        <w:t>more and more</w:t>
      </w:r>
      <w:proofErr w:type="gramEnd"/>
      <w:r>
        <w:rPr>
          <w:rFonts w:ascii="Times New Roman" w:eastAsia="Times New Roman" w:hAnsi="Times New Roman" w:cs="Times New Roman"/>
          <w:sz w:val="24"/>
          <w:szCs w:val="24"/>
        </w:rPr>
        <w:t xml:space="preserve"> depend on automation, AI, and digital platforms and remain productive. This architectural transformation boosts directly the need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smart automation, cloud-native applications, and business digital integration, which is the capability of Wipro.</w:t>
      </w:r>
    </w:p>
    <w:p w14:paraId="2DD294F4"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remote and hybrid working models have also become significantly more accepted socially after the COVID-19 pandemic. German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come to need safe digital facilities to </w:t>
      </w:r>
      <w:r>
        <w:rPr>
          <w:rFonts w:ascii="Times New Roman" w:eastAsia="Times New Roman" w:hAnsi="Times New Roman" w:cs="Times New Roman"/>
          <w:sz w:val="24"/>
          <w:szCs w:val="24"/>
        </w:rPr>
        <w:lastRenderedPageBreak/>
        <w:t xml:space="preserve">use in virtual collaboration, access data in the cloud, and have resilience towards cybersecurity (Gartner, 2025). Moreover, the level of education in Germany is very high and the population is very much </w:t>
      </w:r>
      <w:proofErr w:type="gramStart"/>
      <w:r>
        <w:rPr>
          <w:rFonts w:ascii="Times New Roman" w:eastAsia="Times New Roman" w:hAnsi="Times New Roman" w:cs="Times New Roman"/>
          <w:sz w:val="24"/>
          <w:szCs w:val="24"/>
        </w:rPr>
        <w:t>digitalized</w:t>
      </w:r>
      <w:proofErr w:type="gramEnd"/>
      <w:r>
        <w:rPr>
          <w:rFonts w:ascii="Times New Roman" w:eastAsia="Times New Roman" w:hAnsi="Times New Roman" w:cs="Times New Roman"/>
          <w:sz w:val="24"/>
          <w:szCs w:val="24"/>
        </w:rPr>
        <w:t xml:space="preserve"> and this helps in accelerating the pace of technology adoption and penetration of advanced solutions into the processes of the enterprises.</w:t>
      </w:r>
    </w:p>
    <w:p w14:paraId="02A92B56"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Technological Factors</w:t>
      </w:r>
    </w:p>
    <w:p w14:paraId="2EF03BC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is a leading country in Industry 4.0 and smart manufacturing and combines cyber-physical systems, IoT, AI, robotics, and cloud computing into the production process. </w:t>
      </w:r>
      <w:proofErr w:type="gramStart"/>
      <w:r>
        <w:rPr>
          <w:rFonts w:ascii="Times New Roman" w:eastAsia="Times New Roman" w:hAnsi="Times New Roman" w:cs="Times New Roman"/>
          <w:sz w:val="24"/>
          <w:szCs w:val="24"/>
        </w:rPr>
        <w:t>The industrial</w:t>
      </w:r>
      <w:proofErr w:type="gramEnd"/>
      <w:r>
        <w:rPr>
          <w:rFonts w:ascii="Times New Roman" w:eastAsia="Times New Roman" w:hAnsi="Times New Roman" w:cs="Times New Roman"/>
          <w:sz w:val="24"/>
          <w:szCs w:val="24"/>
        </w:rPr>
        <w:t xml:space="preserve"> companies in the country are speeding up investments in digital predictive maintenance, digital twins, smart supply chain, and AI-based analytics. This forms a significant market in terms of </w:t>
      </w:r>
      <w:proofErr w:type="gramStart"/>
      <w:r>
        <w:rPr>
          <w:rFonts w:ascii="Times New Roman" w:eastAsia="Times New Roman" w:hAnsi="Times New Roman" w:cs="Times New Roman"/>
          <w:sz w:val="24"/>
          <w:szCs w:val="24"/>
        </w:rPr>
        <w:t>high level</w:t>
      </w:r>
      <w:proofErr w:type="gramEnd"/>
      <w:r>
        <w:rPr>
          <w:rFonts w:ascii="Times New Roman" w:eastAsia="Times New Roman" w:hAnsi="Times New Roman" w:cs="Times New Roman"/>
          <w:sz w:val="24"/>
          <w:szCs w:val="24"/>
        </w:rPr>
        <w:t xml:space="preserve"> IT consulting, platform integration and cloud infrastructure services.</w:t>
      </w:r>
    </w:p>
    <w:p w14:paraId="51327B0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AIs are rapidly being adopted in the German businesses, especially in the automotive design, healthcare diagnostics, logistics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and in the financial services (Krakowski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More so, the availability of government-sponsored research and innovation enhances the position of Germany as a European powerhouse in technology. These technological forces are in close synergies with the digital transformation, AI engineering, and cloud security services solutions offered by Wipro.</w:t>
      </w:r>
    </w:p>
    <w:p w14:paraId="18A72A7E"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Legal Factors</w:t>
      </w:r>
    </w:p>
    <w:p w14:paraId="6015E0E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has one of the strictest data protection and cybersecurity regulatory systems in the world. The GDPR sets forth strict regulations on the collection, processing, storage and transfer of personal data to other countries, and it has a direct impact on the design and management of the cloud infrastructures by IT companies (Lasserre and Monteiro, 2022). The legal and operational requirements of companies like Wipro are high, due to the adherence to the Federal Data Protection Act (BDSG) and EU cybersecurity policies, including the NIS2.</w:t>
      </w:r>
    </w:p>
    <w:p w14:paraId="4262533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data residency policies demand that sensitive enterprise data must be hosted on servers in the EU, which may require a local data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investment or collaboration with cloud providers in the European region. Although these legal environments increase the entry barriers, it also enhances consumer confidence and entry barriers to the smaller competitors.</w:t>
      </w:r>
    </w:p>
    <w:p w14:paraId="51202A05"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Environmental Factors</w:t>
      </w:r>
    </w:p>
    <w:p w14:paraId="59F8DA0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is a leader of sustainability regulation and environmental responsibility in the world. The government is pledged to be carbon neutral by 2045 and there would be stiff application of environmental regulations in all sectors including the digital infrastructure. The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must </w:t>
      </w:r>
      <w:proofErr w:type="gramStart"/>
      <w:r>
        <w:rPr>
          <w:rFonts w:ascii="Times New Roman" w:eastAsia="Times New Roman" w:hAnsi="Times New Roman" w:cs="Times New Roman"/>
          <w:sz w:val="24"/>
          <w:szCs w:val="24"/>
        </w:rPr>
        <w:t>assure</w:t>
      </w:r>
      <w:proofErr w:type="gramEnd"/>
      <w:r>
        <w:rPr>
          <w:rFonts w:ascii="Times New Roman" w:eastAsia="Times New Roman" w:hAnsi="Times New Roman" w:cs="Times New Roman"/>
          <w:sz w:val="24"/>
          <w:szCs w:val="24"/>
        </w:rPr>
        <w:t xml:space="preserve"> high energy efficiency and renewable energy </w:t>
      </w:r>
      <w:proofErr w:type="gramStart"/>
      <w:r>
        <w:rPr>
          <w:rFonts w:ascii="Times New Roman" w:eastAsia="Times New Roman" w:hAnsi="Times New Roman" w:cs="Times New Roman"/>
          <w:sz w:val="24"/>
          <w:szCs w:val="24"/>
        </w:rPr>
        <w:t>consumption</w:t>
      </w:r>
      <w:proofErr w:type="gramEnd"/>
      <w:r>
        <w:rPr>
          <w:rFonts w:ascii="Times New Roman" w:eastAsia="Times New Roman" w:hAnsi="Times New Roman" w:cs="Times New Roman"/>
          <w:sz w:val="24"/>
          <w:szCs w:val="24"/>
        </w:rPr>
        <w:t xml:space="preserve"> and this raises the demand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green IT solutions.</w:t>
      </w:r>
    </w:p>
    <w:p w14:paraId="3AD0508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Corporate clients are also becoming more focused on sustainable IT sourcing such as carbon- neutral cloud solution, energy-efficient data processing and ESG-compliant digital transformation solutions (Rêgo</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xml:space="preserve"> 2022). The Wipro own net-zero emission and sustainable IT procurement will increase the strategic alignment with the Net zero emission requirements and enhance brand legitimacy in the German market.</w:t>
      </w:r>
    </w:p>
    <w:p w14:paraId="64AEF22F"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Important Analysis of the PESTLE Analysis.</w:t>
      </w:r>
    </w:p>
    <w:p w14:paraId="268DE16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PESTLE model is very effective in the determination of macro-environmental forces which influence international market entry decisions especially in politically and legally controlled markets like Germany. It offers a systematic method of measuring regulatory risks, economic stability and technological preparedness.</w:t>
      </w:r>
    </w:p>
    <w:p w14:paraId="2C0DB8B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shortcomings of PESTLE, however, is that it is very descriptive and static. It fails entirely to reflect the pace of technology disruption, online competitive pressures, or the dynamic nature of interactions on stakeholder dynamics that characterize the current IT markets. </w:t>
      </w:r>
    </w:p>
    <w:p w14:paraId="2574EF99"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7F44B28" wp14:editId="01F41367">
            <wp:extent cx="5943600" cy="3505200"/>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505200"/>
                    </a:xfrm>
                    <a:prstGeom prst="rect">
                      <a:avLst/>
                    </a:prstGeom>
                    <a:ln w="25400">
                      <a:solidFill>
                        <a:srgbClr val="000000"/>
                      </a:solidFill>
                      <a:prstDash val="solid"/>
                    </a:ln>
                  </pic:spPr>
                </pic:pic>
              </a:graphicData>
            </a:graphic>
          </wp:inline>
        </w:drawing>
      </w:r>
    </w:p>
    <w:p w14:paraId="12187842"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PESTLE Analysis</w:t>
      </w:r>
    </w:p>
    <w:p w14:paraId="4FCA2DE1"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(Ormston, 2025)</w:t>
      </w:r>
    </w:p>
    <w:p w14:paraId="1A4EE988" w14:textId="77777777" w:rsidR="002847F8" w:rsidRDefault="00000000">
      <w:pPr>
        <w:pStyle w:val="Heading2"/>
      </w:pPr>
      <w:bookmarkStart w:id="10" w:name="_heading=h.xfoskkb0c63p" w:colFirst="0" w:colLast="0"/>
      <w:bookmarkEnd w:id="10"/>
      <w:r>
        <w:t xml:space="preserve">2.2 Industry and Competitive Landscape Porters Five Forces </w:t>
      </w:r>
    </w:p>
    <w:p w14:paraId="6061C33F"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of New Entrants -Moderate.</w:t>
      </w:r>
    </w:p>
    <w:p w14:paraId="218C349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danger of entry in the market of digital services in Germany is moderate (The Strategy Institute, 2024). As the demand in cloud services, cybersecurity, AI, and enterprise digital solutions is expanding at a high rate, the industry is marked with a high entry barrier. These are tough regulatory demands on GDPR, cybersecurity rules, excessive capital expenditure on cloud infrastructure, and high brand credibility facets. Also, in Germany, large enterprise clients would want to do business with </w:t>
      </w:r>
      <w:proofErr w:type="spellStart"/>
      <w:r>
        <w:rPr>
          <w:rFonts w:ascii="Times New Roman" w:eastAsia="Times New Roman" w:hAnsi="Times New Roman" w:cs="Times New Roman"/>
          <w:sz w:val="24"/>
          <w:szCs w:val="24"/>
        </w:rPr>
        <w:t>well established</w:t>
      </w:r>
      <w:proofErr w:type="spellEnd"/>
      <w:r>
        <w:rPr>
          <w:rFonts w:ascii="Times New Roman" w:eastAsia="Times New Roman" w:hAnsi="Times New Roman" w:cs="Times New Roman"/>
          <w:sz w:val="24"/>
          <w:szCs w:val="24"/>
        </w:rPr>
        <w:t xml:space="preserve"> global vendors that have reliable delivery history, and thus new or small firms cannot easily win large contracts in Germany (Gibson, 2024). Nevertheless, technology-based start-ups which provide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AI, automation or SaaS solutions keep on appearing, maintaining the entry pressure at a moderate level.</w:t>
      </w:r>
    </w:p>
    <w:p w14:paraId="1ACB0DA8"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Bargaining Power of Buyers -High</w:t>
      </w:r>
    </w:p>
    <w:p w14:paraId="7AD7965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German IT market has high bargaining power of buyers. Large companies, especially in the automotive, manufacturing, banking, and healthcare industries, have high bargaining power because of the large size of contracts, the presence of numerous alternatives of switching, and the availability of various global suppliers. Customers require high service </w:t>
      </w:r>
      <w:proofErr w:type="spellStart"/>
      <w:r>
        <w:rPr>
          <w:rFonts w:ascii="Times New Roman" w:eastAsia="Times New Roman" w:hAnsi="Times New Roman" w:cs="Times New Roman"/>
          <w:sz w:val="24"/>
          <w:szCs w:val="24"/>
        </w:rPr>
        <w:t>personalisation</w:t>
      </w:r>
      <w:proofErr w:type="spellEnd"/>
      <w:r>
        <w:rPr>
          <w:rFonts w:ascii="Times New Roman" w:eastAsia="Times New Roman" w:hAnsi="Times New Roman" w:cs="Times New Roman"/>
          <w:sz w:val="24"/>
          <w:szCs w:val="24"/>
        </w:rPr>
        <w:t>, strict cybersecurity policies, cost effectiveness and quantifiable service-level agreements (SLAs) (Farida and Setiawan, 2024). The existence of a few international rivals like IBM, Accenture, TCS, and Capgemini gives the buyers a lot of options hence reinforcing their bargaining power to negotiate prices and contractual adaptability. This is a pressure to the margins of the IT service providers like Wipro.</w:t>
      </w:r>
    </w:p>
    <w:p w14:paraId="3BB02755"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Supplier Power -Moderate.</w:t>
      </w:r>
    </w:p>
    <w:p w14:paraId="6FE1AE8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supplier power in the German IT ecosystem is moderate. The main suppliers are professional IT experts, providers of cloud infrastructure (Amazon Web Services, Microsoft Azure, and Google Cloud), and technology </w:t>
      </w:r>
      <w:proofErr w:type="gramStart"/>
      <w:r>
        <w:rPr>
          <w:rFonts w:ascii="Times New Roman" w:eastAsia="Times New Roman" w:hAnsi="Times New Roman" w:cs="Times New Roman"/>
          <w:sz w:val="24"/>
          <w:szCs w:val="24"/>
        </w:rPr>
        <w:t>specialists</w:t>
      </w:r>
      <w:proofErr w:type="gramEnd"/>
      <w:r>
        <w:rPr>
          <w:rFonts w:ascii="Times New Roman" w:eastAsia="Times New Roman" w:hAnsi="Times New Roman" w:cs="Times New Roman"/>
          <w:sz w:val="24"/>
          <w:szCs w:val="24"/>
        </w:rPr>
        <w:t xml:space="preserve"> vendors (Borra, 2024). As demand of digital talent is high, the Wipro global model of delivery and the availability to a large pool of international talent make the company less reliant on the local German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markets. Nevertheless, reliance on large cloud platform vendors reduces pricing elasticity and heightens the supplier control of the cost of digital infrastructure.</w:t>
      </w:r>
    </w:p>
    <w:p w14:paraId="3FF1A2A0"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Threat of Substitutes – High</w:t>
      </w:r>
    </w:p>
    <w:p w14:paraId="33F89A7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Substitutes threat is high because the number of </w:t>
      </w:r>
      <w:proofErr w:type="gramStart"/>
      <w:r>
        <w:rPr>
          <w:rFonts w:ascii="Times New Roman" w:eastAsia="Times New Roman" w:hAnsi="Times New Roman" w:cs="Times New Roman"/>
          <w:sz w:val="24"/>
          <w:szCs w:val="24"/>
        </w:rPr>
        <w:t>cloud based</w:t>
      </w:r>
      <w:proofErr w:type="gramEnd"/>
      <w:r>
        <w:rPr>
          <w:rFonts w:ascii="Times New Roman" w:eastAsia="Times New Roman" w:hAnsi="Times New Roman" w:cs="Times New Roman"/>
          <w:sz w:val="24"/>
          <w:szCs w:val="24"/>
        </w:rPr>
        <w:t xml:space="preserve"> companies, SaaS, low-code/no-code development tools and services based on automation are increasing rapidly. There has been a growing usage of in-house digital platforms</w:t>
      </w:r>
      <w:proofErr w:type="gramStart"/>
      <w:r>
        <w:rPr>
          <w:rFonts w:ascii="Times New Roman" w:eastAsia="Times New Roman" w:hAnsi="Times New Roman" w:cs="Times New Roman"/>
          <w:sz w:val="24"/>
          <w:szCs w:val="24"/>
        </w:rPr>
        <w:t>, subscription</w:t>
      </w:r>
      <w:proofErr w:type="gramEnd"/>
      <w:r>
        <w:rPr>
          <w:rFonts w:ascii="Times New Roman" w:eastAsia="Times New Roman" w:hAnsi="Times New Roman" w:cs="Times New Roman"/>
          <w:sz w:val="24"/>
          <w:szCs w:val="24"/>
        </w:rPr>
        <w:t xml:space="preserve">-based software solutions by many enterprises which minimize the dependence on traditional IT service providers. Moreover, AI-based automation systems now do the work of large IT consulting firms. The developments escalate substitution risk to companies such as Wipro unless </w:t>
      </w:r>
      <w:proofErr w:type="gramStart"/>
      <w:r>
        <w:rPr>
          <w:rFonts w:ascii="Times New Roman" w:eastAsia="Times New Roman" w:hAnsi="Times New Roman" w:cs="Times New Roman"/>
          <w:sz w:val="24"/>
          <w:szCs w:val="24"/>
        </w:rPr>
        <w:t>it keeps</w:t>
      </w:r>
      <w:proofErr w:type="gramEnd"/>
      <w:r>
        <w:rPr>
          <w:rFonts w:ascii="Times New Roman" w:eastAsia="Times New Roman" w:hAnsi="Times New Roman" w:cs="Times New Roman"/>
          <w:sz w:val="24"/>
          <w:szCs w:val="24"/>
        </w:rPr>
        <w:t xml:space="preserve"> on innovating.</w:t>
      </w:r>
    </w:p>
    <w:p w14:paraId="634B5006"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Competitive Rivalry -Very High.</w:t>
      </w:r>
    </w:p>
    <w:p w14:paraId="5B49F33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levels of competition in the German IT and digital service industry are high. The leading market is occupied by an influential international corporation of IBM, Accenture, TCS, Capgemini, Cognizant, and Infosys as well as powerful European digital specialists (Reznikov and Turlakova, 2024). The companies fight each other in terms of price, innovation, capabilities related to cybersecurity, digital speed, and compliance with ESG. Competitive pressure is further worsened by frequent mergers, acquisitions and strategic alliances. In the case of Wipro, it will be necessary to remain differentiated using AI-based services, cloud security, and industry-oriented platforms to stay ahead of competitors.</w:t>
      </w:r>
    </w:p>
    <w:p w14:paraId="3F0524B5"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Critical Analysis of the Five Forces in Digital Industries as proposed by Porter.</w:t>
      </w:r>
    </w:p>
    <w:p w14:paraId="435DFA6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Porters Five Forces is a powerful model of structural competition, it is particularly weak when applied to high-speed digital markets. The model presupposes relatively stable industry borders, whereas digital ecosystems are also extremely dynamic and are reformed constantly through innovation, convergence of platforms and disruptive technologies. It also does not give due credit to the importance of strategic alliances, ecosystems, and co-opetition which play an important role in cloud and AI-driven industries. </w:t>
      </w:r>
    </w:p>
    <w:p w14:paraId="075C7300"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B99100B" wp14:editId="0A091D44">
            <wp:extent cx="5943600" cy="311150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111500"/>
                    </a:xfrm>
                    <a:prstGeom prst="rect">
                      <a:avLst/>
                    </a:prstGeom>
                    <a:ln w="25400">
                      <a:solidFill>
                        <a:srgbClr val="000000"/>
                      </a:solidFill>
                      <a:prstDash val="solid"/>
                    </a:ln>
                  </pic:spPr>
                </pic:pic>
              </a:graphicData>
            </a:graphic>
          </wp:inline>
        </w:drawing>
      </w:r>
    </w:p>
    <w:p w14:paraId="00B48D36"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Porter’s Five Forces</w:t>
      </w:r>
    </w:p>
    <w:p w14:paraId="299A0BAA"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(The Strategy Institute, 2024)</w:t>
      </w:r>
    </w:p>
    <w:p w14:paraId="15BE3155" w14:textId="77777777" w:rsidR="002847F8" w:rsidRDefault="00000000">
      <w:pPr>
        <w:pStyle w:val="Heading1"/>
      </w:pPr>
      <w:bookmarkStart w:id="11" w:name="_heading=h.h4ooptuetviz" w:colFirst="0" w:colLast="0"/>
      <w:bookmarkEnd w:id="11"/>
      <w:r>
        <w:lastRenderedPageBreak/>
        <w:t xml:space="preserve">2.3 Internal Analysis VRIO and Resource Capability </w:t>
      </w:r>
    </w:p>
    <w:p w14:paraId="3C774E2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VRIO framework will be used to analyze the internal resources and capabilities of Wipro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ascertain whether they give it a sustained, short-term or competitive parity advantage in the German digital services market. The four central strategic assets that are studied in the analysis include AI laboratories, R&amp;D investments, global talent force, and strategic acquisitions.</w:t>
      </w:r>
    </w:p>
    <w:p w14:paraId="47FEF0B2" w14:textId="77777777" w:rsidR="002847F8" w:rsidRDefault="00000000">
      <w:pPr>
        <w:pStyle w:val="Heading3"/>
        <w:keepNext w:val="0"/>
        <w:keepLines w:val="0"/>
        <w:spacing w:before="280"/>
        <w:jc w:val="both"/>
        <w:rPr>
          <w:rFonts w:ascii="Times New Roman" w:eastAsia="Times New Roman" w:hAnsi="Times New Roman" w:cs="Times New Roman"/>
          <w:b/>
          <w:bCs/>
          <w:color w:val="000000"/>
          <w:sz w:val="24"/>
          <w:szCs w:val="24"/>
        </w:rPr>
      </w:pPr>
      <w:bookmarkStart w:id="12" w:name="_heading=h.ryzxiuvvw6j6" w:colFirst="0" w:colLast="0"/>
      <w:bookmarkEnd w:id="12"/>
      <w:r>
        <w:rPr>
          <w:rFonts w:ascii="Times New Roman" w:eastAsia="Times New Roman" w:hAnsi="Times New Roman" w:cs="Times New Roman"/>
          <w:b/>
          <w:bCs/>
          <w:color w:val="000000"/>
          <w:sz w:val="24"/>
          <w:szCs w:val="24"/>
        </w:rPr>
        <w:t>VRIO Analysis Table – Wipro</w:t>
      </w:r>
    </w:p>
    <w:tbl>
      <w:tblPr>
        <w:tblStyle w:val="af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56"/>
        <w:gridCol w:w="1068"/>
        <w:gridCol w:w="685"/>
        <w:gridCol w:w="1224"/>
        <w:gridCol w:w="1224"/>
        <w:gridCol w:w="2203"/>
      </w:tblGrid>
      <w:tr w:rsidR="002847F8" w14:paraId="0577C817" w14:textId="77777777">
        <w:trPr>
          <w:trHeight w:val="78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4C4D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 / Capability</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DF4BD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Valuable</w:t>
            </w:r>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D164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Rare</w:t>
            </w:r>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C6AD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Inimitable</w:t>
            </w:r>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BE47E" w14:textId="77777777" w:rsidR="002847F8" w:rsidRDefault="00000000">
            <w:pPr>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Organised</w:t>
            </w:r>
            <w:proofErr w:type="spellEnd"/>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9991B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Outcome</w:t>
            </w:r>
          </w:p>
        </w:tc>
      </w:tr>
      <w:tr w:rsidR="002847F8" w14:paraId="6D88B080"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3CD1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AI Laboratories &amp; Advanced Digital Innovation Hubs</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1F7758" w14:textId="77777777" w:rsidR="002847F8" w:rsidRDefault="00000000">
            <w:pPr>
              <w:jc w:val="both"/>
              <w:rPr>
                <w:rFonts w:ascii="Times New Roman" w:eastAsia="Times New Roman" w:hAnsi="Times New Roman" w:cs="Times New Roman"/>
                <w:sz w:val="24"/>
                <w:szCs w:val="24"/>
              </w:rPr>
            </w:pPr>
            <w:sdt>
              <w:sdtPr>
                <w:tag w:val="goog_rdk_0"/>
                <w:id w:val="2001369044"/>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324735" w14:textId="77777777" w:rsidR="002847F8" w:rsidRDefault="00000000">
            <w:pPr>
              <w:jc w:val="both"/>
              <w:rPr>
                <w:rFonts w:ascii="Times New Roman" w:eastAsia="Times New Roman" w:hAnsi="Times New Roman" w:cs="Times New Roman"/>
                <w:sz w:val="24"/>
                <w:szCs w:val="24"/>
              </w:rPr>
            </w:pPr>
            <w:sdt>
              <w:sdtPr>
                <w:tag w:val="goog_rdk_1"/>
                <w:id w:val="1635672768"/>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286BC" w14:textId="77777777" w:rsidR="002847F8" w:rsidRDefault="00000000">
            <w:pPr>
              <w:jc w:val="both"/>
              <w:rPr>
                <w:rFonts w:ascii="Times New Roman" w:eastAsia="Times New Roman" w:hAnsi="Times New Roman" w:cs="Times New Roman"/>
                <w:sz w:val="24"/>
                <w:szCs w:val="24"/>
              </w:rPr>
            </w:pPr>
            <w:sdt>
              <w:sdtPr>
                <w:tag w:val="goog_rdk_2"/>
                <w:id w:val="1309497574"/>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7A2E8" w14:textId="77777777" w:rsidR="002847F8" w:rsidRDefault="00000000">
            <w:pPr>
              <w:jc w:val="both"/>
              <w:rPr>
                <w:rFonts w:ascii="Times New Roman" w:eastAsia="Times New Roman" w:hAnsi="Times New Roman" w:cs="Times New Roman"/>
                <w:sz w:val="24"/>
                <w:szCs w:val="24"/>
              </w:rPr>
            </w:pPr>
            <w:sdt>
              <w:sdtPr>
                <w:tag w:val="goog_rdk_3"/>
                <w:id w:val="-1311286669"/>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1522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Sustained Competitive Advantage</w:t>
            </w:r>
          </w:p>
        </w:tc>
      </w:tr>
      <w:tr w:rsidR="002847F8" w14:paraId="5735DB9B"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809A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Large-Scale R&amp;D Investments</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70C7A" w14:textId="77777777" w:rsidR="002847F8" w:rsidRDefault="00000000">
            <w:pPr>
              <w:jc w:val="both"/>
              <w:rPr>
                <w:rFonts w:ascii="Times New Roman" w:eastAsia="Times New Roman" w:hAnsi="Times New Roman" w:cs="Times New Roman"/>
                <w:sz w:val="24"/>
                <w:szCs w:val="24"/>
              </w:rPr>
            </w:pPr>
            <w:sdt>
              <w:sdtPr>
                <w:tag w:val="goog_rdk_4"/>
                <w:id w:val="963053359"/>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36A918" w14:textId="77777777" w:rsidR="002847F8" w:rsidRDefault="00000000">
            <w:pPr>
              <w:jc w:val="both"/>
              <w:rPr>
                <w:rFonts w:ascii="Times New Roman" w:eastAsia="Times New Roman" w:hAnsi="Times New Roman" w:cs="Times New Roman"/>
                <w:sz w:val="24"/>
                <w:szCs w:val="24"/>
              </w:rPr>
            </w:pPr>
            <w:sdt>
              <w:sdtPr>
                <w:tag w:val="goog_rdk_5"/>
                <w:id w:val="268991877"/>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1D276" w14:textId="77777777" w:rsidR="002847F8" w:rsidRDefault="00000000">
            <w:pPr>
              <w:jc w:val="both"/>
              <w:rPr>
                <w:rFonts w:ascii="Times New Roman" w:eastAsia="Times New Roman" w:hAnsi="Times New Roman" w:cs="Times New Roman"/>
                <w:sz w:val="24"/>
                <w:szCs w:val="24"/>
              </w:rPr>
            </w:pPr>
            <w:sdt>
              <w:sdtPr>
                <w:tag w:val="goog_rdk_6"/>
                <w:id w:val="1862727917"/>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F3E36A" w14:textId="77777777" w:rsidR="002847F8" w:rsidRDefault="00000000">
            <w:pPr>
              <w:jc w:val="both"/>
              <w:rPr>
                <w:rFonts w:ascii="Times New Roman" w:eastAsia="Times New Roman" w:hAnsi="Times New Roman" w:cs="Times New Roman"/>
                <w:sz w:val="24"/>
                <w:szCs w:val="24"/>
              </w:rPr>
            </w:pPr>
            <w:sdt>
              <w:sdtPr>
                <w:tag w:val="goog_rdk_7"/>
                <w:id w:val="999739930"/>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83E9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Temporary Competitive Advantage</w:t>
            </w:r>
          </w:p>
        </w:tc>
      </w:tr>
      <w:tr w:rsidR="002847F8" w14:paraId="66921D59"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69E5A"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Global Talent Force (160,000+ professionals)</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65C2C0" w14:textId="77777777" w:rsidR="002847F8" w:rsidRDefault="00000000">
            <w:pPr>
              <w:jc w:val="both"/>
              <w:rPr>
                <w:rFonts w:ascii="Times New Roman" w:eastAsia="Times New Roman" w:hAnsi="Times New Roman" w:cs="Times New Roman"/>
                <w:sz w:val="24"/>
                <w:szCs w:val="24"/>
              </w:rPr>
            </w:pPr>
            <w:sdt>
              <w:sdtPr>
                <w:tag w:val="goog_rdk_8"/>
                <w:id w:val="-138423637"/>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D3AB5" w14:textId="77777777" w:rsidR="002847F8" w:rsidRDefault="00000000">
            <w:pPr>
              <w:jc w:val="both"/>
              <w:rPr>
                <w:rFonts w:ascii="Times New Roman" w:eastAsia="Times New Roman" w:hAnsi="Times New Roman" w:cs="Times New Roman"/>
                <w:sz w:val="24"/>
                <w:szCs w:val="24"/>
              </w:rPr>
            </w:pPr>
            <w:sdt>
              <w:sdtPr>
                <w:tag w:val="goog_rdk_9"/>
                <w:id w:val="-1965015968"/>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F20E70" w14:textId="77777777" w:rsidR="002847F8" w:rsidRDefault="00000000">
            <w:pPr>
              <w:jc w:val="both"/>
              <w:rPr>
                <w:rFonts w:ascii="Times New Roman" w:eastAsia="Times New Roman" w:hAnsi="Times New Roman" w:cs="Times New Roman"/>
                <w:sz w:val="24"/>
                <w:szCs w:val="24"/>
              </w:rPr>
            </w:pPr>
            <w:sdt>
              <w:sdtPr>
                <w:tag w:val="goog_rdk_10"/>
                <w:id w:val="-949535206"/>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0D2F9" w14:textId="77777777" w:rsidR="002847F8" w:rsidRDefault="00000000">
            <w:pPr>
              <w:jc w:val="both"/>
              <w:rPr>
                <w:rFonts w:ascii="Times New Roman" w:eastAsia="Times New Roman" w:hAnsi="Times New Roman" w:cs="Times New Roman"/>
                <w:sz w:val="24"/>
                <w:szCs w:val="24"/>
              </w:rPr>
            </w:pPr>
            <w:sdt>
              <w:sdtPr>
                <w:tag w:val="goog_rdk_11"/>
                <w:id w:val="-1244945389"/>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A971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Temporary Competitive Advantage</w:t>
            </w:r>
          </w:p>
        </w:tc>
      </w:tr>
      <w:tr w:rsidR="002847F8" w14:paraId="7ADA3755" w14:textId="77777777">
        <w:trPr>
          <w:trHeight w:val="1055"/>
        </w:trPr>
        <w:tc>
          <w:tcPr>
            <w:tcW w:w="29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CC5B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Strategic Acquisitions (Capco, </w:t>
            </w:r>
            <w:proofErr w:type="spellStart"/>
            <w:r>
              <w:rPr>
                <w:rFonts w:ascii="Times New Roman" w:eastAsia="Times New Roman" w:hAnsi="Times New Roman" w:cs="Times New Roman"/>
                <w:b/>
                <w:bCs/>
                <w:sz w:val="24"/>
                <w:szCs w:val="24"/>
              </w:rPr>
              <w:t>Rizing</w:t>
            </w:r>
            <w:proofErr w:type="spellEnd"/>
            <w:r>
              <w:rPr>
                <w:rFonts w:ascii="Times New Roman" w:eastAsia="Times New Roman" w:hAnsi="Times New Roman" w:cs="Times New Roman"/>
                <w:b/>
                <w:bCs/>
                <w:sz w:val="24"/>
                <w:szCs w:val="24"/>
              </w:rPr>
              <w:t>, etc.)</w:t>
            </w:r>
          </w:p>
        </w:tc>
        <w:tc>
          <w:tcPr>
            <w:tcW w:w="10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8A90F" w14:textId="77777777" w:rsidR="002847F8" w:rsidRDefault="00000000">
            <w:pPr>
              <w:jc w:val="both"/>
              <w:rPr>
                <w:rFonts w:ascii="Times New Roman" w:eastAsia="Times New Roman" w:hAnsi="Times New Roman" w:cs="Times New Roman"/>
                <w:sz w:val="24"/>
                <w:szCs w:val="24"/>
              </w:rPr>
            </w:pPr>
            <w:sdt>
              <w:sdtPr>
                <w:tag w:val="goog_rdk_12"/>
                <w:id w:val="-1644288607"/>
              </w:sdtPr>
              <w:sdtContent>
                <w:r>
                  <w:rPr>
                    <w:rFonts w:ascii="Arial Unicode MS" w:eastAsia="Arial Unicode MS" w:hAnsi="Arial Unicode MS" w:cs="Arial Unicode MS"/>
                    <w:sz w:val="24"/>
                    <w:szCs w:val="24"/>
                  </w:rPr>
                  <w:t>✅</w:t>
                </w:r>
              </w:sdtContent>
            </w:sdt>
          </w:p>
        </w:tc>
        <w:tc>
          <w:tcPr>
            <w:tcW w:w="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A8029" w14:textId="77777777" w:rsidR="002847F8" w:rsidRDefault="00000000">
            <w:pPr>
              <w:jc w:val="both"/>
              <w:rPr>
                <w:rFonts w:ascii="Times New Roman" w:eastAsia="Times New Roman" w:hAnsi="Times New Roman" w:cs="Times New Roman"/>
                <w:sz w:val="24"/>
                <w:szCs w:val="24"/>
              </w:rPr>
            </w:pPr>
            <w:sdt>
              <w:sdtPr>
                <w:tag w:val="goog_rdk_13"/>
                <w:id w:val="-1693141301"/>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38B52" w14:textId="77777777" w:rsidR="002847F8" w:rsidRDefault="00000000">
            <w:pPr>
              <w:jc w:val="both"/>
              <w:rPr>
                <w:rFonts w:ascii="Times New Roman" w:eastAsia="Times New Roman" w:hAnsi="Times New Roman" w:cs="Times New Roman"/>
                <w:sz w:val="24"/>
                <w:szCs w:val="24"/>
              </w:rPr>
            </w:pPr>
            <w:sdt>
              <w:sdtPr>
                <w:tag w:val="goog_rdk_14"/>
                <w:id w:val="517690707"/>
              </w:sdtPr>
              <w:sdtContent>
                <w:r>
                  <w:rPr>
                    <w:rFonts w:ascii="Arial Unicode MS" w:eastAsia="Arial Unicode MS" w:hAnsi="Arial Unicode MS" w:cs="Arial Unicode MS"/>
                    <w:sz w:val="24"/>
                    <w:szCs w:val="24"/>
                  </w:rPr>
                  <w:t>✅</w:t>
                </w:r>
              </w:sdtContent>
            </w:sdt>
          </w:p>
        </w:tc>
        <w:tc>
          <w:tcPr>
            <w:tcW w:w="12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4AE3E" w14:textId="77777777" w:rsidR="002847F8" w:rsidRDefault="00000000">
            <w:pPr>
              <w:jc w:val="both"/>
              <w:rPr>
                <w:rFonts w:ascii="Times New Roman" w:eastAsia="Times New Roman" w:hAnsi="Times New Roman" w:cs="Times New Roman"/>
                <w:sz w:val="24"/>
                <w:szCs w:val="24"/>
              </w:rPr>
            </w:pPr>
            <w:sdt>
              <w:sdtPr>
                <w:tag w:val="goog_rdk_15"/>
                <w:id w:val="1554443392"/>
              </w:sdtPr>
              <w:sdtContent>
                <w:r>
                  <w:rPr>
                    <w:rFonts w:ascii="Arial Unicode MS" w:eastAsia="Arial Unicode MS" w:hAnsi="Arial Unicode MS" w:cs="Arial Unicode MS"/>
                    <w:sz w:val="24"/>
                    <w:szCs w:val="24"/>
                  </w:rPr>
                  <w:t>✅</w:t>
                </w:r>
              </w:sdtContent>
            </w:sdt>
          </w:p>
        </w:tc>
        <w:tc>
          <w:tcPr>
            <w:tcW w:w="2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D581E"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Sustained Competitive Advantage</w:t>
            </w:r>
          </w:p>
        </w:tc>
      </w:tr>
    </w:tbl>
    <w:p w14:paraId="2089C02D" w14:textId="77777777" w:rsidR="002847F8" w:rsidRDefault="002847F8">
      <w:pPr>
        <w:jc w:val="both"/>
        <w:rPr>
          <w:rFonts w:ascii="Times New Roman" w:eastAsia="Times New Roman" w:hAnsi="Times New Roman" w:cs="Times New Roman"/>
          <w:sz w:val="24"/>
          <w:szCs w:val="24"/>
        </w:rPr>
      </w:pPr>
    </w:p>
    <w:p w14:paraId="5F9E4168"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VRIO Interpretation and Competitive Advantage Review.</w:t>
      </w:r>
    </w:p>
    <w:p w14:paraId="5540226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innovation hubs and Ai laboratories are considered as one of the most significant strategic assets of Wipro (Solutions Hub, 2023). Such labs will help the company to build proprietary AI, cybersecurity, automation, and cloud acceleration systems. They are useful in that they have allowed them to enhance the quality of service and the speed of innovation, being rare since many companies do not run such global systems of innovation on a large scale, and inimitable because of their high capital requirements, deep technical knowledge, and learning systems (India, 2025a). This resource has a long-lasting competitive advantage since Wipro is well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to commercially roll out these innovations.</w:t>
      </w:r>
    </w:p>
    <w:p w14:paraId="18757BC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a VRIO perspective, Wipro’s financial strength and global workforce represent </w:t>
      </w:r>
      <w:r>
        <w:rPr>
          <w:rFonts w:ascii="Times New Roman" w:eastAsia="Times New Roman" w:hAnsi="Times New Roman" w:cs="Times New Roman"/>
          <w:b/>
          <w:bCs/>
          <w:sz w:val="24"/>
          <w:szCs w:val="24"/>
        </w:rPr>
        <w:t>valuable and well-</w:t>
      </w:r>
      <w:proofErr w:type="spellStart"/>
      <w:r>
        <w:rPr>
          <w:rFonts w:ascii="Times New Roman" w:eastAsia="Times New Roman" w:hAnsi="Times New Roman" w:cs="Times New Roman"/>
          <w:b/>
          <w:bCs/>
          <w:sz w:val="24"/>
          <w:szCs w:val="24"/>
        </w:rPr>
        <w:t>organised</w:t>
      </w:r>
      <w:proofErr w:type="spellEnd"/>
      <w:r>
        <w:rPr>
          <w:rFonts w:ascii="Times New Roman" w:eastAsia="Times New Roman" w:hAnsi="Times New Roman" w:cs="Times New Roman"/>
          <w:b/>
          <w:bCs/>
          <w:sz w:val="24"/>
          <w:szCs w:val="24"/>
        </w:rPr>
        <w:t xml:space="preserve"> strategic resources</w:t>
      </w:r>
      <w:r>
        <w:rPr>
          <w:rFonts w:ascii="Times New Roman" w:eastAsia="Times New Roman" w:hAnsi="Times New Roman" w:cs="Times New Roman"/>
          <w:sz w:val="24"/>
          <w:szCs w:val="24"/>
        </w:rPr>
        <w:t xml:space="preserve">. The firm’s FY 2022–23 revenue of </w:t>
      </w:r>
      <w:r>
        <w:rPr>
          <w:rFonts w:ascii="Times New Roman" w:eastAsia="Times New Roman" w:hAnsi="Times New Roman" w:cs="Times New Roman"/>
          <w:b/>
          <w:bCs/>
          <w:sz w:val="24"/>
          <w:szCs w:val="24"/>
        </w:rPr>
        <w:t>US $11.2 billion</w:t>
      </w:r>
      <w:r>
        <w:rPr>
          <w:rFonts w:ascii="Times New Roman" w:eastAsia="Times New Roman" w:hAnsi="Times New Roman" w:cs="Times New Roman"/>
          <w:sz w:val="24"/>
          <w:szCs w:val="24"/>
        </w:rPr>
        <w:t xml:space="preserve"> provides stable funding for technological innovation, AI development, and digital transformation </w:t>
      </w:r>
      <w:proofErr w:type="spellStart"/>
      <w:r>
        <w:rPr>
          <w:rFonts w:ascii="Times New Roman" w:eastAsia="Times New Roman" w:hAnsi="Times New Roman" w:cs="Times New Roman"/>
          <w:sz w:val="24"/>
          <w:szCs w:val="24"/>
        </w:rPr>
        <w:lastRenderedPageBreak/>
        <w:t>programmes</w:t>
      </w:r>
      <w:proofErr w:type="spellEnd"/>
      <w:r>
        <w:rPr>
          <w:rFonts w:ascii="Times New Roman" w:eastAsia="Times New Roman" w:hAnsi="Times New Roman" w:cs="Times New Roman"/>
          <w:sz w:val="24"/>
          <w:szCs w:val="24"/>
        </w:rPr>
        <w:t xml:space="preserve"> (Wipro Limited, 2023). Furthermore, a workforce exceeding </w:t>
      </w:r>
      <w:r>
        <w:rPr>
          <w:rFonts w:ascii="Times New Roman" w:eastAsia="Times New Roman" w:hAnsi="Times New Roman" w:cs="Times New Roman"/>
          <w:b/>
          <w:bCs/>
          <w:sz w:val="24"/>
          <w:szCs w:val="24"/>
        </w:rPr>
        <w:t>256,921 employees</w:t>
      </w:r>
      <w:r>
        <w:rPr>
          <w:rFonts w:ascii="Times New Roman" w:eastAsia="Times New Roman" w:hAnsi="Times New Roman" w:cs="Times New Roman"/>
          <w:sz w:val="24"/>
          <w:szCs w:val="24"/>
        </w:rPr>
        <w:t xml:space="preserve"> supports the company’s ability to deliver large-scale projects efficiently across regions (Macrotrends, 2023). These resources are difficult to imitate due to scale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integration, giving Wipro sustained competitive advantage under the VRIO framework.</w:t>
      </w:r>
    </w:p>
    <w:p w14:paraId="6E1B36E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investments in the R&amp;D of Wipro are worth it because it </w:t>
      </w:r>
      <w:proofErr w:type="gramStart"/>
      <w:r>
        <w:rPr>
          <w:rFonts w:ascii="Times New Roman" w:eastAsia="Times New Roman" w:hAnsi="Times New Roman" w:cs="Times New Roman"/>
          <w:sz w:val="24"/>
          <w:szCs w:val="24"/>
        </w:rPr>
        <w:t>allows</w:t>
      </w:r>
      <w:proofErr w:type="gramEnd"/>
      <w:r>
        <w:rPr>
          <w:rFonts w:ascii="Times New Roman" w:eastAsia="Times New Roman" w:hAnsi="Times New Roman" w:cs="Times New Roman"/>
          <w:sz w:val="24"/>
          <w:szCs w:val="24"/>
        </w:rPr>
        <w:t xml:space="preserve"> to develop the services continuously and upgrade them with the latest technology. Nevertheless, they are not uncommon, with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international competitors like Accenture, IBM, and TCS spending a lot of money in research (India, 2025b). </w:t>
      </w:r>
    </w:p>
    <w:p w14:paraId="2515DDB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talent force of the company has more than 160,000 IT experts operating across the globe which gives it operational scalability, cost effectiveness and 24/7 service delivery. It is certainly a valuable resource, but </w:t>
      </w:r>
      <w:proofErr w:type="gramStart"/>
      <w:r>
        <w:rPr>
          <w:rFonts w:ascii="Times New Roman" w:eastAsia="Times New Roman" w:hAnsi="Times New Roman" w:cs="Times New Roman"/>
          <w:sz w:val="24"/>
          <w:szCs w:val="24"/>
        </w:rPr>
        <w:t>not the exclusive</w:t>
      </w:r>
      <w:proofErr w:type="gramEnd"/>
      <w:r>
        <w:rPr>
          <w:rFonts w:ascii="Times New Roman" w:eastAsia="Times New Roman" w:hAnsi="Times New Roman" w:cs="Times New Roman"/>
          <w:sz w:val="24"/>
          <w:szCs w:val="24"/>
        </w:rPr>
        <w:t xml:space="preserve"> in the global IT industry since large competitors also have the capability to employ a large workforce. </w:t>
      </w:r>
    </w:p>
    <w:p w14:paraId="52E765F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strategic acquisitions made by Wipro such as Capco (financial consulting), </w:t>
      </w:r>
      <w:proofErr w:type="spellStart"/>
      <w:r>
        <w:rPr>
          <w:rFonts w:ascii="Times New Roman" w:eastAsia="Times New Roman" w:hAnsi="Times New Roman" w:cs="Times New Roman"/>
          <w:sz w:val="24"/>
          <w:szCs w:val="24"/>
        </w:rPr>
        <w:t>Rizing</w:t>
      </w:r>
      <w:proofErr w:type="spellEnd"/>
      <w:r>
        <w:rPr>
          <w:rFonts w:ascii="Times New Roman" w:eastAsia="Times New Roman" w:hAnsi="Times New Roman" w:cs="Times New Roman"/>
          <w:sz w:val="24"/>
          <w:szCs w:val="24"/>
        </w:rPr>
        <w:t xml:space="preserve"> (SAP consulting), and so on are a strong source of differentiation. These acquisitions offer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consulting skills of the industry, valuable client portfolios and intensive knowledge of regulations, especially applicable to the European markets (ET CONTRIBUTORS, 2025).  </w:t>
      </w:r>
    </w:p>
    <w:p w14:paraId="123F55DA" w14:textId="77777777" w:rsidR="002847F8"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B464B5" wp14:editId="15882204">
            <wp:extent cx="4167188" cy="3125391"/>
            <wp:effectExtent l="25400" t="25400" r="25400" b="2540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167188" cy="3125391"/>
                    </a:xfrm>
                    <a:prstGeom prst="rect">
                      <a:avLst/>
                    </a:prstGeom>
                    <a:ln w="25400">
                      <a:solidFill>
                        <a:srgbClr val="000000"/>
                      </a:solidFill>
                      <a:prstDash val="solid"/>
                    </a:ln>
                  </pic:spPr>
                </pic:pic>
              </a:graphicData>
            </a:graphic>
          </wp:inline>
        </w:drawing>
      </w:r>
    </w:p>
    <w:p w14:paraId="22CD4A9D" w14:textId="77777777" w:rsidR="002847F8"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VRIO Analysis</w:t>
      </w:r>
    </w:p>
    <w:p w14:paraId="38B42847" w14:textId="77777777" w:rsidR="002847F8"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(Solutions Hub, 2023)</w:t>
      </w:r>
    </w:p>
    <w:p w14:paraId="7279EAF4" w14:textId="77777777" w:rsidR="002847F8" w:rsidRDefault="002847F8">
      <w:pPr>
        <w:jc w:val="both"/>
        <w:rPr>
          <w:rFonts w:ascii="Times New Roman" w:eastAsia="Times New Roman" w:hAnsi="Times New Roman" w:cs="Times New Roman"/>
          <w:sz w:val="24"/>
          <w:szCs w:val="24"/>
        </w:rPr>
      </w:pPr>
    </w:p>
    <w:p w14:paraId="4A379790" w14:textId="77777777" w:rsidR="002847F8" w:rsidRDefault="00000000">
      <w:pPr>
        <w:pStyle w:val="Heading2"/>
      </w:pPr>
      <w:bookmarkStart w:id="13" w:name="_heading=h.rw1wcptt40t0" w:colFirst="0" w:colLast="0"/>
      <w:bookmarkEnd w:id="13"/>
      <w:r>
        <w:t>2.4 Portfolio and Growth Position BCG Matrix and Ansoff Matrix</w:t>
      </w:r>
    </w:p>
    <w:p w14:paraId="51BE522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BCG Matrix and Ansoff Matrix are used to assess the current service portfolio position of </w:t>
      </w:r>
      <w:proofErr w:type="gramStart"/>
      <w:r>
        <w:rPr>
          <w:rFonts w:ascii="Times New Roman" w:eastAsia="Times New Roman" w:hAnsi="Times New Roman" w:cs="Times New Roman"/>
          <w:sz w:val="24"/>
          <w:szCs w:val="24"/>
        </w:rPr>
        <w:t>Wipro, and</w:t>
      </w:r>
      <w:proofErr w:type="gramEnd"/>
      <w:r>
        <w:rPr>
          <w:rFonts w:ascii="Times New Roman" w:eastAsia="Times New Roman" w:hAnsi="Times New Roman" w:cs="Times New Roman"/>
          <w:sz w:val="24"/>
          <w:szCs w:val="24"/>
        </w:rPr>
        <w:t xml:space="preserve"> find strategic growth avenues that underpin its intended growth into Germany. All </w:t>
      </w:r>
      <w:r>
        <w:rPr>
          <w:rFonts w:ascii="Times New Roman" w:eastAsia="Times New Roman" w:hAnsi="Times New Roman" w:cs="Times New Roman"/>
          <w:sz w:val="24"/>
          <w:szCs w:val="24"/>
        </w:rPr>
        <w:lastRenderedPageBreak/>
        <w:t>these models explain the current position of Wipro and the way it needs to expand into the global markets.</w:t>
      </w:r>
    </w:p>
    <w:p w14:paraId="0D621F53" w14:textId="77777777" w:rsidR="002847F8" w:rsidRDefault="00000000">
      <w:pPr>
        <w:pStyle w:val="Heading3"/>
        <w:keepNext w:val="0"/>
        <w:keepLines w:val="0"/>
        <w:spacing w:before="280"/>
        <w:jc w:val="both"/>
        <w:rPr>
          <w:rFonts w:ascii="Times New Roman" w:eastAsia="Times New Roman" w:hAnsi="Times New Roman" w:cs="Times New Roman"/>
          <w:sz w:val="24"/>
          <w:szCs w:val="24"/>
        </w:rPr>
      </w:pPr>
      <w:bookmarkStart w:id="14" w:name="_heading=h.5l7l764kzv2a" w:colFirst="0" w:colLast="0"/>
      <w:bookmarkEnd w:id="14"/>
      <w:r>
        <w:rPr>
          <w:rFonts w:ascii="Times New Roman" w:eastAsia="Times New Roman" w:hAnsi="Times New Roman" w:cs="Times New Roman"/>
          <w:b/>
          <w:bCs/>
          <w:color w:val="000000"/>
          <w:sz w:val="24"/>
          <w:szCs w:val="24"/>
        </w:rPr>
        <w:t>BCG Matrix Analysis of Wipro’s Service Portfolio</w:t>
      </w:r>
    </w:p>
    <w:tbl>
      <w:tblPr>
        <w:tblStyle w:val="af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486"/>
        <w:gridCol w:w="4146"/>
        <w:gridCol w:w="3728"/>
      </w:tblGrid>
      <w:tr w:rsidR="002847F8" w14:paraId="57AFAEE2"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86A6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BCG Category</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5B9B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Wipro Business Segment</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1ACD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Implication</w:t>
            </w:r>
          </w:p>
        </w:tc>
      </w:tr>
      <w:tr w:rsidR="002847F8" w14:paraId="136C0DC5"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4EF9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Stars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8456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Services, Artificial Intelligence (AI), Digital Transformation</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A65B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High-growth, high-investment segments driving future profitability</w:t>
            </w:r>
          </w:p>
        </w:tc>
      </w:tr>
      <w:tr w:rsidR="002847F8" w14:paraId="69468DF6"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5909B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Cash Cows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6B8C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Traditional IT Services, Application Maintenance, Enterprise Support</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7C6BF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Stable revenue generators funding innovation</w:t>
            </w:r>
          </w:p>
        </w:tc>
      </w:tr>
      <w:tr w:rsidR="002847F8" w14:paraId="7967B860"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10F2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Question Marks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6F1D8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Blockchain Services, Metaverse Solutions, Quantum Computing</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CC1C5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growth but uncertain returns requiring careful investment</w:t>
            </w:r>
          </w:p>
        </w:tc>
      </w:tr>
      <w:tr w:rsidR="002847F8" w14:paraId="5DAE35FE" w14:textId="77777777">
        <w:trPr>
          <w:trHeight w:val="785"/>
        </w:trPr>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9305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Dogs</w:t>
            </w:r>
          </w:p>
        </w:tc>
        <w:tc>
          <w:tcPr>
            <w:tcW w:w="41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1326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Legacy Infrastructure Outsourcing, Traditional Data Centre Management</w:t>
            </w:r>
          </w:p>
        </w:tc>
        <w:tc>
          <w:tcPr>
            <w:tcW w:w="3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D88D3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growth and declining profitability</w:t>
            </w:r>
          </w:p>
        </w:tc>
      </w:tr>
    </w:tbl>
    <w:p w14:paraId="7F5A484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BCG Matrix, Wipro’s digital transformation services, including cloud computing, AI, and cybersecurity, can be </w:t>
      </w:r>
      <w:proofErr w:type="spellStart"/>
      <w:r>
        <w:rPr>
          <w:rFonts w:ascii="Times New Roman" w:eastAsia="Times New Roman" w:hAnsi="Times New Roman" w:cs="Times New Roman"/>
          <w:sz w:val="24"/>
          <w:szCs w:val="24"/>
        </w:rPr>
        <w:t>categorised</w:t>
      </w:r>
      <w:proofErr w:type="spellEnd"/>
      <w:r>
        <w:rPr>
          <w:rFonts w:ascii="Times New Roman" w:eastAsia="Times New Roman" w:hAnsi="Times New Roman" w:cs="Times New Roman"/>
          <w:sz w:val="24"/>
          <w:szCs w:val="24"/>
        </w:rPr>
        <w:t xml:space="preserve"> as </w:t>
      </w:r>
      <w:r>
        <w:rPr>
          <w:rFonts w:ascii="Times New Roman" w:eastAsia="Times New Roman" w:hAnsi="Times New Roman" w:cs="Times New Roman"/>
          <w:b/>
          <w:bCs/>
          <w:sz w:val="24"/>
          <w:szCs w:val="24"/>
        </w:rPr>
        <w:t>“Stars”</w:t>
      </w:r>
      <w:r>
        <w:rPr>
          <w:rFonts w:ascii="Times New Roman" w:eastAsia="Times New Roman" w:hAnsi="Times New Roman" w:cs="Times New Roman"/>
          <w:sz w:val="24"/>
          <w:szCs w:val="24"/>
        </w:rPr>
        <w:t xml:space="preserve"> due to strong demand and continuous growth. In FY 2022–23, Wipro closed </w:t>
      </w:r>
      <w:r>
        <w:rPr>
          <w:rFonts w:ascii="Times New Roman" w:eastAsia="Times New Roman" w:hAnsi="Times New Roman" w:cs="Times New Roman"/>
          <w:b/>
          <w:bCs/>
          <w:sz w:val="24"/>
          <w:szCs w:val="24"/>
        </w:rPr>
        <w:t>55 large digital transformation deals</w:t>
      </w:r>
      <w:r>
        <w:rPr>
          <w:rFonts w:ascii="Times New Roman" w:eastAsia="Times New Roman" w:hAnsi="Times New Roman" w:cs="Times New Roman"/>
          <w:sz w:val="24"/>
          <w:szCs w:val="24"/>
        </w:rPr>
        <w:t xml:space="preserve">, contributing significantly to overall revenue growth (Wipro Limited, 2023). Meanwhile, traditional infrastructure and legacy IT services operate in mature markets and generate steady cash flows, classifying them as </w:t>
      </w:r>
      <w:r>
        <w:rPr>
          <w:rFonts w:ascii="Times New Roman" w:eastAsia="Times New Roman" w:hAnsi="Times New Roman" w:cs="Times New Roman"/>
          <w:b/>
          <w:bCs/>
          <w:sz w:val="24"/>
          <w:szCs w:val="24"/>
        </w:rPr>
        <w:t>“Cash Cows.”</w:t>
      </w:r>
      <w:r>
        <w:rPr>
          <w:rFonts w:ascii="Times New Roman" w:eastAsia="Times New Roman" w:hAnsi="Times New Roman" w:cs="Times New Roman"/>
          <w:sz w:val="24"/>
          <w:szCs w:val="24"/>
        </w:rPr>
        <w:t xml:space="preserve"> This portfolio balance allows Wipro to reinvest stable returns from mature services into high-growth digital offerings, ensuring long-term strategic sustainability.</w:t>
      </w:r>
    </w:p>
    <w:p w14:paraId="4592F6E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strategically important growth drivers of Wipro are stars, which are cloud, AI, and digital transformation services (Corporate Finance Institute, 2022). These segments enjoy fast world demand and </w:t>
      </w:r>
      <w:proofErr w:type="gramStart"/>
      <w:r>
        <w:rPr>
          <w:rFonts w:ascii="Times New Roman" w:eastAsia="Times New Roman" w:hAnsi="Times New Roman" w:cs="Times New Roman"/>
          <w:sz w:val="24"/>
          <w:szCs w:val="24"/>
        </w:rPr>
        <w:t>high</w:t>
      </w:r>
      <w:proofErr w:type="gramEnd"/>
      <w:r>
        <w:rPr>
          <w:rFonts w:ascii="Times New Roman" w:eastAsia="Times New Roman" w:hAnsi="Times New Roman" w:cs="Times New Roman"/>
          <w:sz w:val="24"/>
          <w:szCs w:val="24"/>
        </w:rPr>
        <w:t xml:space="preserve"> competitive positioning. Leadership needs serious investment in finances and technology.</w:t>
      </w:r>
    </w:p>
    <w:p w14:paraId="3216B73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Cash Cows are those that bring consistent revenue and include </w:t>
      </w:r>
      <w:proofErr w:type="gramStart"/>
      <w:r>
        <w:rPr>
          <w:rFonts w:ascii="Times New Roman" w:eastAsia="Times New Roman" w:hAnsi="Times New Roman" w:cs="Times New Roman"/>
          <w:sz w:val="24"/>
          <w:szCs w:val="24"/>
        </w:rPr>
        <w:t>IT traditional</w:t>
      </w:r>
      <w:proofErr w:type="gramEnd"/>
      <w:r>
        <w:rPr>
          <w:rFonts w:ascii="Times New Roman" w:eastAsia="Times New Roman" w:hAnsi="Times New Roman" w:cs="Times New Roman"/>
          <w:sz w:val="24"/>
          <w:szCs w:val="24"/>
        </w:rPr>
        <w:t xml:space="preserve"> support and application maintenance and require relatively low investment. </w:t>
      </w:r>
      <w:proofErr w:type="gramStart"/>
      <w:r>
        <w:rPr>
          <w:rFonts w:ascii="Times New Roman" w:eastAsia="Times New Roman" w:hAnsi="Times New Roman" w:cs="Times New Roman"/>
          <w:sz w:val="24"/>
          <w:szCs w:val="24"/>
        </w:rPr>
        <w:t>These capital</w:t>
      </w:r>
      <w:proofErr w:type="gramEnd"/>
      <w:r>
        <w:rPr>
          <w:rFonts w:ascii="Times New Roman" w:eastAsia="Times New Roman" w:hAnsi="Times New Roman" w:cs="Times New Roman"/>
          <w:sz w:val="24"/>
          <w:szCs w:val="24"/>
        </w:rPr>
        <w:t xml:space="preserve"> are essential in assisting risky digital innovations.</w:t>
      </w:r>
    </w:p>
    <w:p w14:paraId="2C7E79E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Question Marks, including blockchain and metaverse services, are new products in the currently unstable markets. The mode of strategic selectivity is crucial because these technologies can either be the Future Stars or fail because of inadequate absorption in the market.</w:t>
      </w:r>
    </w:p>
    <w:p w14:paraId="0B17D8CF"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Legacy infrastructure outsourcing and other dogs are not in demand because of cloud migration and automation. Wipro must slowly dispose or reduce the exposure to these segments.</w:t>
      </w:r>
    </w:p>
    <w:p w14:paraId="2CE525A9"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28DB11F" wp14:editId="30D0B88C">
            <wp:extent cx="4252913" cy="3625881"/>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252913" cy="3625881"/>
                    </a:xfrm>
                    <a:prstGeom prst="rect">
                      <a:avLst/>
                    </a:prstGeom>
                    <a:ln w="25400">
                      <a:solidFill>
                        <a:srgbClr val="000000"/>
                      </a:solidFill>
                      <a:prstDash val="solid"/>
                    </a:ln>
                  </pic:spPr>
                </pic:pic>
              </a:graphicData>
            </a:graphic>
          </wp:inline>
        </w:drawing>
      </w:r>
    </w:p>
    <w:p w14:paraId="6DE2A187"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BCG Matrix</w:t>
      </w:r>
    </w:p>
    <w:p w14:paraId="2A5BAFC8"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(Corporate Finance Institute, 2022)</w:t>
      </w:r>
    </w:p>
    <w:p w14:paraId="1A734953" w14:textId="77777777" w:rsidR="002847F8" w:rsidRDefault="00000000">
      <w:pPr>
        <w:pStyle w:val="Heading3"/>
        <w:keepNext w:val="0"/>
        <w:keepLines w:val="0"/>
        <w:spacing w:before="280"/>
        <w:jc w:val="both"/>
        <w:rPr>
          <w:rFonts w:ascii="Times New Roman" w:eastAsia="Times New Roman" w:hAnsi="Times New Roman" w:cs="Times New Roman"/>
          <w:sz w:val="24"/>
          <w:szCs w:val="24"/>
        </w:rPr>
      </w:pPr>
      <w:bookmarkStart w:id="15" w:name="_heading=h.s97jpaljds66" w:colFirst="0" w:colLast="0"/>
      <w:bookmarkEnd w:id="15"/>
      <w:r>
        <w:rPr>
          <w:rFonts w:ascii="Times New Roman" w:eastAsia="Times New Roman" w:hAnsi="Times New Roman" w:cs="Times New Roman"/>
          <w:b/>
          <w:bCs/>
          <w:color w:val="000000"/>
          <w:sz w:val="24"/>
          <w:szCs w:val="24"/>
        </w:rPr>
        <w:t>Ansoff Matrix – Wipro’s Growth Strategy for Germany</w:t>
      </w:r>
    </w:p>
    <w:tbl>
      <w:tblPr>
        <w:tblStyle w:val="af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2"/>
        <w:gridCol w:w="5022"/>
        <w:gridCol w:w="2266"/>
      </w:tblGrid>
      <w:tr w:rsidR="002847F8" w14:paraId="4183F1A4" w14:textId="77777777">
        <w:trPr>
          <w:trHeight w:val="500"/>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D0BB6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Strategy Type</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379B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Wipro Application</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0A2D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Purpose</w:t>
            </w:r>
          </w:p>
        </w:tc>
      </w:tr>
      <w:tr w:rsidR="002847F8" w14:paraId="4FF91D2F"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9EAC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Penetration</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FE79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existing IT consulting services to existing European clients</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33B6CF" w14:textId="77777777" w:rsidR="002847F8" w:rsidRDefault="00000000">
            <w:pPr>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Strengthen</w:t>
            </w:r>
            <w:proofErr w:type="gramEnd"/>
            <w:r>
              <w:rPr>
                <w:rFonts w:ascii="Times New Roman" w:eastAsia="Times New Roman" w:hAnsi="Times New Roman" w:cs="Times New Roman"/>
                <w:sz w:val="24"/>
                <w:szCs w:val="24"/>
              </w:rPr>
              <w:t xml:space="preserve"> market share</w:t>
            </w:r>
          </w:p>
        </w:tc>
      </w:tr>
      <w:tr w:rsidR="002847F8" w14:paraId="4A32D329"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162D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Market Development</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90ED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Entry into </w:t>
            </w:r>
            <w:r>
              <w:rPr>
                <w:rFonts w:ascii="Times New Roman" w:eastAsia="Times New Roman" w:hAnsi="Times New Roman" w:cs="Times New Roman"/>
                <w:b/>
                <w:bCs/>
                <w:sz w:val="24"/>
                <w:szCs w:val="24"/>
              </w:rPr>
              <w:t>Germany</w:t>
            </w:r>
            <w:r>
              <w:rPr>
                <w:rFonts w:ascii="Times New Roman" w:eastAsia="Times New Roman" w:hAnsi="Times New Roman" w:cs="Times New Roman"/>
                <w:sz w:val="24"/>
                <w:szCs w:val="24"/>
              </w:rPr>
              <w:t xml:space="preserve"> as a new geographical market</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A63C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expansion</w:t>
            </w:r>
          </w:p>
        </w:tc>
      </w:tr>
      <w:tr w:rsidR="002847F8" w14:paraId="51496F0E"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BAE2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Product Development</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B3E07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Launch of </w:t>
            </w:r>
            <w:r>
              <w:rPr>
                <w:rFonts w:ascii="Times New Roman" w:eastAsia="Times New Roman" w:hAnsi="Times New Roman" w:cs="Times New Roman"/>
                <w:b/>
                <w:bCs/>
                <w:sz w:val="24"/>
                <w:szCs w:val="24"/>
              </w:rPr>
              <w:t>AI-led Industry 4.0, smart manufacturing, and cybersecurity platforms</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7CD3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differentiation</w:t>
            </w:r>
          </w:p>
        </w:tc>
      </w:tr>
      <w:tr w:rsidR="002847F8" w14:paraId="2D964896" w14:textId="77777777">
        <w:trPr>
          <w:trHeight w:val="785"/>
        </w:trPr>
        <w:tc>
          <w:tcPr>
            <w:tcW w:w="2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65A6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Diversification</w:t>
            </w:r>
          </w:p>
        </w:tc>
        <w:tc>
          <w:tcPr>
            <w:tcW w:w="50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6237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Blockchain and Metaverse consulting (long-term option)</w:t>
            </w:r>
          </w:p>
        </w:tc>
        <w:tc>
          <w:tcPr>
            <w:tcW w:w="2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B591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growth hedge</w:t>
            </w:r>
          </w:p>
        </w:tc>
      </w:tr>
    </w:tbl>
    <w:p w14:paraId="796B6BE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strategically applicable directions to this growth are </w:t>
      </w:r>
      <w:proofErr w:type="gramStart"/>
      <w:r>
        <w:rPr>
          <w:rFonts w:ascii="Times New Roman" w:eastAsia="Times New Roman" w:hAnsi="Times New Roman" w:cs="Times New Roman"/>
          <w:sz w:val="24"/>
          <w:szCs w:val="24"/>
        </w:rPr>
        <w:t>the Market</w:t>
      </w:r>
      <w:proofErr w:type="gramEnd"/>
      <w:r>
        <w:rPr>
          <w:rFonts w:ascii="Times New Roman" w:eastAsia="Times New Roman" w:hAnsi="Times New Roman" w:cs="Times New Roman"/>
          <w:sz w:val="24"/>
          <w:szCs w:val="24"/>
        </w:rPr>
        <w:t xml:space="preserve"> Development and Product Development (Oxford College of Marketing, 2023). Germany is a new geographical market where the digital services of the enterprise are under high demand, and the AI-based Industry 4.0 solutions of Wipro are very compatible with the manufacturing, automotive, and engineering industries of Germany (TNN, 2025).</w:t>
      </w:r>
    </w:p>
    <w:p w14:paraId="291816E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development helps Wipro to </w:t>
      </w:r>
      <w:proofErr w:type="spellStart"/>
      <w:r>
        <w:rPr>
          <w:rFonts w:ascii="Times New Roman" w:eastAsia="Times New Roman" w:hAnsi="Times New Roman" w:cs="Times New Roman"/>
          <w:sz w:val="24"/>
          <w:szCs w:val="24"/>
        </w:rPr>
        <w:t>capitalise</w:t>
      </w:r>
      <w:proofErr w:type="spellEnd"/>
      <w:r>
        <w:rPr>
          <w:rFonts w:ascii="Times New Roman" w:eastAsia="Times New Roman" w:hAnsi="Times New Roman" w:cs="Times New Roman"/>
          <w:sz w:val="24"/>
          <w:szCs w:val="24"/>
        </w:rPr>
        <w:t xml:space="preserve"> on its current global digital capabilities in a new European customer base, whereas product development would help the company tailor the advanced AI, cloud and cybersecurity solutions to specifically meet German regulatory and industrial demands (Wipro, 2019).</w:t>
      </w:r>
    </w:p>
    <w:p w14:paraId="1C3256A2" w14:textId="77777777" w:rsidR="002847F8" w:rsidRDefault="00000000">
      <w:pPr>
        <w:spacing w:before="240" w:after="24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Interpretation</w:t>
      </w:r>
    </w:p>
    <w:p w14:paraId="523254B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integrated BCG-Ansoff analysis shows that the Star digital segments of Wipro are the key areas of its future growth, with the help of product innovation and geographical expansion. The IT traditional services will remain as the financial </w:t>
      </w:r>
      <w:proofErr w:type="spellStart"/>
      <w:r>
        <w:rPr>
          <w:rFonts w:ascii="Times New Roman" w:eastAsia="Times New Roman" w:hAnsi="Times New Roman" w:cs="Times New Roman"/>
          <w:sz w:val="24"/>
          <w:szCs w:val="24"/>
        </w:rPr>
        <w:t>stabilisers</w:t>
      </w:r>
      <w:proofErr w:type="spellEnd"/>
      <w:r>
        <w:rPr>
          <w:rFonts w:ascii="Times New Roman" w:eastAsia="Times New Roman" w:hAnsi="Times New Roman" w:cs="Times New Roman"/>
          <w:sz w:val="24"/>
          <w:szCs w:val="24"/>
        </w:rPr>
        <w:t>, and new technologies will be developed selectively as potential growth opportunities in the future. This strategic equilibrium is such that the German expansion at Wipro is growth-based, financially viable and focused on innovations.</w:t>
      </w:r>
    </w:p>
    <w:p w14:paraId="6FE92F2C" w14:textId="77777777" w:rsidR="002847F8"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24494DF" wp14:editId="2C1009D4">
            <wp:extent cx="3695700" cy="3293604"/>
            <wp:effectExtent l="25400" t="25400" r="25400" b="254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b="10880"/>
                    <a:stretch>
                      <a:fillRect/>
                    </a:stretch>
                  </pic:blipFill>
                  <pic:spPr>
                    <a:xfrm>
                      <a:off x="0" y="0"/>
                      <a:ext cx="3695700" cy="3293604"/>
                    </a:xfrm>
                    <a:prstGeom prst="rect">
                      <a:avLst/>
                    </a:prstGeom>
                    <a:ln w="25400">
                      <a:solidFill>
                        <a:srgbClr val="000000"/>
                      </a:solidFill>
                      <a:prstDash val="solid"/>
                    </a:ln>
                  </pic:spPr>
                </pic:pic>
              </a:graphicData>
            </a:graphic>
          </wp:inline>
        </w:drawing>
      </w:r>
    </w:p>
    <w:p w14:paraId="5FC38F63"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Ansoff Matrix</w:t>
      </w:r>
    </w:p>
    <w:p w14:paraId="6C60B216" w14:textId="77777777" w:rsidR="002847F8"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Source: (Oxford College of Marketing, 2023)</w:t>
      </w:r>
    </w:p>
    <w:p w14:paraId="549CF020" w14:textId="77777777" w:rsidR="002847F8" w:rsidRDefault="00000000">
      <w:pPr>
        <w:pStyle w:val="Heading2"/>
        <w:keepNext w:val="0"/>
        <w:keepLines w:val="0"/>
        <w:spacing w:before="280"/>
      </w:pPr>
      <w:bookmarkStart w:id="16" w:name="_heading=h.1yvt9pa7tga7" w:colFirst="0" w:colLast="0"/>
      <w:bookmarkEnd w:id="16"/>
      <w:r>
        <w:t>2.5 SWOT Analysis</w:t>
      </w:r>
    </w:p>
    <w:p w14:paraId="23B4D877" w14:textId="77777777" w:rsidR="002847F8" w:rsidRDefault="00000000">
      <w:pPr>
        <w:pStyle w:val="Heading3"/>
        <w:keepNext w:val="0"/>
        <w:keepLines w:val="0"/>
        <w:spacing w:before="280"/>
        <w:jc w:val="both"/>
        <w:rPr>
          <w:rFonts w:ascii="Times New Roman" w:eastAsia="Times New Roman" w:hAnsi="Times New Roman" w:cs="Times New Roman"/>
          <w:b/>
          <w:bCs/>
          <w:color w:val="000000"/>
          <w:sz w:val="24"/>
          <w:szCs w:val="24"/>
        </w:rPr>
      </w:pPr>
      <w:bookmarkStart w:id="17" w:name="_heading=h.35j1wqjq8jp3" w:colFirst="0" w:colLast="0"/>
      <w:bookmarkEnd w:id="17"/>
      <w:r>
        <w:rPr>
          <w:rFonts w:ascii="Times New Roman" w:eastAsia="Times New Roman" w:hAnsi="Times New Roman" w:cs="Times New Roman"/>
          <w:b/>
          <w:bCs/>
          <w:color w:val="000000"/>
          <w:sz w:val="24"/>
          <w:szCs w:val="24"/>
        </w:rPr>
        <w:t>SWOT Analysis Table</w:t>
      </w:r>
    </w:p>
    <w:tbl>
      <w:tblPr>
        <w:tblStyle w:val="af7"/>
        <w:tblW w:w="92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265"/>
        <w:gridCol w:w="4940"/>
      </w:tblGrid>
      <w:tr w:rsidR="002847F8" w14:paraId="587BE71C" w14:textId="77777777">
        <w:trPr>
          <w:trHeight w:val="500"/>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102B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Strengths</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328DEF"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Weaknesses</w:t>
            </w:r>
          </w:p>
        </w:tc>
      </w:tr>
      <w:tr w:rsidR="002847F8" w14:paraId="0F49E740"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DFC7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operational scale and delivery capability</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BD65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pricing pressure in competitive European markets</w:t>
            </w:r>
          </w:p>
        </w:tc>
      </w:tr>
      <w:tr w:rsidR="002847F8" w14:paraId="55F2EAF3"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9457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leadership in AI, cloud, and cybersecurity</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A971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brand visibility in Germany compared to Accenture or IBM</w:t>
            </w:r>
          </w:p>
        </w:tc>
      </w:tr>
      <w:tr w:rsidR="002847F8" w14:paraId="45162C8D"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C62D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Robust innovation ecosystem through AI labs and R&amp;D</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D7AD0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Dependence on large enterprise contracts</w:t>
            </w:r>
          </w:p>
        </w:tc>
      </w:tr>
      <w:tr w:rsidR="002847F8" w14:paraId="48390018" w14:textId="77777777">
        <w:trPr>
          <w:trHeight w:val="785"/>
        </w:trPr>
        <w:tc>
          <w:tcPr>
            <w:tcW w:w="4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B807D8"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strategic acquisitions (Capco, </w:t>
            </w:r>
            <w:proofErr w:type="spellStart"/>
            <w:r>
              <w:rPr>
                <w:rFonts w:ascii="Times New Roman" w:eastAsia="Times New Roman" w:hAnsi="Times New Roman" w:cs="Times New Roman"/>
                <w:sz w:val="24"/>
                <w:szCs w:val="24"/>
              </w:rPr>
              <w:t>Rizing</w:t>
            </w:r>
            <w:proofErr w:type="spellEnd"/>
            <w:r>
              <w:rPr>
                <w:rFonts w:ascii="Times New Roman" w:eastAsia="Times New Roman" w:hAnsi="Times New Roman" w:cs="Times New Roman"/>
                <w:sz w:val="24"/>
                <w:szCs w:val="24"/>
              </w:rPr>
              <w:t>)</w:t>
            </w:r>
          </w:p>
        </w:tc>
        <w:tc>
          <w:tcPr>
            <w:tcW w:w="4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1D58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Regulatory adaptation costs</w:t>
            </w:r>
          </w:p>
        </w:tc>
      </w:tr>
    </w:tbl>
    <w:p w14:paraId="4DC57C26" w14:textId="77777777" w:rsidR="002847F8" w:rsidRDefault="002847F8">
      <w:pPr>
        <w:spacing w:before="240" w:after="240"/>
        <w:jc w:val="both"/>
        <w:rPr>
          <w:rFonts w:ascii="Times New Roman" w:eastAsia="Times New Roman" w:hAnsi="Times New Roman" w:cs="Times New Roman"/>
          <w:sz w:val="24"/>
          <w:szCs w:val="24"/>
        </w:rPr>
      </w:pPr>
    </w:p>
    <w:tbl>
      <w:tblPr>
        <w:tblStyle w:val="af8"/>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65"/>
        <w:gridCol w:w="4655"/>
      </w:tblGrid>
      <w:tr w:rsidR="002847F8" w14:paraId="628D4A58" w14:textId="77777777">
        <w:trPr>
          <w:trHeight w:val="500"/>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38991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Opportunities</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5042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Threats</w:t>
            </w:r>
          </w:p>
        </w:tc>
      </w:tr>
      <w:tr w:rsidR="002847F8" w14:paraId="33DA7BFB"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A0DA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Germany’s rapid digital and Industry 4.0 transition</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B7B6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Intense competition from global and European IT firms</w:t>
            </w:r>
          </w:p>
        </w:tc>
      </w:tr>
      <w:tr w:rsidR="002847F8" w14:paraId="7FD76959"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32A4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demand for AI, cloud, and smart manufacturing</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0A5E7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Strict European data protection and data residency laws</w:t>
            </w:r>
          </w:p>
        </w:tc>
      </w:tr>
      <w:tr w:rsidR="002847F8" w14:paraId="209E5619"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F18547"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Growth in cybersecurity and digital governance</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2B7B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substitution by cloud-native SaaS platforms</w:t>
            </w:r>
          </w:p>
        </w:tc>
      </w:tr>
      <w:tr w:rsidR="002847F8" w14:paraId="3F50C031" w14:textId="77777777">
        <w:trPr>
          <w:trHeight w:val="785"/>
        </w:trPr>
        <w:tc>
          <w:tcPr>
            <w:tcW w:w="4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9D18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Government-backed digital infrastructure investments</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7F6B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slowdown impacting IT spending</w:t>
            </w:r>
          </w:p>
        </w:tc>
      </w:tr>
    </w:tbl>
    <w:p w14:paraId="17E9FF5B" w14:textId="77777777" w:rsidR="002847F8" w:rsidRDefault="002847F8">
      <w:pPr>
        <w:jc w:val="both"/>
        <w:rPr>
          <w:rFonts w:ascii="Times New Roman" w:eastAsia="Times New Roman" w:hAnsi="Times New Roman" w:cs="Times New Roman"/>
          <w:sz w:val="24"/>
          <w:szCs w:val="24"/>
        </w:rPr>
      </w:pPr>
    </w:p>
    <w:p w14:paraId="06F5FA96"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Interpretation</w:t>
      </w:r>
    </w:p>
    <w:p w14:paraId="259B0CA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presence, dominance in AI, and consulting expertise of Wipro is a solid foundation to gain competitive presence in Germany. Nevertheless, the profit margins can be squeezed by pricing pressure and stiff </w:t>
      </w:r>
      <w:proofErr w:type="gramStart"/>
      <w:r>
        <w:rPr>
          <w:rFonts w:ascii="Times New Roman" w:eastAsia="Times New Roman" w:hAnsi="Times New Roman" w:cs="Times New Roman"/>
          <w:sz w:val="24"/>
          <w:szCs w:val="24"/>
        </w:rPr>
        <w:t>competition</w:t>
      </w:r>
      <w:proofErr w:type="gramEnd"/>
      <w:r>
        <w:rPr>
          <w:rFonts w:ascii="Times New Roman" w:eastAsia="Times New Roman" w:hAnsi="Times New Roman" w:cs="Times New Roman"/>
          <w:sz w:val="24"/>
          <w:szCs w:val="24"/>
        </w:rPr>
        <w:t xml:space="preserve"> and this demands differentiation via innovation and </w:t>
      </w:r>
      <w:proofErr w:type="gramStart"/>
      <w:r>
        <w:rPr>
          <w:rFonts w:ascii="Times New Roman" w:eastAsia="Times New Roman" w:hAnsi="Times New Roman" w:cs="Times New Roman"/>
          <w:sz w:val="24"/>
          <w:szCs w:val="24"/>
        </w:rPr>
        <w:t>value based</w:t>
      </w:r>
      <w:proofErr w:type="gramEnd"/>
      <w:r>
        <w:rPr>
          <w:rFonts w:ascii="Times New Roman" w:eastAsia="Times New Roman" w:hAnsi="Times New Roman" w:cs="Times New Roman"/>
          <w:sz w:val="24"/>
          <w:szCs w:val="24"/>
        </w:rPr>
        <w:t xml:space="preserve"> pricing. The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4.0 shift and digital maturity of the enterprises in Germany present significant opportunities to the AI-based manufacturing and cybersecurity services of Wipro (Gartner, 2025). Meanwhile, there is a high threat of European data regulations and influential rivals (IBM, Accenture, Capgemini, TCS). </w:t>
      </w:r>
      <w:proofErr w:type="gramStart"/>
      <w:r>
        <w:rPr>
          <w:rFonts w:ascii="Times New Roman" w:eastAsia="Times New Roman" w:hAnsi="Times New Roman" w:cs="Times New Roman"/>
          <w:sz w:val="24"/>
          <w:szCs w:val="24"/>
        </w:rPr>
        <w:t>On the whole</w:t>
      </w:r>
      <w:proofErr w:type="gramEnd"/>
      <w:r>
        <w:rPr>
          <w:rFonts w:ascii="Times New Roman" w:eastAsia="Times New Roman" w:hAnsi="Times New Roman" w:cs="Times New Roman"/>
          <w:sz w:val="24"/>
          <w:szCs w:val="24"/>
        </w:rPr>
        <w:t>, the SWOT analysis shows that the German expansion of Wipro is strategically feasible, although the company should use technological differentiation, alignment with ESG, and consulting experience to balance regulatory and competition threats.</w:t>
      </w:r>
    </w:p>
    <w:p w14:paraId="484068E9" w14:textId="77777777" w:rsidR="002847F8" w:rsidRDefault="00000000">
      <w:pPr>
        <w:pStyle w:val="Heading1"/>
      </w:pPr>
      <w:bookmarkStart w:id="18" w:name="_heading=h.drpieohayvj" w:colFirst="0" w:colLast="0"/>
      <w:bookmarkEnd w:id="18"/>
      <w:r>
        <w:t>3. Planning of Strategy development and market entry.</w:t>
      </w:r>
    </w:p>
    <w:p w14:paraId="6A05861D" w14:textId="77777777" w:rsidR="002847F8" w:rsidRDefault="00000000">
      <w:pPr>
        <w:pStyle w:val="Heading2"/>
      </w:pPr>
      <w:bookmarkStart w:id="19" w:name="_heading=h.xyrbfypqyo3b" w:colFirst="0" w:colLast="0"/>
      <w:bookmarkEnd w:id="19"/>
      <w:r>
        <w:t xml:space="preserve">3.1 Strategic Direction and Vision Alignment </w:t>
      </w:r>
    </w:p>
    <w:p w14:paraId="70F6EDB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strategic vision of Wipro is based on the long-term goal of becoming a global leader in the field of digital transformation, AI-based innovation and purpose-led sustainability. The strategic vision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to be a traditional IT services provider in the future and become a </w:t>
      </w:r>
      <w:proofErr w:type="gramStart"/>
      <w:r>
        <w:rPr>
          <w:rFonts w:ascii="Times New Roman" w:eastAsia="Times New Roman" w:hAnsi="Times New Roman" w:cs="Times New Roman"/>
          <w:sz w:val="24"/>
          <w:szCs w:val="24"/>
        </w:rPr>
        <w:t>digital-first</w:t>
      </w:r>
      <w:proofErr w:type="gramEnd"/>
      <w:r>
        <w:rPr>
          <w:rFonts w:ascii="Times New Roman" w:eastAsia="Times New Roman" w:hAnsi="Times New Roman" w:cs="Times New Roman"/>
          <w:sz w:val="24"/>
          <w:szCs w:val="24"/>
        </w:rPr>
        <w:t xml:space="preserve">, consulting-led and platform-driven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 vision is also directly related to the needs of the developed digital economy in Germany, specifically Industry 4.0, cloud-native infrastructure, and cybersecurity resilience (IBEF, 2025).</w:t>
      </w:r>
    </w:p>
    <w:p w14:paraId="4C0A3D8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aspects of the Wipro vision is a high level of Environmental, Social and Governance (ESG) leadership. The company is committed to going carbon neutral by 2040 and is actively incorporating sustainability into its cloud infrastructure, green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and ethical AI systems (</w:t>
      </w:r>
      <w:proofErr w:type="spellStart"/>
      <w:r>
        <w:rPr>
          <w:rFonts w:ascii="Times New Roman" w:eastAsia="Times New Roman" w:hAnsi="Times New Roman" w:cs="Times New Roman"/>
          <w:sz w:val="24"/>
          <w:szCs w:val="24"/>
        </w:rPr>
        <w:t>Samiuddin</w:t>
      </w:r>
      <w:proofErr w:type="spellEnd"/>
      <w:r>
        <w:rPr>
          <w:rFonts w:ascii="Times New Roman" w:eastAsia="Times New Roman" w:hAnsi="Times New Roman" w:cs="Times New Roman"/>
          <w:sz w:val="24"/>
          <w:szCs w:val="24"/>
        </w:rPr>
        <w:t xml:space="preserve">, 2025). This would be very congruent with the national sustainability agenda of Germany and its regulatory focus on carbon neutrality, energy efficiency, responsible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making Wipro more legitimate and acceptable by the stakeholders of the host market.</w:t>
      </w:r>
    </w:p>
    <w:p w14:paraId="3FE738CA"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data sovereignty and digital trust are one of the core factors in the strategic positioning of Wipro in Europe. The company has engaged in sovereign cloud computing,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of data plans, and GDPR-compliant digital structures (TEWARI and CHITNIS, 2024). The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of the stringent regulations of data residency and cybersecurity in Germany will ensure that the expansion strategy of Wipro is compliant, safe, and trusted by the enterprise and government clients. </w:t>
      </w:r>
    </w:p>
    <w:p w14:paraId="247A6192" w14:textId="77777777" w:rsidR="002847F8" w:rsidRDefault="00000000">
      <w:pPr>
        <w:pStyle w:val="Heading2"/>
      </w:pPr>
      <w:bookmarkStart w:id="20" w:name="_heading=h.4d2brkdfr84y" w:colFirst="0" w:colLast="0"/>
      <w:bookmarkEnd w:id="20"/>
      <w:r>
        <w:t xml:space="preserve">3.2 Generic Competitive Strategy (Porter): Differentiation Strategy </w:t>
      </w:r>
    </w:p>
    <w:p w14:paraId="05FDDCC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Differentiation strategy as interpreted by the Porters Generic Strategies model will be the core strategy of competitive positioning of Wipro in the German market. Instead of price only Wipro tries to create competitive advantage by providing high-value, innovation-based and sustainability-based digital solutions to complex enterprise requirements.</w:t>
      </w:r>
    </w:p>
    <w:p w14:paraId="770AB339"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pillar is the AI-first service delivery model of Wipro. The company plans to incorporate artificial intelligence, machine learning, and automation in its consulting, cloud engineering, cybersecurity, and enterprise application services. This will enable German businesses to improve predictive maintenance, supply chain intelligence, fraud detection and automation of operations, which are valuable in automotive, manufacturing, healthcare, and financial services.</w:t>
      </w:r>
    </w:p>
    <w:p w14:paraId="708A8D1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Sustainable cloud and green digital infrastructure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the second pillar. The German corporations work in strict environmental regulation and ESG reporting laws. The sustainable cloud solutions, data operations, and energy-saving digital solutions offered by Wipro can help its clients attain their own climate and regulatory goals (Boopathi, 2024). This type of </w:t>
      </w:r>
      <w:proofErr w:type="gramStart"/>
      <w:r>
        <w:rPr>
          <w:rFonts w:ascii="Times New Roman" w:eastAsia="Times New Roman" w:hAnsi="Times New Roman" w:cs="Times New Roman"/>
          <w:sz w:val="24"/>
          <w:szCs w:val="24"/>
        </w:rPr>
        <w:t>differentiation</w:t>
      </w:r>
      <w:proofErr w:type="gramEnd"/>
      <w:r>
        <w:rPr>
          <w:rFonts w:ascii="Times New Roman" w:eastAsia="Times New Roman" w:hAnsi="Times New Roman" w:cs="Times New Roman"/>
          <w:sz w:val="24"/>
          <w:szCs w:val="24"/>
        </w:rPr>
        <w:t xml:space="preserve"> which is sustainability </w:t>
      </w:r>
      <w:proofErr w:type="gramStart"/>
      <w:r>
        <w:rPr>
          <w:rFonts w:ascii="Times New Roman" w:eastAsia="Times New Roman" w:hAnsi="Times New Roman" w:cs="Times New Roman"/>
          <w:sz w:val="24"/>
          <w:szCs w:val="24"/>
        </w:rPr>
        <w:t>driven</w:t>
      </w:r>
      <w:proofErr w:type="gramEnd"/>
      <w:r>
        <w:rPr>
          <w:rFonts w:ascii="Times New Roman" w:eastAsia="Times New Roman" w:hAnsi="Times New Roman" w:cs="Times New Roman"/>
          <w:sz w:val="24"/>
          <w:szCs w:val="24"/>
        </w:rPr>
        <w:t xml:space="preserve"> helps to reinforce brand positioning as well as provide long-term </w:t>
      </w:r>
      <w:proofErr w:type="gramStart"/>
      <w:r>
        <w:rPr>
          <w:rFonts w:ascii="Times New Roman" w:eastAsia="Times New Roman" w:hAnsi="Times New Roman" w:cs="Times New Roman"/>
          <w:sz w:val="24"/>
          <w:szCs w:val="24"/>
        </w:rPr>
        <w:t>relationship</w:t>
      </w:r>
      <w:proofErr w:type="gramEnd"/>
      <w:r>
        <w:rPr>
          <w:rFonts w:ascii="Times New Roman" w:eastAsia="Times New Roman" w:hAnsi="Times New Roman" w:cs="Times New Roman"/>
          <w:sz w:val="24"/>
          <w:szCs w:val="24"/>
        </w:rPr>
        <w:t xml:space="preserve"> with clients.</w:t>
      </w:r>
    </w:p>
    <w:p w14:paraId="0E5471A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pillar is the </w:t>
      </w:r>
      <w:proofErr w:type="gramStart"/>
      <w:r>
        <w:rPr>
          <w:rFonts w:ascii="Times New Roman" w:eastAsia="Times New Roman" w:hAnsi="Times New Roman" w:cs="Times New Roman"/>
          <w:sz w:val="24"/>
          <w:szCs w:val="24"/>
        </w:rPr>
        <w:t>Industry</w:t>
      </w:r>
      <w:proofErr w:type="gramEnd"/>
      <w:r>
        <w:rPr>
          <w:rFonts w:ascii="Times New Roman" w:eastAsia="Times New Roman" w:hAnsi="Times New Roman" w:cs="Times New Roman"/>
          <w:sz w:val="24"/>
          <w:szCs w:val="24"/>
        </w:rPr>
        <w:t xml:space="preserve"> 4.0 </w:t>
      </w:r>
      <w:proofErr w:type="spellStart"/>
      <w:r>
        <w:rPr>
          <w:rFonts w:ascii="Times New Roman" w:eastAsia="Times New Roman" w:hAnsi="Times New Roman" w:cs="Times New Roman"/>
          <w:sz w:val="24"/>
          <w:szCs w:val="24"/>
        </w:rPr>
        <w:t>specialisation</w:t>
      </w:r>
      <w:proofErr w:type="spellEnd"/>
      <w:r>
        <w:rPr>
          <w:rFonts w:ascii="Times New Roman" w:eastAsia="Times New Roman" w:hAnsi="Times New Roman" w:cs="Times New Roman"/>
          <w:sz w:val="24"/>
          <w:szCs w:val="24"/>
        </w:rPr>
        <w:t xml:space="preserve"> of Wipro. Industrial economy in Germany requires superior digital manufacturing including smart factories, digital twins, integration of robotics, and </w:t>
      </w:r>
      <w:proofErr w:type="spellStart"/>
      <w:r>
        <w:rPr>
          <w:rFonts w:ascii="Times New Roman" w:eastAsia="Times New Roman" w:hAnsi="Times New Roman" w:cs="Times New Roman"/>
          <w:sz w:val="24"/>
          <w:szCs w:val="24"/>
        </w:rPr>
        <w:t>IIoT</w:t>
      </w:r>
      <w:proofErr w:type="spellEnd"/>
      <w:r>
        <w:rPr>
          <w:rFonts w:ascii="Times New Roman" w:eastAsia="Times New Roman" w:hAnsi="Times New Roman" w:cs="Times New Roman"/>
          <w:sz w:val="24"/>
          <w:szCs w:val="24"/>
        </w:rPr>
        <w:t xml:space="preserve"> platforms. Wipro, with its far knowledge of Industry 4.0 engineering together with its SAP, ERP, and industrial automation consulting, has the capability to provide end-to-end smart manufacturing solutions.</w:t>
      </w:r>
    </w:p>
    <w:p w14:paraId="589988C2" w14:textId="77777777" w:rsidR="002847F8" w:rsidRDefault="00000000">
      <w:pPr>
        <w:pStyle w:val="Heading2"/>
      </w:pPr>
      <w:bookmarkStart w:id="21" w:name="_heading=h.c7i0vb6z7zft" w:colFirst="0" w:colLast="0"/>
      <w:bookmarkEnd w:id="21"/>
      <w:r>
        <w:t xml:space="preserve">3.3 Mode of Market entry to Germany </w:t>
      </w:r>
    </w:p>
    <w:p w14:paraId="152059F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choice of a fit market entry mode is a very important strategic choice that has a direct effect on </w:t>
      </w:r>
      <w:proofErr w:type="gramStart"/>
      <w:r>
        <w:rPr>
          <w:rFonts w:ascii="Times New Roman" w:eastAsia="Times New Roman" w:hAnsi="Times New Roman" w:cs="Times New Roman"/>
          <w:sz w:val="24"/>
          <w:szCs w:val="24"/>
        </w:rPr>
        <w:t>the risk</w:t>
      </w:r>
      <w:proofErr w:type="gramEnd"/>
      <w:r>
        <w:rPr>
          <w:rFonts w:ascii="Times New Roman" w:eastAsia="Times New Roman" w:hAnsi="Times New Roman" w:cs="Times New Roman"/>
          <w:sz w:val="24"/>
          <w:szCs w:val="24"/>
        </w:rPr>
        <w:t xml:space="preserve"> exposure, rate of entry, amount of investment needed, and competitive positioning. There are four main entry modes that will be considered in the expansion of Wipro to Germany:</w:t>
      </w:r>
    </w:p>
    <w:p w14:paraId="15270F67"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Joint Venture</w:t>
      </w:r>
    </w:p>
    <w:p w14:paraId="1686934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Joint venture would enable Wipro to share the risk, local expertise, and investment with a German company. Although this minimizes financial risks, it also creates limitations in control, and conflict in strategies, and slows down fast-paced digital innovation.</w:t>
      </w:r>
    </w:p>
    <w:p w14:paraId="43CCA864"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Greenfield Investment</w:t>
      </w:r>
    </w:p>
    <w:p w14:paraId="1D64D481"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Greenfield strategy would be a case of opening wholly owned operations. Though it offers complete control, it is costly to capitalize, has longer time to enter the market, is complicated to regulate, and </w:t>
      </w:r>
      <w:proofErr w:type="gramStart"/>
      <w:r>
        <w:rPr>
          <w:rFonts w:ascii="Times New Roman" w:eastAsia="Times New Roman" w:hAnsi="Times New Roman" w:cs="Times New Roman"/>
          <w:sz w:val="24"/>
          <w:szCs w:val="24"/>
        </w:rPr>
        <w:t>generates</w:t>
      </w:r>
      <w:proofErr w:type="gramEnd"/>
      <w:r>
        <w:rPr>
          <w:rFonts w:ascii="Times New Roman" w:eastAsia="Times New Roman" w:hAnsi="Times New Roman" w:cs="Times New Roman"/>
          <w:sz w:val="24"/>
          <w:szCs w:val="24"/>
        </w:rPr>
        <w:t xml:space="preserve"> revenue slowly, which is unsafe in a digital highly competitive market (</w:t>
      </w:r>
      <w:proofErr w:type="spellStart"/>
      <w:r>
        <w:rPr>
          <w:rFonts w:ascii="Times New Roman" w:eastAsia="Times New Roman" w:hAnsi="Times New Roman" w:cs="Times New Roman"/>
          <w:sz w:val="24"/>
          <w:szCs w:val="24"/>
        </w:rPr>
        <w:t>Namadi</w:t>
      </w:r>
      <w:proofErr w:type="spellEnd"/>
      <w:r>
        <w:rPr>
          <w:rFonts w:ascii="Times New Roman" w:eastAsia="Times New Roman" w:hAnsi="Times New Roman" w:cs="Times New Roman"/>
          <w:sz w:val="24"/>
          <w:szCs w:val="24"/>
        </w:rPr>
        <w:t>, 2023).</w:t>
      </w:r>
    </w:p>
    <w:p w14:paraId="403919FA"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Strategic Alliance</w:t>
      </w:r>
    </w:p>
    <w:p w14:paraId="69A65FB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partnerships with technology companies or cloud providers in Germany provide flexibility and speed of entry into the market, but do not provide ownership, long-term commitment, and strong integration with clients, and therefore competitive differentiation would be difficult to maintain.</w:t>
      </w:r>
    </w:p>
    <w:p w14:paraId="2EB3C049"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Recommended</w:t>
      </w:r>
    </w:p>
    <w:p w14:paraId="40E4763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apt market entry approach that Wipro can apply in Germany is a strategic acquisition of a mid-sized German or European digital consulting firm with focus on Industry 4.0, cloud or cybersecurity.</w:t>
      </w:r>
    </w:p>
    <w:p w14:paraId="17977FE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also a strategy that has promoted the historical growth trend of Wipro because the company has acquired other companies like Capco and </w:t>
      </w:r>
      <w:proofErr w:type="spellStart"/>
      <w:r>
        <w:rPr>
          <w:rFonts w:ascii="Times New Roman" w:eastAsia="Times New Roman" w:hAnsi="Times New Roman" w:cs="Times New Roman"/>
          <w:sz w:val="24"/>
          <w:szCs w:val="24"/>
        </w:rPr>
        <w:t>Rizing</w:t>
      </w:r>
      <w:proofErr w:type="spellEnd"/>
      <w:r>
        <w:rPr>
          <w:rFonts w:ascii="Times New Roman" w:eastAsia="Times New Roman" w:hAnsi="Times New Roman" w:cs="Times New Roman"/>
          <w:sz w:val="24"/>
          <w:szCs w:val="24"/>
        </w:rPr>
        <w:t xml:space="preserve"> to enhance domain knowledge and regional presence (Jha, 2024). A directed </w:t>
      </w:r>
      <w:proofErr w:type="gramStart"/>
      <w:r>
        <w:rPr>
          <w:rFonts w:ascii="Times New Roman" w:eastAsia="Times New Roman" w:hAnsi="Times New Roman" w:cs="Times New Roman"/>
          <w:sz w:val="24"/>
          <w:szCs w:val="24"/>
        </w:rPr>
        <w:t>acquisition</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presents the best combination of speed, control, credibility within the market and long-term strategic positioning.</w:t>
      </w:r>
    </w:p>
    <w:p w14:paraId="2A11D685" w14:textId="77777777" w:rsidR="002847F8" w:rsidRDefault="00000000">
      <w:pPr>
        <w:pStyle w:val="Heading2"/>
      </w:pPr>
      <w:bookmarkStart w:id="22" w:name="_heading=h.2e7kvooxstwp" w:colFirst="0" w:colLast="0"/>
      <w:bookmarkEnd w:id="22"/>
      <w:r>
        <w:t xml:space="preserve">3.4 Implementation Roadmap </w:t>
      </w:r>
    </w:p>
    <w:p w14:paraId="095F88D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strategic implementation of the German expansion will be done in a </w:t>
      </w:r>
      <w:proofErr w:type="gramStart"/>
      <w:r>
        <w:rPr>
          <w:rFonts w:ascii="Times New Roman" w:eastAsia="Times New Roman" w:hAnsi="Times New Roman" w:cs="Times New Roman"/>
          <w:sz w:val="24"/>
          <w:szCs w:val="24"/>
        </w:rPr>
        <w:t>three year</w:t>
      </w:r>
      <w:proofErr w:type="gramEnd"/>
      <w:r>
        <w:rPr>
          <w:rFonts w:ascii="Times New Roman" w:eastAsia="Times New Roman" w:hAnsi="Times New Roman" w:cs="Times New Roman"/>
          <w:sz w:val="24"/>
          <w:szCs w:val="24"/>
        </w:rPr>
        <w:t xml:space="preserve"> horizon in a systematic three phase road map.</w:t>
      </w:r>
    </w:p>
    <w:p w14:paraId="3111F98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investment of </w:t>
      </w:r>
      <w:r>
        <w:rPr>
          <w:rFonts w:ascii="Times New Roman" w:eastAsia="Times New Roman" w:hAnsi="Times New Roman" w:cs="Times New Roman"/>
          <w:b/>
          <w:bCs/>
          <w:sz w:val="24"/>
          <w:szCs w:val="24"/>
        </w:rPr>
        <w:t>€20–30 million</w:t>
      </w:r>
      <w:r>
        <w:rPr>
          <w:rFonts w:ascii="Times New Roman" w:eastAsia="Times New Roman" w:hAnsi="Times New Roman" w:cs="Times New Roman"/>
          <w:sz w:val="24"/>
          <w:szCs w:val="24"/>
        </w:rPr>
        <w:t xml:space="preserve"> is financially realistic when compared to Wipro’s overall revenue base of </w:t>
      </w:r>
      <w:r>
        <w:rPr>
          <w:rFonts w:ascii="Times New Roman" w:eastAsia="Times New Roman" w:hAnsi="Times New Roman" w:cs="Times New Roman"/>
          <w:b/>
          <w:bCs/>
          <w:sz w:val="24"/>
          <w:szCs w:val="24"/>
        </w:rPr>
        <w:t>US $11.2 billion</w:t>
      </w:r>
      <w:r>
        <w:rPr>
          <w:rFonts w:ascii="Times New Roman" w:eastAsia="Times New Roman" w:hAnsi="Times New Roman" w:cs="Times New Roman"/>
          <w:sz w:val="24"/>
          <w:szCs w:val="24"/>
        </w:rPr>
        <w:t xml:space="preserve"> in FY 2022–23 (Wipro Limited, 2023). This level of investment represents only a small fraction of Wipro’s annual revenue, indicating low financial risk and high feasibility. Given Wipro’s consistent operating margin and cash flow stability,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well-positioned to fund this strategic expansion without </w:t>
      </w:r>
      <w:proofErr w:type="gramStart"/>
      <w:r>
        <w:rPr>
          <w:rFonts w:ascii="Times New Roman" w:eastAsia="Times New Roman" w:hAnsi="Times New Roman" w:cs="Times New Roman"/>
          <w:sz w:val="24"/>
          <w:szCs w:val="24"/>
        </w:rPr>
        <w:t>impacting</w:t>
      </w:r>
      <w:proofErr w:type="gramEnd"/>
      <w:r>
        <w:rPr>
          <w:rFonts w:ascii="Times New Roman" w:eastAsia="Times New Roman" w:hAnsi="Times New Roman" w:cs="Times New Roman"/>
          <w:sz w:val="24"/>
          <w:szCs w:val="24"/>
        </w:rPr>
        <w:t xml:space="preserve"> its financial sustainability. Therefore, the proposed investment aligns with Wipro’s financial capacity and long-term growth objectives.</w:t>
      </w:r>
    </w:p>
    <w:p w14:paraId="199F4E59"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1: Market Entry (Year 1)</w:t>
      </w:r>
    </w:p>
    <w:p w14:paraId="0F8D61A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stage is concerned with </w:t>
      </w:r>
      <w:proofErr w:type="gramStart"/>
      <w:r>
        <w:rPr>
          <w:rFonts w:ascii="Times New Roman" w:eastAsia="Times New Roman" w:hAnsi="Times New Roman" w:cs="Times New Roman"/>
          <w:sz w:val="24"/>
          <w:szCs w:val="24"/>
        </w:rPr>
        <w:t>the strategic</w:t>
      </w:r>
      <w:proofErr w:type="gramEnd"/>
      <w:r>
        <w:rPr>
          <w:rFonts w:ascii="Times New Roman" w:eastAsia="Times New Roman" w:hAnsi="Times New Roman" w:cs="Times New Roman"/>
          <w:sz w:val="24"/>
          <w:szCs w:val="24"/>
        </w:rPr>
        <w:t xml:space="preserve"> acquisition and </w:t>
      </w:r>
      <w:proofErr w:type="gramStart"/>
      <w:r>
        <w:rPr>
          <w:rFonts w:ascii="Times New Roman" w:eastAsia="Times New Roman" w:hAnsi="Times New Roman" w:cs="Times New Roman"/>
          <w:sz w:val="24"/>
          <w:szCs w:val="24"/>
        </w:rPr>
        <w:t>the regulatory</w:t>
      </w:r>
      <w:proofErr w:type="gramEnd"/>
      <w:r>
        <w:rPr>
          <w:rFonts w:ascii="Times New Roman" w:eastAsia="Times New Roman" w:hAnsi="Times New Roman" w:cs="Times New Roman"/>
          <w:sz w:val="24"/>
          <w:szCs w:val="24"/>
        </w:rPr>
        <w:t xml:space="preserve"> establishment.</w:t>
      </w:r>
    </w:p>
    <w:p w14:paraId="3DE936A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 and due diligence of a befitting German digital consultancy firm.</w:t>
      </w:r>
    </w:p>
    <w:p w14:paraId="36E1F0AB" w14:textId="77777777" w:rsidR="002847F8" w:rsidRDefault="002847F8">
      <w:pPr>
        <w:jc w:val="both"/>
        <w:rPr>
          <w:rFonts w:ascii="Times New Roman" w:eastAsia="Times New Roman" w:hAnsi="Times New Roman" w:cs="Times New Roman"/>
          <w:sz w:val="24"/>
          <w:szCs w:val="24"/>
        </w:rPr>
      </w:pPr>
    </w:p>
    <w:p w14:paraId="14DAA7B7"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Finishing acquisition and post-merger integration planning.</w:t>
      </w:r>
    </w:p>
    <w:p w14:paraId="2360D7EC"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registrations (tax compliance,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laws, GDPR alignment)</w:t>
      </w:r>
    </w:p>
    <w:p w14:paraId="5548344D"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investment of between 20-30 million as an acquisition and system integration.</w:t>
      </w:r>
    </w:p>
    <w:p w14:paraId="4E0B5752" w14:textId="77777777" w:rsidR="002847F8" w:rsidRDefault="00000000">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Formation of local leadership and governing body.</w:t>
      </w:r>
    </w:p>
    <w:p w14:paraId="2421CD77"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2: Expansion Phase (Year 2)</w:t>
      </w:r>
    </w:p>
    <w:p w14:paraId="3FD41E8E"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of this stage is on scaling of service and positioning the brand.</w:t>
      </w:r>
    </w:p>
    <w:p w14:paraId="47A4FCA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Hiring AI engineers, cloud experts, cybersecurity experts on an operational basis.</w:t>
      </w:r>
    </w:p>
    <w:p w14:paraId="1F7CC4E5"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cloud and Industry 4.0 solution portfolios.</w:t>
      </w:r>
    </w:p>
    <w:p w14:paraId="109A4A34"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Alliances with automotive and manufacturing companies in Germany.</w:t>
      </w:r>
    </w:p>
    <w:p w14:paraId="0A1D6B89"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digital trust, and innovation marketing campaigns.</w:t>
      </w:r>
    </w:p>
    <w:p w14:paraId="25B3148D" w14:textId="77777777" w:rsidR="002847F8" w:rsidRDefault="00000000">
      <w:pPr>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Infrastructure implementation such as safe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and sovereign clouds.</w:t>
      </w:r>
    </w:p>
    <w:p w14:paraId="62283E63"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 3: Phase of Consolidation (Year 3)</w:t>
      </w:r>
    </w:p>
    <w:p w14:paraId="3CEE3BA6"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step involves dominance in the market and financial stability.</w:t>
      </w:r>
    </w:p>
    <w:p w14:paraId="1A73276C"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Efficiency and automation of service delivery.</w:t>
      </w:r>
    </w:p>
    <w:p w14:paraId="4EBC2516" w14:textId="77777777" w:rsidR="002847F8" w:rsidRDefault="00000000">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Selling higher AI and cybersecurity services.</w:t>
      </w:r>
    </w:p>
    <w:p w14:paraId="22E7A871" w14:textId="77777777" w:rsidR="002847F8" w:rsidRDefault="00000000">
      <w:pPr>
        <w:numPr>
          <w:ilvl w:val="0"/>
          <w:numId w:val="2"/>
        </w:numPr>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contracts on the digital transformation of clients.</w:t>
      </w:r>
    </w:p>
    <w:p w14:paraId="2C35BCA9" w14:textId="77777777" w:rsidR="002847F8" w:rsidRDefault="00000000">
      <w:pPr>
        <w:numPr>
          <w:ilvl w:val="0"/>
          <w:numId w:val="2"/>
        </w:numPr>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Stabilisation</w:t>
      </w:r>
      <w:proofErr w:type="spellEnd"/>
      <w:r>
        <w:rPr>
          <w:rFonts w:ascii="Times New Roman" w:eastAsia="Times New Roman" w:hAnsi="Times New Roman" w:cs="Times New Roman"/>
          <w:sz w:val="24"/>
          <w:szCs w:val="24"/>
        </w:rPr>
        <w:t xml:space="preserve"> of profitability and reinvestment in R&amp;D, ESG activity.</w:t>
      </w:r>
    </w:p>
    <w:p w14:paraId="24936F6C" w14:textId="77777777" w:rsidR="002847F8" w:rsidRDefault="00000000">
      <w:pPr>
        <w:pStyle w:val="Heading2"/>
      </w:pPr>
      <w:bookmarkStart w:id="23" w:name="_heading=h.aljv29cs6ml8" w:colFirst="0" w:colLast="0"/>
      <w:bookmarkEnd w:id="23"/>
      <w:r>
        <w:t xml:space="preserve">3.5 Risk Assessment &amp; Mitigation </w:t>
      </w:r>
    </w:p>
    <w:p w14:paraId="47263569" w14:textId="77777777" w:rsidR="002847F8" w:rsidRDefault="00000000">
      <w:pPr>
        <w:pStyle w:val="Heading3"/>
        <w:keepNext w:val="0"/>
        <w:keepLines w:val="0"/>
        <w:spacing w:before="280"/>
        <w:jc w:val="both"/>
        <w:rPr>
          <w:rFonts w:ascii="Times New Roman" w:eastAsia="Times New Roman" w:hAnsi="Times New Roman" w:cs="Times New Roman"/>
          <w:b/>
          <w:bCs/>
          <w:color w:val="000000"/>
          <w:sz w:val="24"/>
          <w:szCs w:val="24"/>
        </w:rPr>
      </w:pPr>
      <w:bookmarkStart w:id="24" w:name="_heading=h.pucrzev05skp" w:colFirst="0" w:colLast="0"/>
      <w:bookmarkEnd w:id="24"/>
      <w:r>
        <w:rPr>
          <w:rFonts w:ascii="Times New Roman" w:eastAsia="Times New Roman" w:hAnsi="Times New Roman" w:cs="Times New Roman"/>
          <w:b/>
          <w:bCs/>
          <w:color w:val="000000"/>
          <w:sz w:val="24"/>
          <w:szCs w:val="24"/>
        </w:rPr>
        <w:t>Risk Assessment &amp; Mitigation Table</w:t>
      </w:r>
    </w:p>
    <w:tbl>
      <w:tblPr>
        <w:tblStyle w:val="af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85"/>
        <w:gridCol w:w="1019"/>
        <w:gridCol w:w="1358"/>
        <w:gridCol w:w="4698"/>
      </w:tblGrid>
      <w:tr w:rsidR="002847F8" w14:paraId="61484ADF" w14:textId="77777777">
        <w:trPr>
          <w:trHeight w:val="500"/>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BD94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C6F3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Impact</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3375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Probability</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F04CF"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Mitigation Strategy</w:t>
            </w:r>
          </w:p>
        </w:tc>
      </w:tr>
      <w:tr w:rsidR="002847F8" w14:paraId="318DB076"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D266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Cybersecurity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70BA4"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684B2"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D6CA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Zero-trust security architecture, continuous penetration testing, advanced SOC operations</w:t>
            </w:r>
          </w:p>
        </w:tc>
      </w:tr>
      <w:tr w:rsidR="002847F8" w14:paraId="2D32F245"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7736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Regulatory Compliance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2729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395C0"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4C0B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legal advisory teams, GDPR and NIS2 compliance audits, sovereign cloud adoption</w:t>
            </w:r>
          </w:p>
        </w:tc>
      </w:tr>
      <w:tr w:rsidR="002847F8" w14:paraId="20F1074E"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5123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Competitive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896F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3F9B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FAA9C"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Differentiated pricing, AI-</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service offerings, Industry 4.0 consulting depth</w:t>
            </w:r>
          </w:p>
        </w:tc>
      </w:tr>
      <w:tr w:rsidR="002847F8" w14:paraId="737590CE" w14:textId="77777777">
        <w:trPr>
          <w:trHeight w:val="785"/>
        </w:trPr>
        <w:tc>
          <w:tcPr>
            <w:tcW w:w="22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1ECA3"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Cultural Integration Risk</w:t>
            </w:r>
          </w:p>
        </w:tc>
        <w:tc>
          <w:tcPr>
            <w:tcW w:w="1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D016FD"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E9F5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4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44FC8"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training, local leadership empowerment, global integration programs</w:t>
            </w:r>
          </w:p>
        </w:tc>
      </w:tr>
    </w:tbl>
    <w:p w14:paraId="0041374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Cybersecurity is one of the greatest dangers of operation because of the critical industrial and financial system in Germany. Any violation would be a reputation blow to Wipro and legal consequences. Such a threat will be eliminated using zero-trust security systems, AI-based threat detection, and real-time monitoring.</w:t>
      </w:r>
    </w:p>
    <w:p w14:paraId="60F29627"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 of regulatory risk are also very high based on GDPR, laws on data residency, and EU cybersecurity directives. The adherence will be guaranteed through the constant compliance-auditing and the involvement of local German legal and regulatory consultants.</w:t>
      </w:r>
    </w:p>
    <w:p w14:paraId="55773D92" w14:textId="77777777" w:rsidR="002847F8" w:rsidRDefault="00000000">
      <w:pPr>
        <w:pStyle w:val="Heading1"/>
        <w:keepNext w:val="0"/>
        <w:keepLines w:val="0"/>
        <w:spacing w:after="80"/>
      </w:pPr>
      <w:bookmarkStart w:id="25" w:name="_heading=h.7xcmzqy8uygn" w:colFirst="0" w:colLast="0"/>
      <w:bookmarkEnd w:id="25"/>
      <w:r>
        <w:t>4. PERFORMANCE EVALUATION FRAMEWORK</w:t>
      </w:r>
    </w:p>
    <w:p w14:paraId="5A81E560" w14:textId="77777777" w:rsidR="002847F8" w:rsidRDefault="00000000">
      <w:pPr>
        <w:pStyle w:val="Heading2"/>
        <w:keepNext w:val="0"/>
        <w:keepLines w:val="0"/>
        <w:spacing w:before="280"/>
      </w:pPr>
      <w:bookmarkStart w:id="26" w:name="_heading=h.44a7rymjam5a" w:colFirst="0" w:colLast="0"/>
      <w:bookmarkEnd w:id="26"/>
      <w:r>
        <w:t xml:space="preserve">4.1 Balanced Scorecard Model </w:t>
      </w:r>
    </w:p>
    <w:tbl>
      <w:tblPr>
        <w:tblStyle w:val="af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47"/>
        <w:gridCol w:w="2715"/>
        <w:gridCol w:w="4198"/>
      </w:tblGrid>
      <w:tr w:rsidR="002847F8" w14:paraId="503FB3C5"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97DD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CDB5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Performance Indicators (KPIs)</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7BB0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Purpose</w:t>
            </w:r>
          </w:p>
        </w:tc>
      </w:tr>
      <w:tr w:rsidR="002847F8" w14:paraId="517BE0E2"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0626F"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Financial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D1C4E"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Return on Investment (ROI)</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3D053"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profitability of the German expansion and capital efficiency</w:t>
            </w:r>
          </w:p>
        </w:tc>
      </w:tr>
      <w:tr w:rsidR="002847F8" w14:paraId="6BB3DF03"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F2B0D"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3493E"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Growth</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DC03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annual growth generated from German operations</w:t>
            </w:r>
          </w:p>
        </w:tc>
      </w:tr>
      <w:tr w:rsidR="002847F8" w14:paraId="6B235C87"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F589E"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7A03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Margin</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49E00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Evaluates cost efficiency and sustainability of earnings</w:t>
            </w:r>
          </w:p>
        </w:tc>
      </w:tr>
      <w:tr w:rsidR="002847F8" w14:paraId="7DE7F5F5"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1A2E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Customer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F33522"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Client Retention Rate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A428D"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customer loyalty and long-term contract sustainability</w:t>
            </w:r>
          </w:p>
        </w:tc>
      </w:tr>
      <w:tr w:rsidR="002847F8" w14:paraId="1463BCF9"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3B6EF"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1DBD4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Trust Index</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F3071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Evaluates market credibility and perceived service reliability</w:t>
            </w:r>
          </w:p>
        </w:tc>
      </w:tr>
      <w:tr w:rsidR="002847F8" w14:paraId="10C5A95F"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55819"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1A766"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Share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FD89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competitive position within the German IT services industry</w:t>
            </w:r>
          </w:p>
        </w:tc>
      </w:tr>
      <w:tr w:rsidR="002847F8" w14:paraId="11136DD6"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F6D1E"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Internal Process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9D5F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Delivery Efficiency</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1415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Measures </w:t>
            </w:r>
            <w:proofErr w:type="gramStart"/>
            <w:r>
              <w:rPr>
                <w:rFonts w:ascii="Times New Roman" w:eastAsia="Times New Roman" w:hAnsi="Times New Roman" w:cs="Times New Roman"/>
                <w:sz w:val="24"/>
                <w:szCs w:val="24"/>
              </w:rPr>
              <w:t>on-time</w:t>
            </w:r>
            <w:proofErr w:type="gramEnd"/>
            <w:r>
              <w:rPr>
                <w:rFonts w:ascii="Times New Roman" w:eastAsia="Times New Roman" w:hAnsi="Times New Roman" w:cs="Times New Roman"/>
                <w:sz w:val="24"/>
                <w:szCs w:val="24"/>
              </w:rPr>
              <w:t xml:space="preserve"> and on-budget project execution</w:t>
            </w:r>
          </w:p>
        </w:tc>
      </w:tr>
      <w:tr w:rsidR="002847F8" w14:paraId="6453BA66"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96111"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D971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Automation Ratio</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A96B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digital maturity and operational efficiency</w:t>
            </w:r>
          </w:p>
        </w:tc>
      </w:tr>
      <w:tr w:rsidR="002847F8" w14:paraId="23FBDB28"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22BA6F"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573D4A"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Cybersecurity Performance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74195"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Evaluates system security, breach prevention, and compliance</w:t>
            </w:r>
          </w:p>
        </w:tc>
      </w:tr>
      <w:tr w:rsidR="002847F8" w14:paraId="0590D314"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341E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Learning &amp; Growth Perspective</w:t>
            </w: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439D9"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Certification Rate</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C0821"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workforce capability and upskilling in AI and cloud</w:t>
            </w:r>
          </w:p>
        </w:tc>
      </w:tr>
      <w:tr w:rsidR="002847F8" w14:paraId="74503BB8"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E47C3"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13BEBB"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Output</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9034C"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Assesses number of patents, digital solutions, and product launches</w:t>
            </w:r>
          </w:p>
        </w:tc>
      </w:tr>
      <w:tr w:rsidR="002847F8" w14:paraId="6C6DE5D0" w14:textId="77777777">
        <w:trPr>
          <w:trHeight w:val="785"/>
        </w:trPr>
        <w:tc>
          <w:tcPr>
            <w:tcW w:w="24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FFC20" w14:textId="77777777" w:rsidR="002847F8" w:rsidRDefault="002847F8">
            <w:pPr>
              <w:spacing w:before="240" w:after="240"/>
              <w:jc w:val="both"/>
              <w:rPr>
                <w:rFonts w:ascii="Times New Roman" w:eastAsia="Times New Roman" w:hAnsi="Times New Roman" w:cs="Times New Roman"/>
                <w:sz w:val="24"/>
                <w:szCs w:val="24"/>
              </w:rPr>
            </w:pPr>
          </w:p>
        </w:tc>
        <w:tc>
          <w:tcPr>
            <w:tcW w:w="2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48424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R&amp;D Investment</w:t>
            </w:r>
          </w:p>
        </w:tc>
        <w:tc>
          <w:tcPr>
            <w:tcW w:w="419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256F0" w14:textId="77777777" w:rsidR="002847F8" w:rsidRDefault="00000000">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Measures long-term commitment to technological advancement</w:t>
            </w:r>
          </w:p>
        </w:tc>
      </w:tr>
    </w:tbl>
    <w:p w14:paraId="4F165858" w14:textId="77777777" w:rsidR="002847F8" w:rsidRDefault="002847F8">
      <w:pPr>
        <w:spacing w:before="240" w:after="240"/>
        <w:jc w:val="both"/>
        <w:rPr>
          <w:rFonts w:ascii="Times New Roman" w:eastAsia="Times New Roman" w:hAnsi="Times New Roman" w:cs="Times New Roman"/>
          <w:sz w:val="24"/>
          <w:szCs w:val="24"/>
        </w:rPr>
      </w:pPr>
    </w:p>
    <w:p w14:paraId="27480482" w14:textId="77777777" w:rsidR="002847F8" w:rsidRDefault="00000000">
      <w:pPr>
        <w:pStyle w:val="Heading2"/>
        <w:keepNext w:val="0"/>
        <w:keepLines w:val="0"/>
        <w:spacing w:before="280"/>
      </w:pPr>
      <w:bookmarkStart w:id="27" w:name="_heading=h.n1kbxlulpqm7" w:colFirst="0" w:colLast="0"/>
      <w:bookmarkEnd w:id="27"/>
      <w:r>
        <w:t xml:space="preserve">4.2 Triple Bottom Line (TBL) Evaluation </w:t>
      </w:r>
    </w:p>
    <w:p w14:paraId="10E1AF38"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People: Work Creation and Digital Skills Training.</w:t>
      </w:r>
    </w:p>
    <w:p w14:paraId="3D0BAF7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Socially, the move into Germany by Wipro will lead to a massive win with the creation of employment opportunities, diversification, and the development of </w:t>
      </w:r>
      <w:proofErr w:type="gramStart"/>
      <w:r>
        <w:rPr>
          <w:rFonts w:ascii="Times New Roman" w:eastAsia="Times New Roman" w:hAnsi="Times New Roman" w:cs="Times New Roman"/>
          <w:sz w:val="24"/>
          <w:szCs w:val="24"/>
        </w:rPr>
        <w:t>highly-digitalized</w:t>
      </w:r>
      <w:proofErr w:type="gramEnd"/>
      <w:r>
        <w:rPr>
          <w:rFonts w:ascii="Times New Roman" w:eastAsia="Times New Roman" w:hAnsi="Times New Roman" w:cs="Times New Roman"/>
          <w:sz w:val="24"/>
          <w:szCs w:val="24"/>
        </w:rPr>
        <w:t xml:space="preserve"> skills. The suggested entry strategy of acquisition will save the current jobs in the acquired company and generate new opportunities in the high-value fields like AI engineering, cloud architecture, cybersecurity, and smart manufacturing counseling. Moreover, Wipro global learning platforms and certification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will facilitate the ongoing upskilling of the German employees, which will keep them in line with the </w:t>
      </w:r>
      <w:proofErr w:type="gramStart"/>
      <w:r>
        <w:rPr>
          <w:rFonts w:ascii="Times New Roman" w:eastAsia="Times New Roman" w:hAnsi="Times New Roman" w:cs="Times New Roman"/>
          <w:sz w:val="24"/>
          <w:szCs w:val="24"/>
        </w:rPr>
        <w:t>fast changing</w:t>
      </w:r>
      <w:proofErr w:type="gramEnd"/>
      <w:r>
        <w:rPr>
          <w:rFonts w:ascii="Times New Roman" w:eastAsia="Times New Roman" w:hAnsi="Times New Roman" w:cs="Times New Roman"/>
          <w:sz w:val="24"/>
          <w:szCs w:val="24"/>
        </w:rPr>
        <w:t xml:space="preserve"> industry 4.0 technologies (Farida and Setiawan, 2022). This helps in solving the challenge of aging workforce in Germany due to productivity improvement in terms of digital skills and automation. </w:t>
      </w:r>
    </w:p>
    <w:p w14:paraId="045743F2" w14:textId="77777777" w:rsidR="002847F8" w:rsidRDefault="00000000">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Planet: Sustainable Operations and Carbon-Neutral IT Infrastructure.</w:t>
      </w:r>
    </w:p>
    <w:p w14:paraId="22D65AFB"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Wipro considers environmental sustainability a pillar of its global approach and it is highly consistent with the ambitious climate targets in Germany. The carbon-neutral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and cloud infrastructure used by the company and the renewable energy sources directly contribute to Low-carbon transition in Germany. Wipro will ensure that the environmental presence of enterprise digital operations is </w:t>
      </w:r>
      <w:proofErr w:type="spellStart"/>
      <w:r>
        <w:rPr>
          <w:rFonts w:ascii="Times New Roman" w:eastAsia="Times New Roman" w:hAnsi="Times New Roman" w:cs="Times New Roman"/>
          <w:sz w:val="24"/>
          <w:szCs w:val="24"/>
        </w:rPr>
        <w:t>minimised</w:t>
      </w:r>
      <w:proofErr w:type="spellEnd"/>
      <w:r>
        <w:rPr>
          <w:rFonts w:ascii="Times New Roman" w:eastAsia="Times New Roman" w:hAnsi="Times New Roman" w:cs="Times New Roman"/>
          <w:sz w:val="24"/>
          <w:szCs w:val="24"/>
        </w:rPr>
        <w:t xml:space="preserve"> through green IT practices like server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smart energy management, and sustainable procurement (</w:t>
      </w:r>
      <w:proofErr w:type="spellStart"/>
      <w:r>
        <w:rPr>
          <w:rFonts w:ascii="Times New Roman" w:eastAsia="Times New Roman" w:hAnsi="Times New Roman" w:cs="Times New Roman"/>
          <w:sz w:val="24"/>
          <w:szCs w:val="24"/>
        </w:rPr>
        <w:t>Buyya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fact that ESG metrics have been integrated into the service delivery process also helps German clients to address their regulatory reporting and sustainability compliance needs. </w:t>
      </w:r>
    </w:p>
    <w:p w14:paraId="146D0E47"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Profit</w:t>
      </w:r>
      <w:r>
        <w:rPr>
          <w:rFonts w:ascii="Times New Roman" w:eastAsia="Times New Roman" w:hAnsi="Times New Roman" w:cs="Times New Roman"/>
          <w:sz w:val="24"/>
          <w:szCs w:val="24"/>
        </w:rPr>
        <w:t>: Sustainable International Profitability.</w:t>
      </w:r>
    </w:p>
    <w:p w14:paraId="36C96B06"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financial sustainability, the German market presents high potentials of long-term profitability because of high corporate IT expenditures, consistent economic fundamentals, and high demand of advanced digital services. The variety of AI-driven consulting at Wipro, sustainable cloud services, and Industry 4.0 solutions enable the company to set high prices and build customer relationships in long-term contracts. </w:t>
      </w:r>
    </w:p>
    <w:p w14:paraId="681B859E" w14:textId="77777777" w:rsidR="002847F8" w:rsidRDefault="00000000">
      <w:pPr>
        <w:pStyle w:val="Heading1"/>
      </w:pPr>
      <w:bookmarkStart w:id="28" w:name="_heading=h.arf025nceyw2" w:colFirst="0" w:colLast="0"/>
      <w:bookmarkEnd w:id="28"/>
      <w:r>
        <w:t>5. Conclusion and Strategic Recommendations.</w:t>
      </w:r>
    </w:p>
    <w:p w14:paraId="02E1E055" w14:textId="77777777" w:rsidR="002847F8"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provided a broad-based strategic analysis of the proposed expansion of Wipro Limited to the German market of digital services. As shown in the strategic analysis, Germany presents a very appealing macro-environment that is underpinned by high political stability, high levels of digital infrastructure, high enterprise IT investment, and high rates of Industry 4.0. VRIO, BCG, Ansoff, and SWOT frameworks internal analysis confirmed that the long-term competitive advantages of Wipro are its ecosystem of AI innovation, consulting depth, and global delivery. With a competitive approach based on differentiation, and an entry mode that relied on strategic acquisition, the expansion strategy will put Wipro in a position to experience </w:t>
      </w:r>
      <w:proofErr w:type="gramStart"/>
      <w:r>
        <w:rPr>
          <w:rFonts w:ascii="Times New Roman" w:eastAsia="Times New Roman" w:hAnsi="Times New Roman" w:cs="Times New Roman"/>
          <w:sz w:val="24"/>
          <w:szCs w:val="24"/>
        </w:rPr>
        <w:t>a quick</w:t>
      </w:r>
      <w:proofErr w:type="gramEnd"/>
      <w:r>
        <w:rPr>
          <w:rFonts w:ascii="Times New Roman" w:eastAsia="Times New Roman" w:hAnsi="Times New Roman" w:cs="Times New Roman"/>
          <w:sz w:val="24"/>
          <w:szCs w:val="24"/>
        </w:rPr>
        <w:t xml:space="preserve"> market penetration, aligning with the regulatory environment, and gaining direct client access. Balanced Scorecard and Triple Bottom Line models also provide additional control to make sure that </w:t>
      </w:r>
      <w:proofErr w:type="gramStart"/>
      <w:r>
        <w:rPr>
          <w:rFonts w:ascii="Times New Roman" w:eastAsia="Times New Roman" w:hAnsi="Times New Roman" w:cs="Times New Roman"/>
          <w:sz w:val="24"/>
          <w:szCs w:val="24"/>
        </w:rPr>
        <w:t>the financial</w:t>
      </w:r>
      <w:proofErr w:type="gramEnd"/>
      <w:r>
        <w:rPr>
          <w:rFonts w:ascii="Times New Roman" w:eastAsia="Times New Roman" w:hAnsi="Times New Roman" w:cs="Times New Roman"/>
          <w:sz w:val="24"/>
          <w:szCs w:val="24"/>
        </w:rPr>
        <w:t xml:space="preserve"> performance, operational excellence, and sustainability goals are measured and aligned appropriately.</w:t>
      </w:r>
    </w:p>
    <w:p w14:paraId="2E67DFDE" w14:textId="77777777" w:rsidR="002847F8" w:rsidRDefault="00000000">
      <w:pPr>
        <w:jc w:val="both"/>
        <w:rPr>
          <w:rFonts w:ascii="Times New Roman" w:eastAsia="Times New Roman" w:hAnsi="Times New Roman" w:cs="Times New Roman"/>
          <w:sz w:val="24"/>
          <w:szCs w:val="24"/>
        </w:rPr>
      </w:pPr>
      <w:r>
        <w:br w:type="page"/>
      </w:r>
    </w:p>
    <w:p w14:paraId="620409F6" w14:textId="77777777" w:rsidR="002847F8" w:rsidRDefault="00000000">
      <w:pPr>
        <w:pStyle w:val="Heading1"/>
      </w:pPr>
      <w:bookmarkStart w:id="29" w:name="_heading=h.6jkn6d2vg9tt" w:colFirst="0" w:colLast="0"/>
      <w:bookmarkEnd w:id="29"/>
      <w:r>
        <w:lastRenderedPageBreak/>
        <w:t xml:space="preserve">References </w:t>
      </w:r>
    </w:p>
    <w:p w14:paraId="4FFF09B1"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Boopathi, S., 2024. Analysis of Sustainable Practices for Green Computing.</w:t>
      </w:r>
      <w:hyperlink r:id="rId12">
        <w:r>
          <w:rPr>
            <w:rFonts w:ascii="Times New Roman" w:eastAsia="Times New Roman" w:hAnsi="Times New Roman" w:cs="Times New Roman"/>
            <w:color w:val="222222"/>
            <w:sz w:val="24"/>
            <w:szCs w:val="24"/>
          </w:rPr>
          <w:t xml:space="preserve"> </w:t>
        </w:r>
      </w:hyperlink>
      <w:hyperlink r:id="rId13">
        <w:r>
          <w:rPr>
            <w:rFonts w:ascii="Times New Roman" w:eastAsia="Times New Roman" w:hAnsi="Times New Roman" w:cs="Times New Roman"/>
            <w:color w:val="1155CC"/>
            <w:sz w:val="24"/>
            <w:szCs w:val="24"/>
            <w:u w:val="single"/>
          </w:rPr>
          <w:t>https://www.researchgate.net/profile/Rajimol_Kp/publication/380677090_Financial_and_Economic_Analysis_of_Sustainable_Practices_for_Green_Computing/links/67077e28ffe5b728123e08b9/Financial-and-Economic-Analysis-of-Sustainable-Practices-for-Green-Computing.pdf</w:t>
        </w:r>
      </w:hyperlink>
      <w:r>
        <w:rPr>
          <w:rFonts w:ascii="Times New Roman" w:eastAsia="Times New Roman" w:hAnsi="Times New Roman" w:cs="Times New Roman"/>
          <w:color w:val="222222"/>
          <w:sz w:val="24"/>
          <w:szCs w:val="24"/>
        </w:rPr>
        <w:t xml:space="preserve"> </w:t>
      </w:r>
    </w:p>
    <w:p w14:paraId="0623B7A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Borra, P., 2024. An overview of cloud computing and leading cloud service providers. International Journal of Computer Engineering and Technology (IJCET) Volume, 15, pp.122-133.</w:t>
      </w:r>
      <w:hyperlink r:id="rId14">
        <w:r>
          <w:rPr>
            <w:rFonts w:ascii="Times New Roman" w:eastAsia="Times New Roman" w:hAnsi="Times New Roman" w:cs="Times New Roman"/>
            <w:color w:val="222222"/>
            <w:sz w:val="24"/>
            <w:szCs w:val="24"/>
          </w:rPr>
          <w:t xml:space="preserve"> </w:t>
        </w:r>
      </w:hyperlink>
      <w:hyperlink r:id="rId15">
        <w:r>
          <w:rPr>
            <w:rFonts w:ascii="Times New Roman" w:eastAsia="Times New Roman" w:hAnsi="Times New Roman" w:cs="Times New Roman"/>
            <w:color w:val="1155CC"/>
            <w:sz w:val="24"/>
            <w:szCs w:val="24"/>
            <w:u w:val="single"/>
          </w:rPr>
          <w:t>https://papers.ssrn.com/sol3/Delivery.cfm?abstractid=4914169</w:t>
        </w:r>
      </w:hyperlink>
      <w:r>
        <w:rPr>
          <w:rFonts w:ascii="Times New Roman" w:eastAsia="Times New Roman" w:hAnsi="Times New Roman" w:cs="Times New Roman"/>
          <w:color w:val="222222"/>
          <w:sz w:val="24"/>
          <w:szCs w:val="24"/>
        </w:rPr>
        <w:t xml:space="preserve"> </w:t>
      </w:r>
    </w:p>
    <w:p w14:paraId="234927CF"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Buyya</w:t>
      </w:r>
      <w:proofErr w:type="spellEnd"/>
      <w:r>
        <w:rPr>
          <w:rFonts w:ascii="Times New Roman" w:eastAsia="Times New Roman" w:hAnsi="Times New Roman" w:cs="Times New Roman"/>
          <w:color w:val="222222"/>
          <w:sz w:val="24"/>
          <w:szCs w:val="24"/>
        </w:rPr>
        <w:t xml:space="preserve">, R., </w:t>
      </w:r>
      <w:proofErr w:type="spellStart"/>
      <w:r>
        <w:rPr>
          <w:rFonts w:ascii="Times New Roman" w:eastAsia="Times New Roman" w:hAnsi="Times New Roman" w:cs="Times New Roman"/>
          <w:color w:val="222222"/>
          <w:sz w:val="24"/>
          <w:szCs w:val="24"/>
        </w:rPr>
        <w:t>Ilager</w:t>
      </w:r>
      <w:proofErr w:type="spellEnd"/>
      <w:r>
        <w:rPr>
          <w:rFonts w:ascii="Times New Roman" w:eastAsia="Times New Roman" w:hAnsi="Times New Roman" w:cs="Times New Roman"/>
          <w:color w:val="222222"/>
          <w:sz w:val="24"/>
          <w:szCs w:val="24"/>
        </w:rPr>
        <w:t xml:space="preserve">, S. and Arroba, P., 2024. Energy‐efficiency and sustainability in new generation cloud computing: a vision and directions for integrated management of data </w:t>
      </w:r>
      <w:proofErr w:type="spellStart"/>
      <w:r>
        <w:rPr>
          <w:rFonts w:ascii="Times New Roman" w:eastAsia="Times New Roman" w:hAnsi="Times New Roman" w:cs="Times New Roman"/>
          <w:color w:val="222222"/>
          <w:sz w:val="24"/>
          <w:szCs w:val="24"/>
        </w:rPr>
        <w:t>centre</w:t>
      </w:r>
      <w:proofErr w:type="spellEnd"/>
      <w:r>
        <w:rPr>
          <w:rFonts w:ascii="Times New Roman" w:eastAsia="Times New Roman" w:hAnsi="Times New Roman" w:cs="Times New Roman"/>
          <w:color w:val="222222"/>
          <w:sz w:val="24"/>
          <w:szCs w:val="24"/>
        </w:rPr>
        <w:t xml:space="preserve"> resources and workloads. Software: Practice and Experience, 54(1), pp.24-38.</w:t>
      </w:r>
      <w:hyperlink r:id="rId16">
        <w:r>
          <w:rPr>
            <w:rFonts w:ascii="Times New Roman" w:eastAsia="Times New Roman" w:hAnsi="Times New Roman" w:cs="Times New Roman"/>
            <w:color w:val="222222"/>
            <w:sz w:val="24"/>
            <w:szCs w:val="24"/>
          </w:rPr>
          <w:t xml:space="preserve"> </w:t>
        </w:r>
      </w:hyperlink>
      <w:hyperlink r:id="rId17">
        <w:r>
          <w:rPr>
            <w:rFonts w:ascii="Times New Roman" w:eastAsia="Times New Roman" w:hAnsi="Times New Roman" w:cs="Times New Roman"/>
            <w:color w:val="1155CC"/>
            <w:sz w:val="24"/>
            <w:szCs w:val="24"/>
            <w:u w:val="single"/>
          </w:rPr>
          <w:t>https://onlinelibrary.wiley.com/doi/pdf/10.1002/spe.3248</w:t>
        </w:r>
      </w:hyperlink>
      <w:r>
        <w:rPr>
          <w:rFonts w:ascii="Times New Roman" w:eastAsia="Times New Roman" w:hAnsi="Times New Roman" w:cs="Times New Roman"/>
          <w:color w:val="222222"/>
          <w:sz w:val="24"/>
          <w:szCs w:val="24"/>
        </w:rPr>
        <w:t xml:space="preserve"> </w:t>
      </w:r>
    </w:p>
    <w:p w14:paraId="4888F522"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Chornenka</w:t>
      </w:r>
      <w:proofErr w:type="spellEnd"/>
      <w:r>
        <w:rPr>
          <w:rFonts w:ascii="Times New Roman" w:eastAsia="Times New Roman" w:hAnsi="Times New Roman" w:cs="Times New Roman"/>
          <w:color w:val="222222"/>
          <w:sz w:val="24"/>
          <w:szCs w:val="24"/>
        </w:rPr>
        <w:t>, O., 2025. INNOVATION MANAGEMENT AS THE KEY TO SUCCESSFUL FOREIGN ECONOMIC ACTIVITY IN EU COUNTRIES. Publishing House “Baltija Publishing”.</w:t>
      </w:r>
      <w:hyperlink r:id="rId18">
        <w:r>
          <w:rPr>
            <w:rFonts w:ascii="Times New Roman" w:eastAsia="Times New Roman" w:hAnsi="Times New Roman" w:cs="Times New Roman"/>
            <w:color w:val="222222"/>
            <w:sz w:val="24"/>
            <w:szCs w:val="24"/>
          </w:rPr>
          <w:t xml:space="preserve"> </w:t>
        </w:r>
      </w:hyperlink>
      <w:hyperlink r:id="rId19">
        <w:r>
          <w:rPr>
            <w:rFonts w:ascii="Times New Roman" w:eastAsia="Times New Roman" w:hAnsi="Times New Roman" w:cs="Times New Roman"/>
            <w:color w:val="1155CC"/>
            <w:sz w:val="24"/>
            <w:szCs w:val="24"/>
            <w:u w:val="single"/>
          </w:rPr>
          <w:t>http://www.baltijapublishing.lv/omp/index.php/bp/catalog/download/596/16157/34066-1</w:t>
        </w:r>
      </w:hyperlink>
      <w:r>
        <w:rPr>
          <w:rFonts w:ascii="Times New Roman" w:eastAsia="Times New Roman" w:hAnsi="Times New Roman" w:cs="Times New Roman"/>
          <w:color w:val="222222"/>
          <w:sz w:val="24"/>
          <w:szCs w:val="24"/>
        </w:rPr>
        <w:t xml:space="preserve"> </w:t>
      </w:r>
    </w:p>
    <w:p w14:paraId="4930F76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Corporate Finance Institute (2022). </w:t>
      </w:r>
      <w:r>
        <w:rPr>
          <w:rFonts w:ascii="Times New Roman" w:eastAsia="Times New Roman" w:hAnsi="Times New Roman" w:cs="Times New Roman"/>
          <w:i/>
          <w:iCs/>
          <w:color w:val="222222"/>
          <w:sz w:val="24"/>
          <w:szCs w:val="24"/>
        </w:rPr>
        <w:t>Boston Consulting Group (BCG) Matrix</w:t>
      </w:r>
      <w:r>
        <w:rPr>
          <w:rFonts w:ascii="Times New Roman" w:eastAsia="Times New Roman" w:hAnsi="Times New Roman" w:cs="Times New Roman"/>
          <w:color w:val="222222"/>
          <w:sz w:val="24"/>
          <w:szCs w:val="24"/>
        </w:rPr>
        <w:t>. [online] Corporate Finance Institute. Available at: https://corporatefinanceinstitute.com/resources/management/boston-consulting-group-bcg-matrix/.</w:t>
      </w:r>
    </w:p>
    <w:p w14:paraId="768F693A"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ET CONTRIBUTORS (2025). </w:t>
      </w:r>
      <w:r>
        <w:rPr>
          <w:rFonts w:ascii="Times New Roman" w:eastAsia="Times New Roman" w:hAnsi="Times New Roman" w:cs="Times New Roman"/>
          <w:i/>
          <w:iCs/>
          <w:color w:val="222222"/>
          <w:sz w:val="24"/>
          <w:szCs w:val="24"/>
        </w:rPr>
        <w:t>India’s IT workforce: A strategic asset in a fragmented world</w:t>
      </w:r>
      <w:r>
        <w:rPr>
          <w:rFonts w:ascii="Times New Roman" w:eastAsia="Times New Roman" w:hAnsi="Times New Roman" w:cs="Times New Roman"/>
          <w:color w:val="222222"/>
          <w:sz w:val="24"/>
          <w:szCs w:val="24"/>
        </w:rPr>
        <w:t>. [online] The Economic Times. Available at:</w:t>
      </w:r>
      <w:hyperlink r:id="rId20">
        <w:r>
          <w:rPr>
            <w:rFonts w:ascii="Times New Roman" w:eastAsia="Times New Roman" w:hAnsi="Times New Roman" w:cs="Times New Roman"/>
            <w:color w:val="222222"/>
            <w:sz w:val="24"/>
            <w:szCs w:val="24"/>
          </w:rPr>
          <w:t xml:space="preserve"> </w:t>
        </w:r>
      </w:hyperlink>
      <w:hyperlink r:id="rId21">
        <w:r>
          <w:rPr>
            <w:rFonts w:ascii="Times New Roman" w:eastAsia="Times New Roman" w:hAnsi="Times New Roman" w:cs="Times New Roman"/>
            <w:color w:val="1155CC"/>
            <w:sz w:val="24"/>
            <w:szCs w:val="24"/>
            <w:u w:val="single"/>
          </w:rPr>
          <w:t>https://m.economictimes.com/small-biz/security-tech/technology/indias-it-workforce-a-strategic-asset-in-a-fragmented-world/articleshow/124937558.cms</w:t>
        </w:r>
      </w:hyperlink>
      <w:r>
        <w:rPr>
          <w:rFonts w:ascii="Times New Roman" w:eastAsia="Times New Roman" w:hAnsi="Times New Roman" w:cs="Times New Roman"/>
          <w:color w:val="222222"/>
          <w:sz w:val="24"/>
          <w:szCs w:val="24"/>
        </w:rPr>
        <w:t xml:space="preserve">   [Accessed 29 Nov. 2025].</w:t>
      </w:r>
    </w:p>
    <w:p w14:paraId="76C4D53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Farida, I. and Setiawan, D., 2022. Business strategies and competitive </w:t>
      </w:r>
      <w:proofErr w:type="gramStart"/>
      <w:r>
        <w:rPr>
          <w:rFonts w:ascii="Times New Roman" w:eastAsia="Times New Roman" w:hAnsi="Times New Roman" w:cs="Times New Roman"/>
          <w:color w:val="222222"/>
          <w:sz w:val="24"/>
          <w:szCs w:val="24"/>
        </w:rPr>
        <w:t>advantage</w:t>
      </w:r>
      <w:proofErr w:type="gramEnd"/>
      <w:r>
        <w:rPr>
          <w:rFonts w:ascii="Times New Roman" w:eastAsia="Times New Roman" w:hAnsi="Times New Roman" w:cs="Times New Roman"/>
          <w:color w:val="222222"/>
          <w:sz w:val="24"/>
          <w:szCs w:val="24"/>
        </w:rPr>
        <w:t xml:space="preserve">: the role of performance and innovation. </w:t>
      </w:r>
      <w:r>
        <w:rPr>
          <w:rFonts w:ascii="Times New Roman" w:eastAsia="Times New Roman" w:hAnsi="Times New Roman" w:cs="Times New Roman"/>
          <w:i/>
          <w:iCs/>
          <w:color w:val="222222"/>
          <w:sz w:val="24"/>
          <w:szCs w:val="24"/>
        </w:rPr>
        <w:t>Journal of open innovation: Technology, market, and complexity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8</w:t>
      </w:r>
      <w:r>
        <w:rPr>
          <w:rFonts w:ascii="Times New Roman" w:eastAsia="Times New Roman" w:hAnsi="Times New Roman" w:cs="Times New Roman"/>
          <w:color w:val="222222"/>
          <w:sz w:val="24"/>
          <w:szCs w:val="24"/>
        </w:rPr>
        <w:t>(3), p.163.</w:t>
      </w:r>
      <w:hyperlink r:id="rId22">
        <w:r>
          <w:rPr>
            <w:rFonts w:ascii="Times New Roman" w:eastAsia="Times New Roman" w:hAnsi="Times New Roman" w:cs="Times New Roman"/>
            <w:color w:val="222222"/>
            <w:sz w:val="24"/>
            <w:szCs w:val="24"/>
          </w:rPr>
          <w:t xml:space="preserve"> </w:t>
        </w:r>
      </w:hyperlink>
      <w:hyperlink r:id="rId23">
        <w:r>
          <w:rPr>
            <w:rFonts w:ascii="Times New Roman" w:eastAsia="Times New Roman" w:hAnsi="Times New Roman" w:cs="Times New Roman"/>
            <w:color w:val="1155CC"/>
            <w:sz w:val="24"/>
            <w:szCs w:val="24"/>
            <w:u w:val="single"/>
          </w:rPr>
          <w:t>https://www.sciencedirect.com/science/article/pii/S2199853122007648</w:t>
        </w:r>
      </w:hyperlink>
      <w:r>
        <w:rPr>
          <w:rFonts w:ascii="Times New Roman" w:eastAsia="Times New Roman" w:hAnsi="Times New Roman" w:cs="Times New Roman"/>
          <w:color w:val="222222"/>
          <w:sz w:val="24"/>
          <w:szCs w:val="24"/>
        </w:rPr>
        <w:t xml:space="preserve"> </w:t>
      </w:r>
    </w:p>
    <w:p w14:paraId="7834CEFC"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Gartner. (2025). </w:t>
      </w:r>
      <w:r>
        <w:rPr>
          <w:rFonts w:ascii="Times New Roman" w:eastAsia="Times New Roman" w:hAnsi="Times New Roman" w:cs="Times New Roman"/>
          <w:i/>
          <w:iCs/>
          <w:color w:val="222222"/>
          <w:sz w:val="24"/>
          <w:szCs w:val="24"/>
        </w:rPr>
        <w:t>The Future of Cloud Computing in 2027: From Technology to Business Innovation</w:t>
      </w:r>
      <w:r>
        <w:rPr>
          <w:rFonts w:ascii="Times New Roman" w:eastAsia="Times New Roman" w:hAnsi="Times New Roman" w:cs="Times New Roman"/>
          <w:color w:val="222222"/>
          <w:sz w:val="24"/>
          <w:szCs w:val="24"/>
        </w:rPr>
        <w:t>. [online] Available at:</w:t>
      </w:r>
      <w:hyperlink r:id="rId24">
        <w:r>
          <w:rPr>
            <w:rFonts w:ascii="Times New Roman" w:eastAsia="Times New Roman" w:hAnsi="Times New Roman" w:cs="Times New Roman"/>
            <w:color w:val="222222"/>
            <w:sz w:val="24"/>
            <w:szCs w:val="24"/>
          </w:rPr>
          <w:t xml:space="preserve"> </w:t>
        </w:r>
      </w:hyperlink>
      <w:hyperlink r:id="rId25">
        <w:r>
          <w:rPr>
            <w:rFonts w:ascii="Times New Roman" w:eastAsia="Times New Roman" w:hAnsi="Times New Roman" w:cs="Times New Roman"/>
            <w:color w:val="1155CC"/>
            <w:sz w:val="24"/>
            <w:szCs w:val="24"/>
            <w:u w:val="single"/>
          </w:rPr>
          <w:t>https://www.gartner.com/en/doc/768816-the-future-of-cloud-computing-in-2027-from-technology-to-business-innovation</w:t>
        </w:r>
      </w:hyperlink>
      <w:r>
        <w:rPr>
          <w:rFonts w:ascii="Times New Roman" w:eastAsia="Times New Roman" w:hAnsi="Times New Roman" w:cs="Times New Roman"/>
          <w:color w:val="222222"/>
          <w:sz w:val="24"/>
          <w:szCs w:val="24"/>
        </w:rPr>
        <w:t xml:space="preserve">. </w:t>
      </w:r>
    </w:p>
    <w:p w14:paraId="1CF58D50"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Gibson, K. (2024). </w:t>
      </w:r>
      <w:r>
        <w:rPr>
          <w:rFonts w:ascii="Times New Roman" w:eastAsia="Times New Roman" w:hAnsi="Times New Roman" w:cs="Times New Roman"/>
          <w:i/>
          <w:iCs/>
          <w:color w:val="222222"/>
          <w:sz w:val="24"/>
          <w:szCs w:val="24"/>
        </w:rPr>
        <w:t>The Role of Artificial Intelligence in Digital Transformation</w:t>
      </w:r>
      <w:r>
        <w:rPr>
          <w:rFonts w:ascii="Times New Roman" w:eastAsia="Times New Roman" w:hAnsi="Times New Roman" w:cs="Times New Roman"/>
          <w:color w:val="222222"/>
          <w:sz w:val="24"/>
          <w:szCs w:val="24"/>
        </w:rPr>
        <w:t>. [online] Business Insights Blog. Available at:</w:t>
      </w:r>
      <w:hyperlink r:id="rId26">
        <w:r>
          <w:rPr>
            <w:rFonts w:ascii="Times New Roman" w:eastAsia="Times New Roman" w:hAnsi="Times New Roman" w:cs="Times New Roman"/>
            <w:color w:val="222222"/>
            <w:sz w:val="24"/>
            <w:szCs w:val="24"/>
          </w:rPr>
          <w:t xml:space="preserve"> </w:t>
        </w:r>
      </w:hyperlink>
      <w:hyperlink r:id="rId27">
        <w:r>
          <w:rPr>
            <w:rFonts w:ascii="Times New Roman" w:eastAsia="Times New Roman" w:hAnsi="Times New Roman" w:cs="Times New Roman"/>
            <w:color w:val="1155CC"/>
            <w:sz w:val="24"/>
            <w:szCs w:val="24"/>
            <w:u w:val="single"/>
          </w:rPr>
          <w:t>https://online.hbs.edu/blog/post/ai-digital-transformation</w:t>
        </w:r>
      </w:hyperlink>
      <w:r>
        <w:rPr>
          <w:rFonts w:ascii="Times New Roman" w:eastAsia="Times New Roman" w:hAnsi="Times New Roman" w:cs="Times New Roman"/>
          <w:color w:val="222222"/>
          <w:sz w:val="24"/>
          <w:szCs w:val="24"/>
        </w:rPr>
        <w:t xml:space="preserve">. </w:t>
      </w:r>
    </w:p>
    <w:p w14:paraId="133B01F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IBEF (2025). </w:t>
      </w:r>
      <w:r>
        <w:rPr>
          <w:rFonts w:ascii="Times New Roman" w:eastAsia="Times New Roman" w:hAnsi="Times New Roman" w:cs="Times New Roman"/>
          <w:i/>
          <w:iCs/>
          <w:color w:val="222222"/>
          <w:sz w:val="24"/>
          <w:szCs w:val="24"/>
        </w:rPr>
        <w:t>IT &amp; BPM Industry in India: Market Size, Opportunities, Growth, Report | IBEF</w:t>
      </w:r>
      <w:r>
        <w:rPr>
          <w:rFonts w:ascii="Times New Roman" w:eastAsia="Times New Roman" w:hAnsi="Times New Roman" w:cs="Times New Roman"/>
          <w:color w:val="222222"/>
          <w:sz w:val="24"/>
          <w:szCs w:val="24"/>
        </w:rPr>
        <w:t>. [online] www.ibef.org. Available at:</w:t>
      </w:r>
      <w:hyperlink r:id="rId28">
        <w:r>
          <w:rPr>
            <w:rFonts w:ascii="Times New Roman" w:eastAsia="Times New Roman" w:hAnsi="Times New Roman" w:cs="Times New Roman"/>
            <w:color w:val="222222"/>
            <w:sz w:val="24"/>
            <w:szCs w:val="24"/>
          </w:rPr>
          <w:t xml:space="preserve"> </w:t>
        </w:r>
      </w:hyperlink>
      <w:hyperlink r:id="rId29">
        <w:r>
          <w:rPr>
            <w:rFonts w:ascii="Times New Roman" w:eastAsia="Times New Roman" w:hAnsi="Times New Roman" w:cs="Times New Roman"/>
            <w:color w:val="1155CC"/>
            <w:sz w:val="24"/>
            <w:szCs w:val="24"/>
            <w:u w:val="single"/>
          </w:rPr>
          <w:t>https://www.ibef.org/industry/information-technology-india</w:t>
        </w:r>
      </w:hyperlink>
      <w:r>
        <w:rPr>
          <w:rFonts w:ascii="Times New Roman" w:eastAsia="Times New Roman" w:hAnsi="Times New Roman" w:cs="Times New Roman"/>
          <w:color w:val="222222"/>
          <w:sz w:val="24"/>
          <w:szCs w:val="24"/>
        </w:rPr>
        <w:t xml:space="preserve">. </w:t>
      </w:r>
    </w:p>
    <w:p w14:paraId="59C73AA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Imarc</w:t>
      </w:r>
      <w:proofErr w:type="spellEnd"/>
      <w:r>
        <w:rPr>
          <w:rFonts w:ascii="Times New Roman" w:eastAsia="Times New Roman" w:hAnsi="Times New Roman" w:cs="Times New Roman"/>
          <w:color w:val="222222"/>
          <w:sz w:val="24"/>
          <w:szCs w:val="24"/>
        </w:rPr>
        <w:t xml:space="preserve"> group (2023). </w:t>
      </w:r>
      <w:r>
        <w:rPr>
          <w:rFonts w:ascii="Times New Roman" w:eastAsia="Times New Roman" w:hAnsi="Times New Roman" w:cs="Times New Roman"/>
          <w:i/>
          <w:iCs/>
          <w:color w:val="222222"/>
          <w:sz w:val="24"/>
          <w:szCs w:val="24"/>
        </w:rPr>
        <w:t>IT Services Market Size, Trends, Growth Analysis 2023-28</w:t>
      </w:r>
      <w:r>
        <w:rPr>
          <w:rFonts w:ascii="Times New Roman" w:eastAsia="Times New Roman" w:hAnsi="Times New Roman" w:cs="Times New Roman"/>
          <w:color w:val="222222"/>
          <w:sz w:val="24"/>
          <w:szCs w:val="24"/>
        </w:rPr>
        <w:t>. [online] www.imarcgroup.com. Available at:</w:t>
      </w:r>
      <w:hyperlink r:id="rId30">
        <w:r>
          <w:rPr>
            <w:rFonts w:ascii="Times New Roman" w:eastAsia="Times New Roman" w:hAnsi="Times New Roman" w:cs="Times New Roman"/>
            <w:color w:val="222222"/>
            <w:sz w:val="24"/>
            <w:szCs w:val="24"/>
          </w:rPr>
          <w:t xml:space="preserve"> </w:t>
        </w:r>
      </w:hyperlink>
      <w:hyperlink r:id="rId31">
        <w:r>
          <w:rPr>
            <w:rFonts w:ascii="Times New Roman" w:eastAsia="Times New Roman" w:hAnsi="Times New Roman" w:cs="Times New Roman"/>
            <w:color w:val="1155CC"/>
            <w:sz w:val="24"/>
            <w:szCs w:val="24"/>
            <w:u w:val="single"/>
          </w:rPr>
          <w:t>https://www.imarcgroup.com/it-services-market</w:t>
        </w:r>
      </w:hyperlink>
      <w:r>
        <w:rPr>
          <w:rFonts w:ascii="Times New Roman" w:eastAsia="Times New Roman" w:hAnsi="Times New Roman" w:cs="Times New Roman"/>
          <w:color w:val="222222"/>
          <w:sz w:val="24"/>
          <w:szCs w:val="24"/>
        </w:rPr>
        <w:t xml:space="preserve">. </w:t>
      </w:r>
    </w:p>
    <w:p w14:paraId="4B21A49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India (2025a). </w:t>
      </w:r>
      <w:r>
        <w:rPr>
          <w:rFonts w:ascii="Times New Roman" w:eastAsia="Times New Roman" w:hAnsi="Times New Roman" w:cs="Times New Roman"/>
          <w:i/>
          <w:iCs/>
          <w:color w:val="222222"/>
          <w:sz w:val="24"/>
          <w:szCs w:val="24"/>
        </w:rPr>
        <w:t>Rishad Premji flags unchanged IT outlook, focuses on AI push</w:t>
      </w:r>
      <w:r>
        <w:rPr>
          <w:rFonts w:ascii="Times New Roman" w:eastAsia="Times New Roman" w:hAnsi="Times New Roman" w:cs="Times New Roman"/>
          <w:color w:val="222222"/>
          <w:sz w:val="24"/>
          <w:szCs w:val="24"/>
        </w:rPr>
        <w:t>. [online] The Times of India. Available at:</w:t>
      </w:r>
      <w:hyperlink r:id="rId32">
        <w:r>
          <w:rPr>
            <w:rFonts w:ascii="Times New Roman" w:eastAsia="Times New Roman" w:hAnsi="Times New Roman" w:cs="Times New Roman"/>
            <w:color w:val="222222"/>
            <w:sz w:val="24"/>
            <w:szCs w:val="24"/>
          </w:rPr>
          <w:t xml:space="preserve"> </w:t>
        </w:r>
      </w:hyperlink>
      <w:hyperlink r:id="rId33">
        <w:r>
          <w:rPr>
            <w:rFonts w:ascii="Times New Roman" w:eastAsia="Times New Roman" w:hAnsi="Times New Roman" w:cs="Times New Roman"/>
            <w:color w:val="1155CC"/>
            <w:sz w:val="24"/>
            <w:szCs w:val="24"/>
            <w:u w:val="single"/>
          </w:rPr>
          <w:t>https://timesofindia.indiatimes.com/city/bengaluru/rishad-premji-flags-unchanged-it-outlook-focuses-on-ai-push/articleshow/122589825.cms</w:t>
        </w:r>
      </w:hyperlink>
      <w:r>
        <w:rPr>
          <w:rFonts w:ascii="Times New Roman" w:eastAsia="Times New Roman" w:hAnsi="Times New Roman" w:cs="Times New Roman"/>
          <w:color w:val="222222"/>
          <w:sz w:val="24"/>
          <w:szCs w:val="24"/>
        </w:rPr>
        <w:t xml:space="preserve">. </w:t>
      </w:r>
    </w:p>
    <w:p w14:paraId="64B3BD6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India, T.O. (2025b). </w:t>
      </w:r>
      <w:r>
        <w:rPr>
          <w:rFonts w:ascii="Times New Roman" w:eastAsia="Times New Roman" w:hAnsi="Times New Roman" w:cs="Times New Roman"/>
          <w:i/>
          <w:iCs/>
          <w:color w:val="222222"/>
          <w:sz w:val="24"/>
          <w:szCs w:val="24"/>
        </w:rPr>
        <w:t>Wipro revises capital allocation policy</w:t>
      </w:r>
      <w:r>
        <w:rPr>
          <w:rFonts w:ascii="Times New Roman" w:eastAsia="Times New Roman" w:hAnsi="Times New Roman" w:cs="Times New Roman"/>
          <w:color w:val="222222"/>
          <w:sz w:val="24"/>
          <w:szCs w:val="24"/>
        </w:rPr>
        <w:t>. [online] The Times of India. Available at:</w:t>
      </w:r>
      <w:hyperlink r:id="rId34">
        <w:r>
          <w:rPr>
            <w:rFonts w:ascii="Times New Roman" w:eastAsia="Times New Roman" w:hAnsi="Times New Roman" w:cs="Times New Roman"/>
            <w:color w:val="222222"/>
            <w:sz w:val="24"/>
            <w:szCs w:val="24"/>
          </w:rPr>
          <w:t xml:space="preserve"> </w:t>
        </w:r>
      </w:hyperlink>
      <w:hyperlink r:id="rId35">
        <w:r>
          <w:rPr>
            <w:rFonts w:ascii="Times New Roman" w:eastAsia="Times New Roman" w:hAnsi="Times New Roman" w:cs="Times New Roman"/>
            <w:color w:val="1155CC"/>
            <w:sz w:val="24"/>
            <w:szCs w:val="24"/>
            <w:u w:val="single"/>
          </w:rPr>
          <w:t>https://timesofindia.indiatimes.com/city/bengaluru/wipro-revises-capital-allocation-policy/articleshow/122031851.cms</w:t>
        </w:r>
      </w:hyperlink>
      <w:r>
        <w:rPr>
          <w:rFonts w:ascii="Times New Roman" w:eastAsia="Times New Roman" w:hAnsi="Times New Roman" w:cs="Times New Roman"/>
          <w:color w:val="222222"/>
          <w:sz w:val="24"/>
          <w:szCs w:val="24"/>
        </w:rPr>
        <w:t xml:space="preserve">  [Accessed 29 Nov. 2025].</w:t>
      </w:r>
    </w:p>
    <w:p w14:paraId="5E75C0A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Jarzębowski, S., Bozhenko, V., Didorenko, K., Tkachenko, O., Blyznyukov, A., Melnyk, M. and Cieslik, J., 2024. The impact of </w:t>
      </w:r>
      <w:proofErr w:type="spellStart"/>
      <w:r>
        <w:rPr>
          <w:rFonts w:ascii="Times New Roman" w:eastAsia="Times New Roman" w:hAnsi="Times New Roman" w:cs="Times New Roman"/>
          <w:color w:val="222222"/>
          <w:sz w:val="24"/>
          <w:szCs w:val="24"/>
        </w:rPr>
        <w:t>digitalisation</w:t>
      </w:r>
      <w:proofErr w:type="spellEnd"/>
      <w:r>
        <w:rPr>
          <w:rFonts w:ascii="Times New Roman" w:eastAsia="Times New Roman" w:hAnsi="Times New Roman" w:cs="Times New Roman"/>
          <w:color w:val="222222"/>
          <w:sz w:val="24"/>
          <w:szCs w:val="24"/>
        </w:rPr>
        <w:t xml:space="preserve"> on the competitiveness of European countries. </w:t>
      </w:r>
      <w:proofErr w:type="spellStart"/>
      <w:r>
        <w:rPr>
          <w:rFonts w:ascii="Times New Roman" w:eastAsia="Times New Roman" w:hAnsi="Times New Roman" w:cs="Times New Roman"/>
          <w:color w:val="222222"/>
          <w:sz w:val="24"/>
          <w:szCs w:val="24"/>
        </w:rPr>
        <w:t>SocioEconomic</w:t>
      </w:r>
      <w:proofErr w:type="spellEnd"/>
      <w:r>
        <w:rPr>
          <w:rFonts w:ascii="Times New Roman" w:eastAsia="Times New Roman" w:hAnsi="Times New Roman" w:cs="Times New Roman"/>
          <w:color w:val="222222"/>
          <w:sz w:val="24"/>
          <w:szCs w:val="24"/>
        </w:rPr>
        <w:t xml:space="preserve"> Challenges, 8(3), pp.238-261.</w:t>
      </w:r>
      <w:hyperlink r:id="rId36">
        <w:r>
          <w:rPr>
            <w:rFonts w:ascii="Times New Roman" w:eastAsia="Times New Roman" w:hAnsi="Times New Roman" w:cs="Times New Roman"/>
            <w:color w:val="222222"/>
            <w:sz w:val="24"/>
            <w:szCs w:val="24"/>
          </w:rPr>
          <w:t xml:space="preserve"> </w:t>
        </w:r>
      </w:hyperlink>
      <w:hyperlink r:id="rId37">
        <w:r>
          <w:rPr>
            <w:rFonts w:ascii="Times New Roman" w:eastAsia="Times New Roman" w:hAnsi="Times New Roman" w:cs="Times New Roman"/>
            <w:color w:val="1155CC"/>
            <w:sz w:val="24"/>
            <w:szCs w:val="24"/>
            <w:u w:val="single"/>
          </w:rPr>
          <w:t>https://armgpublishing.com/wp-content/uploads/2024/10/SEC_3_2024_15.pdf</w:t>
        </w:r>
      </w:hyperlink>
      <w:r>
        <w:rPr>
          <w:rFonts w:ascii="Times New Roman" w:eastAsia="Times New Roman" w:hAnsi="Times New Roman" w:cs="Times New Roman"/>
          <w:color w:val="222222"/>
          <w:sz w:val="24"/>
          <w:szCs w:val="24"/>
        </w:rPr>
        <w:t xml:space="preserve"> </w:t>
      </w:r>
    </w:p>
    <w:p w14:paraId="666CB54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Jha, N.K., 2024. The Impact of Fundamental Analysis in the IT Industry before Investing: A Comparative Study on Wipro, TCS, and Infosys. International Journal of Science and Research (IJSR), 13(1).</w:t>
      </w:r>
      <w:hyperlink r:id="rId38">
        <w:r>
          <w:rPr>
            <w:rFonts w:ascii="Times New Roman" w:eastAsia="Times New Roman" w:hAnsi="Times New Roman" w:cs="Times New Roman"/>
            <w:color w:val="222222"/>
            <w:sz w:val="24"/>
            <w:szCs w:val="24"/>
          </w:rPr>
          <w:t xml:space="preserve"> </w:t>
        </w:r>
      </w:hyperlink>
      <w:hyperlink r:id="rId39">
        <w:r>
          <w:rPr>
            <w:rFonts w:ascii="Times New Roman" w:eastAsia="Times New Roman" w:hAnsi="Times New Roman" w:cs="Times New Roman"/>
            <w:color w:val="1155CC"/>
            <w:sz w:val="24"/>
            <w:szCs w:val="24"/>
            <w:u w:val="single"/>
          </w:rPr>
          <w:t>https://www.researchgate.net/profile/Nitesh-Kumar-Jha-3/publication/378129190_The_Impact_of_Fundamental_Analysis_in_the_IT_Industry_before_Investing_A_Comparative_Study_on_Wipro_TCS_and_Infosys/links/65c870151e1ec12eff807db1/The-Impact-of-Fundamental-Analysis-in-the-IT-Industry-before-Investing-A-Comparative-Study-on-Wipro-TCS-and-Infosys.pdf</w:t>
        </w:r>
      </w:hyperlink>
      <w:r>
        <w:rPr>
          <w:rFonts w:ascii="Times New Roman" w:eastAsia="Times New Roman" w:hAnsi="Times New Roman" w:cs="Times New Roman"/>
          <w:color w:val="222222"/>
          <w:sz w:val="24"/>
          <w:szCs w:val="24"/>
        </w:rPr>
        <w:t xml:space="preserve"> </w:t>
      </w:r>
    </w:p>
    <w:p w14:paraId="7372A91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Joswig, T. and Kurz, W., 2025. Regulatory and Compliance Requirements for SMEs Operating AI Systems through Data Centers in the EU, with a Focus on Data Protection Challenges in Germany. Journal of Next-Generation Research 5.0.</w:t>
      </w:r>
      <w:hyperlink r:id="rId40">
        <w:r>
          <w:rPr>
            <w:rFonts w:ascii="Times New Roman" w:eastAsia="Times New Roman" w:hAnsi="Times New Roman" w:cs="Times New Roman"/>
            <w:color w:val="222222"/>
            <w:sz w:val="24"/>
            <w:szCs w:val="24"/>
          </w:rPr>
          <w:t xml:space="preserve"> </w:t>
        </w:r>
      </w:hyperlink>
      <w:hyperlink r:id="rId41">
        <w:r>
          <w:rPr>
            <w:rFonts w:ascii="Times New Roman" w:eastAsia="Times New Roman" w:hAnsi="Times New Roman" w:cs="Times New Roman"/>
            <w:color w:val="1155CC"/>
            <w:sz w:val="24"/>
            <w:szCs w:val="24"/>
            <w:u w:val="single"/>
          </w:rPr>
          <w:t>https://jngr5.com/index.php/journal-of-next-generation-resea/article/download/89/69</w:t>
        </w:r>
      </w:hyperlink>
      <w:r>
        <w:rPr>
          <w:rFonts w:ascii="Times New Roman" w:eastAsia="Times New Roman" w:hAnsi="Times New Roman" w:cs="Times New Roman"/>
          <w:color w:val="222222"/>
          <w:sz w:val="24"/>
          <w:szCs w:val="24"/>
        </w:rPr>
        <w:t xml:space="preserve"> </w:t>
      </w:r>
    </w:p>
    <w:p w14:paraId="10CD20A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Ke, T.T. and Sudhir, K., 2023. Privacy rights and data security: GDPR and personal data markets. Management Science, 69(8), pp.4389-4412.</w:t>
      </w:r>
      <w:hyperlink r:id="rId42">
        <w:r>
          <w:rPr>
            <w:rFonts w:ascii="Times New Roman" w:eastAsia="Times New Roman" w:hAnsi="Times New Roman" w:cs="Times New Roman"/>
            <w:color w:val="222222"/>
            <w:sz w:val="24"/>
            <w:szCs w:val="24"/>
          </w:rPr>
          <w:t xml:space="preserve"> </w:t>
        </w:r>
      </w:hyperlink>
      <w:hyperlink r:id="rId43">
        <w:r>
          <w:rPr>
            <w:rFonts w:ascii="Times New Roman" w:eastAsia="Times New Roman" w:hAnsi="Times New Roman" w:cs="Times New Roman"/>
            <w:color w:val="1155CC"/>
            <w:sz w:val="24"/>
            <w:szCs w:val="24"/>
            <w:u w:val="single"/>
          </w:rPr>
          <w:t>https://papers.ssrn.com/sol3/Delivery.cfm?abstractid=3643979</w:t>
        </w:r>
      </w:hyperlink>
      <w:r>
        <w:rPr>
          <w:rFonts w:ascii="Times New Roman" w:eastAsia="Times New Roman" w:hAnsi="Times New Roman" w:cs="Times New Roman"/>
          <w:color w:val="222222"/>
          <w:sz w:val="24"/>
          <w:szCs w:val="24"/>
        </w:rPr>
        <w:t xml:space="preserve">  </w:t>
      </w:r>
    </w:p>
    <w:p w14:paraId="286AB675"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Kolte, A., Pawar, A., Rossi, M. and Rasal, D., 2022. </w:t>
      </w:r>
      <w:proofErr w:type="spellStart"/>
      <w:r>
        <w:rPr>
          <w:rFonts w:ascii="Times New Roman" w:eastAsia="Times New Roman" w:hAnsi="Times New Roman" w:cs="Times New Roman"/>
          <w:color w:val="222222"/>
          <w:sz w:val="24"/>
          <w:szCs w:val="24"/>
        </w:rPr>
        <w:t>Analysing</w:t>
      </w:r>
      <w:proofErr w:type="spellEnd"/>
      <w:r>
        <w:rPr>
          <w:rFonts w:ascii="Times New Roman" w:eastAsia="Times New Roman" w:hAnsi="Times New Roman" w:cs="Times New Roman"/>
          <w:color w:val="222222"/>
          <w:sz w:val="24"/>
          <w:szCs w:val="24"/>
        </w:rPr>
        <w:t xml:space="preserve"> the financial state of selected Indian information technology companies: the assessment towards foreseeing the future of industry. International Journal of Intellectual Property Management, 12(3), pp.281-304.</w:t>
      </w:r>
      <w:hyperlink r:id="rId44">
        <w:r>
          <w:rPr>
            <w:rFonts w:ascii="Times New Roman" w:eastAsia="Times New Roman" w:hAnsi="Times New Roman" w:cs="Times New Roman"/>
            <w:color w:val="222222"/>
            <w:sz w:val="24"/>
            <w:szCs w:val="24"/>
          </w:rPr>
          <w:t xml:space="preserve"> </w:t>
        </w:r>
      </w:hyperlink>
      <w:hyperlink r:id="rId45">
        <w:r>
          <w:rPr>
            <w:rFonts w:ascii="Times New Roman" w:eastAsia="Times New Roman" w:hAnsi="Times New Roman" w:cs="Times New Roman"/>
            <w:color w:val="1155CC"/>
            <w:sz w:val="24"/>
            <w:szCs w:val="24"/>
            <w:u w:val="single"/>
          </w:rPr>
          <w:t>https://www.researchgate.net/profile/Ashutosh-Kolte/publication/343651920_Analysing_the_Financial_State_of_Selected_Indian_Information_Technology_Companies_The_Assessment_towards_Foreseeing_the_Future_of_Industry/links/5fd66426a6fdccdcb8c47a4e/Analysing-the-Financial-State-of-Selected-Indian-Information-Technology-Companies-The-Assessment-towards-Foreseeing-the-Future-of-Industry.pdf</w:t>
        </w:r>
      </w:hyperlink>
      <w:r>
        <w:rPr>
          <w:rFonts w:ascii="Times New Roman" w:eastAsia="Times New Roman" w:hAnsi="Times New Roman" w:cs="Times New Roman"/>
          <w:color w:val="222222"/>
          <w:sz w:val="24"/>
          <w:szCs w:val="24"/>
        </w:rPr>
        <w:t xml:space="preserve"> </w:t>
      </w:r>
    </w:p>
    <w:p w14:paraId="20E66FC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Krakowski, S., Luger, J. and Raisch, S., 2023. Artificial intelligence and the changing sources of competitive advantage. </w:t>
      </w:r>
      <w:r>
        <w:rPr>
          <w:rFonts w:ascii="Times New Roman" w:eastAsia="Times New Roman" w:hAnsi="Times New Roman" w:cs="Times New Roman"/>
          <w:i/>
          <w:iCs/>
          <w:color w:val="222222"/>
          <w:sz w:val="24"/>
          <w:szCs w:val="24"/>
        </w:rPr>
        <w:t>Strategic Management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44</w:t>
      </w:r>
      <w:r>
        <w:rPr>
          <w:rFonts w:ascii="Times New Roman" w:eastAsia="Times New Roman" w:hAnsi="Times New Roman" w:cs="Times New Roman"/>
          <w:color w:val="222222"/>
          <w:sz w:val="24"/>
          <w:szCs w:val="24"/>
        </w:rPr>
        <w:t>(6), pp.1425-1452.</w:t>
      </w:r>
      <w:hyperlink r:id="rId46">
        <w:r>
          <w:rPr>
            <w:rFonts w:ascii="Times New Roman" w:eastAsia="Times New Roman" w:hAnsi="Times New Roman" w:cs="Times New Roman"/>
            <w:color w:val="222222"/>
            <w:sz w:val="24"/>
            <w:szCs w:val="24"/>
          </w:rPr>
          <w:t xml:space="preserve"> </w:t>
        </w:r>
      </w:hyperlink>
      <w:hyperlink r:id="rId47">
        <w:r>
          <w:rPr>
            <w:rFonts w:ascii="Times New Roman" w:eastAsia="Times New Roman" w:hAnsi="Times New Roman" w:cs="Times New Roman"/>
            <w:color w:val="1155CC"/>
            <w:sz w:val="24"/>
            <w:szCs w:val="24"/>
            <w:u w:val="single"/>
          </w:rPr>
          <w:t>https://sms.onlinelibrary.wiley.com/doi/pdfdirect/10.1002/smj.3387</w:t>
        </w:r>
      </w:hyperlink>
      <w:r>
        <w:rPr>
          <w:rFonts w:ascii="Times New Roman" w:eastAsia="Times New Roman" w:hAnsi="Times New Roman" w:cs="Times New Roman"/>
          <w:color w:val="222222"/>
          <w:sz w:val="24"/>
          <w:szCs w:val="24"/>
        </w:rPr>
        <w:t xml:space="preserve"> </w:t>
      </w:r>
    </w:p>
    <w:p w14:paraId="435B3E3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Lasserre, P. and Monteiro, F., 2022. </w:t>
      </w:r>
      <w:r>
        <w:rPr>
          <w:rFonts w:ascii="Times New Roman" w:eastAsia="Times New Roman" w:hAnsi="Times New Roman" w:cs="Times New Roman"/>
          <w:i/>
          <w:iCs/>
          <w:color w:val="222222"/>
          <w:sz w:val="24"/>
          <w:szCs w:val="24"/>
        </w:rPr>
        <w:t>Global strategic management</w:t>
      </w:r>
      <w:r>
        <w:rPr>
          <w:rFonts w:ascii="Times New Roman" w:eastAsia="Times New Roman" w:hAnsi="Times New Roman" w:cs="Times New Roman"/>
          <w:color w:val="222222"/>
          <w:sz w:val="24"/>
          <w:szCs w:val="24"/>
        </w:rPr>
        <w:t>. Bloomsbury Publishing.</w:t>
      </w:r>
      <w:hyperlink r:id="rId48">
        <w:r>
          <w:rPr>
            <w:rFonts w:ascii="Times New Roman" w:eastAsia="Times New Roman" w:hAnsi="Times New Roman" w:cs="Times New Roman"/>
            <w:color w:val="222222"/>
            <w:sz w:val="24"/>
            <w:szCs w:val="24"/>
          </w:rPr>
          <w:t xml:space="preserve"> </w:t>
        </w:r>
      </w:hyperlink>
      <w:hyperlink r:id="rId49">
        <w:r>
          <w:rPr>
            <w:rFonts w:ascii="Times New Roman" w:eastAsia="Times New Roman" w:hAnsi="Times New Roman" w:cs="Times New Roman"/>
            <w:color w:val="1155CC"/>
            <w:sz w:val="24"/>
            <w:szCs w:val="24"/>
            <w:u w:val="single"/>
          </w:rPr>
          <w:t>https://gsom.spbu.ru/files/upload/master_program/materials/international_business_strategy/lasserre_globalisation_indices.pdf</w:t>
        </w:r>
      </w:hyperlink>
      <w:r>
        <w:rPr>
          <w:rFonts w:ascii="Times New Roman" w:eastAsia="Times New Roman" w:hAnsi="Times New Roman" w:cs="Times New Roman"/>
          <w:color w:val="222222"/>
          <w:sz w:val="24"/>
          <w:szCs w:val="24"/>
        </w:rPr>
        <w:t xml:space="preserve"> </w:t>
      </w:r>
    </w:p>
    <w:p w14:paraId="1E6EE022"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Leading with Resilience and Responsibility. (2023). Available at:</w:t>
      </w:r>
      <w:hyperlink r:id="rId50">
        <w:r>
          <w:rPr>
            <w:rFonts w:ascii="Times New Roman" w:eastAsia="Times New Roman" w:hAnsi="Times New Roman" w:cs="Times New Roman"/>
            <w:color w:val="222222"/>
            <w:sz w:val="24"/>
            <w:szCs w:val="24"/>
          </w:rPr>
          <w:t xml:space="preserve"> </w:t>
        </w:r>
      </w:hyperlink>
      <w:hyperlink r:id="rId51">
        <w:r>
          <w:rPr>
            <w:rFonts w:ascii="Times New Roman" w:eastAsia="Times New Roman" w:hAnsi="Times New Roman" w:cs="Times New Roman"/>
            <w:color w:val="1155CC"/>
            <w:sz w:val="24"/>
            <w:szCs w:val="24"/>
            <w:u w:val="single"/>
          </w:rPr>
          <w:t>https://www.wipro.com/content/dam/nexus/en/sustainability/sustainability_reports/wipro-sustainability-report-fy-2023-2024.pdf</w:t>
        </w:r>
      </w:hyperlink>
      <w:r>
        <w:rPr>
          <w:rFonts w:ascii="Times New Roman" w:eastAsia="Times New Roman" w:hAnsi="Times New Roman" w:cs="Times New Roman"/>
          <w:color w:val="222222"/>
          <w:sz w:val="24"/>
          <w:szCs w:val="24"/>
        </w:rPr>
        <w:t xml:space="preserve">. </w:t>
      </w:r>
    </w:p>
    <w:p w14:paraId="1E994083"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Mohsen, B.M., 2023. Developments of digital technologies related to supply chain management. Procedia Computer Science, 220, pp.788-795.</w:t>
      </w:r>
      <w:hyperlink r:id="rId52">
        <w:r>
          <w:rPr>
            <w:rFonts w:ascii="Times New Roman" w:eastAsia="Times New Roman" w:hAnsi="Times New Roman" w:cs="Times New Roman"/>
            <w:color w:val="222222"/>
            <w:sz w:val="24"/>
            <w:szCs w:val="24"/>
          </w:rPr>
          <w:t xml:space="preserve"> </w:t>
        </w:r>
      </w:hyperlink>
      <w:hyperlink r:id="rId53">
        <w:r>
          <w:rPr>
            <w:rFonts w:ascii="Times New Roman" w:eastAsia="Times New Roman" w:hAnsi="Times New Roman" w:cs="Times New Roman"/>
            <w:color w:val="1155CC"/>
            <w:sz w:val="24"/>
            <w:szCs w:val="24"/>
            <w:u w:val="single"/>
          </w:rPr>
          <w:t>https://www.sciencedirect.com/science/article/pii/S1877050923006403/pdf?md5=88daa5efd9bda8f590e3a9b2c6f3f76b&amp;pid=1-s2.0-S1877050923006403-main.pdf</w:t>
        </w:r>
      </w:hyperlink>
      <w:r>
        <w:rPr>
          <w:rFonts w:ascii="Times New Roman" w:eastAsia="Times New Roman" w:hAnsi="Times New Roman" w:cs="Times New Roman"/>
          <w:color w:val="222222"/>
          <w:sz w:val="24"/>
          <w:szCs w:val="24"/>
        </w:rPr>
        <w:t xml:space="preserve"> </w:t>
      </w:r>
    </w:p>
    <w:p w14:paraId="784C91FE"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lastRenderedPageBreak/>
        <w:t>Namadi</w:t>
      </w:r>
      <w:proofErr w:type="spellEnd"/>
      <w:r>
        <w:rPr>
          <w:rFonts w:ascii="Times New Roman" w:eastAsia="Times New Roman" w:hAnsi="Times New Roman" w:cs="Times New Roman"/>
          <w:color w:val="222222"/>
          <w:sz w:val="24"/>
          <w:szCs w:val="24"/>
        </w:rPr>
        <w:t>, S., 2023. Strategic Management of Outsourcing Balancing Profitability and Cost Control in Corporate Operations. Journal of Business and Economic Options, 6(4), pp.28-35.</w:t>
      </w:r>
      <w:hyperlink r:id="rId54">
        <w:r>
          <w:rPr>
            <w:rFonts w:ascii="Times New Roman" w:eastAsia="Times New Roman" w:hAnsi="Times New Roman" w:cs="Times New Roman"/>
            <w:color w:val="222222"/>
            <w:sz w:val="24"/>
            <w:szCs w:val="24"/>
          </w:rPr>
          <w:t xml:space="preserve"> </w:t>
        </w:r>
      </w:hyperlink>
      <w:hyperlink r:id="rId55">
        <w:r>
          <w:rPr>
            <w:rFonts w:ascii="Times New Roman" w:eastAsia="Times New Roman" w:hAnsi="Times New Roman" w:cs="Times New Roman"/>
            <w:color w:val="1155CC"/>
            <w:sz w:val="24"/>
            <w:szCs w:val="24"/>
            <w:u w:val="single"/>
          </w:rPr>
          <w:t>https://resdojournals.com/index.php/jbeo/article/download/247/232</w:t>
        </w:r>
      </w:hyperlink>
      <w:r>
        <w:rPr>
          <w:rFonts w:ascii="Times New Roman" w:eastAsia="Times New Roman" w:hAnsi="Times New Roman" w:cs="Times New Roman"/>
          <w:color w:val="222222"/>
          <w:sz w:val="24"/>
          <w:szCs w:val="24"/>
        </w:rPr>
        <w:t xml:space="preserve">  </w:t>
      </w:r>
    </w:p>
    <w:p w14:paraId="2C89A42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Ormston, A. (2025). </w:t>
      </w:r>
      <w:r>
        <w:rPr>
          <w:rFonts w:ascii="Times New Roman" w:eastAsia="Times New Roman" w:hAnsi="Times New Roman" w:cs="Times New Roman"/>
          <w:i/>
          <w:iCs/>
          <w:color w:val="222222"/>
          <w:sz w:val="24"/>
          <w:szCs w:val="24"/>
        </w:rPr>
        <w:t>PESTLE Analysis: A Guide to Understanding Market Influences</w:t>
      </w:r>
      <w:r>
        <w:rPr>
          <w:rFonts w:ascii="Times New Roman" w:eastAsia="Times New Roman" w:hAnsi="Times New Roman" w:cs="Times New Roman"/>
          <w:color w:val="222222"/>
          <w:sz w:val="24"/>
          <w:szCs w:val="24"/>
        </w:rPr>
        <w:t>. [online] B2B International. Available at:</w:t>
      </w:r>
      <w:hyperlink r:id="rId56">
        <w:r>
          <w:rPr>
            <w:rFonts w:ascii="Times New Roman" w:eastAsia="Times New Roman" w:hAnsi="Times New Roman" w:cs="Times New Roman"/>
            <w:color w:val="222222"/>
            <w:sz w:val="24"/>
            <w:szCs w:val="24"/>
          </w:rPr>
          <w:t xml:space="preserve"> </w:t>
        </w:r>
      </w:hyperlink>
      <w:hyperlink r:id="rId57">
        <w:r>
          <w:rPr>
            <w:rFonts w:ascii="Times New Roman" w:eastAsia="Times New Roman" w:hAnsi="Times New Roman" w:cs="Times New Roman"/>
            <w:color w:val="1155CC"/>
            <w:sz w:val="24"/>
            <w:szCs w:val="24"/>
            <w:u w:val="single"/>
          </w:rPr>
          <w:t>https://www.b2binternational.com/2025/04/03/pestle-analysis/</w:t>
        </w:r>
      </w:hyperlink>
      <w:r>
        <w:rPr>
          <w:rFonts w:ascii="Times New Roman" w:eastAsia="Times New Roman" w:hAnsi="Times New Roman" w:cs="Times New Roman"/>
          <w:color w:val="222222"/>
          <w:sz w:val="24"/>
          <w:szCs w:val="24"/>
        </w:rPr>
        <w:t xml:space="preserve">. </w:t>
      </w:r>
    </w:p>
    <w:p w14:paraId="376B2EC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Oxford College of Marketing (2023). </w:t>
      </w:r>
      <w:r>
        <w:rPr>
          <w:rFonts w:ascii="Times New Roman" w:eastAsia="Times New Roman" w:hAnsi="Times New Roman" w:cs="Times New Roman"/>
          <w:i/>
          <w:iCs/>
          <w:color w:val="222222"/>
          <w:sz w:val="24"/>
          <w:szCs w:val="24"/>
        </w:rPr>
        <w:t>Using The Ansoff Matrix to Develop Marketing Strategy</w:t>
      </w:r>
      <w:r>
        <w:rPr>
          <w:rFonts w:ascii="Times New Roman" w:eastAsia="Times New Roman" w:hAnsi="Times New Roman" w:cs="Times New Roman"/>
          <w:color w:val="222222"/>
          <w:sz w:val="24"/>
          <w:szCs w:val="24"/>
        </w:rPr>
        <w:t>. [online] Oxford College of Marketing. Available at:</w:t>
      </w:r>
      <w:hyperlink r:id="rId58">
        <w:r>
          <w:rPr>
            <w:rFonts w:ascii="Times New Roman" w:eastAsia="Times New Roman" w:hAnsi="Times New Roman" w:cs="Times New Roman"/>
            <w:color w:val="222222"/>
            <w:sz w:val="24"/>
            <w:szCs w:val="24"/>
          </w:rPr>
          <w:t xml:space="preserve"> </w:t>
        </w:r>
      </w:hyperlink>
      <w:hyperlink r:id="rId59">
        <w:r>
          <w:rPr>
            <w:rFonts w:ascii="Times New Roman" w:eastAsia="Times New Roman" w:hAnsi="Times New Roman" w:cs="Times New Roman"/>
            <w:color w:val="1155CC"/>
            <w:sz w:val="24"/>
            <w:szCs w:val="24"/>
            <w:u w:val="single"/>
          </w:rPr>
          <w:t>https://blog.oxfordcollegeofmarketing.com/2016/08/01/using-ansoff-matrix-develop-marketing-strategy/</w:t>
        </w:r>
      </w:hyperlink>
      <w:r>
        <w:rPr>
          <w:rFonts w:ascii="Times New Roman" w:eastAsia="Times New Roman" w:hAnsi="Times New Roman" w:cs="Times New Roman"/>
          <w:color w:val="222222"/>
          <w:sz w:val="24"/>
          <w:szCs w:val="24"/>
        </w:rPr>
        <w:t xml:space="preserve">. </w:t>
      </w:r>
    </w:p>
    <w:p w14:paraId="25EE747E"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Rêgo, B.S., Jayantilal, S., Ferreira, J.J. and </w:t>
      </w:r>
      <w:proofErr w:type="spellStart"/>
      <w:r>
        <w:rPr>
          <w:rFonts w:ascii="Times New Roman" w:eastAsia="Times New Roman" w:hAnsi="Times New Roman" w:cs="Times New Roman"/>
          <w:color w:val="222222"/>
          <w:sz w:val="24"/>
          <w:szCs w:val="24"/>
        </w:rPr>
        <w:t>Carayannis</w:t>
      </w:r>
      <w:proofErr w:type="spellEnd"/>
      <w:r>
        <w:rPr>
          <w:rFonts w:ascii="Times New Roman" w:eastAsia="Times New Roman" w:hAnsi="Times New Roman" w:cs="Times New Roman"/>
          <w:color w:val="222222"/>
          <w:sz w:val="24"/>
          <w:szCs w:val="24"/>
        </w:rPr>
        <w:t xml:space="preserve">, E.G., 2022. Digital transformation and strategic management: A systematic review of </w:t>
      </w:r>
      <w:proofErr w:type="gramStart"/>
      <w:r>
        <w:rPr>
          <w:rFonts w:ascii="Times New Roman" w:eastAsia="Times New Roman" w:hAnsi="Times New Roman" w:cs="Times New Roman"/>
          <w:color w:val="222222"/>
          <w:sz w:val="24"/>
          <w:szCs w:val="24"/>
        </w:rPr>
        <w:t>the literature</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Journal of the Knowledge Economy</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13</w:t>
      </w:r>
      <w:r>
        <w:rPr>
          <w:rFonts w:ascii="Times New Roman" w:eastAsia="Times New Roman" w:hAnsi="Times New Roman" w:cs="Times New Roman"/>
          <w:color w:val="222222"/>
          <w:sz w:val="24"/>
          <w:szCs w:val="24"/>
        </w:rPr>
        <w:t>(4), pp.3195-3222.</w:t>
      </w:r>
      <w:hyperlink r:id="rId60">
        <w:r>
          <w:rPr>
            <w:rFonts w:ascii="Times New Roman" w:eastAsia="Times New Roman" w:hAnsi="Times New Roman" w:cs="Times New Roman"/>
            <w:color w:val="222222"/>
            <w:sz w:val="24"/>
            <w:szCs w:val="24"/>
          </w:rPr>
          <w:t xml:space="preserve"> </w:t>
        </w:r>
      </w:hyperlink>
      <w:hyperlink r:id="rId61">
        <w:r>
          <w:rPr>
            <w:rFonts w:ascii="Times New Roman" w:eastAsia="Times New Roman" w:hAnsi="Times New Roman" w:cs="Times New Roman"/>
            <w:color w:val="1155CC"/>
            <w:sz w:val="24"/>
            <w:szCs w:val="24"/>
            <w:u w:val="single"/>
          </w:rPr>
          <w:t>https://www.researchgate.net/profile/Bruno-Rego-6/publication/356191007_Digital_Transformation_and_Strategic_Management_a_Systematic_Review_of_the_Literature/links/61db2475d4500608169d3794/Digital-Transformation-and-Strategic-Management-a-Systematic-Review-of-the-Literature.pdf</w:t>
        </w:r>
      </w:hyperlink>
      <w:r>
        <w:rPr>
          <w:rFonts w:ascii="Times New Roman" w:eastAsia="Times New Roman" w:hAnsi="Times New Roman" w:cs="Times New Roman"/>
          <w:color w:val="222222"/>
          <w:sz w:val="24"/>
          <w:szCs w:val="24"/>
        </w:rPr>
        <w:t xml:space="preserve"> </w:t>
      </w:r>
    </w:p>
    <w:p w14:paraId="47F7C457"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Reznikov, R. and </w:t>
      </w:r>
      <w:proofErr w:type="spellStart"/>
      <w:r>
        <w:rPr>
          <w:rFonts w:ascii="Times New Roman" w:eastAsia="Times New Roman" w:hAnsi="Times New Roman" w:cs="Times New Roman"/>
          <w:color w:val="222222"/>
          <w:sz w:val="24"/>
          <w:szCs w:val="24"/>
        </w:rPr>
        <w:t>Turlakova</w:t>
      </w:r>
      <w:proofErr w:type="spellEnd"/>
      <w:r>
        <w:rPr>
          <w:rFonts w:ascii="Times New Roman" w:eastAsia="Times New Roman" w:hAnsi="Times New Roman" w:cs="Times New Roman"/>
          <w:color w:val="222222"/>
          <w:sz w:val="24"/>
          <w:szCs w:val="24"/>
        </w:rPr>
        <w:t>, S., 2024. THE DRIVER OF INDUSTRY 4.0 DEVELOPMENT: THE KEY ROLE OF IT-SERVICE COMPANIES. Available at SSRN 4851641.</w:t>
      </w:r>
      <w:hyperlink r:id="rId62">
        <w:r>
          <w:rPr>
            <w:rFonts w:ascii="Times New Roman" w:eastAsia="Times New Roman" w:hAnsi="Times New Roman" w:cs="Times New Roman"/>
            <w:color w:val="222222"/>
            <w:sz w:val="24"/>
            <w:szCs w:val="24"/>
          </w:rPr>
          <w:t xml:space="preserve"> </w:t>
        </w:r>
      </w:hyperlink>
      <w:hyperlink r:id="rId63">
        <w:r>
          <w:rPr>
            <w:rFonts w:ascii="Times New Roman" w:eastAsia="Times New Roman" w:hAnsi="Times New Roman" w:cs="Times New Roman"/>
            <w:color w:val="1155CC"/>
            <w:sz w:val="24"/>
            <w:szCs w:val="24"/>
            <w:u w:val="single"/>
          </w:rPr>
          <w:t>https://papers.ssrn.com/sol3/Delivery.cfm?abstractid=4851641</w:t>
        </w:r>
      </w:hyperlink>
      <w:r>
        <w:rPr>
          <w:rFonts w:ascii="Times New Roman" w:eastAsia="Times New Roman" w:hAnsi="Times New Roman" w:cs="Times New Roman"/>
          <w:color w:val="222222"/>
          <w:sz w:val="24"/>
          <w:szCs w:val="24"/>
        </w:rPr>
        <w:t xml:space="preserve"> </w:t>
      </w:r>
    </w:p>
    <w:p w14:paraId="07340AC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Samiuddin</w:t>
      </w:r>
      <w:proofErr w:type="spellEnd"/>
      <w:r>
        <w:rPr>
          <w:rFonts w:ascii="Times New Roman" w:eastAsia="Times New Roman" w:hAnsi="Times New Roman" w:cs="Times New Roman"/>
          <w:color w:val="222222"/>
          <w:sz w:val="24"/>
          <w:szCs w:val="24"/>
        </w:rPr>
        <w:t>, M.F., 2025. Green Computing: Sustainable IT Practices for a Greener Future.</w:t>
      </w:r>
      <w:hyperlink r:id="rId64">
        <w:r>
          <w:rPr>
            <w:rFonts w:ascii="Times New Roman" w:eastAsia="Times New Roman" w:hAnsi="Times New Roman" w:cs="Times New Roman"/>
            <w:color w:val="222222"/>
            <w:sz w:val="24"/>
            <w:szCs w:val="24"/>
          </w:rPr>
          <w:t xml:space="preserve"> </w:t>
        </w:r>
      </w:hyperlink>
      <w:hyperlink r:id="rId65">
        <w:r>
          <w:rPr>
            <w:rFonts w:ascii="Times New Roman" w:eastAsia="Times New Roman" w:hAnsi="Times New Roman" w:cs="Times New Roman"/>
            <w:color w:val="1155CC"/>
            <w:sz w:val="24"/>
            <w:szCs w:val="24"/>
            <w:u w:val="single"/>
          </w:rPr>
          <w:t>http://103.109.52.4:8080/bitstream/handle/52243/3203/A%20Project%20Report%20on%20Green%20Computing.pdf?sequence=1&amp;isAllowed=y</w:t>
        </w:r>
      </w:hyperlink>
      <w:r>
        <w:rPr>
          <w:rFonts w:ascii="Times New Roman" w:eastAsia="Times New Roman" w:hAnsi="Times New Roman" w:cs="Times New Roman"/>
          <w:color w:val="222222"/>
          <w:sz w:val="24"/>
          <w:szCs w:val="24"/>
        </w:rPr>
        <w:t xml:space="preserve"> </w:t>
      </w:r>
    </w:p>
    <w:p w14:paraId="728E77F0"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Solutions Hub (2023). </w:t>
      </w:r>
      <w:r>
        <w:rPr>
          <w:rFonts w:ascii="Times New Roman" w:eastAsia="Times New Roman" w:hAnsi="Times New Roman" w:cs="Times New Roman"/>
          <w:i/>
          <w:iCs/>
          <w:color w:val="222222"/>
          <w:sz w:val="24"/>
          <w:szCs w:val="24"/>
        </w:rPr>
        <w:t xml:space="preserve">EPAM </w:t>
      </w:r>
      <w:proofErr w:type="spellStart"/>
      <w:r>
        <w:rPr>
          <w:rFonts w:ascii="Times New Roman" w:eastAsia="Times New Roman" w:hAnsi="Times New Roman" w:cs="Times New Roman"/>
          <w:i/>
          <w:iCs/>
          <w:color w:val="222222"/>
          <w:sz w:val="24"/>
          <w:szCs w:val="24"/>
        </w:rPr>
        <w:t>SolutionsHub</w:t>
      </w:r>
      <w:proofErr w:type="spellEnd"/>
      <w:r>
        <w:rPr>
          <w:rFonts w:ascii="Times New Roman" w:eastAsia="Times New Roman" w:hAnsi="Times New Roman" w:cs="Times New Roman"/>
          <w:i/>
          <w:iCs/>
          <w:color w:val="222222"/>
          <w:sz w:val="24"/>
          <w:szCs w:val="24"/>
        </w:rPr>
        <w:t xml:space="preserve"> | Software Solutions for Digital Business</w:t>
      </w:r>
      <w:r>
        <w:rPr>
          <w:rFonts w:ascii="Times New Roman" w:eastAsia="Times New Roman" w:hAnsi="Times New Roman" w:cs="Times New Roman"/>
          <w:color w:val="222222"/>
          <w:sz w:val="24"/>
          <w:szCs w:val="24"/>
        </w:rPr>
        <w:t>. [online] solutionshub.epam.com. Available at:</w:t>
      </w:r>
      <w:hyperlink r:id="rId66">
        <w:r>
          <w:rPr>
            <w:rFonts w:ascii="Times New Roman" w:eastAsia="Times New Roman" w:hAnsi="Times New Roman" w:cs="Times New Roman"/>
            <w:color w:val="222222"/>
            <w:sz w:val="24"/>
            <w:szCs w:val="24"/>
          </w:rPr>
          <w:t xml:space="preserve"> </w:t>
        </w:r>
      </w:hyperlink>
      <w:hyperlink r:id="rId67">
        <w:r>
          <w:rPr>
            <w:rFonts w:ascii="Times New Roman" w:eastAsia="Times New Roman" w:hAnsi="Times New Roman" w:cs="Times New Roman"/>
            <w:color w:val="1155CC"/>
            <w:sz w:val="24"/>
            <w:szCs w:val="24"/>
            <w:u w:val="single"/>
          </w:rPr>
          <w:t>https://solutionshub.epam.com/blog/post/vrio-analysis</w:t>
        </w:r>
      </w:hyperlink>
      <w:r>
        <w:rPr>
          <w:rFonts w:ascii="Times New Roman" w:eastAsia="Times New Roman" w:hAnsi="Times New Roman" w:cs="Times New Roman"/>
          <w:color w:val="222222"/>
          <w:sz w:val="24"/>
          <w:szCs w:val="24"/>
        </w:rPr>
        <w:t xml:space="preserve">.  </w:t>
      </w:r>
    </w:p>
    <w:p w14:paraId="5E9C37DC"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TEWARI, S. and CHITNIS, A., 2024. AI and multi-cloud compliance: Safeguarding data sovereignty.</w:t>
      </w:r>
      <w:hyperlink r:id="rId68">
        <w:r>
          <w:rPr>
            <w:rFonts w:ascii="Times New Roman" w:eastAsia="Times New Roman" w:hAnsi="Times New Roman" w:cs="Times New Roman"/>
            <w:color w:val="222222"/>
            <w:sz w:val="24"/>
            <w:szCs w:val="24"/>
          </w:rPr>
          <w:t xml:space="preserve"> </w:t>
        </w:r>
      </w:hyperlink>
      <w:hyperlink r:id="rId69">
        <w:r>
          <w:rPr>
            <w:rFonts w:ascii="Times New Roman" w:eastAsia="Times New Roman" w:hAnsi="Times New Roman" w:cs="Times New Roman"/>
            <w:color w:val="1155CC"/>
            <w:sz w:val="24"/>
            <w:szCs w:val="24"/>
            <w:u w:val="single"/>
          </w:rPr>
          <w:t>https://www.researchgate.net/profile/Shishir-Tewari-5/publication/391810525_AI_and_Multi-</w:t>
        </w:r>
        <w:r>
          <w:rPr>
            <w:rFonts w:ascii="Times New Roman" w:eastAsia="Times New Roman" w:hAnsi="Times New Roman" w:cs="Times New Roman"/>
            <w:color w:val="1155CC"/>
            <w:sz w:val="24"/>
            <w:szCs w:val="24"/>
            <w:u w:val="single"/>
          </w:rPr>
          <w:lastRenderedPageBreak/>
          <w:t>Cloud_Compliance_Safeguarding_Data_Sovereignty/links/682814fa6b5a287c30422f57/AI-and-Multi-Cloud-Compliance-Safeguarding-Data-Sovereignty.pdf</w:t>
        </w:r>
      </w:hyperlink>
      <w:r>
        <w:rPr>
          <w:rFonts w:ascii="Times New Roman" w:eastAsia="Times New Roman" w:hAnsi="Times New Roman" w:cs="Times New Roman"/>
          <w:color w:val="222222"/>
          <w:sz w:val="24"/>
          <w:szCs w:val="24"/>
        </w:rPr>
        <w:t xml:space="preserve"> </w:t>
      </w:r>
    </w:p>
    <w:p w14:paraId="2A17CE90"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Strategy Institute (2024). </w:t>
      </w:r>
      <w:r>
        <w:rPr>
          <w:rFonts w:ascii="Times New Roman" w:eastAsia="Times New Roman" w:hAnsi="Times New Roman" w:cs="Times New Roman"/>
          <w:i/>
          <w:iCs/>
          <w:color w:val="222222"/>
          <w:sz w:val="24"/>
          <w:szCs w:val="24"/>
        </w:rPr>
        <w:t>Porter’s five forces: The ultimate competitive strategy blueprint</w:t>
      </w:r>
      <w:r>
        <w:rPr>
          <w:rFonts w:ascii="Times New Roman" w:eastAsia="Times New Roman" w:hAnsi="Times New Roman" w:cs="Times New Roman"/>
          <w:color w:val="222222"/>
          <w:sz w:val="24"/>
          <w:szCs w:val="24"/>
        </w:rPr>
        <w:t>. [online] www.thestrategyinstitute.org. Available at:</w:t>
      </w:r>
      <w:hyperlink r:id="rId70">
        <w:r>
          <w:rPr>
            <w:rFonts w:ascii="Times New Roman" w:eastAsia="Times New Roman" w:hAnsi="Times New Roman" w:cs="Times New Roman"/>
            <w:color w:val="222222"/>
            <w:sz w:val="24"/>
            <w:szCs w:val="24"/>
          </w:rPr>
          <w:t xml:space="preserve"> </w:t>
        </w:r>
      </w:hyperlink>
      <w:hyperlink r:id="rId71">
        <w:r>
          <w:rPr>
            <w:rFonts w:ascii="Times New Roman" w:eastAsia="Times New Roman" w:hAnsi="Times New Roman" w:cs="Times New Roman"/>
            <w:color w:val="1155CC"/>
            <w:sz w:val="24"/>
            <w:szCs w:val="24"/>
            <w:u w:val="single"/>
          </w:rPr>
          <w:t>https://www.thestrategyinstitute.org/insights/porters-five-forces-the-ultimate-competitive-strategy-blueprint</w:t>
        </w:r>
      </w:hyperlink>
      <w:r>
        <w:rPr>
          <w:rFonts w:ascii="Times New Roman" w:eastAsia="Times New Roman" w:hAnsi="Times New Roman" w:cs="Times New Roman"/>
          <w:color w:val="222222"/>
          <w:sz w:val="24"/>
          <w:szCs w:val="24"/>
        </w:rPr>
        <w:t xml:space="preserve">. </w:t>
      </w:r>
    </w:p>
    <w:p w14:paraId="6E5C2368"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TNN (2025). </w:t>
      </w:r>
      <w:r>
        <w:rPr>
          <w:rFonts w:ascii="Times New Roman" w:eastAsia="Times New Roman" w:hAnsi="Times New Roman" w:cs="Times New Roman"/>
          <w:i/>
          <w:iCs/>
          <w:color w:val="222222"/>
          <w:sz w:val="24"/>
          <w:szCs w:val="24"/>
        </w:rPr>
        <w:t>Wipro realigns its global business lines</w:t>
      </w:r>
      <w:r>
        <w:rPr>
          <w:rFonts w:ascii="Times New Roman" w:eastAsia="Times New Roman" w:hAnsi="Times New Roman" w:cs="Times New Roman"/>
          <w:color w:val="222222"/>
          <w:sz w:val="24"/>
          <w:szCs w:val="24"/>
        </w:rPr>
        <w:t>. [online] The Times of India. Available at:</w:t>
      </w:r>
      <w:hyperlink r:id="rId72">
        <w:r>
          <w:rPr>
            <w:rFonts w:ascii="Times New Roman" w:eastAsia="Times New Roman" w:hAnsi="Times New Roman" w:cs="Times New Roman"/>
            <w:color w:val="222222"/>
            <w:sz w:val="24"/>
            <w:szCs w:val="24"/>
          </w:rPr>
          <w:t xml:space="preserve"> </w:t>
        </w:r>
      </w:hyperlink>
      <w:hyperlink r:id="rId73">
        <w:r>
          <w:rPr>
            <w:rFonts w:ascii="Times New Roman" w:eastAsia="Times New Roman" w:hAnsi="Times New Roman" w:cs="Times New Roman"/>
            <w:color w:val="1155CC"/>
            <w:sz w:val="24"/>
            <w:szCs w:val="24"/>
            <w:u w:val="single"/>
          </w:rPr>
          <w:t>https://timesofindia.indiatimes.com/business/india-business/wipro-realigns-its-global-business-lines/articleshow/119025363.cms</w:t>
        </w:r>
      </w:hyperlink>
      <w:r>
        <w:rPr>
          <w:rFonts w:ascii="Times New Roman" w:eastAsia="Times New Roman" w:hAnsi="Times New Roman" w:cs="Times New Roman"/>
          <w:color w:val="222222"/>
          <w:sz w:val="24"/>
          <w:szCs w:val="24"/>
        </w:rPr>
        <w:t xml:space="preserve">. </w:t>
      </w:r>
    </w:p>
    <w:p w14:paraId="5FC7365B"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(2019). </w:t>
      </w:r>
      <w:r>
        <w:rPr>
          <w:rFonts w:ascii="Times New Roman" w:eastAsia="Times New Roman" w:hAnsi="Times New Roman" w:cs="Times New Roman"/>
          <w:i/>
          <w:iCs/>
          <w:color w:val="222222"/>
          <w:sz w:val="24"/>
          <w:szCs w:val="24"/>
        </w:rPr>
        <w:t>Wipro | Digital, Technology, Business Solutions</w:t>
      </w:r>
      <w:r>
        <w:rPr>
          <w:rFonts w:ascii="Times New Roman" w:eastAsia="Times New Roman" w:hAnsi="Times New Roman" w:cs="Times New Roman"/>
          <w:color w:val="222222"/>
          <w:sz w:val="24"/>
          <w:szCs w:val="24"/>
        </w:rPr>
        <w:t>. [online] Wipro.com. Available at:</w:t>
      </w:r>
      <w:hyperlink r:id="rId74">
        <w:r>
          <w:rPr>
            <w:rFonts w:ascii="Times New Roman" w:eastAsia="Times New Roman" w:hAnsi="Times New Roman" w:cs="Times New Roman"/>
            <w:color w:val="222222"/>
            <w:sz w:val="24"/>
            <w:szCs w:val="24"/>
          </w:rPr>
          <w:t xml:space="preserve"> </w:t>
        </w:r>
      </w:hyperlink>
      <w:hyperlink r:id="rId75">
        <w:r>
          <w:rPr>
            <w:rFonts w:ascii="Times New Roman" w:eastAsia="Times New Roman" w:hAnsi="Times New Roman" w:cs="Times New Roman"/>
            <w:color w:val="1155CC"/>
            <w:sz w:val="24"/>
            <w:szCs w:val="24"/>
            <w:u w:val="single"/>
          </w:rPr>
          <w:t>https://www.wipro.com/</w:t>
        </w:r>
      </w:hyperlink>
      <w:r>
        <w:rPr>
          <w:rFonts w:ascii="Times New Roman" w:eastAsia="Times New Roman" w:hAnsi="Times New Roman" w:cs="Times New Roman"/>
          <w:color w:val="222222"/>
          <w:sz w:val="24"/>
          <w:szCs w:val="24"/>
        </w:rPr>
        <w:t xml:space="preserve">. </w:t>
      </w:r>
    </w:p>
    <w:p w14:paraId="787D1859"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(2023). </w:t>
      </w:r>
      <w:r>
        <w:rPr>
          <w:rFonts w:ascii="Times New Roman" w:eastAsia="Times New Roman" w:hAnsi="Times New Roman" w:cs="Times New Roman"/>
          <w:i/>
          <w:iCs/>
          <w:color w:val="222222"/>
          <w:sz w:val="24"/>
          <w:szCs w:val="24"/>
        </w:rPr>
        <w:t>Wipro - Integrated Annual Report 2022-23</w:t>
      </w:r>
      <w:r>
        <w:rPr>
          <w:rFonts w:ascii="Times New Roman" w:eastAsia="Times New Roman" w:hAnsi="Times New Roman" w:cs="Times New Roman"/>
          <w:color w:val="222222"/>
          <w:sz w:val="24"/>
          <w:szCs w:val="24"/>
        </w:rPr>
        <w:t>. [online] www.wipro.com. Available at:</w:t>
      </w:r>
      <w:hyperlink r:id="rId76">
        <w:r>
          <w:rPr>
            <w:rFonts w:ascii="Times New Roman" w:eastAsia="Times New Roman" w:hAnsi="Times New Roman" w:cs="Times New Roman"/>
            <w:color w:val="222222"/>
            <w:sz w:val="24"/>
            <w:szCs w:val="24"/>
          </w:rPr>
          <w:t xml:space="preserve"> </w:t>
        </w:r>
      </w:hyperlink>
      <w:hyperlink r:id="rId77">
        <w:r>
          <w:rPr>
            <w:rFonts w:ascii="Times New Roman" w:eastAsia="Times New Roman" w:hAnsi="Times New Roman" w:cs="Times New Roman"/>
            <w:color w:val="1155CC"/>
            <w:sz w:val="24"/>
            <w:szCs w:val="24"/>
            <w:u w:val="single"/>
          </w:rPr>
          <w:t>https://www.wipro.com/investors/annual-reports/2022-23/</w:t>
        </w:r>
      </w:hyperlink>
      <w:r>
        <w:rPr>
          <w:rFonts w:ascii="Times New Roman" w:eastAsia="Times New Roman" w:hAnsi="Times New Roman" w:cs="Times New Roman"/>
          <w:color w:val="222222"/>
          <w:sz w:val="24"/>
          <w:szCs w:val="24"/>
        </w:rPr>
        <w:t xml:space="preserve">. </w:t>
      </w:r>
    </w:p>
    <w:p w14:paraId="721BFF9F"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Foundation. (2024). </w:t>
      </w:r>
      <w:r>
        <w:rPr>
          <w:rFonts w:ascii="Times New Roman" w:eastAsia="Times New Roman" w:hAnsi="Times New Roman" w:cs="Times New Roman"/>
          <w:i/>
          <w:iCs/>
          <w:color w:val="222222"/>
          <w:sz w:val="24"/>
          <w:szCs w:val="24"/>
        </w:rPr>
        <w:t>Wipro Foundation</w:t>
      </w:r>
      <w:r>
        <w:rPr>
          <w:rFonts w:ascii="Times New Roman" w:eastAsia="Times New Roman" w:hAnsi="Times New Roman" w:cs="Times New Roman"/>
          <w:color w:val="222222"/>
          <w:sz w:val="24"/>
          <w:szCs w:val="24"/>
        </w:rPr>
        <w:t>. [online] Available at:</w:t>
      </w:r>
      <w:hyperlink r:id="rId78">
        <w:r>
          <w:rPr>
            <w:rFonts w:ascii="Times New Roman" w:eastAsia="Times New Roman" w:hAnsi="Times New Roman" w:cs="Times New Roman"/>
            <w:color w:val="222222"/>
            <w:sz w:val="24"/>
            <w:szCs w:val="24"/>
          </w:rPr>
          <w:t xml:space="preserve"> </w:t>
        </w:r>
      </w:hyperlink>
      <w:hyperlink r:id="rId79">
        <w:r>
          <w:rPr>
            <w:rFonts w:ascii="Times New Roman" w:eastAsia="Times New Roman" w:hAnsi="Times New Roman" w:cs="Times New Roman"/>
            <w:color w:val="1155CC"/>
            <w:sz w:val="24"/>
            <w:szCs w:val="24"/>
            <w:u w:val="single"/>
          </w:rPr>
          <w:t>https://www.wiprofoundation.org/</w:t>
        </w:r>
      </w:hyperlink>
      <w:r>
        <w:rPr>
          <w:rFonts w:ascii="Times New Roman" w:eastAsia="Times New Roman" w:hAnsi="Times New Roman" w:cs="Times New Roman"/>
          <w:color w:val="222222"/>
          <w:sz w:val="24"/>
          <w:szCs w:val="24"/>
        </w:rPr>
        <w:t xml:space="preserve">. </w:t>
      </w:r>
    </w:p>
    <w:p w14:paraId="372A692E" w14:textId="77777777" w:rsidR="002847F8" w:rsidRDefault="0000000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Wipro Quarterly Earnings Report (2025). </w:t>
      </w:r>
      <w:r>
        <w:rPr>
          <w:rFonts w:ascii="Times New Roman" w:eastAsia="Times New Roman" w:hAnsi="Times New Roman" w:cs="Times New Roman"/>
          <w:i/>
          <w:iCs/>
          <w:color w:val="222222"/>
          <w:sz w:val="24"/>
          <w:szCs w:val="24"/>
        </w:rPr>
        <w:t>Wipro Quarterly Earnings Report – Quarter Ended</w:t>
      </w:r>
      <w:r>
        <w:rPr>
          <w:rFonts w:ascii="Times New Roman" w:eastAsia="Times New Roman" w:hAnsi="Times New Roman" w:cs="Times New Roman"/>
          <w:color w:val="222222"/>
          <w:sz w:val="24"/>
          <w:szCs w:val="24"/>
        </w:rPr>
        <w:t>. [online] Wipro.com. Available at:</w:t>
      </w:r>
      <w:hyperlink r:id="rId80">
        <w:r>
          <w:rPr>
            <w:rFonts w:ascii="Times New Roman" w:eastAsia="Times New Roman" w:hAnsi="Times New Roman" w:cs="Times New Roman"/>
            <w:color w:val="222222"/>
            <w:sz w:val="24"/>
            <w:szCs w:val="24"/>
          </w:rPr>
          <w:t xml:space="preserve"> </w:t>
        </w:r>
      </w:hyperlink>
      <w:hyperlink r:id="rId81">
        <w:r>
          <w:rPr>
            <w:rFonts w:ascii="Times New Roman" w:eastAsia="Times New Roman" w:hAnsi="Times New Roman" w:cs="Times New Roman"/>
            <w:color w:val="1155CC"/>
            <w:sz w:val="24"/>
            <w:szCs w:val="24"/>
            <w:u w:val="single"/>
          </w:rPr>
          <w:t>https://www.wipro.com/newsroom/press-releases/2025/wipro-announces-results-for-the-quarter-ended-september-30-2025/</w:t>
        </w:r>
      </w:hyperlink>
      <w:r>
        <w:rPr>
          <w:rFonts w:ascii="Times New Roman" w:eastAsia="Times New Roman" w:hAnsi="Times New Roman" w:cs="Times New Roman"/>
          <w:color w:val="222222"/>
          <w:sz w:val="24"/>
          <w:szCs w:val="24"/>
        </w:rPr>
        <w:t xml:space="preserve">  [Accessed 29 Nov. 2025].</w:t>
      </w:r>
    </w:p>
    <w:p w14:paraId="7111CB45" w14:textId="77777777" w:rsidR="002847F8" w:rsidRDefault="002847F8">
      <w:pPr>
        <w:spacing w:line="360" w:lineRule="auto"/>
        <w:jc w:val="both"/>
        <w:rPr>
          <w:rFonts w:ascii="Times New Roman" w:eastAsia="Times New Roman" w:hAnsi="Times New Roman" w:cs="Times New Roman"/>
          <w:sz w:val="24"/>
          <w:szCs w:val="24"/>
        </w:rPr>
      </w:pPr>
    </w:p>
    <w:p w14:paraId="52B013CC" w14:textId="77777777" w:rsidR="002847F8" w:rsidRDefault="002847F8">
      <w:pPr>
        <w:jc w:val="both"/>
        <w:rPr>
          <w:rFonts w:ascii="Times New Roman" w:eastAsia="Times New Roman" w:hAnsi="Times New Roman" w:cs="Times New Roman"/>
          <w:sz w:val="24"/>
          <w:szCs w:val="24"/>
        </w:rPr>
      </w:pPr>
    </w:p>
    <w:sectPr w:rsidR="002847F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02AB269-3FE8-49AC-A8BB-3901D5176200}"/>
    <w:embedBold r:id="rId2" w:fontKey="{6C028F8B-86EF-4FDE-8BDD-C6CB4DD38387}"/>
  </w:font>
  <w:font w:name="Arial Unicode MS">
    <w:panose1 w:val="020B0604020202020204"/>
    <w:charset w:val="80"/>
    <w:family w:val="swiss"/>
    <w:pitch w:val="variable"/>
    <w:sig w:usb0="F7FFAFFF" w:usb1="E9DFFFFF" w:usb2="0000003F" w:usb3="00000000" w:csb0="003F01FF" w:csb1="00000000"/>
    <w:embedRegular r:id="rId3" w:subsetted="1" w:fontKey="{2AAD7BF5-0447-4A99-B985-E384A6EAC41C}"/>
  </w:font>
  <w:font w:name="Cambria">
    <w:panose1 w:val="02040503050406030204"/>
    <w:charset w:val="00"/>
    <w:family w:val="roman"/>
    <w:pitch w:val="variable"/>
    <w:sig w:usb0="E00006FF" w:usb1="420024FF" w:usb2="02000000" w:usb3="00000000" w:csb0="0000019F" w:csb1="00000000"/>
    <w:embedRegular r:id="rId4" w:fontKey="{9131E71F-15A5-4FCE-B05F-F85C81BC299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05F8A"/>
    <w:multiLevelType w:val="multilevel"/>
    <w:tmpl w:val="498CE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480A47"/>
    <w:multiLevelType w:val="multilevel"/>
    <w:tmpl w:val="C9566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9B624A"/>
    <w:multiLevelType w:val="multilevel"/>
    <w:tmpl w:val="D33A0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784296">
    <w:abstractNumId w:val="0"/>
  </w:num>
  <w:num w:numId="2" w16cid:durableId="328410897">
    <w:abstractNumId w:val="1"/>
  </w:num>
  <w:num w:numId="3" w16cid:durableId="224805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47F8"/>
    <w:rsid w:val="002847F8"/>
    <w:rsid w:val="00BD6159"/>
    <w:rsid w:val="00D22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BEE36"/>
  <w15:docId w15:val="{7F19EC6A-DA68-4398-9097-CB400DA8E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40"/>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table" w:customStyle="1" w:styleId="a1">
    <w:basedOn w:val="TableNormal3"/>
    <w:tblPr>
      <w:tblStyleRowBandSize w:val="1"/>
      <w:tblStyleColBandSize w:val="1"/>
    </w:tblPr>
  </w:style>
  <w:style w:type="table" w:customStyle="1" w:styleId="a2">
    <w:basedOn w:val="TableNormal3"/>
    <w:tblPr>
      <w:tblStyleRowBandSize w:val="1"/>
      <w:tblStyleColBandSize w:val="1"/>
    </w:tblPr>
  </w:style>
  <w:style w:type="table" w:customStyle="1" w:styleId="a3">
    <w:basedOn w:val="TableNormal3"/>
    <w:tblPr>
      <w:tblStyleRowBandSize w:val="1"/>
      <w:tblStyleColBandSize w:val="1"/>
    </w:tblPr>
  </w:style>
  <w:style w:type="table" w:customStyle="1" w:styleId="a4">
    <w:basedOn w:val="TableNormal3"/>
    <w:tblPr>
      <w:tblStyleRowBandSize w:val="1"/>
      <w:tblStyleColBandSize w:val="1"/>
    </w:tblPr>
  </w:style>
  <w:style w:type="table" w:customStyle="1" w:styleId="a5">
    <w:basedOn w:val="TableNormal3"/>
    <w:tblPr>
      <w:tblStyleRowBandSize w:val="1"/>
      <w:tblStyleColBandSize w:val="1"/>
    </w:tblPr>
  </w:style>
  <w:style w:type="table" w:customStyle="1" w:styleId="a6">
    <w:basedOn w:val="TableNormal3"/>
    <w:tblPr>
      <w:tblStyleRowBandSize w:val="1"/>
      <w:tblStyleColBandSize w:val="1"/>
    </w:tblPr>
  </w:style>
  <w:style w:type="table" w:customStyle="1" w:styleId="a7">
    <w:basedOn w:val="TableNormal3"/>
    <w:tblPr>
      <w:tblStyleRowBandSize w:val="1"/>
      <w:tblStyleColBandSize w:val="1"/>
    </w:tblPr>
  </w:style>
  <w:style w:type="table" w:customStyle="1" w:styleId="a8">
    <w:basedOn w:val="TableNormal3"/>
    <w:tblPr>
      <w:tblStyleRowBandSize w:val="1"/>
      <w:tblStyleColBandSize w:val="1"/>
    </w:tblPr>
  </w:style>
  <w:style w:type="table" w:customStyle="1" w:styleId="a9">
    <w:basedOn w:val="TableNormal3"/>
    <w:tblPr>
      <w:tblStyleRowBandSize w:val="1"/>
      <w:tblStyleColBandSize w:val="1"/>
    </w:tblPr>
  </w:style>
  <w:style w:type="table" w:customStyle="1" w:styleId="aa">
    <w:basedOn w:val="TableNormal3"/>
    <w:tblPr>
      <w:tblStyleRowBandSize w:val="1"/>
      <w:tblStyleColBandSize w:val="1"/>
    </w:tblPr>
  </w:style>
  <w:style w:type="table" w:customStyle="1" w:styleId="ab">
    <w:basedOn w:val="TableNormal3"/>
    <w:tblPr>
      <w:tblStyleRowBandSize w:val="1"/>
      <w:tblStyleColBandSize w:val="1"/>
    </w:tblPr>
  </w:style>
  <w:style w:type="table" w:customStyle="1" w:styleId="ac">
    <w:basedOn w:val="TableNormal3"/>
    <w:tblPr>
      <w:tblStyleRowBandSize w:val="1"/>
      <w:tblStyleColBandSize w:val="1"/>
    </w:tblPr>
  </w:style>
  <w:style w:type="table" w:customStyle="1" w:styleId="ad">
    <w:basedOn w:val="TableNormal3"/>
    <w:tblPr>
      <w:tblStyleRowBandSize w:val="1"/>
      <w:tblStyleColBandSize w:val="1"/>
    </w:tblPr>
  </w:style>
  <w:style w:type="table" w:customStyle="1" w:styleId="ae">
    <w:basedOn w:val="TableNormal3"/>
    <w:tblPr>
      <w:tblStyleRowBandSize w:val="1"/>
      <w:tblStyleColBandSize w:val="1"/>
    </w:tblPr>
  </w:style>
  <w:style w:type="table" w:customStyle="1" w:styleId="af">
    <w:basedOn w:val="TableNormal3"/>
    <w:tblPr>
      <w:tblStyleRowBandSize w:val="1"/>
      <w:tblStyleColBandSize w:val="1"/>
    </w:tblPr>
  </w:style>
  <w:style w:type="table" w:customStyle="1" w:styleId="af0">
    <w:basedOn w:val="TableNormal3"/>
    <w:tblPr>
      <w:tblStyleRowBandSize w:val="1"/>
      <w:tblStyleColBandSize w:val="1"/>
    </w:tblPr>
  </w:style>
  <w:style w:type="table" w:customStyle="1" w:styleId="af1">
    <w:basedOn w:val="TableNormal3"/>
    <w:tblPr>
      <w:tblStyleRowBandSize w:val="1"/>
      <w:tblStyleColBandSize w:val="1"/>
    </w:tblPr>
  </w:style>
  <w:style w:type="table" w:customStyle="1" w:styleId="af2">
    <w:basedOn w:val="TableNormal3"/>
    <w:tblPr>
      <w:tblStyleRowBandSize w:val="1"/>
      <w:tblStyleColBandSize w:val="1"/>
    </w:tblPr>
  </w:style>
  <w:style w:type="table" w:customStyle="1" w:styleId="af3">
    <w:basedOn w:val="TableNormal3"/>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f4">
    <w:basedOn w:val="TableNormal3"/>
    <w:tblPr>
      <w:tblStyleRowBandSize w:val="1"/>
      <w:tblStyleColBandSize w:val="1"/>
    </w:tblPr>
  </w:style>
  <w:style w:type="table" w:customStyle="1" w:styleId="af5">
    <w:basedOn w:val="TableNormal3"/>
    <w:tblPr>
      <w:tblStyleRowBandSize w:val="1"/>
      <w:tblStyleColBandSize w:val="1"/>
    </w:tblPr>
  </w:style>
  <w:style w:type="table" w:customStyle="1" w:styleId="af6">
    <w:basedOn w:val="TableNormal3"/>
    <w:tblPr>
      <w:tblStyleRowBandSize w:val="1"/>
      <w:tblStyleColBandSize w:val="1"/>
    </w:tblPr>
  </w:style>
  <w:style w:type="table" w:customStyle="1" w:styleId="af7">
    <w:basedOn w:val="TableNormal3"/>
    <w:tblPr>
      <w:tblStyleRowBandSize w:val="1"/>
      <w:tblStyleColBandSize w:val="1"/>
    </w:tblPr>
  </w:style>
  <w:style w:type="table" w:customStyle="1" w:styleId="af8">
    <w:basedOn w:val="TableNormal3"/>
    <w:tblPr>
      <w:tblStyleRowBandSize w:val="1"/>
      <w:tblStyleColBandSize w:val="1"/>
    </w:tblPr>
  </w:style>
  <w:style w:type="table" w:customStyle="1" w:styleId="af9">
    <w:basedOn w:val="TableNormal3"/>
    <w:tblPr>
      <w:tblStyleRowBandSize w:val="1"/>
      <w:tblStyleColBandSize w:val="1"/>
    </w:tblPr>
  </w:style>
  <w:style w:type="table" w:customStyle="1" w:styleId="afa">
    <w:basedOn w:val="TableNormal3"/>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online.hbs.edu/blog/post/ai-digital-transformation" TargetMode="External"/><Relationship Id="rId21" Type="http://schemas.openxmlformats.org/officeDocument/2006/relationships/hyperlink" Target="https://m.economictimes.com/small-biz/security-tech/technology/indias-it-workforce-a-strategic-asset-in-a-fragmented-world/articleshow/124937558.cms" TargetMode="External"/><Relationship Id="rId42" Type="http://schemas.openxmlformats.org/officeDocument/2006/relationships/hyperlink" Target="https://papers.ssrn.com/sol3/Delivery.cfm?abstractid=3643979" TargetMode="External"/><Relationship Id="rId47" Type="http://schemas.openxmlformats.org/officeDocument/2006/relationships/hyperlink" Target="https://sms.onlinelibrary.wiley.com/doi/pdfdirect/10.1002/smj.3387" TargetMode="External"/><Relationship Id="rId63" Type="http://schemas.openxmlformats.org/officeDocument/2006/relationships/hyperlink" Target="https://papers.ssrn.com/sol3/Delivery.cfm?abstractid=4851641" TargetMode="External"/><Relationship Id="rId68" Type="http://schemas.openxmlformats.org/officeDocument/2006/relationships/hyperlink" Target="https://www.researchgate.net/profile/Shishir-Tewari-5/publication/391810525_AI_and_Multi-Cloud_Compliance_Safeguarding_Data_Sovereignty/links/682814fa6b5a287c30422f57/AI-and-Multi-Cloud-Compliance-Safeguarding-Data-Sovereignty.pdf" TargetMode="External"/><Relationship Id="rId16" Type="http://schemas.openxmlformats.org/officeDocument/2006/relationships/hyperlink" Target="https://onlinelibrary.wiley.com/doi/pdf/10.1002/spe.3248" TargetMode="External"/><Relationship Id="rId11" Type="http://schemas.openxmlformats.org/officeDocument/2006/relationships/image" Target="media/image6.png"/><Relationship Id="rId32" Type="http://schemas.openxmlformats.org/officeDocument/2006/relationships/hyperlink" Target="https://timesofindia.indiatimes.com/city/bengaluru/rishad-premji-flags-unchanged-it-outlook-focuses-on-ai-push/articleshow/122589825.cms" TargetMode="External"/><Relationship Id="rId37" Type="http://schemas.openxmlformats.org/officeDocument/2006/relationships/hyperlink" Target="https://armgpublishing.com/wp-content/uploads/2024/10/SEC_3_2024_15.pdf" TargetMode="External"/><Relationship Id="rId53" Type="http://schemas.openxmlformats.org/officeDocument/2006/relationships/hyperlink" Target="https://www.sciencedirect.com/science/article/pii/S1877050923006403/pdf?md5=88daa5efd9bda8f590e3a9b2c6f3f76b&amp;pid=1-s2.0-S1877050923006403-main.pdf" TargetMode="External"/><Relationship Id="rId58" Type="http://schemas.openxmlformats.org/officeDocument/2006/relationships/hyperlink" Target="https://blog.oxfordcollegeofmarketing.com/2016/08/01/using-ansoff-matrix-develop-marketing-strategy/" TargetMode="External"/><Relationship Id="rId74" Type="http://schemas.openxmlformats.org/officeDocument/2006/relationships/hyperlink" Target="https://www.wipro.com/" TargetMode="External"/><Relationship Id="rId79" Type="http://schemas.openxmlformats.org/officeDocument/2006/relationships/hyperlink" Target="https://www.wiprofoundation.org/" TargetMode="External"/><Relationship Id="rId5" Type="http://schemas.openxmlformats.org/officeDocument/2006/relationships/webSettings" Target="webSettings.xml"/><Relationship Id="rId61" Type="http://schemas.openxmlformats.org/officeDocument/2006/relationships/hyperlink" Target="https://www.researchgate.net/profile/Bruno-Rego-6/publication/356191007_Digital_Transformation_and_Strategic_Management_a_Systematic_Review_of_the_Literature/links/61db2475d4500608169d3794/Digital-Transformation-and-Strategic-Management-a-Systematic-Review-of-the-Literature.pdf" TargetMode="External"/><Relationship Id="rId82" Type="http://schemas.openxmlformats.org/officeDocument/2006/relationships/fontTable" Target="fontTable.xml"/><Relationship Id="rId19" Type="http://schemas.openxmlformats.org/officeDocument/2006/relationships/hyperlink" Target="http://www.baltijapublishing.lv/omp/index.php/bp/catalog/download/596/16157/34066-1" TargetMode="External"/><Relationship Id="rId14" Type="http://schemas.openxmlformats.org/officeDocument/2006/relationships/hyperlink" Target="https://papers.ssrn.com/sol3/Delivery.cfm?abstractid=4914169" TargetMode="External"/><Relationship Id="rId22" Type="http://schemas.openxmlformats.org/officeDocument/2006/relationships/hyperlink" Target="https://www.sciencedirect.com/science/article/pii/S2199853122007648" TargetMode="External"/><Relationship Id="rId27" Type="http://schemas.openxmlformats.org/officeDocument/2006/relationships/hyperlink" Target="https://online.hbs.edu/blog/post/ai-digital-transformation" TargetMode="External"/><Relationship Id="rId30" Type="http://schemas.openxmlformats.org/officeDocument/2006/relationships/hyperlink" Target="https://www.imarcgroup.com/it-services-market" TargetMode="External"/><Relationship Id="rId35" Type="http://schemas.openxmlformats.org/officeDocument/2006/relationships/hyperlink" Target="https://timesofindia.indiatimes.com/city/bengaluru/wipro-revises-capital-allocation-policy/articleshow/122031851.cms" TargetMode="External"/><Relationship Id="rId43" Type="http://schemas.openxmlformats.org/officeDocument/2006/relationships/hyperlink" Target="https://papers.ssrn.com/sol3/Delivery.cfm?abstractid=3643979" TargetMode="External"/><Relationship Id="rId48" Type="http://schemas.openxmlformats.org/officeDocument/2006/relationships/hyperlink" Target="https://gsom.spbu.ru/files/upload/master_program/materials/international_business_strategy/lasserre_globalisation_indices.pdf" TargetMode="External"/><Relationship Id="rId56" Type="http://schemas.openxmlformats.org/officeDocument/2006/relationships/hyperlink" Target="https://www.b2binternational.com/2025/04/03/pestle-analysis/" TargetMode="External"/><Relationship Id="rId64" Type="http://schemas.openxmlformats.org/officeDocument/2006/relationships/hyperlink" Target="http://103.109.52.4:8080/bitstream/handle/52243/3203/A%20Project%20Report%20on%20Green%20Computing.pdf?sequence=1&amp;isAllowed=y" TargetMode="External"/><Relationship Id="rId69" Type="http://schemas.openxmlformats.org/officeDocument/2006/relationships/hyperlink" Target="https://www.researchgate.net/profile/Shishir-Tewari-5/publication/391810525_AI_and_Multi-Cloud_Compliance_Safeguarding_Data_Sovereignty/links/682814fa6b5a287c30422f57/AI-and-Multi-Cloud-Compliance-Safeguarding-Data-Sovereignty.pdf" TargetMode="External"/><Relationship Id="rId77" Type="http://schemas.openxmlformats.org/officeDocument/2006/relationships/hyperlink" Target="https://www.wipro.com/investors/annual-reports/2022-23/" TargetMode="External"/><Relationship Id="rId8" Type="http://schemas.openxmlformats.org/officeDocument/2006/relationships/image" Target="media/image3.png"/><Relationship Id="rId51" Type="http://schemas.openxmlformats.org/officeDocument/2006/relationships/hyperlink" Target="https://www.wipro.com/content/dam/nexus/en/sustainability/sustainability_reports/wipro-sustainability-report-fy-2023-2024.pdf" TargetMode="External"/><Relationship Id="rId72" Type="http://schemas.openxmlformats.org/officeDocument/2006/relationships/hyperlink" Target="https://timesofindia.indiatimes.com/business/india-business/wipro-realigns-its-global-business-lines/articleshow/119025363.cms" TargetMode="External"/><Relationship Id="rId80" Type="http://schemas.openxmlformats.org/officeDocument/2006/relationships/hyperlink" Target="https://www.wipro.com/newsroom/press-releases/2025/wipro-announces-results-for-the-quarter-ended-september-30-2025/" TargetMode="External"/><Relationship Id="rId3" Type="http://schemas.openxmlformats.org/officeDocument/2006/relationships/styles" Target="styles.xml"/><Relationship Id="rId12" Type="http://schemas.openxmlformats.org/officeDocument/2006/relationships/hyperlink" Target="https://www.researchgate.net/profile/Rajimol_Kp/publication/380677090_Financial_and_Economic_Analysis_of_Sustainable_Practices_for_Green_Computing/links/67077e28ffe5b728123e08b9/Financial-and-Economic-Analysis-of-Sustainable-Practices-for-Green-Computing.pdf" TargetMode="External"/><Relationship Id="rId17" Type="http://schemas.openxmlformats.org/officeDocument/2006/relationships/hyperlink" Target="https://onlinelibrary.wiley.com/doi/pdf/10.1002/spe.3248" TargetMode="External"/><Relationship Id="rId25" Type="http://schemas.openxmlformats.org/officeDocument/2006/relationships/hyperlink" Target="https://www.gartner.com/en/doc/768816-the-future-of-cloud-computing-in-2027-from-technology-to-business-innovation" TargetMode="External"/><Relationship Id="rId33" Type="http://schemas.openxmlformats.org/officeDocument/2006/relationships/hyperlink" Target="https://timesofindia.indiatimes.com/city/bengaluru/rishad-premji-flags-unchanged-it-outlook-focuses-on-ai-push/articleshow/122589825.cms" TargetMode="External"/><Relationship Id="rId38" Type="http://schemas.openxmlformats.org/officeDocument/2006/relationships/hyperlink" Target="https://www.researchgate.net/profile/Nitesh-Kumar-Jha-3/publication/378129190_The_Impact_of_Fundamental_Analysis_in_the_IT_Industry_before_Investing_A_Comparative_Study_on_Wipro_TCS_and_Infosys/links/65c870151e1ec12eff807db1/The-Impact-of-Fundamental-Analysis-in-the-IT-Industry-before-Investing-A-Comparative-Study-on-Wipro-TCS-and-Infosys.pdf" TargetMode="External"/><Relationship Id="rId46" Type="http://schemas.openxmlformats.org/officeDocument/2006/relationships/hyperlink" Target="https://sms.onlinelibrary.wiley.com/doi/pdfdirect/10.1002/smj.3387" TargetMode="External"/><Relationship Id="rId59" Type="http://schemas.openxmlformats.org/officeDocument/2006/relationships/hyperlink" Target="https://blog.oxfordcollegeofmarketing.com/2016/08/01/using-ansoff-matrix-develop-marketing-strategy/" TargetMode="External"/><Relationship Id="rId67" Type="http://schemas.openxmlformats.org/officeDocument/2006/relationships/hyperlink" Target="https://solutionshub.epam.com/blog/post/vrio-analysis" TargetMode="External"/><Relationship Id="rId20" Type="http://schemas.openxmlformats.org/officeDocument/2006/relationships/hyperlink" Target="https://m.economictimes.com/small-biz/security-tech/technology/indias-it-workforce-a-strategic-asset-in-a-fragmented-world/articleshow/124937558.cms" TargetMode="External"/><Relationship Id="rId41" Type="http://schemas.openxmlformats.org/officeDocument/2006/relationships/hyperlink" Target="https://jngr5.com/index.php/journal-of-next-generation-resea/article/download/89/69" TargetMode="External"/><Relationship Id="rId54" Type="http://schemas.openxmlformats.org/officeDocument/2006/relationships/hyperlink" Target="https://resdojournals.com/index.php/jbeo/article/download/247/232" TargetMode="External"/><Relationship Id="rId62" Type="http://schemas.openxmlformats.org/officeDocument/2006/relationships/hyperlink" Target="https://papers.ssrn.com/sol3/Delivery.cfm?abstractid=4851641" TargetMode="External"/><Relationship Id="rId70" Type="http://schemas.openxmlformats.org/officeDocument/2006/relationships/hyperlink" Target="https://www.thestrategyinstitute.org/insights/porters-five-forces-the-ultimate-competitive-strategy-blueprint" TargetMode="External"/><Relationship Id="rId75" Type="http://schemas.openxmlformats.org/officeDocument/2006/relationships/hyperlink" Target="https://www.wipro.com/"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papers.ssrn.com/sol3/Delivery.cfm?abstractid=4914169" TargetMode="External"/><Relationship Id="rId23" Type="http://schemas.openxmlformats.org/officeDocument/2006/relationships/hyperlink" Target="https://www.sciencedirect.com/science/article/pii/S2199853122007648" TargetMode="External"/><Relationship Id="rId28" Type="http://schemas.openxmlformats.org/officeDocument/2006/relationships/hyperlink" Target="https://www.ibef.org/industry/information-technology-india" TargetMode="External"/><Relationship Id="rId36" Type="http://schemas.openxmlformats.org/officeDocument/2006/relationships/hyperlink" Target="https://armgpublishing.com/wp-content/uploads/2024/10/SEC_3_2024_15.pdf" TargetMode="External"/><Relationship Id="rId49" Type="http://schemas.openxmlformats.org/officeDocument/2006/relationships/hyperlink" Target="https://gsom.spbu.ru/files/upload/master_program/materials/international_business_strategy/lasserre_globalisation_indices.pdf" TargetMode="External"/><Relationship Id="rId57" Type="http://schemas.openxmlformats.org/officeDocument/2006/relationships/hyperlink" Target="https://www.b2binternational.com/2025/04/03/pestle-analysis/" TargetMode="External"/><Relationship Id="rId10" Type="http://schemas.openxmlformats.org/officeDocument/2006/relationships/image" Target="media/image5.png"/><Relationship Id="rId31" Type="http://schemas.openxmlformats.org/officeDocument/2006/relationships/hyperlink" Target="https://www.imarcgroup.com/it-services-market" TargetMode="External"/><Relationship Id="rId44" Type="http://schemas.openxmlformats.org/officeDocument/2006/relationships/hyperlink" Target="https://www.researchgate.net/profile/Ashutosh-Kolte/publication/343651920_Analysing_the_Financial_State_of_Selected_Indian_Information_Technology_Companies_The_Assessment_towards_Foreseeing_the_Future_of_Industry/links/5fd66426a6fdccdcb8c47a4e/Analysing-the-Financial-State-of-Selected-Indian-Information-Technology-Companies-The-Assessment-towards-Foreseeing-the-Future-of-Industry.pdf" TargetMode="External"/><Relationship Id="rId52" Type="http://schemas.openxmlformats.org/officeDocument/2006/relationships/hyperlink" Target="https://www.sciencedirect.com/science/article/pii/S1877050923006403/pdf?md5=88daa5efd9bda8f590e3a9b2c6f3f76b&amp;pid=1-s2.0-S1877050923006403-main.pdf" TargetMode="External"/><Relationship Id="rId60" Type="http://schemas.openxmlformats.org/officeDocument/2006/relationships/hyperlink" Target="https://www.researchgate.net/profile/Bruno-Rego-6/publication/356191007_Digital_Transformation_and_Strategic_Management_a_Systematic_Review_of_the_Literature/links/61db2475d4500608169d3794/Digital-Transformation-and-Strategic-Management-a-Systematic-Review-of-the-Literature.pdf" TargetMode="External"/><Relationship Id="rId65" Type="http://schemas.openxmlformats.org/officeDocument/2006/relationships/hyperlink" Target="http://103.109.52.4:8080/bitstream/handle/52243/3203/A%20Project%20Report%20on%20Green%20Computing.pdf?sequence=1&amp;isAllowed=y" TargetMode="External"/><Relationship Id="rId73" Type="http://schemas.openxmlformats.org/officeDocument/2006/relationships/hyperlink" Target="https://timesofindia.indiatimes.com/business/india-business/wipro-realigns-its-global-business-lines/articleshow/119025363.cms" TargetMode="External"/><Relationship Id="rId78" Type="http://schemas.openxmlformats.org/officeDocument/2006/relationships/hyperlink" Target="https://www.wiprofoundation.org/" TargetMode="External"/><Relationship Id="rId81" Type="http://schemas.openxmlformats.org/officeDocument/2006/relationships/hyperlink" Target="https://www.wipro.com/newsroom/press-releases/2025/wipro-announces-results-for-the-quarter-ended-september-30-2025/"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www.researchgate.net/profile/Rajimol_Kp/publication/380677090_Financial_and_Economic_Analysis_of_Sustainable_Practices_for_Green_Computing/links/67077e28ffe5b728123e08b9/Financial-and-Economic-Analysis-of-Sustainable-Practices-for-Green-Computing.pdf" TargetMode="External"/><Relationship Id="rId18" Type="http://schemas.openxmlformats.org/officeDocument/2006/relationships/hyperlink" Target="http://www.baltijapublishing.lv/omp/index.php/bp/catalog/download/596/16157/34066-1" TargetMode="External"/><Relationship Id="rId39" Type="http://schemas.openxmlformats.org/officeDocument/2006/relationships/hyperlink" Target="https://www.researchgate.net/profile/Nitesh-Kumar-Jha-3/publication/378129190_The_Impact_of_Fundamental_Analysis_in_the_IT_Industry_before_Investing_A_Comparative_Study_on_Wipro_TCS_and_Infosys/links/65c870151e1ec12eff807db1/The-Impact-of-Fundamental-Analysis-in-the-IT-Industry-before-Investing-A-Comparative-Study-on-Wipro-TCS-and-Infosys.pdf" TargetMode="External"/><Relationship Id="rId34" Type="http://schemas.openxmlformats.org/officeDocument/2006/relationships/hyperlink" Target="https://timesofindia.indiatimes.com/city/bengaluru/wipro-revises-capital-allocation-policy/articleshow/122031851.cms" TargetMode="External"/><Relationship Id="rId50" Type="http://schemas.openxmlformats.org/officeDocument/2006/relationships/hyperlink" Target="https://www.wipro.com/content/dam/nexus/en/sustainability/sustainability_reports/wipro-sustainability-report-fy-2023-2024.pdf" TargetMode="External"/><Relationship Id="rId55" Type="http://schemas.openxmlformats.org/officeDocument/2006/relationships/hyperlink" Target="https://resdojournals.com/index.php/jbeo/article/download/247/232" TargetMode="External"/><Relationship Id="rId76" Type="http://schemas.openxmlformats.org/officeDocument/2006/relationships/hyperlink" Target="https://www.wipro.com/investors/annual-reports/2022-23/" TargetMode="External"/><Relationship Id="rId7" Type="http://schemas.openxmlformats.org/officeDocument/2006/relationships/image" Target="media/image2.png"/><Relationship Id="rId71" Type="http://schemas.openxmlformats.org/officeDocument/2006/relationships/hyperlink" Target="https://www.thestrategyinstitute.org/insights/porters-five-forces-the-ultimate-competitive-strategy-blueprint" TargetMode="External"/><Relationship Id="rId2" Type="http://schemas.openxmlformats.org/officeDocument/2006/relationships/numbering" Target="numbering.xml"/><Relationship Id="rId29" Type="http://schemas.openxmlformats.org/officeDocument/2006/relationships/hyperlink" Target="https://www.ibef.org/industry/information-technology-india" TargetMode="External"/><Relationship Id="rId24" Type="http://schemas.openxmlformats.org/officeDocument/2006/relationships/hyperlink" Target="https://www.gartner.com/en/doc/768816-the-future-of-cloud-computing-in-2027-from-technology-to-business-innovation" TargetMode="External"/><Relationship Id="rId40" Type="http://schemas.openxmlformats.org/officeDocument/2006/relationships/hyperlink" Target="https://jngr5.com/index.php/journal-of-next-generation-resea/article/download/89/69" TargetMode="External"/><Relationship Id="rId45" Type="http://schemas.openxmlformats.org/officeDocument/2006/relationships/hyperlink" Target="https://www.researchgate.net/profile/Ashutosh-Kolte/publication/343651920_Analysing_the_Financial_State_of_Selected_Indian_Information_Technology_Companies_The_Assessment_towards_Foreseeing_the_Future_of_Industry/links/5fd66426a6fdccdcb8c47a4e/Analysing-the-Financial-State-of-Selected-Indian-Information-Technology-Companies-The-Assessment-towards-Foreseeing-the-Future-of-Industry.pdf" TargetMode="External"/><Relationship Id="rId66" Type="http://schemas.openxmlformats.org/officeDocument/2006/relationships/hyperlink" Target="https://solutionshub.epam.com/blog/post/vrio-analysi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HnMw8uyMtFHuaBvfgx9xALSmEg==">CgMxLjAaLgoBMBIpCicIB0IjCg9UaW1lcyBOZXcgUm9tYW4SEEFyaWFsIFVuaWNvZGUgTVMaLgoBMRIpCicIB0IjCg9UaW1lcyBOZXcgUm9tYW4SEEFyaWFsIFVuaWNvZGUgTVMaLgoBMhIpCicIB0IjCg9UaW1lcyBOZXcgUm9tYW4SEEFyaWFsIFVuaWNvZGUgTVMaLgoBMxIpCicIB0IjCg9UaW1lcyBOZXcgUm9tYW4SEEFyaWFsIFVuaWNvZGUgTVMaLgoBNBIpCicIB0IjCg9UaW1lcyBOZXcgUm9tYW4SEEFyaWFsIFVuaWNvZGUgTVMaLgoBNRIpCicIB0IjCg9UaW1lcyBOZXcgUm9tYW4SEEFyaWFsIFVuaWNvZGUgTVMaLgoBNhIpCicIB0IjCg9UaW1lcyBOZXcgUm9tYW4SEEFyaWFsIFVuaWNvZGUgTVMaLgoBNxIpCicIB0IjCg9UaW1lcyBOZXcgUm9tYW4SEEFyaWFsIFVuaWNvZGUgTVMaLgoBOBIpCicIB0IjCg9UaW1lcyBOZXcgUm9tYW4SEEFyaWFsIFVuaWNvZGUgTVMaLgoBORIpCicIB0IjCg9UaW1lcyBOZXcgUm9tYW4SEEFyaWFsIFVuaWNvZGUgTVMaLwoCMTASKQonCAdCIwoPVGltZXMgTmV3IFJvbWFuEhBBcmlhbCBVbmljb2RlIE1TGi8KAjExEikKJwgHQiMKD1RpbWVzIE5ldyBSb21hbhIQQXJpYWwgVW5pY29kZSBNUxovCgIxMhIpCicIB0IjCg9UaW1lcyBOZXcgUm9tYW4SEEFyaWFsIFVuaWNvZGUgTVMaLwoCMTMSKQonCAdCIwoPVGltZXMgTmV3IFJvbWFuEhBBcmlhbCBVbmljb2RlIE1TGi8KAjE0EikKJwgHQiMKD1RpbWVzIE5ldyBSb21hbhIQQXJpYWwgVW5pY29kZSBNUxovCgIxNRIpCicIB0IjCg9UaW1lcyBOZXcgUm9tYW4SEEFyaWFsIFVuaWNvZGUgTVMyDmgueDltbjVwbXRnajdoMg5oLmQ2aXZob2JmbjdkNzIOaC5rM3FrdWNlY2VwZ2oyDWgud2N2dmJsdWx2YmoyDmguZXIzMTN2NjdqcmZ1Mg5oLjdkcGZvcHNlZHp1bDIOaC5zazlnMmRuMnpkaTQyDmgucnQ2aTdjNmdkZ3hqMg5oLmlxemdncmhvd2VnbTIOaC5nZWo5NXdybjZ2d2YyDmgueGZvc2trYjBjNjNwMg5oLmg0b29wdHVldHZpejIOaC5yeXp4aXV2dnc2ajYyDmgucncxd2NwdHQ0MHQwMg5oLjVsN2w3NjRrenYyYTIOaC5zOTdqcGFsamRzNjYyDmguMXl2dDlwYTd0Z2E3Mg5oLjM1ajF3cWpxOGpwMzINaC5kcnBpZW9oYXl2ajIOaC54eXJiZnlwcXlvM2IyDmguNGQyYnJrZGZyODR5Mg5oLmM3aTB2YjZ6N3pmdDIOaC4yZTdrdm9veHN0d3AyDmguYWxqdjI5Y3M2bWw4Mg5oLnB1Y3J6ZXYwNXNrcDIOaC43eGNtenF5OHV5Z24yDmguNDRhN3J5bWphbTVhMg5oLm4xa2J4bHVscHFtNzIOaC5hcmYwMjVuY2V5dzIyDmguNmprbjZkMnZnOXR0OAByITFBdzQtM095cVZlUEd2em5ZVDg5NjZxU0ljNzVrT2Jp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9183</Words>
  <Characters>52349</Characters>
  <Application>Microsoft Office Word</Application>
  <DocSecurity>0</DocSecurity>
  <Lines>436</Lines>
  <Paragraphs>122</Paragraphs>
  <ScaleCrop>false</ScaleCrop>
  <Company/>
  <LinksUpToDate>false</LinksUpToDate>
  <CharactersWithSpaces>61410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Sachin Ashokbhai Japi (2430819)</cp:lastModifiedBy>
  <cp:revision>2</cp:revision>
  <dcterms:created xsi:type="dcterms:W3CDTF">2025-12-04T17:28:00Z</dcterms:created>
  <dcterms:modified xsi:type="dcterms:W3CDTF">2025-12-04T17:32:00Z</dcterms:modified>
</cp:coreProperties>
</file>