
<file path=[Content_Types].xml><?xml version="1.0" encoding="utf-8"?>
<Types xmlns="http://schemas.openxmlformats.org/package/2006/content-types">
  <Default Extension="xml" ContentType="application/xml"/>
  <Default Extension="sldx" ContentType="application/vnd.openxmlformats-officedocument.presentationml.slide"/>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5BE886">
      <w:pPr>
        <w:rPr>
          <w:b/>
        </w:rPr>
      </w:pPr>
    </w:p>
    <w:p w14:paraId="2A10CAD1">
      <w:pPr>
        <w:rPr>
          <w:b/>
        </w:rPr>
      </w:pPr>
    </w:p>
    <w:p w14:paraId="60862B00">
      <w:pPr>
        <w:rPr>
          <w:b/>
        </w:rPr>
      </w:pPr>
    </w:p>
    <w:p w14:paraId="328BDEAB">
      <w:pPr>
        <w:rPr>
          <w:b/>
        </w:rPr>
      </w:pPr>
    </w:p>
    <w:p w14:paraId="73628DD9">
      <w:pPr>
        <w:rPr>
          <w:b/>
        </w:rPr>
      </w:pPr>
    </w:p>
    <w:p w14:paraId="4844310F">
      <w:pPr>
        <w:rPr>
          <w:b/>
        </w:rPr>
      </w:pPr>
    </w:p>
    <w:p w14:paraId="7525CEE7">
      <w:pPr>
        <w:rPr>
          <w:b/>
        </w:rPr>
      </w:pPr>
    </w:p>
    <w:p w14:paraId="5987F658">
      <w:pPr>
        <w:jc w:val="center"/>
        <w:rPr>
          <w:rFonts w:hint="default"/>
          <w:b w:val="0"/>
          <w:bCs/>
          <w:sz w:val="32"/>
          <w:szCs w:val="32"/>
          <w:lang w:val="en-GB"/>
        </w:rPr>
      </w:pPr>
      <w:r>
        <w:rPr>
          <w:rFonts w:hint="default"/>
          <w:b/>
          <w:sz w:val="32"/>
          <w:szCs w:val="32"/>
          <w:lang w:val="en-GB"/>
        </w:rPr>
        <w:t xml:space="preserve">Student ID : </w:t>
      </w:r>
      <w:r>
        <w:rPr>
          <w:rFonts w:hint="default"/>
          <w:b w:val="0"/>
          <w:bCs/>
          <w:sz w:val="32"/>
          <w:szCs w:val="32"/>
          <w:lang w:val="en-GB"/>
        </w:rPr>
        <w:t>2331050</w:t>
      </w:r>
    </w:p>
    <w:p w14:paraId="4742048A">
      <w:pPr>
        <w:jc w:val="center"/>
        <w:rPr>
          <w:rFonts w:hint="default"/>
          <w:b w:val="0"/>
          <w:bCs/>
          <w:sz w:val="32"/>
          <w:szCs w:val="32"/>
          <w:lang w:val="en-GB"/>
        </w:rPr>
      </w:pPr>
      <w:r>
        <w:rPr>
          <w:rFonts w:hint="default"/>
          <w:b/>
          <w:sz w:val="32"/>
          <w:szCs w:val="32"/>
          <w:lang w:val="en-GB"/>
        </w:rPr>
        <w:t xml:space="preserve">Student Name : </w:t>
      </w:r>
      <w:r>
        <w:rPr>
          <w:rFonts w:hint="default"/>
          <w:b w:val="0"/>
          <w:bCs/>
          <w:sz w:val="32"/>
          <w:szCs w:val="32"/>
          <w:lang w:val="en-GB"/>
        </w:rPr>
        <w:t>Unnati Vara</w:t>
      </w:r>
    </w:p>
    <w:p w14:paraId="012CB586">
      <w:pPr>
        <w:jc w:val="center"/>
        <w:rPr>
          <w:sz w:val="32"/>
          <w:szCs w:val="32"/>
        </w:rPr>
      </w:pPr>
      <w:r>
        <w:rPr>
          <w:b/>
          <w:sz w:val="32"/>
          <w:szCs w:val="32"/>
        </w:rPr>
        <w:t>Programme</w:t>
      </w:r>
      <w:r>
        <w:rPr>
          <w:rFonts w:hint="default"/>
          <w:b/>
          <w:sz w:val="32"/>
          <w:szCs w:val="32"/>
          <w:lang w:val="en-GB"/>
        </w:rPr>
        <w:t xml:space="preserve"> </w:t>
      </w:r>
      <w:r>
        <w:rPr>
          <w:b/>
          <w:sz w:val="32"/>
          <w:szCs w:val="32"/>
        </w:rPr>
        <w:t>:</w:t>
      </w:r>
      <w:r>
        <w:rPr>
          <w:sz w:val="32"/>
          <w:szCs w:val="32"/>
        </w:rPr>
        <w:t xml:space="preserve"> MSc Public Health and Social Care in Practice</w:t>
      </w:r>
    </w:p>
    <w:p w14:paraId="6E1220CB">
      <w:pPr>
        <w:jc w:val="center"/>
        <w:rPr>
          <w:sz w:val="32"/>
          <w:szCs w:val="32"/>
        </w:rPr>
      </w:pPr>
      <w:r>
        <w:rPr>
          <w:b/>
          <w:sz w:val="32"/>
          <w:szCs w:val="32"/>
        </w:rPr>
        <w:t>Module</w:t>
      </w:r>
      <w:r>
        <w:rPr>
          <w:rFonts w:hint="default"/>
          <w:b/>
          <w:sz w:val="32"/>
          <w:szCs w:val="32"/>
          <w:lang w:val="en-GB"/>
        </w:rPr>
        <w:t xml:space="preserve"> </w:t>
      </w:r>
      <w:r>
        <w:rPr>
          <w:b/>
          <w:sz w:val="32"/>
          <w:szCs w:val="32"/>
        </w:rPr>
        <w:t>:</w:t>
      </w:r>
      <w:r>
        <w:rPr>
          <w:sz w:val="32"/>
          <w:szCs w:val="32"/>
        </w:rPr>
        <w:t xml:space="preserve"> Population Health and Digital Health Promotion</w:t>
      </w:r>
    </w:p>
    <w:p w14:paraId="59ECD4C4">
      <w:pPr>
        <w:jc w:val="center"/>
        <w:rPr>
          <w:sz w:val="32"/>
          <w:szCs w:val="32"/>
        </w:rPr>
      </w:pPr>
      <w:r>
        <w:rPr>
          <w:b/>
          <w:sz w:val="32"/>
          <w:szCs w:val="32"/>
        </w:rPr>
        <w:t>Module code</w:t>
      </w:r>
      <w:r>
        <w:rPr>
          <w:rFonts w:hint="default"/>
          <w:b/>
          <w:sz w:val="32"/>
          <w:szCs w:val="32"/>
          <w:lang w:val="en-GB"/>
        </w:rPr>
        <w:t xml:space="preserve"> </w:t>
      </w:r>
      <w:r>
        <w:rPr>
          <w:b/>
          <w:sz w:val="32"/>
          <w:szCs w:val="32"/>
        </w:rPr>
        <w:t xml:space="preserve">: </w:t>
      </w:r>
      <w:r>
        <w:rPr>
          <w:sz w:val="32"/>
          <w:szCs w:val="32"/>
        </w:rPr>
        <w:t>LCHS7007</w:t>
      </w:r>
    </w:p>
    <w:p w14:paraId="6ACEF6A4">
      <w:pPr>
        <w:jc w:val="center"/>
        <w:rPr>
          <w:rFonts w:hint="default"/>
          <w:b/>
          <w:bCs/>
          <w:sz w:val="32"/>
          <w:szCs w:val="32"/>
          <w:lang w:val="en-GB"/>
        </w:rPr>
      </w:pPr>
      <w:r>
        <w:rPr>
          <w:rFonts w:hint="default"/>
          <w:b/>
          <w:bCs/>
          <w:sz w:val="32"/>
          <w:szCs w:val="32"/>
          <w:lang w:val="en-GB"/>
        </w:rPr>
        <w:t xml:space="preserve">Supervisor Name : </w:t>
      </w:r>
      <w:r>
        <w:rPr>
          <w:rFonts w:hint="default"/>
          <w:b w:val="0"/>
          <w:bCs w:val="0"/>
          <w:sz w:val="32"/>
          <w:szCs w:val="32"/>
          <w:lang w:val="en-GB"/>
        </w:rPr>
        <w:t>Dr Ping Wu</w:t>
      </w:r>
    </w:p>
    <w:p w14:paraId="22208E70">
      <w:pPr>
        <w:spacing w:line="276" w:lineRule="auto"/>
        <w:jc w:val="left"/>
      </w:pPr>
      <w:r>
        <w:br w:type="page"/>
      </w:r>
    </w:p>
    <w:sdt>
      <w:sdtPr>
        <w:rPr>
          <w:rFonts w:ascii="Times New Roman" w:hAnsi="Times New Roman" w:eastAsiaTheme="minorHAnsi" w:cstheme="minorBidi"/>
          <w:b w:val="0"/>
          <w:bCs w:val="0"/>
          <w:color w:val="auto"/>
          <w:sz w:val="24"/>
          <w:szCs w:val="22"/>
          <w:lang w:val="en-GB"/>
        </w:rPr>
        <w:id w:val="-2107922338"/>
        <w:docPartObj>
          <w:docPartGallery w:val="Table of Contents"/>
          <w:docPartUnique/>
        </w:docPartObj>
      </w:sdtPr>
      <w:sdtEndPr>
        <w:rPr>
          <w:rFonts w:ascii="Times New Roman" w:hAnsi="Times New Roman" w:eastAsiaTheme="minorHAnsi" w:cstheme="minorBidi"/>
          <w:b w:val="0"/>
          <w:bCs w:val="0"/>
          <w:color w:val="auto"/>
          <w:sz w:val="24"/>
          <w:szCs w:val="22"/>
          <w:lang w:val="en-GB"/>
        </w:rPr>
      </w:sdtEndPr>
      <w:sdtContent>
        <w:p w14:paraId="66BE6114">
          <w:pPr>
            <w:pStyle w:val="20"/>
            <w:jc w:val="center"/>
            <w:rPr>
              <w:rFonts w:ascii="Times New Roman" w:hAnsi="Times New Roman" w:eastAsiaTheme="minorHAnsi" w:cstheme="minorBidi"/>
              <w:b w:val="0"/>
              <w:bCs w:val="0"/>
              <w:color w:val="auto"/>
              <w:sz w:val="24"/>
              <w:szCs w:val="22"/>
              <w:lang w:val="en-GB"/>
            </w:rPr>
          </w:pPr>
        </w:p>
        <w:p w14:paraId="33D3FB8E">
          <w:pPr>
            <w:pStyle w:val="20"/>
            <w:jc w:val="center"/>
            <w:rPr>
              <w:rFonts w:ascii="Times New Roman" w:hAnsi="Times New Roman" w:cs="Times New Roman"/>
              <w:color w:val="auto"/>
            </w:rPr>
          </w:pPr>
          <w:bookmarkStart w:id="6" w:name="_GoBack"/>
          <w:bookmarkEnd w:id="6"/>
          <w:r>
            <w:rPr>
              <w:rFonts w:ascii="Times New Roman" w:hAnsi="Times New Roman" w:cs="Times New Roman"/>
              <w:color w:val="auto"/>
            </w:rPr>
            <w:t>Table of Contents</w:t>
          </w:r>
        </w:p>
        <w:p w14:paraId="368A15FB">
          <w:pPr>
            <w:pStyle w:val="11"/>
            <w:numPr>
              <w:ilvl w:val="0"/>
              <w:numId w:val="1"/>
            </w:numPr>
            <w:tabs>
              <w:tab w:val="right" w:leader="dot" w:pos="9350"/>
            </w:tabs>
            <w:rPr>
              <w:rFonts w:asciiTheme="minorHAnsi" w:hAnsiTheme="minorHAnsi" w:eastAsiaTheme="minorEastAsia"/>
              <w:sz w:val="22"/>
              <w:lang w:val="en-US"/>
            </w:rPr>
          </w:pPr>
          <w:r>
            <w:rPr>
              <w:rFonts w:cs="Times New Roman"/>
            </w:rPr>
            <w:fldChar w:fldCharType="begin"/>
          </w:r>
          <w:r>
            <w:rPr>
              <w:rFonts w:cs="Times New Roman"/>
            </w:rPr>
            <w:instrText xml:space="preserve"> TOC \o "1-3" \h \z \u </w:instrText>
          </w:r>
          <w:r>
            <w:rPr>
              <w:rFonts w:cs="Times New Roman"/>
            </w:rPr>
            <w:fldChar w:fldCharType="separate"/>
          </w:r>
          <w:r>
            <w:fldChar w:fldCharType="begin"/>
          </w:r>
          <w:r>
            <w:instrText xml:space="preserve"> HYPERLINK \l "_Toc193710113" </w:instrText>
          </w:r>
          <w:r>
            <w:fldChar w:fldCharType="separate"/>
          </w:r>
          <w:r>
            <w:rPr>
              <w:rStyle w:val="10"/>
            </w:rPr>
            <w:t>Task 1: Blog 2 entries</w:t>
          </w:r>
          <w:r>
            <w:tab/>
          </w:r>
          <w:r>
            <w:fldChar w:fldCharType="begin"/>
          </w:r>
          <w:r>
            <w:instrText xml:space="preserve"> PAGEREF _Toc193710113 \h </w:instrText>
          </w:r>
          <w:r>
            <w:fldChar w:fldCharType="separate"/>
          </w:r>
          <w:r>
            <w:t>2</w:t>
          </w:r>
          <w:r>
            <w:fldChar w:fldCharType="end"/>
          </w:r>
          <w:r>
            <w:fldChar w:fldCharType="end"/>
          </w:r>
        </w:p>
        <w:p w14:paraId="7A68B354">
          <w:pPr>
            <w:pStyle w:val="12"/>
            <w:tabs>
              <w:tab w:val="right" w:leader="dot" w:pos="9350"/>
            </w:tabs>
            <w:rPr>
              <w:rFonts w:asciiTheme="minorHAnsi" w:hAnsiTheme="minorHAnsi" w:eastAsiaTheme="minorEastAsia"/>
              <w:sz w:val="22"/>
              <w:lang w:val="en-US"/>
            </w:rPr>
          </w:pPr>
          <w:r>
            <w:rPr>
              <w:rFonts w:hint="default"/>
              <w:lang w:val="en-GB"/>
            </w:rPr>
            <w:t xml:space="preserve">1.1 </w:t>
          </w:r>
          <w:r>
            <w:fldChar w:fldCharType="begin"/>
          </w:r>
          <w:r>
            <w:instrText xml:space="preserve"> HYPERLINK \l "_Toc193710114" </w:instrText>
          </w:r>
          <w:r>
            <w:fldChar w:fldCharType="separate"/>
          </w:r>
          <w:r>
            <w:rPr>
              <w:rStyle w:val="10"/>
            </w:rPr>
            <w:t>Blog 1</w:t>
          </w:r>
          <w:r>
            <w:tab/>
          </w:r>
          <w:r>
            <w:fldChar w:fldCharType="begin"/>
          </w:r>
          <w:r>
            <w:instrText xml:space="preserve"> PAGEREF _Toc193710114 \h </w:instrText>
          </w:r>
          <w:r>
            <w:fldChar w:fldCharType="separate"/>
          </w:r>
          <w:r>
            <w:t>2</w:t>
          </w:r>
          <w:r>
            <w:fldChar w:fldCharType="end"/>
          </w:r>
          <w:r>
            <w:fldChar w:fldCharType="end"/>
          </w:r>
        </w:p>
        <w:p w14:paraId="285D52C0">
          <w:pPr>
            <w:pStyle w:val="11"/>
            <w:tabs>
              <w:tab w:val="right" w:leader="dot" w:pos="9350"/>
            </w:tabs>
            <w:ind w:firstLine="240" w:firstLineChars="100"/>
            <w:rPr>
              <w:rFonts w:asciiTheme="minorHAnsi" w:hAnsiTheme="minorHAnsi" w:eastAsiaTheme="minorEastAsia"/>
              <w:sz w:val="22"/>
              <w:lang w:val="en-US"/>
            </w:rPr>
          </w:pPr>
          <w:r>
            <w:rPr>
              <w:rFonts w:hint="default"/>
              <w:lang w:val="en-GB"/>
            </w:rPr>
            <w:t xml:space="preserve">1.2 </w:t>
          </w:r>
          <w:r>
            <w:fldChar w:fldCharType="begin"/>
          </w:r>
          <w:r>
            <w:instrText xml:space="preserve"> HYPERLINK \l "_Toc193710115" </w:instrText>
          </w:r>
          <w:r>
            <w:fldChar w:fldCharType="separate"/>
          </w:r>
          <w:r>
            <w:rPr>
              <w:rStyle w:val="10"/>
              <w:shd w:val="clear" w:color="auto" w:fill="FFFFFF"/>
            </w:rPr>
            <w:t>References</w:t>
          </w:r>
          <w:r>
            <w:tab/>
          </w:r>
          <w:r>
            <w:fldChar w:fldCharType="begin"/>
          </w:r>
          <w:r>
            <w:instrText xml:space="preserve"> PAGEREF _Toc193710115 \h </w:instrText>
          </w:r>
          <w:r>
            <w:fldChar w:fldCharType="separate"/>
          </w:r>
          <w:r>
            <w:t>6</w:t>
          </w:r>
          <w:r>
            <w:fldChar w:fldCharType="end"/>
          </w:r>
          <w:r>
            <w:fldChar w:fldCharType="end"/>
          </w:r>
        </w:p>
        <w:p w14:paraId="47B6A45D">
          <w:pPr>
            <w:pStyle w:val="11"/>
            <w:tabs>
              <w:tab w:val="right" w:leader="dot" w:pos="9350"/>
            </w:tabs>
            <w:ind w:firstLine="240" w:firstLineChars="100"/>
            <w:rPr>
              <w:rFonts w:asciiTheme="minorHAnsi" w:hAnsiTheme="minorHAnsi" w:eastAsiaTheme="minorEastAsia"/>
              <w:sz w:val="22"/>
              <w:lang w:val="en-US"/>
            </w:rPr>
          </w:pPr>
          <w:r>
            <w:rPr>
              <w:rFonts w:hint="default"/>
              <w:lang w:val="en-GB"/>
            </w:rPr>
            <w:t xml:space="preserve">1.3 </w:t>
          </w:r>
          <w:r>
            <w:fldChar w:fldCharType="begin"/>
          </w:r>
          <w:r>
            <w:instrText xml:space="preserve"> HYPERLINK \l "_Toc193710116" </w:instrText>
          </w:r>
          <w:r>
            <w:fldChar w:fldCharType="separate"/>
          </w:r>
          <w:r>
            <w:rPr>
              <w:rStyle w:val="10"/>
            </w:rPr>
            <w:t>Blog 2</w:t>
          </w:r>
          <w:r>
            <w:tab/>
          </w:r>
          <w:r>
            <w:fldChar w:fldCharType="begin"/>
          </w:r>
          <w:r>
            <w:instrText xml:space="preserve"> PAGEREF _Toc193710116 \h </w:instrText>
          </w:r>
          <w:r>
            <w:fldChar w:fldCharType="separate"/>
          </w:r>
          <w:r>
            <w:t>8</w:t>
          </w:r>
          <w:r>
            <w:fldChar w:fldCharType="end"/>
          </w:r>
          <w:r>
            <w:fldChar w:fldCharType="end"/>
          </w:r>
        </w:p>
        <w:p w14:paraId="4F24277B">
          <w:pPr>
            <w:pStyle w:val="11"/>
            <w:tabs>
              <w:tab w:val="right" w:leader="dot" w:pos="9350"/>
            </w:tabs>
            <w:ind w:firstLine="240" w:firstLineChars="100"/>
            <w:rPr>
              <w:rFonts w:asciiTheme="minorHAnsi" w:hAnsiTheme="minorHAnsi" w:eastAsiaTheme="minorEastAsia"/>
              <w:sz w:val="22"/>
              <w:lang w:val="en-US"/>
            </w:rPr>
          </w:pPr>
          <w:r>
            <w:rPr>
              <w:rFonts w:hint="default"/>
              <w:lang w:val="en-GB"/>
            </w:rPr>
            <w:t xml:space="preserve">1.4 </w:t>
          </w:r>
          <w:r>
            <w:fldChar w:fldCharType="begin"/>
          </w:r>
          <w:r>
            <w:instrText xml:space="preserve"> HYPERLINK \l "_Toc193710117" </w:instrText>
          </w:r>
          <w:r>
            <w:fldChar w:fldCharType="separate"/>
          </w:r>
          <w:r>
            <w:rPr>
              <w:rStyle w:val="10"/>
              <w:shd w:val="clear" w:color="auto" w:fill="FFFFFF"/>
            </w:rPr>
            <w:t>References</w:t>
          </w:r>
          <w:r>
            <w:tab/>
          </w:r>
          <w:r>
            <w:fldChar w:fldCharType="begin"/>
          </w:r>
          <w:r>
            <w:instrText xml:space="preserve"> PAGEREF _Toc193710117 \h </w:instrText>
          </w:r>
          <w:r>
            <w:fldChar w:fldCharType="separate"/>
          </w:r>
          <w:r>
            <w:t>11</w:t>
          </w:r>
          <w:r>
            <w:fldChar w:fldCharType="end"/>
          </w:r>
          <w:r>
            <w:fldChar w:fldCharType="end"/>
          </w:r>
        </w:p>
        <w:p w14:paraId="42B1788A">
          <w:pPr>
            <w:pStyle w:val="11"/>
            <w:tabs>
              <w:tab w:val="right" w:leader="dot" w:pos="9350"/>
            </w:tabs>
            <w:rPr>
              <w:rFonts w:asciiTheme="minorHAnsi" w:hAnsiTheme="minorHAnsi" w:eastAsiaTheme="minorEastAsia"/>
              <w:sz w:val="22"/>
              <w:lang w:val="en-US"/>
            </w:rPr>
          </w:pPr>
          <w:r>
            <w:rPr>
              <w:rFonts w:hint="default"/>
              <w:lang w:val="en-GB"/>
            </w:rPr>
            <w:t xml:space="preserve">2. Task 2 : </w:t>
          </w:r>
          <w:r>
            <w:fldChar w:fldCharType="begin"/>
          </w:r>
          <w:r>
            <w:instrText xml:space="preserve"> HYPERLINK \l "_Toc193710118" </w:instrText>
          </w:r>
          <w:r>
            <w:fldChar w:fldCharType="separate"/>
          </w:r>
          <w:r>
            <w:rPr>
              <w:rStyle w:val="10"/>
            </w:rPr>
            <w:t>Poster</w:t>
          </w:r>
          <w:r>
            <w:tab/>
          </w:r>
          <w:r>
            <w:fldChar w:fldCharType="begin"/>
          </w:r>
          <w:r>
            <w:instrText xml:space="preserve"> PAGEREF _Toc193710118 \h </w:instrText>
          </w:r>
          <w:r>
            <w:fldChar w:fldCharType="separate"/>
          </w:r>
          <w:r>
            <w:t>12</w:t>
          </w:r>
          <w:r>
            <w:fldChar w:fldCharType="end"/>
          </w:r>
          <w:r>
            <w:fldChar w:fldCharType="end"/>
          </w:r>
        </w:p>
        <w:p w14:paraId="0CBEC1EB">
          <w:r>
            <w:rPr>
              <w:rFonts w:cs="Times New Roman"/>
            </w:rPr>
            <w:fldChar w:fldCharType="end"/>
          </w:r>
        </w:p>
      </w:sdtContent>
    </w:sdt>
    <w:p w14:paraId="7C1771B2">
      <w:r>
        <w:br w:type="page"/>
      </w:r>
    </w:p>
    <w:p w14:paraId="07C1AD11">
      <w:pPr>
        <w:pStyle w:val="2"/>
        <w:numPr>
          <w:ilvl w:val="0"/>
          <w:numId w:val="2"/>
        </w:numPr>
        <w:ind w:leftChars="0"/>
        <w:jc w:val="both"/>
        <w:rPr>
          <w:color w:val="31859C" w:themeColor="accent5" w:themeShade="BF"/>
        </w:rPr>
      </w:pPr>
      <w:bookmarkStart w:id="0" w:name="_Toc193710113"/>
      <w:r>
        <w:rPr>
          <w:color w:val="31859C" w:themeColor="accent5" w:themeShade="BF"/>
        </w:rPr>
        <w:t>Task 1: Blog 2 entries</w:t>
      </w:r>
      <w:bookmarkEnd w:id="0"/>
    </w:p>
    <w:p w14:paraId="728EAF9F">
      <w:pPr>
        <w:pStyle w:val="3"/>
        <w:numPr>
          <w:numId w:val="0"/>
        </w:numPr>
        <w:ind w:leftChars="0"/>
        <w:jc w:val="both"/>
        <w:rPr>
          <w:color w:val="C00000"/>
          <w:sz w:val="28"/>
          <w:szCs w:val="28"/>
        </w:rPr>
      </w:pPr>
      <w:bookmarkStart w:id="1" w:name="_Toc193710114"/>
      <w:r>
        <w:rPr>
          <w:rFonts w:hint="default"/>
          <w:color w:val="C00000"/>
          <w:sz w:val="28"/>
          <w:szCs w:val="28"/>
          <w:lang w:val="en-GB"/>
        </w:rPr>
        <w:t xml:space="preserve">1.1 </w:t>
      </w:r>
      <w:r>
        <w:rPr>
          <w:color w:val="C00000"/>
          <w:sz w:val="28"/>
          <w:szCs w:val="28"/>
        </w:rPr>
        <w:t>Blog 1</w:t>
      </w:r>
      <w:bookmarkEnd w:id="1"/>
    </w:p>
    <w:p w14:paraId="5C1C7A1D">
      <w:pPr>
        <w:numPr>
          <w:numId w:val="0"/>
        </w:numPr>
        <w:ind w:leftChars="0"/>
        <w:rPr>
          <w:b/>
          <w:color w:val="984807" w:themeColor="accent6" w:themeShade="80"/>
          <w:sz w:val="28"/>
          <w:szCs w:val="28"/>
        </w:rPr>
      </w:pPr>
      <w:r>
        <w:rPr>
          <w:b/>
          <w:color w:val="984807" w:themeColor="accent6" w:themeShade="80"/>
          <w:sz w:val="28"/>
          <w:szCs w:val="28"/>
        </w:rPr>
        <w:t xml:space="preserve">Artificial intelligence ushered in a new era in addressing mental health problem </w:t>
      </w:r>
    </w:p>
    <w:p w14:paraId="1FB7B82B">
      <w:pPr>
        <w:numPr>
          <w:numId w:val="0"/>
        </w:numPr>
        <w:ind w:leftChars="0"/>
        <w:rPr>
          <w:b/>
          <w:color w:val="C00000"/>
        </w:rPr>
      </w:pPr>
      <w:r>
        <w:rPr>
          <w:b/>
          <w:color w:val="C00000"/>
        </w:rPr>
        <w:t xml:space="preserve">Mental health: an alarming public health concerns </w:t>
      </w:r>
    </w:p>
    <w:p w14:paraId="15A93ED7">
      <w:r>
        <w:t>In recent times, millions of people around the world have been facing mental health concerns. It affects around 450 million people across the world, making up 12% of various diseases (</w:t>
      </w:r>
      <w:r>
        <w:rPr>
          <w:shd w:val="clear" w:color="auto" w:fill="FFFFFF"/>
        </w:rPr>
        <w:t>Persaud, et al., 2018)</w:t>
      </w:r>
      <w:r>
        <w:t>. Some of the prominent instances of mental health disorder include bipolar disorder, depression, and schizophrenia and concern disorders. As per the statistics provided by the World Health Organisation, there is an increase of 26% and 28% hike in anxiety and major depressive disorders in a year. People who are exposed to poverty, disability, inequality are more susceptible to mental disorder (</w:t>
      </w:r>
      <w:r>
        <w:rPr>
          <w:shd w:val="clear" w:color="auto" w:fill="FFFFFF"/>
        </w:rPr>
        <w:t>Schofield et al., 2019)</w:t>
      </w:r>
      <w:r>
        <w:t xml:space="preserve">. One of the major challenges of dealing with this health concern is delayed diagnosis and stigma among the people. </w:t>
      </w:r>
    </w:p>
    <w:p w14:paraId="1414D2DF">
      <w:pPr>
        <w:jc w:val="center"/>
      </w:pPr>
      <w:r>
        <w:rPr>
          <w:lang w:val="en-US"/>
        </w:rPr>
        <w:drawing>
          <wp:inline distT="0" distB="0" distL="0" distR="0">
            <wp:extent cx="5770880" cy="267589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srcRect/>
                    <a:stretch>
                      <a:fillRect/>
                    </a:stretch>
                  </pic:blipFill>
                  <pic:spPr>
                    <a:xfrm>
                      <a:off x="0" y="0"/>
                      <a:ext cx="5770880" cy="2675890"/>
                    </a:xfrm>
                    <a:prstGeom prst="rect">
                      <a:avLst/>
                    </a:prstGeom>
                    <a:ln>
                      <a:noFill/>
                    </a:ln>
                    <a:effectLst>
                      <a:softEdge rad="112500"/>
                    </a:effectLst>
                  </pic:spPr>
                </pic:pic>
              </a:graphicData>
            </a:graphic>
          </wp:inline>
        </w:drawing>
      </w:r>
    </w:p>
    <w:p w14:paraId="1ADB76D1">
      <w:pPr>
        <w:jc w:val="center"/>
      </w:pPr>
      <w:r>
        <w:t xml:space="preserve"> (Source: The Guardian, 2024)</w:t>
      </w:r>
    </w:p>
    <w:p w14:paraId="3C9E6094">
      <w:pPr>
        <w:rPr>
          <w:b/>
        </w:rPr>
      </w:pPr>
    </w:p>
    <w:p w14:paraId="79B96561">
      <w:pPr>
        <w:rPr>
          <w:b/>
        </w:rPr>
      </w:pPr>
    </w:p>
    <w:p w14:paraId="5ECAD3CF">
      <w:pPr>
        <w:rPr>
          <w:b/>
        </w:rPr>
      </w:pPr>
    </w:p>
    <w:p w14:paraId="595C42F9">
      <w:pPr>
        <w:numPr>
          <w:ilvl w:val="0"/>
          <w:numId w:val="3"/>
        </w:numPr>
        <w:ind w:left="420" w:leftChars="0" w:hanging="420" w:firstLineChars="0"/>
        <w:rPr>
          <w:b/>
          <w:color w:val="C00000"/>
        </w:rPr>
      </w:pPr>
      <w:r>
        <w:rPr>
          <w:b/>
          <w:color w:val="C00000"/>
        </w:rPr>
        <w:t xml:space="preserve">Role of AI in health promotion and addressing mental health concerns </w:t>
      </w:r>
    </w:p>
    <w:p w14:paraId="485DB210">
      <w:r>
        <w:t>The application of artificial intelligence (AI) in mental health promotion is many-sided, starting from application and website development to deliver round-the-clock mental health support to the exploration of mental health disorder (</w:t>
      </w:r>
      <w:r>
        <w:rPr>
          <w:shd w:val="clear" w:color="auto" w:fill="FFFFFF"/>
        </w:rPr>
        <w:t>Oladimeji et al., 2023)</w:t>
      </w:r>
      <w:r>
        <w:t xml:space="preserve">. Besides, machine learning has also proved its efficacy to deal with personalised therapeutic needs and tracking realistic data via wearable devices. AI-powered interventions bear the capability of going beyond the domain of clinical areas to wellness incorporations, thereby offering various recommendations regarding mental exercises. Besides, AI has revalorised the mental health disorder diagnostic, ranging from early detection to improved treatment outcome. </w:t>
      </w:r>
    </w:p>
    <w:p w14:paraId="13CBE909">
      <w:pPr>
        <w:jc w:val="center"/>
      </w:pPr>
      <w:r>
        <w:rPr>
          <w:lang w:val="en-US"/>
        </w:rPr>
        <w:drawing>
          <wp:inline distT="0" distB="0" distL="0" distR="0">
            <wp:extent cx="3973830" cy="3089910"/>
            <wp:effectExtent l="53975" t="53975" r="112395" b="1200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rcRect/>
                    <a:stretch>
                      <a:fillRect/>
                    </a:stretch>
                  </pic:blipFill>
                  <pic:spPr>
                    <a:xfrm>
                      <a:off x="0" y="0"/>
                      <a:ext cx="3973830" cy="308991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47E6239F">
      <w:pPr>
        <w:jc w:val="center"/>
      </w:pPr>
      <w:r>
        <w:t xml:space="preserve"> (Source: </w:t>
      </w:r>
      <w:r>
        <w:rPr>
          <w:shd w:val="clear" w:color="auto" w:fill="FFFFFF"/>
        </w:rPr>
        <w:t>Olawade</w:t>
      </w:r>
      <w:r>
        <w:t xml:space="preserve"> et al., 2024)</w:t>
      </w:r>
    </w:p>
    <w:p w14:paraId="4D1BF35D">
      <w:pPr>
        <w:rPr>
          <w:shd w:val="clear" w:color="auto" w:fill="FFFFFF"/>
        </w:rPr>
      </w:pPr>
      <w:r>
        <w:t>Artificial intelligence has extraordinary capabilities in terms of decoding the complicated mental health patterns and associations (</w:t>
      </w:r>
      <w:r>
        <w:rPr>
          <w:shd w:val="clear" w:color="auto" w:fill="FFFFFF"/>
        </w:rPr>
        <w:t>Olawade</w:t>
      </w:r>
      <w:r>
        <w:t xml:space="preserve"> et al., 2024). It is also evident that AI integration has reshaped the landscape of mental healthcare while facilitating widespread access to early intervention and tailored treatment. Besides, the 20</w:t>
      </w:r>
      <w:r>
        <w:rPr>
          <w:vertAlign w:val="superscript"/>
        </w:rPr>
        <w:t>th</w:t>
      </w:r>
      <w:r>
        <w:t xml:space="preserve"> century witnessed the emergence of computer-driven cognitive behavioural therapy (CBT) (</w:t>
      </w:r>
      <w:r>
        <w:rPr>
          <w:shd w:val="clear" w:color="auto" w:fill="FFFFFF"/>
        </w:rPr>
        <w:t xml:space="preserve">Blackwell and Heidenreich, 2021). With the integration of AI, mental healthcare has become data-driven, accessible and highly effective. </w:t>
      </w:r>
    </w:p>
    <w:p w14:paraId="21D5038F">
      <w:pPr>
        <w:jc w:val="center"/>
        <w:rPr>
          <w:shd w:val="clear" w:color="auto" w:fill="FFFFFF"/>
        </w:rPr>
      </w:pPr>
      <w:r>
        <w:rPr>
          <w:lang w:val="en-US"/>
        </w:rPr>
        <w:drawing>
          <wp:inline distT="0" distB="0" distL="0" distR="0">
            <wp:extent cx="5397500" cy="3274060"/>
            <wp:effectExtent l="0" t="0" r="0" b="2540"/>
            <wp:docPr id="13" name="Picture 13" descr="TRENDS Research &amp; Advisory - Smart Therapy Solutions: The Rise of AI in Mental  Health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RENDS Research &amp; Advisory - Smart Therapy Solutions: The Rise of AI in Mental  Health Care"/>
                    <pic:cNvPicPr>
                      <a:picLocks noChangeAspect="1" noChangeArrowheads="1"/>
                    </pic:cNvPicPr>
                  </pic:nvPicPr>
                  <pic:blipFill>
                    <a:blip r:embed="rId9" cstate="print"/>
                    <a:srcRect/>
                    <a:stretch>
                      <a:fillRect/>
                    </a:stretch>
                  </pic:blipFill>
                  <pic:spPr>
                    <a:xfrm>
                      <a:off x="0" y="0"/>
                      <a:ext cx="5397500" cy="3274060"/>
                    </a:xfrm>
                    <a:prstGeom prst="rect">
                      <a:avLst/>
                    </a:prstGeom>
                    <a:ln>
                      <a:noFill/>
                    </a:ln>
                    <a:effectLst>
                      <a:softEdge rad="112500"/>
                    </a:effectLst>
                  </pic:spPr>
                </pic:pic>
              </a:graphicData>
            </a:graphic>
          </wp:inline>
        </w:drawing>
      </w:r>
    </w:p>
    <w:p w14:paraId="0A9A7249">
      <w:pPr>
        <w:jc w:val="center"/>
        <w:rPr>
          <w:shd w:val="clear" w:color="auto" w:fill="FFFFFF"/>
        </w:rPr>
      </w:pPr>
      <w:r>
        <w:rPr>
          <w:shd w:val="clear" w:color="auto" w:fill="FFFFFF"/>
        </w:rPr>
        <w:t>(Source: Trends Research, 2024)</w:t>
      </w:r>
    </w:p>
    <w:p w14:paraId="471625BE">
      <w:pPr>
        <w:numPr>
          <w:ilvl w:val="0"/>
          <w:numId w:val="4"/>
        </w:numPr>
        <w:ind w:left="420" w:leftChars="0" w:hanging="420" w:firstLineChars="0"/>
        <w:rPr>
          <w:b/>
          <w:color w:val="984807" w:themeColor="accent6" w:themeShade="80"/>
        </w:rPr>
      </w:pPr>
      <w:r>
        <w:rPr>
          <w:b/>
          <w:color w:val="984807" w:themeColor="accent6" w:themeShade="80"/>
        </w:rPr>
        <w:t xml:space="preserve">AI in mental health: merits and demerits: </w:t>
      </w:r>
    </w:p>
    <w:p w14:paraId="56C03B16">
      <w:pPr>
        <w:rPr>
          <w:b/>
          <w:color w:val="C00000"/>
        </w:rPr>
      </w:pPr>
      <w:r>
        <w:rPr>
          <w:b/>
          <w:color w:val="C00000"/>
        </w:rPr>
        <w:t>Advantages:</w:t>
      </w:r>
    </w:p>
    <w:p w14:paraId="403E760B">
      <w:r>
        <w:t>A major advantage of AI in mental health promotion is that it can facilitate early detection by harnessing predictive models (</w:t>
      </w:r>
      <w:r>
        <w:rPr>
          <w:shd w:val="clear" w:color="auto" w:fill="FFFFFF"/>
        </w:rPr>
        <w:t>Olawade</w:t>
      </w:r>
      <w:r>
        <w:t xml:space="preserve"> et al., 2024). Moreover, it bears the capability of micro-expressions and minute changes in facial expressions that are effective during video consultations via mobile apps. </w:t>
      </w:r>
    </w:p>
    <w:p w14:paraId="0970CF46">
      <w:pPr>
        <w:rPr>
          <w:b/>
          <w:color w:val="C00000"/>
        </w:rPr>
      </w:pPr>
      <w:r>
        <w:rPr>
          <w:b/>
          <w:color w:val="C00000"/>
        </w:rPr>
        <w:t xml:space="preserve">Disadvantages: </w:t>
      </w:r>
    </w:p>
    <w:p w14:paraId="7690BD51">
      <w:r>
        <w:t>However, some of the major challenges in integrating AI in mental health promotion entail biases, privacy and security concerns (</w:t>
      </w:r>
      <w:r>
        <w:rPr>
          <w:shd w:val="clear" w:color="auto" w:fill="FFFFFF"/>
        </w:rPr>
        <w:t>Timmons et al., 2023)</w:t>
      </w:r>
      <w:r>
        <w:t xml:space="preserve">. Further, lack of guidelines can also spark ethical issues. </w:t>
      </w:r>
    </w:p>
    <w:p w14:paraId="678449AA"/>
    <w:p w14:paraId="17D47DBD">
      <w:pPr>
        <w:numPr>
          <w:numId w:val="0"/>
        </w:numPr>
        <w:ind w:leftChars="0"/>
        <w:rPr>
          <w:b/>
          <w:color w:val="C00000"/>
        </w:rPr>
      </w:pPr>
      <w:r>
        <w:rPr>
          <w:b/>
          <w:color w:val="C00000"/>
        </w:rPr>
        <w:t xml:space="preserve">What is the solution? </w:t>
      </w:r>
    </w:p>
    <w:p w14:paraId="50C8E13D">
      <w:r>
        <w:t xml:space="preserve">Effective and clear guidelines and codes regarding safety and ethics can go a long way for AI tools to fulfil the expected standards. A strong collaboration between organisations and governments can also ascertain effective use of AI to promote mental health. </w:t>
      </w:r>
    </w:p>
    <w:p w14:paraId="641AAFEE">
      <w:pPr>
        <w:spacing w:line="276" w:lineRule="auto"/>
        <w:jc w:val="left"/>
      </w:pPr>
      <w:r>
        <w:br w:type="page"/>
      </w:r>
    </w:p>
    <w:p w14:paraId="7880B922">
      <w:pPr>
        <w:pStyle w:val="2"/>
        <w:numPr>
          <w:numId w:val="0"/>
        </w:numPr>
        <w:ind w:leftChars="0"/>
        <w:rPr>
          <w:color w:val="953735" w:themeColor="accent2" w:themeShade="BF"/>
          <w:shd w:val="clear" w:color="auto" w:fill="FFFFFF"/>
        </w:rPr>
      </w:pPr>
      <w:bookmarkStart w:id="2" w:name="_Toc193710115"/>
      <w:r>
        <w:rPr>
          <w:rFonts w:hint="default"/>
          <w:color w:val="953735" w:themeColor="accent2" w:themeShade="BF"/>
          <w:shd w:val="clear" w:color="auto" w:fill="FFFFFF"/>
          <w:lang w:val="en-GB"/>
        </w:rPr>
        <w:t xml:space="preserve">1.2 </w:t>
      </w:r>
      <w:r>
        <w:rPr>
          <w:color w:val="953735" w:themeColor="accent2" w:themeShade="BF"/>
          <w:shd w:val="clear" w:color="auto" w:fill="FFFFFF"/>
        </w:rPr>
        <w:t>References</w:t>
      </w:r>
      <w:bookmarkEnd w:id="2"/>
      <w:r>
        <w:rPr>
          <w:color w:val="953735" w:themeColor="accent2" w:themeShade="BF"/>
          <w:shd w:val="clear" w:color="auto" w:fill="FFFFFF"/>
        </w:rPr>
        <w:t xml:space="preserve"> </w:t>
      </w:r>
    </w:p>
    <w:p w14:paraId="5D7F8905">
      <w:pPr>
        <w:numPr>
          <w:ilvl w:val="0"/>
          <w:numId w:val="5"/>
        </w:numPr>
        <w:ind w:left="420" w:leftChars="0" w:hanging="420" w:firstLineChars="0"/>
        <w:rPr>
          <w:shd w:val="clear" w:color="auto" w:fill="FFFFFF"/>
        </w:rPr>
      </w:pPr>
      <w:r>
        <w:rPr>
          <w:shd w:val="clear" w:color="auto" w:fill="FFFFFF"/>
        </w:rPr>
        <w:t>Blackwell, S.E. and Heidenreich, T., (2021). Cognitive behavior therapy at the crossroads. </w:t>
      </w:r>
      <w:r>
        <w:rPr>
          <w:i/>
          <w:iCs/>
          <w:shd w:val="clear" w:color="auto" w:fill="FFFFFF"/>
        </w:rPr>
        <w:t>International Journal of Cognitive Therapy</w:t>
      </w:r>
      <w:r>
        <w:rPr>
          <w:shd w:val="clear" w:color="auto" w:fill="FFFFFF"/>
        </w:rPr>
        <w:t>, </w:t>
      </w:r>
      <w:r>
        <w:rPr>
          <w:i/>
          <w:iCs/>
          <w:shd w:val="clear" w:color="auto" w:fill="FFFFFF"/>
        </w:rPr>
        <w:t>14</w:t>
      </w:r>
      <w:r>
        <w:rPr>
          <w:shd w:val="clear" w:color="auto" w:fill="FFFFFF"/>
        </w:rPr>
        <w:t>(1), pp.1-22.</w:t>
      </w:r>
    </w:p>
    <w:p w14:paraId="2CB7F3A1">
      <w:pPr>
        <w:numPr>
          <w:ilvl w:val="0"/>
          <w:numId w:val="5"/>
        </w:numPr>
        <w:ind w:left="420" w:leftChars="0" w:hanging="420" w:firstLineChars="0"/>
        <w:rPr>
          <w:shd w:val="clear" w:color="auto" w:fill="FFFFFF"/>
        </w:rPr>
      </w:pPr>
      <w:r>
        <w:rPr>
          <w:shd w:val="clear" w:color="auto" w:fill="FFFFFF"/>
        </w:rPr>
        <w:t>Chaudhari, K.S., Dhapkas, M.P. and Kumar, A., (2024). Mental disorders–a serious global concern that needs to address. </w:t>
      </w:r>
      <w:r>
        <w:rPr>
          <w:i/>
          <w:iCs/>
          <w:shd w:val="clear" w:color="auto" w:fill="FFFFFF"/>
        </w:rPr>
        <w:t>Int J Pharm Qual Assur</w:t>
      </w:r>
      <w:r>
        <w:rPr>
          <w:shd w:val="clear" w:color="auto" w:fill="FFFFFF"/>
        </w:rPr>
        <w:t>, </w:t>
      </w:r>
      <w:r>
        <w:rPr>
          <w:i/>
          <w:iCs/>
          <w:shd w:val="clear" w:color="auto" w:fill="FFFFFF"/>
        </w:rPr>
        <w:t>15</w:t>
      </w:r>
      <w:r>
        <w:rPr>
          <w:shd w:val="clear" w:color="auto" w:fill="FFFFFF"/>
        </w:rPr>
        <w:t>(02), pp.973-978.</w:t>
      </w:r>
    </w:p>
    <w:p w14:paraId="6BC6141C">
      <w:pPr>
        <w:numPr>
          <w:ilvl w:val="0"/>
          <w:numId w:val="5"/>
        </w:numPr>
        <w:ind w:left="420" w:leftChars="0" w:hanging="420" w:firstLineChars="0"/>
        <w:rPr>
          <w:shd w:val="clear" w:color="auto" w:fill="FFFFFF"/>
        </w:rPr>
      </w:pPr>
      <w:r>
        <w:rPr>
          <w:shd w:val="clear" w:color="auto" w:fill="FFFFFF"/>
        </w:rPr>
        <w:t>Oladimeji, K.E., Nyatela, A., Gumede, S., Dwarka, D. and Lalla-Edward, S.T., 2023. Impact of artificial intelligence (AI) on psychological and mental health promotion: an opinion piece. </w:t>
      </w:r>
      <w:r>
        <w:rPr>
          <w:i/>
          <w:iCs/>
          <w:shd w:val="clear" w:color="auto" w:fill="FFFFFF"/>
        </w:rPr>
        <w:t>New Voices in Psychology</w:t>
      </w:r>
      <w:r>
        <w:rPr>
          <w:shd w:val="clear" w:color="auto" w:fill="FFFFFF"/>
        </w:rPr>
        <w:t>, </w:t>
      </w:r>
      <w:r>
        <w:rPr>
          <w:i/>
          <w:iCs/>
          <w:shd w:val="clear" w:color="auto" w:fill="FFFFFF"/>
        </w:rPr>
        <w:t>13</w:t>
      </w:r>
      <w:r>
        <w:rPr>
          <w:shd w:val="clear" w:color="auto" w:fill="FFFFFF"/>
        </w:rPr>
        <w:t>, pp.12-pages.</w:t>
      </w:r>
    </w:p>
    <w:p w14:paraId="1680D696">
      <w:pPr>
        <w:numPr>
          <w:ilvl w:val="0"/>
          <w:numId w:val="5"/>
        </w:numPr>
        <w:ind w:left="420" w:leftChars="0" w:hanging="420" w:firstLineChars="0"/>
        <w:rPr>
          <w:shd w:val="clear" w:color="auto" w:fill="FFFFFF"/>
        </w:rPr>
      </w:pPr>
      <w:r>
        <w:rPr>
          <w:shd w:val="clear" w:color="auto" w:fill="FFFFFF"/>
        </w:rPr>
        <w:t>Olawade, D.B., Wada, O.Z., Odetayo, A., David-Olawade, A.C., Asaolu, F. and Eberhardt, J., (2024). Enhancing mental health with Artificial Intelligence: Current trends and future prospects. </w:t>
      </w:r>
      <w:r>
        <w:rPr>
          <w:i/>
          <w:iCs/>
          <w:shd w:val="clear" w:color="auto" w:fill="FFFFFF"/>
        </w:rPr>
        <w:t>Journal of medicine, surgery, and public health</w:t>
      </w:r>
      <w:r>
        <w:rPr>
          <w:shd w:val="clear" w:color="auto" w:fill="FFFFFF"/>
        </w:rPr>
        <w:t>, p.100099.</w:t>
      </w:r>
    </w:p>
    <w:p w14:paraId="74FB7107">
      <w:pPr>
        <w:numPr>
          <w:ilvl w:val="0"/>
          <w:numId w:val="5"/>
        </w:numPr>
        <w:ind w:left="420" w:leftChars="0" w:hanging="420" w:firstLineChars="0"/>
      </w:pPr>
      <w:r>
        <w:rPr>
          <w:shd w:val="clear" w:color="auto" w:fill="FFFFFF"/>
        </w:rPr>
        <w:t>Persaud, A., Day, G., Gupta, S., Ventriglio, A., Ruiz, R., Chumakov, E., Desai, G., Castaldelli-Maia, J., Torales, J., Juan Tolentino, E. and Bhui, K., 2018. Geopolitical factors and mental health I. </w:t>
      </w:r>
      <w:r>
        <w:rPr>
          <w:i/>
          <w:iCs/>
          <w:shd w:val="clear" w:color="auto" w:fill="FFFFFF"/>
        </w:rPr>
        <w:t>International journal of social psychiatry</w:t>
      </w:r>
      <w:r>
        <w:rPr>
          <w:shd w:val="clear" w:color="auto" w:fill="FFFFFF"/>
        </w:rPr>
        <w:t>, </w:t>
      </w:r>
      <w:r>
        <w:rPr>
          <w:i/>
          <w:iCs/>
          <w:shd w:val="clear" w:color="auto" w:fill="FFFFFF"/>
        </w:rPr>
        <w:t>64</w:t>
      </w:r>
      <w:r>
        <w:rPr>
          <w:shd w:val="clear" w:color="auto" w:fill="FFFFFF"/>
        </w:rPr>
        <w:t>(8), pp.778-785.</w:t>
      </w:r>
      <w:r>
        <w:t xml:space="preserve"> </w:t>
      </w:r>
    </w:p>
    <w:p w14:paraId="607488D6">
      <w:pPr>
        <w:numPr>
          <w:ilvl w:val="0"/>
          <w:numId w:val="5"/>
        </w:numPr>
        <w:ind w:left="420" w:leftChars="0" w:hanging="420" w:firstLineChars="0"/>
        <w:rPr>
          <w:shd w:val="clear" w:color="auto" w:fill="FFFFFF"/>
        </w:rPr>
      </w:pPr>
      <w:r>
        <w:rPr>
          <w:shd w:val="clear" w:color="auto" w:fill="FFFFFF"/>
        </w:rPr>
        <w:t>Schofield, D., Cunich, M., Shrestha, R., Tanton, R., Veerman, L., Kelly, S. and Passey, M., 2019. Indirect costs of depression and other mental and behavioural disorders for Australia from 2015 to 2030. </w:t>
      </w:r>
      <w:r>
        <w:rPr>
          <w:i/>
          <w:iCs/>
          <w:shd w:val="clear" w:color="auto" w:fill="FFFFFF"/>
        </w:rPr>
        <w:t>BJPsych open</w:t>
      </w:r>
      <w:r>
        <w:rPr>
          <w:shd w:val="clear" w:color="auto" w:fill="FFFFFF"/>
        </w:rPr>
        <w:t>, </w:t>
      </w:r>
      <w:r>
        <w:rPr>
          <w:i/>
          <w:iCs/>
          <w:shd w:val="clear" w:color="auto" w:fill="FFFFFF"/>
        </w:rPr>
        <w:t>5</w:t>
      </w:r>
      <w:r>
        <w:rPr>
          <w:shd w:val="clear" w:color="auto" w:fill="FFFFFF"/>
        </w:rPr>
        <w:t>(3), p.e40.</w:t>
      </w:r>
    </w:p>
    <w:p w14:paraId="732D1035">
      <w:pPr>
        <w:numPr>
          <w:ilvl w:val="0"/>
          <w:numId w:val="5"/>
        </w:numPr>
        <w:ind w:left="420" w:leftChars="0" w:hanging="420" w:firstLineChars="0"/>
      </w:pPr>
      <w:r>
        <w:t xml:space="preserve">The Guardian. 2024. </w:t>
      </w:r>
      <w:r>
        <w:rPr>
          <w:i/>
        </w:rPr>
        <w:t>Mental Health Issue among the Young People</w:t>
      </w:r>
      <w:r>
        <w:t xml:space="preserve">. Available at: https://www.theguardian.com/commentisfree/2024/mar/04/the-guardian-view-on-young-peoples-mental-health-this-decline-must-be-reversed (Accessed 24th March 2025). </w:t>
      </w:r>
    </w:p>
    <w:p w14:paraId="0CEAA38E">
      <w:pPr>
        <w:numPr>
          <w:ilvl w:val="0"/>
          <w:numId w:val="5"/>
        </w:numPr>
        <w:ind w:left="420" w:leftChars="0" w:hanging="420" w:firstLineChars="0"/>
      </w:pPr>
      <w:r>
        <w:rPr>
          <w:shd w:val="clear" w:color="auto" w:fill="FFFFFF"/>
        </w:rPr>
        <w:t>Timmons, A.C., Duong, J.B., Simo Fiallo, N., Lee, T., Vo, H.P.Q., Ahle, M.W., Comer, J.S., Brewer, L.C., Frazier, S.L. and Chaspari, T., 2023. A call to action on assessing and mitigating bias in artificial intelligence applications for mental health. </w:t>
      </w:r>
      <w:r>
        <w:rPr>
          <w:i/>
          <w:iCs/>
          <w:shd w:val="clear" w:color="auto" w:fill="FFFFFF"/>
        </w:rPr>
        <w:t>Perspectives on Psychological Science</w:t>
      </w:r>
      <w:r>
        <w:rPr>
          <w:shd w:val="clear" w:color="auto" w:fill="FFFFFF"/>
        </w:rPr>
        <w:t>, </w:t>
      </w:r>
      <w:r>
        <w:rPr>
          <w:i/>
          <w:iCs/>
          <w:shd w:val="clear" w:color="auto" w:fill="FFFFFF"/>
        </w:rPr>
        <w:t>18</w:t>
      </w:r>
      <w:r>
        <w:rPr>
          <w:shd w:val="clear" w:color="auto" w:fill="FFFFFF"/>
        </w:rPr>
        <w:t>(5), pp.1062-1096.</w:t>
      </w:r>
    </w:p>
    <w:p w14:paraId="4BDC36C0">
      <w:pPr>
        <w:numPr>
          <w:ilvl w:val="0"/>
          <w:numId w:val="5"/>
        </w:numPr>
        <w:ind w:left="420" w:leftChars="0" w:hanging="420" w:firstLineChars="0"/>
      </w:pPr>
      <w:r>
        <w:t xml:space="preserve">Trends Research. 2024. </w:t>
      </w:r>
      <w:r>
        <w:rPr>
          <w:i/>
        </w:rPr>
        <w:t>Smart Therapy Solutions</w:t>
      </w:r>
      <w:r>
        <w:t xml:space="preserve">. Available at: </w:t>
      </w:r>
      <w:r>
        <w:rPr>
          <w:shd w:val="clear" w:color="auto" w:fill="FFFFFF"/>
        </w:rPr>
        <w:t xml:space="preserve">https://trendsresearch.org/insight/smart-therapy-solutions-the-rise-of-ai-in-mental-health-care/ </w:t>
      </w:r>
      <w:r>
        <w:t>(Accessed 24th March 2025).</w:t>
      </w:r>
    </w:p>
    <w:p w14:paraId="225B7907">
      <w:pPr>
        <w:numPr>
          <w:ilvl w:val="0"/>
          <w:numId w:val="5"/>
        </w:numPr>
        <w:ind w:left="420" w:leftChars="0" w:hanging="420" w:firstLineChars="0"/>
      </w:pPr>
      <w:r>
        <w:rPr>
          <w:shd w:val="clear" w:color="auto" w:fill="FFFFFF"/>
        </w:rPr>
        <w:t xml:space="preserve">WHO. 2024. </w:t>
      </w:r>
      <w:r>
        <w:rPr>
          <w:i/>
          <w:shd w:val="clear" w:color="auto" w:fill="FFFFFF"/>
        </w:rPr>
        <w:t xml:space="preserve">Fact-sheets. </w:t>
      </w:r>
      <w:r>
        <w:rPr>
          <w:shd w:val="clear" w:color="auto" w:fill="FFFFFF"/>
        </w:rPr>
        <w:t xml:space="preserve">Available at: </w:t>
      </w:r>
      <w:r>
        <w:t xml:space="preserve">https://www.who.int/news-room/fact-sheets/detail/mental-disorders (Accessed: 18th March 2025). </w:t>
      </w:r>
    </w:p>
    <w:p w14:paraId="4E874F74"/>
    <w:p w14:paraId="0C7590FC">
      <w:pPr>
        <w:pStyle w:val="2"/>
        <w:numPr>
          <w:numId w:val="0"/>
        </w:numPr>
        <w:ind w:leftChars="0"/>
        <w:jc w:val="both"/>
        <w:rPr>
          <w:color w:val="C00000"/>
          <w:sz w:val="24"/>
          <w:szCs w:val="22"/>
        </w:rPr>
      </w:pPr>
      <w:r>
        <w:rPr>
          <w:color w:val="C00000"/>
        </w:rPr>
        <w:br w:type="page"/>
      </w:r>
      <w:bookmarkStart w:id="3" w:name="_Toc193710116"/>
      <w:r>
        <w:rPr>
          <w:rFonts w:hint="default"/>
          <w:color w:val="C00000"/>
          <w:lang w:val="en-GB"/>
        </w:rPr>
        <w:t xml:space="preserve">1.3 </w:t>
      </w:r>
      <w:r>
        <w:rPr>
          <w:color w:val="C00000"/>
        </w:rPr>
        <w:t>Blog 2</w:t>
      </w:r>
      <w:bookmarkEnd w:id="3"/>
    </w:p>
    <w:p w14:paraId="2361CA1B">
      <w:pPr>
        <w:numPr>
          <w:numId w:val="0"/>
        </w:numPr>
        <w:ind w:leftChars="0"/>
        <w:rPr>
          <w:b/>
          <w:color w:val="17375E" w:themeColor="text2" w:themeShade="BF"/>
          <w:sz w:val="28"/>
          <w:szCs w:val="28"/>
        </w:rPr>
      </w:pPr>
      <w:r>
        <w:rPr>
          <w:b/>
          <w:color w:val="17375E" w:themeColor="text2" w:themeShade="BF"/>
          <w:sz w:val="28"/>
          <w:szCs w:val="28"/>
        </w:rPr>
        <w:t xml:space="preserve">EmotiveAI technology can pave the way for mental health promotion intervention </w:t>
      </w:r>
    </w:p>
    <w:p w14:paraId="66C46122">
      <w:pPr>
        <w:numPr>
          <w:numId w:val="0"/>
        </w:numPr>
        <w:ind w:leftChars="0"/>
        <w:rPr>
          <w:b/>
          <w:color w:val="C00000"/>
          <w:sz w:val="28"/>
          <w:szCs w:val="28"/>
        </w:rPr>
      </w:pPr>
      <w:r>
        <w:rPr>
          <w:b/>
          <w:color w:val="C00000"/>
          <w:sz w:val="28"/>
          <w:szCs w:val="28"/>
        </w:rPr>
        <w:t>Addressing a public health concern and why is it a concern?</w:t>
      </w:r>
    </w:p>
    <w:p w14:paraId="2002C422">
      <w:pPr>
        <w:rPr>
          <w:shd w:val="clear" w:color="auto" w:fill="FFFFFF"/>
        </w:rPr>
      </w:pPr>
      <w:r>
        <w:t>The prevalence of mental health disorder has remained a serious concern all over the globe. Data published by the World Health Organisation reveals that one out of six people aged from 10 to 19 years encounters mental disorder (</w:t>
      </w:r>
      <w:r>
        <w:rPr>
          <w:shd w:val="clear" w:color="auto" w:fill="FFFFFF"/>
        </w:rPr>
        <w:t>WHO, 2024)</w:t>
      </w:r>
      <w:r>
        <w:t>. It is a serious concern because it affects social wellbeing by creating challenges like trauma, extreme poverty and unfavourable social circumstances (</w:t>
      </w:r>
      <w:r>
        <w:rPr>
          <w:shd w:val="clear" w:color="auto" w:fill="FFFFFF"/>
        </w:rPr>
        <w:t xml:space="preserve">Gayapersad et al., 2023). </w:t>
      </w:r>
    </w:p>
    <w:p w14:paraId="11BEE943">
      <w:pPr>
        <w:jc w:val="center"/>
      </w:pPr>
      <w:r>
        <w:rPr>
          <w:lang w:val="en-US"/>
        </w:rPr>
        <w:drawing>
          <wp:inline distT="0" distB="0" distL="0" distR="0">
            <wp:extent cx="5379720" cy="2422525"/>
            <wp:effectExtent l="0" t="0" r="508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0"/>
                    <a:srcRect/>
                    <a:stretch>
                      <a:fillRect/>
                    </a:stretch>
                  </pic:blipFill>
                  <pic:spPr>
                    <a:xfrm>
                      <a:off x="0" y="0"/>
                      <a:ext cx="5379720" cy="2422525"/>
                    </a:xfrm>
                    <a:prstGeom prst="rect">
                      <a:avLst/>
                    </a:prstGeom>
                    <a:ln>
                      <a:noFill/>
                    </a:ln>
                    <a:effectLst>
                      <a:softEdge rad="112500"/>
                    </a:effectLst>
                  </pic:spPr>
                </pic:pic>
              </a:graphicData>
            </a:graphic>
          </wp:inline>
        </w:drawing>
      </w:r>
    </w:p>
    <w:p w14:paraId="15E8DD59">
      <w:pPr>
        <w:jc w:val="center"/>
      </w:pPr>
      <w:r>
        <w:t>(Source: CNBC, 2023)</w:t>
      </w:r>
    </w:p>
    <w:p w14:paraId="35458CC3">
      <w:pPr>
        <w:numPr>
          <w:ilvl w:val="0"/>
          <w:numId w:val="6"/>
        </w:numPr>
        <w:ind w:left="420" w:leftChars="0" w:hanging="420" w:firstLineChars="0"/>
        <w:rPr>
          <w:b/>
          <w:color w:val="C00000"/>
        </w:rPr>
      </w:pPr>
      <w:r>
        <w:rPr>
          <w:b/>
          <w:color w:val="C00000"/>
        </w:rPr>
        <w:t xml:space="preserve">Designed Digital Technology: EmotiveAI--an advanced AI-guided app for detection and therapy </w:t>
      </w:r>
    </w:p>
    <w:p w14:paraId="74F9AB69">
      <w:r>
        <w:t xml:space="preserve">A cutting-edge digital technology to deal with the growing mental health concerns is EmotiveAI. It is predominantly an unmanned AI-powered app that is convenient to use. It can be run in background and can detect any behavioural or facial expression related changes and signals the user about mental health concerns. It possesses the screening and reporting facility so that one can become aware of present state of mental health. Moreover, based on the severity of the problem, it can deliver tips to overcome mental health issues. Moreover, it can also provide an individual required address of the mental healthcare centres depending on client locations. </w:t>
      </w:r>
    </w:p>
    <w:p w14:paraId="78E14288">
      <w:pPr>
        <w:jc w:val="center"/>
      </w:pPr>
      <w:r>
        <w:rPr>
          <w:lang w:val="en-US"/>
        </w:rPr>
        <w:drawing>
          <wp:inline distT="0" distB="0" distL="0" distR="0">
            <wp:extent cx="5070475" cy="2927350"/>
            <wp:effectExtent l="0" t="0" r="952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1"/>
                    <a:srcRect/>
                    <a:stretch>
                      <a:fillRect/>
                    </a:stretch>
                  </pic:blipFill>
                  <pic:spPr>
                    <a:xfrm>
                      <a:off x="0" y="0"/>
                      <a:ext cx="5070475" cy="2927350"/>
                    </a:xfrm>
                    <a:prstGeom prst="rect">
                      <a:avLst/>
                    </a:prstGeom>
                    <a:ln>
                      <a:noFill/>
                    </a:ln>
                    <a:effectLst>
                      <a:softEdge rad="112500"/>
                    </a:effectLst>
                  </pic:spPr>
                </pic:pic>
              </a:graphicData>
            </a:graphic>
          </wp:inline>
        </w:drawing>
      </w:r>
    </w:p>
    <w:p w14:paraId="5F378F6B">
      <w:pPr>
        <w:jc w:val="center"/>
      </w:pPr>
      <w:r>
        <w:t>(Source: Deliotte, 2021)</w:t>
      </w:r>
    </w:p>
    <w:p w14:paraId="4C462CB8">
      <w:pPr>
        <w:numPr>
          <w:ilvl w:val="0"/>
          <w:numId w:val="7"/>
        </w:numPr>
        <w:ind w:left="420" w:leftChars="0" w:hanging="420" w:firstLineChars="0"/>
        <w:rPr>
          <w:b/>
          <w:color w:val="C00000"/>
        </w:rPr>
      </w:pPr>
      <w:r>
        <w:rPr>
          <w:b/>
          <w:color w:val="C00000"/>
        </w:rPr>
        <w:t xml:space="preserve">How EmotiveAI will be used in mental health promotion and addressing public health concerns </w:t>
      </w:r>
    </w:p>
    <w:p w14:paraId="3B4940C3">
      <w:r>
        <w:t>EmotiveAI is capable to suggest daily mental exercises and relaxation tips after tracking the behavioural patterns and activities of the client. Moreover, one of the major shortcomings of the mental health therapy is that it necessitates physical visit to a professional (</w:t>
      </w:r>
      <w:r>
        <w:rPr>
          <w:shd w:val="clear" w:color="auto" w:fill="FFFFFF"/>
        </w:rPr>
        <w:t>Galea, Merchant and Lurie, 2020</w:t>
      </w:r>
      <w:r>
        <w:t xml:space="preserve">). However, AI-driven emotion reading technology can facilitate not only early detection but also arrange virtual therapies. This advanced AI-powered application is also capable to create tailored experience for the users so that they feel more support during virtual therapy sessions. It is also advantageous to break stigma of many people who feel reluctant to seek assistance. The AI-powered app is also capable to make the relatives of the users aware if any extreme or sudden behavioural changes are observed. </w:t>
      </w:r>
    </w:p>
    <w:p w14:paraId="5E2AD5E4">
      <w:pPr>
        <w:jc w:val="center"/>
      </w:pPr>
      <w:r>
        <w:rPr>
          <w:lang w:val="en-US"/>
        </w:rPr>
        <w:drawing>
          <wp:inline distT="0" distB="0" distL="0" distR="0">
            <wp:extent cx="5313680" cy="2648585"/>
            <wp:effectExtent l="0" t="0" r="762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2"/>
                    <a:srcRect/>
                    <a:stretch>
                      <a:fillRect/>
                    </a:stretch>
                  </pic:blipFill>
                  <pic:spPr>
                    <a:xfrm>
                      <a:off x="0" y="0"/>
                      <a:ext cx="5313680" cy="2648585"/>
                    </a:xfrm>
                    <a:prstGeom prst="rect">
                      <a:avLst/>
                    </a:prstGeom>
                    <a:ln>
                      <a:noFill/>
                    </a:ln>
                    <a:effectLst>
                      <a:softEdge rad="112500"/>
                    </a:effectLst>
                  </pic:spPr>
                </pic:pic>
              </a:graphicData>
            </a:graphic>
          </wp:inline>
        </w:drawing>
      </w:r>
    </w:p>
    <w:p w14:paraId="60E667FA">
      <w:pPr>
        <w:jc w:val="center"/>
      </w:pPr>
      <w:r>
        <w:t>(NASSCOM, 2024)</w:t>
      </w:r>
    </w:p>
    <w:p w14:paraId="4C7E10DF">
      <w:pPr>
        <w:numPr>
          <w:ilvl w:val="0"/>
          <w:numId w:val="8"/>
        </w:numPr>
        <w:ind w:left="420" w:leftChars="0" w:hanging="420" w:firstLineChars="0"/>
        <w:rPr>
          <w:b/>
          <w:color w:val="C00000"/>
        </w:rPr>
      </w:pPr>
      <w:r>
        <w:rPr>
          <w:b/>
          <w:color w:val="C00000"/>
        </w:rPr>
        <w:t xml:space="preserve">Impact of the designed technology in health promotion </w:t>
      </w:r>
    </w:p>
    <w:p w14:paraId="454581E5">
      <w:pPr>
        <w:rPr>
          <w:b/>
          <w:color w:val="C00000"/>
        </w:rPr>
      </w:pPr>
      <w:r>
        <w:rPr>
          <w:b/>
          <w:color w:val="C00000"/>
        </w:rPr>
        <w:t>Advantages:</w:t>
      </w:r>
    </w:p>
    <w:p w14:paraId="4E67722A">
      <w:r>
        <w:t xml:space="preserve">The EmotiveAI technology can be utilised to detect emotional issues like sadness, anger, stress and anxiety. After learning emotional changes, the app will suggest pertinent techniques for calming mind. Further, the app will facilitate multimodal interaction like text-based conversations, voice recognition, and video for effective communication. </w:t>
      </w:r>
    </w:p>
    <w:p w14:paraId="4191DB06">
      <w:pPr>
        <w:rPr>
          <w:b/>
          <w:color w:val="C00000"/>
        </w:rPr>
      </w:pPr>
      <w:r>
        <w:rPr>
          <w:b/>
          <w:color w:val="C00000"/>
        </w:rPr>
        <w:t xml:space="preserve">Disadvantages: </w:t>
      </w:r>
    </w:p>
    <w:p w14:paraId="6650B636">
      <w:r>
        <w:t xml:space="preserve">Some of the salient challenges associated with the utilisation of the technology entail privacy concerns, biases and dearth of human empathy. </w:t>
      </w:r>
    </w:p>
    <w:p w14:paraId="7B1121C0">
      <w:pPr>
        <w:rPr>
          <w:b/>
          <w:color w:val="C0504D" w:themeColor="accent2"/>
          <w14:textFill>
            <w14:solidFill>
              <w14:schemeClr w14:val="accent2"/>
            </w14:solidFill>
          </w14:textFill>
        </w:rPr>
      </w:pPr>
      <w:r>
        <w:rPr>
          <w:b/>
          <w:color w:val="C0504D" w:themeColor="accent2"/>
          <w14:textFill>
            <w14:solidFill>
              <w14:schemeClr w14:val="accent2"/>
            </w14:solidFill>
          </w14:textFill>
        </w:rPr>
        <w:t>Ways to address shortfalls</w:t>
      </w:r>
    </w:p>
    <w:p w14:paraId="76AA2594">
      <w:r>
        <w:t xml:space="preserve">Regular monitoring and formulation of transparent polices can be effective in terms of addressing the challenges. A robust security system is also essential for safeguarding patient data and develops trust. </w:t>
      </w:r>
      <w:r>
        <w:br w:type="page"/>
      </w:r>
    </w:p>
    <w:p w14:paraId="56024325">
      <w:pPr>
        <w:pStyle w:val="2"/>
        <w:numPr>
          <w:numId w:val="0"/>
        </w:numPr>
        <w:ind w:leftChars="0"/>
        <w:rPr>
          <w:color w:val="C00000"/>
          <w:shd w:val="clear" w:color="auto" w:fill="FFFFFF"/>
        </w:rPr>
      </w:pPr>
      <w:bookmarkStart w:id="4" w:name="_Toc193710117"/>
      <w:r>
        <w:rPr>
          <w:rFonts w:hint="default"/>
          <w:color w:val="C00000"/>
          <w:shd w:val="clear" w:color="auto" w:fill="FFFFFF"/>
          <w:lang w:val="en-GB"/>
        </w:rPr>
        <w:t xml:space="preserve">1.4 </w:t>
      </w:r>
      <w:r>
        <w:rPr>
          <w:color w:val="C00000"/>
          <w:shd w:val="clear" w:color="auto" w:fill="FFFFFF"/>
        </w:rPr>
        <w:t>References</w:t>
      </w:r>
      <w:bookmarkEnd w:id="4"/>
      <w:r>
        <w:rPr>
          <w:color w:val="C00000"/>
          <w:shd w:val="clear" w:color="auto" w:fill="FFFFFF"/>
        </w:rPr>
        <w:t xml:space="preserve"> </w:t>
      </w:r>
    </w:p>
    <w:p w14:paraId="43B30CB1">
      <w:pPr>
        <w:numPr>
          <w:ilvl w:val="0"/>
          <w:numId w:val="5"/>
        </w:numPr>
        <w:ind w:left="420" w:leftChars="0" w:hanging="420" w:firstLineChars="0"/>
      </w:pPr>
      <w:r>
        <w:t>CNBC. 2023. Mental Health Issue Could be Next Pandemic. Available at: https://www.cnbctv18.com/healthcare/world-mental-health-day-2023-heres-why-mental-health-issue-could-be-the-next-pandemic-especially-for-gen-z-18000061.htm (Accessed: 18th March 2025).</w:t>
      </w:r>
    </w:p>
    <w:p w14:paraId="0DA698D8">
      <w:pPr>
        <w:numPr>
          <w:ilvl w:val="0"/>
          <w:numId w:val="5"/>
        </w:numPr>
        <w:ind w:left="420" w:leftChars="0" w:hanging="420" w:firstLineChars="0"/>
      </w:pPr>
      <w:r>
        <w:t xml:space="preserve">Deliotte. 2021. </w:t>
      </w:r>
      <w:r>
        <w:rPr>
          <w:i/>
        </w:rPr>
        <w:t>Future Behavioural Health</w:t>
      </w:r>
      <w:r>
        <w:t>. Available at: https://www2.deloitte.com/us/en/insights/industry/health-care/future-of-behavioral-health.html (Accessed: 18th March 2025).</w:t>
      </w:r>
    </w:p>
    <w:p w14:paraId="2B127F56">
      <w:pPr>
        <w:numPr>
          <w:ilvl w:val="0"/>
          <w:numId w:val="5"/>
        </w:numPr>
        <w:ind w:left="420" w:leftChars="0" w:hanging="420" w:firstLineChars="0"/>
      </w:pPr>
      <w:r>
        <w:rPr>
          <w:shd w:val="clear" w:color="auto" w:fill="FFFFFF"/>
        </w:rPr>
        <w:t>Galea, S., Merchant, R.M. and Lurie, N., 2020. The mental health consequences of COVID-19 and physical distancing: the need for prevention and early intervention. </w:t>
      </w:r>
      <w:r>
        <w:rPr>
          <w:i/>
          <w:iCs/>
          <w:shd w:val="clear" w:color="auto" w:fill="FFFFFF"/>
        </w:rPr>
        <w:t>JAMA internal medicine</w:t>
      </w:r>
      <w:r>
        <w:rPr>
          <w:shd w:val="clear" w:color="auto" w:fill="FFFFFF"/>
        </w:rPr>
        <w:t>, </w:t>
      </w:r>
      <w:r>
        <w:rPr>
          <w:i/>
          <w:iCs/>
          <w:shd w:val="clear" w:color="auto" w:fill="FFFFFF"/>
        </w:rPr>
        <w:t>180</w:t>
      </w:r>
      <w:r>
        <w:rPr>
          <w:shd w:val="clear" w:color="auto" w:fill="FFFFFF"/>
        </w:rPr>
        <w:t>(6), pp.817-818.</w:t>
      </w:r>
    </w:p>
    <w:p w14:paraId="3F79BC72">
      <w:pPr>
        <w:numPr>
          <w:ilvl w:val="0"/>
          <w:numId w:val="5"/>
        </w:numPr>
        <w:ind w:left="420" w:leftChars="0" w:hanging="420" w:firstLineChars="0"/>
      </w:pPr>
      <w:r>
        <w:rPr>
          <w:shd w:val="clear" w:color="auto" w:fill="FFFFFF"/>
        </w:rPr>
        <w:t>Gautam, S., Jain, A., Chaudhary, J., Gautam, M., Gaur, M. and Grover, S., (2024). Concept of mental health and mental well-being, it's determinants and coping strategies. </w:t>
      </w:r>
      <w:r>
        <w:rPr>
          <w:i/>
          <w:iCs/>
          <w:shd w:val="clear" w:color="auto" w:fill="FFFFFF"/>
        </w:rPr>
        <w:t>Indian journal of psychiatry</w:t>
      </w:r>
      <w:r>
        <w:rPr>
          <w:shd w:val="clear" w:color="auto" w:fill="FFFFFF"/>
        </w:rPr>
        <w:t>, </w:t>
      </w:r>
      <w:r>
        <w:rPr>
          <w:i/>
          <w:iCs/>
          <w:shd w:val="clear" w:color="auto" w:fill="FFFFFF"/>
        </w:rPr>
        <w:t>66</w:t>
      </w:r>
      <w:r>
        <w:rPr>
          <w:shd w:val="clear" w:color="auto" w:fill="FFFFFF"/>
        </w:rPr>
        <w:t>(Suppl 2), pp.S231-S244.</w:t>
      </w:r>
    </w:p>
    <w:p w14:paraId="09C39220">
      <w:pPr>
        <w:numPr>
          <w:ilvl w:val="0"/>
          <w:numId w:val="5"/>
        </w:numPr>
        <w:ind w:left="420" w:leftChars="0" w:hanging="420" w:firstLineChars="0"/>
      </w:pPr>
      <w:r>
        <w:rPr>
          <w:shd w:val="clear" w:color="auto" w:fill="FFFFFF"/>
        </w:rPr>
        <w:t>Gayapersad, A., Embleton, L., Shah, P., Kiptui, R., Ayuku, D. and Braitstein, P., 2023. Using a sociological conceptualization of stigma to explore the social processes of stigma and discrimination of children in street situations in western Kenya. </w:t>
      </w:r>
      <w:r>
        <w:rPr>
          <w:i/>
          <w:iCs/>
          <w:shd w:val="clear" w:color="auto" w:fill="FFFFFF"/>
        </w:rPr>
        <w:t>Child abuse &amp; neglect</w:t>
      </w:r>
      <w:r>
        <w:rPr>
          <w:shd w:val="clear" w:color="auto" w:fill="FFFFFF"/>
        </w:rPr>
        <w:t>, </w:t>
      </w:r>
      <w:r>
        <w:rPr>
          <w:i/>
          <w:iCs/>
          <w:shd w:val="clear" w:color="auto" w:fill="FFFFFF"/>
        </w:rPr>
        <w:t>139</w:t>
      </w:r>
      <w:r>
        <w:rPr>
          <w:shd w:val="clear" w:color="auto" w:fill="FFFFFF"/>
        </w:rPr>
        <w:t>, p.104803.</w:t>
      </w:r>
    </w:p>
    <w:p w14:paraId="51FEA6C4">
      <w:pPr>
        <w:numPr>
          <w:ilvl w:val="0"/>
          <w:numId w:val="5"/>
        </w:numPr>
        <w:ind w:left="420" w:leftChars="0" w:hanging="420" w:firstLineChars="0"/>
      </w:pPr>
      <w:r>
        <w:t xml:space="preserve">NASSCOM. 2024. </w:t>
      </w:r>
      <w:r>
        <w:rPr>
          <w:i/>
        </w:rPr>
        <w:t>AI and Mental Health</w:t>
      </w:r>
      <w:r>
        <w:t>. Available at: https://community.nasscom.in/communities/healthtech-and-life-sciences/ai-and-mental-health-innovations-diagnosis-and-treatment (Accessed: 18th March 2025).</w:t>
      </w:r>
    </w:p>
    <w:p w14:paraId="713EC21D">
      <w:pPr>
        <w:numPr>
          <w:ilvl w:val="0"/>
          <w:numId w:val="5"/>
        </w:numPr>
        <w:ind w:left="420" w:leftChars="0" w:hanging="420" w:firstLineChars="0"/>
      </w:pPr>
      <w:r>
        <w:rPr>
          <w:shd w:val="clear" w:color="auto" w:fill="FFFFFF"/>
        </w:rPr>
        <w:t>WHO. (2024)</w:t>
      </w:r>
      <w:r>
        <w:rPr>
          <w:i/>
          <w:shd w:val="clear" w:color="auto" w:fill="FFFFFF"/>
        </w:rPr>
        <w:t>. Fact Sheets.</w:t>
      </w:r>
      <w:r>
        <w:rPr>
          <w:shd w:val="clear" w:color="auto" w:fill="FFFFFF"/>
        </w:rPr>
        <w:t xml:space="preserve"> Available at: </w:t>
      </w:r>
      <w:r>
        <w:t>https://www.who.int/news-room/fact-sheets/detail/adolescent-mental-health (Accessed: 18th March 2025).</w:t>
      </w:r>
    </w:p>
    <w:p w14:paraId="4DD32C04"/>
    <w:p w14:paraId="101BF1F2"/>
    <w:p w14:paraId="03DD07B2">
      <w:pPr>
        <w:spacing w:line="276" w:lineRule="auto"/>
        <w:jc w:val="left"/>
      </w:pPr>
      <w:r>
        <w:br w:type="page"/>
      </w:r>
    </w:p>
    <w:p w14:paraId="4D3816EC">
      <w:pPr>
        <w:pStyle w:val="2"/>
        <w:numPr>
          <w:ilvl w:val="0"/>
          <w:numId w:val="2"/>
        </w:numPr>
        <w:ind w:left="0" w:leftChars="0" w:firstLine="0" w:firstLineChars="0"/>
        <w:jc w:val="left"/>
        <w:rPr>
          <w:color w:val="C00000"/>
        </w:rPr>
      </w:pPr>
      <w:bookmarkStart w:id="5" w:name="_Toc193710118"/>
      <w:r>
        <w:rPr>
          <w:rFonts w:hint="default"/>
          <w:color w:val="C00000"/>
          <w:lang w:val="en-GB"/>
        </w:rPr>
        <w:t xml:space="preserve">Task2 : </w:t>
      </w:r>
      <w:r>
        <w:rPr>
          <w:color w:val="C00000"/>
        </w:rPr>
        <w:t>Poster</w:t>
      </w:r>
      <w:bookmarkEnd w:id="5"/>
    </w:p>
    <w:p w14:paraId="79E9DA41">
      <w:pPr>
        <w:jc w:val="center"/>
      </w:pPr>
      <w:r>
        <w:rPr>
          <w:lang w:val="en-US"/>
        </w:rPr>
        <w:object>
          <v:shape id="_x0000_i1025" o:spt="75" alt="" type="#_x0000_t75" style="height:600.75pt;width:462.95pt;" o:ole="t" filled="f" o:preferrelative="t" stroked="f" coordsize="21600,21600">
            <v:path/>
            <v:fill on="f" focussize="0,0"/>
            <v:stroke on="f"/>
            <v:imagedata r:id="rId14" o:title=""/>
            <o:lock v:ext="edit" aspectratio="t"/>
            <w10:wrap type="none"/>
            <w10:anchorlock/>
          </v:shape>
          <o:OLEObject Type="Embed" ProgID="PowerPoint.Slide.12" ShapeID="_x0000_i1025" DrawAspect="Content" ObjectID="_1468075725" r:id="rId13">
            <o:LockedField>false</o:LockedField>
          </o:OLEObject>
        </w:object>
      </w:r>
    </w:p>
    <w:sectPr>
      <w:footerReference r:id="rId5" w:type="default"/>
      <w:pgSz w:w="12240" w:h="15840"/>
      <w:pgMar w:top="1440" w:right="1440" w:bottom="1440" w:left="1440" w:header="708" w:footer="708" w:gutter="0"/>
      <w:pgBorders>
        <w:top w:val="single" w:color="auto" w:sz="4" w:space="1"/>
        <w:left w:val="single" w:color="auto" w:sz="4" w:space="4"/>
        <w:bottom w:val="single" w:color="auto" w:sz="4" w:space="1"/>
        <w:right w:val="single" w:color="auto" w:sz="4" w:space="4"/>
      </w:pgBorders>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7922340"/>
      <w:docPartObj>
        <w:docPartGallery w:val="AutoText"/>
      </w:docPartObj>
    </w:sdtPr>
    <w:sdtContent>
      <w:p w14:paraId="5F27A0E6">
        <w:pPr>
          <w:pStyle w:val="8"/>
          <w:jc w:val="right"/>
        </w:pPr>
        <w:r>
          <w:fldChar w:fldCharType="begin"/>
        </w:r>
        <w:r>
          <w:instrText xml:space="preserve"> PAGE   \* MERGEFORMAT </w:instrText>
        </w:r>
        <w:r>
          <w:fldChar w:fldCharType="separate"/>
        </w:r>
        <w:r>
          <w:t>1</w:t>
        </w:r>
        <w:r>
          <w:fldChar w:fldCharType="end"/>
        </w:r>
      </w:p>
    </w:sdtContent>
  </w:sdt>
  <w:p w14:paraId="6EB84647">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74C1F7"/>
    <w:multiLevelType w:val="singleLevel"/>
    <w:tmpl w:val="9574C1F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98866CFB"/>
    <w:multiLevelType w:val="singleLevel"/>
    <w:tmpl w:val="98866CFB"/>
    <w:lvl w:ilvl="0" w:tentative="0">
      <w:start w:val="1"/>
      <w:numFmt w:val="decimal"/>
      <w:suff w:val="space"/>
      <w:lvlText w:val="%1."/>
      <w:lvlJc w:val="left"/>
    </w:lvl>
  </w:abstractNum>
  <w:abstractNum w:abstractNumId="2">
    <w:nsid w:val="CEC3BFC9"/>
    <w:multiLevelType w:val="singleLevel"/>
    <w:tmpl w:val="CEC3BFC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D413A73B"/>
    <w:multiLevelType w:val="singleLevel"/>
    <w:tmpl w:val="D413A73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4FC8EF84"/>
    <w:multiLevelType w:val="singleLevel"/>
    <w:tmpl w:val="4FC8EF8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5ED6D909"/>
    <w:multiLevelType w:val="singleLevel"/>
    <w:tmpl w:val="5ED6D90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644E3114"/>
    <w:multiLevelType w:val="singleLevel"/>
    <w:tmpl w:val="644E311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76529D82"/>
    <w:multiLevelType w:val="singleLevel"/>
    <w:tmpl w:val="76529D82"/>
    <w:lvl w:ilvl="0" w:tentative="0">
      <w:start w:val="1"/>
      <w:numFmt w:val="decimal"/>
      <w:suff w:val="space"/>
      <w:lvlText w:val="%1."/>
      <w:lvlJc w:val="left"/>
    </w:lvl>
  </w:abstractNum>
  <w:num w:numId="1">
    <w:abstractNumId w:val="7"/>
  </w:num>
  <w:num w:numId="2">
    <w:abstractNumId w:val="1"/>
  </w:num>
  <w:num w:numId="3">
    <w:abstractNumId w:val="6"/>
  </w:num>
  <w:num w:numId="4">
    <w:abstractNumId w:val="4"/>
  </w:num>
  <w:num w:numId="5">
    <w:abstractNumId w:val="2"/>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ocumentProtection w:enforcement="0"/>
  <w:defaultTabStop w:val="720"/>
  <w:drawingGridHorizontalSpacing w:val="12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C73"/>
    <w:rsid w:val="000102E7"/>
    <w:rsid w:val="00011F30"/>
    <w:rsid w:val="00012C93"/>
    <w:rsid w:val="00015948"/>
    <w:rsid w:val="000200B1"/>
    <w:rsid w:val="000223ED"/>
    <w:rsid w:val="000279E4"/>
    <w:rsid w:val="000331C6"/>
    <w:rsid w:val="000353C9"/>
    <w:rsid w:val="000354C7"/>
    <w:rsid w:val="0003555D"/>
    <w:rsid w:val="00037A7D"/>
    <w:rsid w:val="00043359"/>
    <w:rsid w:val="000437CA"/>
    <w:rsid w:val="00043B3E"/>
    <w:rsid w:val="000452EA"/>
    <w:rsid w:val="00051488"/>
    <w:rsid w:val="00056842"/>
    <w:rsid w:val="0006143F"/>
    <w:rsid w:val="00061479"/>
    <w:rsid w:val="00061D6A"/>
    <w:rsid w:val="00063605"/>
    <w:rsid w:val="00064DA7"/>
    <w:rsid w:val="0006540E"/>
    <w:rsid w:val="00065A19"/>
    <w:rsid w:val="0006644E"/>
    <w:rsid w:val="0006676D"/>
    <w:rsid w:val="0007202C"/>
    <w:rsid w:val="000729FF"/>
    <w:rsid w:val="00072FD2"/>
    <w:rsid w:val="0007531C"/>
    <w:rsid w:val="00077936"/>
    <w:rsid w:val="00077B93"/>
    <w:rsid w:val="00080817"/>
    <w:rsid w:val="00084B28"/>
    <w:rsid w:val="0008634D"/>
    <w:rsid w:val="000872AD"/>
    <w:rsid w:val="00091C14"/>
    <w:rsid w:val="00092DF7"/>
    <w:rsid w:val="000938E4"/>
    <w:rsid w:val="00096BE6"/>
    <w:rsid w:val="000A4AAE"/>
    <w:rsid w:val="000A7416"/>
    <w:rsid w:val="000B26D2"/>
    <w:rsid w:val="000B4166"/>
    <w:rsid w:val="000B69FE"/>
    <w:rsid w:val="000B7871"/>
    <w:rsid w:val="000D1CEF"/>
    <w:rsid w:val="000D5BF3"/>
    <w:rsid w:val="000D7F56"/>
    <w:rsid w:val="000E1C24"/>
    <w:rsid w:val="000E3DBF"/>
    <w:rsid w:val="000E53E1"/>
    <w:rsid w:val="000E5623"/>
    <w:rsid w:val="000E795B"/>
    <w:rsid w:val="000F1CD5"/>
    <w:rsid w:val="000F4996"/>
    <w:rsid w:val="00100756"/>
    <w:rsid w:val="00100EF4"/>
    <w:rsid w:val="00100F95"/>
    <w:rsid w:val="00104642"/>
    <w:rsid w:val="001154CE"/>
    <w:rsid w:val="00121BCA"/>
    <w:rsid w:val="001240EC"/>
    <w:rsid w:val="00126646"/>
    <w:rsid w:val="001272C6"/>
    <w:rsid w:val="00133FDB"/>
    <w:rsid w:val="00134CD8"/>
    <w:rsid w:val="00141A82"/>
    <w:rsid w:val="00141E9D"/>
    <w:rsid w:val="0014749C"/>
    <w:rsid w:val="00150B2F"/>
    <w:rsid w:val="0015177C"/>
    <w:rsid w:val="00153C6F"/>
    <w:rsid w:val="00154103"/>
    <w:rsid w:val="001550E5"/>
    <w:rsid w:val="00155269"/>
    <w:rsid w:val="001553F5"/>
    <w:rsid w:val="00161672"/>
    <w:rsid w:val="001617A5"/>
    <w:rsid w:val="0017243A"/>
    <w:rsid w:val="00172B67"/>
    <w:rsid w:val="001757EF"/>
    <w:rsid w:val="001A15B2"/>
    <w:rsid w:val="001A1FF4"/>
    <w:rsid w:val="001A4EF7"/>
    <w:rsid w:val="001A6023"/>
    <w:rsid w:val="001B3803"/>
    <w:rsid w:val="001B3872"/>
    <w:rsid w:val="001C012C"/>
    <w:rsid w:val="001C179B"/>
    <w:rsid w:val="001C1B62"/>
    <w:rsid w:val="001C2D21"/>
    <w:rsid w:val="001C35ED"/>
    <w:rsid w:val="001C38CC"/>
    <w:rsid w:val="001D16B1"/>
    <w:rsid w:val="001D4504"/>
    <w:rsid w:val="001D4AC6"/>
    <w:rsid w:val="001E4B0D"/>
    <w:rsid w:val="00200294"/>
    <w:rsid w:val="00212753"/>
    <w:rsid w:val="00212A27"/>
    <w:rsid w:val="00217443"/>
    <w:rsid w:val="00227506"/>
    <w:rsid w:val="00227522"/>
    <w:rsid w:val="00234500"/>
    <w:rsid w:val="00243C55"/>
    <w:rsid w:val="002454A2"/>
    <w:rsid w:val="00245C0C"/>
    <w:rsid w:val="00250AFB"/>
    <w:rsid w:val="002625CA"/>
    <w:rsid w:val="0027248F"/>
    <w:rsid w:val="00273FD6"/>
    <w:rsid w:val="00275561"/>
    <w:rsid w:val="00282119"/>
    <w:rsid w:val="00283BEC"/>
    <w:rsid w:val="00286233"/>
    <w:rsid w:val="00292C63"/>
    <w:rsid w:val="002A1B6A"/>
    <w:rsid w:val="002A626D"/>
    <w:rsid w:val="002B3F75"/>
    <w:rsid w:val="002B621F"/>
    <w:rsid w:val="002B6F4F"/>
    <w:rsid w:val="002B70B9"/>
    <w:rsid w:val="002C7772"/>
    <w:rsid w:val="002D4DB9"/>
    <w:rsid w:val="002F107E"/>
    <w:rsid w:val="002F1EE9"/>
    <w:rsid w:val="002F3D62"/>
    <w:rsid w:val="00300062"/>
    <w:rsid w:val="00300305"/>
    <w:rsid w:val="00304526"/>
    <w:rsid w:val="00312E0F"/>
    <w:rsid w:val="00317AA5"/>
    <w:rsid w:val="00322D42"/>
    <w:rsid w:val="003230E0"/>
    <w:rsid w:val="00324994"/>
    <w:rsid w:val="00330CAA"/>
    <w:rsid w:val="00331809"/>
    <w:rsid w:val="00332801"/>
    <w:rsid w:val="00334170"/>
    <w:rsid w:val="003346BB"/>
    <w:rsid w:val="00334A8D"/>
    <w:rsid w:val="0033555D"/>
    <w:rsid w:val="00340DAE"/>
    <w:rsid w:val="00341BE7"/>
    <w:rsid w:val="00341E8D"/>
    <w:rsid w:val="0034583E"/>
    <w:rsid w:val="0034602F"/>
    <w:rsid w:val="00350661"/>
    <w:rsid w:val="00350D84"/>
    <w:rsid w:val="003529F5"/>
    <w:rsid w:val="00353F07"/>
    <w:rsid w:val="00354E6B"/>
    <w:rsid w:val="003552A5"/>
    <w:rsid w:val="00355B92"/>
    <w:rsid w:val="00355C58"/>
    <w:rsid w:val="00361C1B"/>
    <w:rsid w:val="00362CC5"/>
    <w:rsid w:val="00363C29"/>
    <w:rsid w:val="00373C4F"/>
    <w:rsid w:val="00376E6B"/>
    <w:rsid w:val="0038369C"/>
    <w:rsid w:val="003854F9"/>
    <w:rsid w:val="00386586"/>
    <w:rsid w:val="0038674F"/>
    <w:rsid w:val="00391A22"/>
    <w:rsid w:val="00394C9B"/>
    <w:rsid w:val="003A0B57"/>
    <w:rsid w:val="003A1075"/>
    <w:rsid w:val="003A501C"/>
    <w:rsid w:val="003B101C"/>
    <w:rsid w:val="003C03EC"/>
    <w:rsid w:val="003C21CF"/>
    <w:rsid w:val="003D0094"/>
    <w:rsid w:val="003D2ED2"/>
    <w:rsid w:val="003D3A8C"/>
    <w:rsid w:val="003D588E"/>
    <w:rsid w:val="003D7621"/>
    <w:rsid w:val="003E06D5"/>
    <w:rsid w:val="003F2BAC"/>
    <w:rsid w:val="003F42B5"/>
    <w:rsid w:val="003F7C83"/>
    <w:rsid w:val="00401B92"/>
    <w:rsid w:val="004062B6"/>
    <w:rsid w:val="004142DD"/>
    <w:rsid w:val="004165B7"/>
    <w:rsid w:val="00417B0C"/>
    <w:rsid w:val="004203D1"/>
    <w:rsid w:val="00426960"/>
    <w:rsid w:val="00426F98"/>
    <w:rsid w:val="00431BA0"/>
    <w:rsid w:val="00436161"/>
    <w:rsid w:val="00440C22"/>
    <w:rsid w:val="00453570"/>
    <w:rsid w:val="00456235"/>
    <w:rsid w:val="00461C42"/>
    <w:rsid w:val="004724DB"/>
    <w:rsid w:val="0048062D"/>
    <w:rsid w:val="004954DD"/>
    <w:rsid w:val="004A6EA8"/>
    <w:rsid w:val="004B3B65"/>
    <w:rsid w:val="004C09E0"/>
    <w:rsid w:val="004C1315"/>
    <w:rsid w:val="004C19C1"/>
    <w:rsid w:val="004C2FA1"/>
    <w:rsid w:val="004C4F78"/>
    <w:rsid w:val="004C7651"/>
    <w:rsid w:val="004C7A31"/>
    <w:rsid w:val="004D53F3"/>
    <w:rsid w:val="004D78C8"/>
    <w:rsid w:val="004E008F"/>
    <w:rsid w:val="004E448F"/>
    <w:rsid w:val="004E4CB4"/>
    <w:rsid w:val="004E7EBB"/>
    <w:rsid w:val="004F18D3"/>
    <w:rsid w:val="004F3B86"/>
    <w:rsid w:val="004F783D"/>
    <w:rsid w:val="00500153"/>
    <w:rsid w:val="00503A4B"/>
    <w:rsid w:val="0051131E"/>
    <w:rsid w:val="005155E4"/>
    <w:rsid w:val="00517252"/>
    <w:rsid w:val="00517468"/>
    <w:rsid w:val="00517A5C"/>
    <w:rsid w:val="00524B6B"/>
    <w:rsid w:val="00530E63"/>
    <w:rsid w:val="00533CFD"/>
    <w:rsid w:val="00534D96"/>
    <w:rsid w:val="00534DE4"/>
    <w:rsid w:val="00537997"/>
    <w:rsid w:val="00543F79"/>
    <w:rsid w:val="00551722"/>
    <w:rsid w:val="005528BE"/>
    <w:rsid w:val="005546F8"/>
    <w:rsid w:val="00556BA3"/>
    <w:rsid w:val="0056071F"/>
    <w:rsid w:val="00560F12"/>
    <w:rsid w:val="00562813"/>
    <w:rsid w:val="005632C8"/>
    <w:rsid w:val="00564B98"/>
    <w:rsid w:val="00564C1E"/>
    <w:rsid w:val="00565F72"/>
    <w:rsid w:val="005718BB"/>
    <w:rsid w:val="005751C6"/>
    <w:rsid w:val="00580B11"/>
    <w:rsid w:val="00584B6B"/>
    <w:rsid w:val="00584F68"/>
    <w:rsid w:val="00591563"/>
    <w:rsid w:val="00594853"/>
    <w:rsid w:val="00595273"/>
    <w:rsid w:val="005A52A7"/>
    <w:rsid w:val="005A6294"/>
    <w:rsid w:val="005A746E"/>
    <w:rsid w:val="005B0F82"/>
    <w:rsid w:val="005B3FD9"/>
    <w:rsid w:val="005B73A5"/>
    <w:rsid w:val="005D3747"/>
    <w:rsid w:val="005D4C97"/>
    <w:rsid w:val="005D7CAE"/>
    <w:rsid w:val="005E1EAE"/>
    <w:rsid w:val="005E2B4B"/>
    <w:rsid w:val="005E3C7B"/>
    <w:rsid w:val="005E3D17"/>
    <w:rsid w:val="005F4E3C"/>
    <w:rsid w:val="005F5235"/>
    <w:rsid w:val="006053CC"/>
    <w:rsid w:val="00605EAD"/>
    <w:rsid w:val="00611A0C"/>
    <w:rsid w:val="006236BE"/>
    <w:rsid w:val="00631526"/>
    <w:rsid w:val="0064004B"/>
    <w:rsid w:val="00642340"/>
    <w:rsid w:val="006430A8"/>
    <w:rsid w:val="006454F3"/>
    <w:rsid w:val="00646F74"/>
    <w:rsid w:val="00650337"/>
    <w:rsid w:val="00651C65"/>
    <w:rsid w:val="00653DA3"/>
    <w:rsid w:val="00655EA6"/>
    <w:rsid w:val="00655F5F"/>
    <w:rsid w:val="0065652C"/>
    <w:rsid w:val="00657A73"/>
    <w:rsid w:val="006631B3"/>
    <w:rsid w:val="0066433D"/>
    <w:rsid w:val="00664910"/>
    <w:rsid w:val="00670552"/>
    <w:rsid w:val="00670EEE"/>
    <w:rsid w:val="00673EEF"/>
    <w:rsid w:val="00676E9D"/>
    <w:rsid w:val="00677DFD"/>
    <w:rsid w:val="0068258E"/>
    <w:rsid w:val="00684C05"/>
    <w:rsid w:val="00685DA4"/>
    <w:rsid w:val="00687B54"/>
    <w:rsid w:val="00690564"/>
    <w:rsid w:val="006A0BF0"/>
    <w:rsid w:val="006A158B"/>
    <w:rsid w:val="006A20A4"/>
    <w:rsid w:val="006B0BC4"/>
    <w:rsid w:val="006B2956"/>
    <w:rsid w:val="006C05D6"/>
    <w:rsid w:val="006C0F42"/>
    <w:rsid w:val="006C29DB"/>
    <w:rsid w:val="006C42E3"/>
    <w:rsid w:val="006C7C02"/>
    <w:rsid w:val="006D1063"/>
    <w:rsid w:val="006D5224"/>
    <w:rsid w:val="006D7645"/>
    <w:rsid w:val="006E057F"/>
    <w:rsid w:val="006E2F2F"/>
    <w:rsid w:val="006E4884"/>
    <w:rsid w:val="006F04F2"/>
    <w:rsid w:val="006F6E33"/>
    <w:rsid w:val="006F7B57"/>
    <w:rsid w:val="00702729"/>
    <w:rsid w:val="00703F53"/>
    <w:rsid w:val="0071354E"/>
    <w:rsid w:val="00720266"/>
    <w:rsid w:val="00720A97"/>
    <w:rsid w:val="0072375D"/>
    <w:rsid w:val="00725119"/>
    <w:rsid w:val="00725201"/>
    <w:rsid w:val="007278A1"/>
    <w:rsid w:val="00741BA0"/>
    <w:rsid w:val="0074259C"/>
    <w:rsid w:val="00743CFA"/>
    <w:rsid w:val="00744C3B"/>
    <w:rsid w:val="00744D87"/>
    <w:rsid w:val="00751954"/>
    <w:rsid w:val="007527BB"/>
    <w:rsid w:val="00752A16"/>
    <w:rsid w:val="00753D40"/>
    <w:rsid w:val="0075440C"/>
    <w:rsid w:val="00757A4F"/>
    <w:rsid w:val="00757B3D"/>
    <w:rsid w:val="007608A4"/>
    <w:rsid w:val="0076696B"/>
    <w:rsid w:val="007704E4"/>
    <w:rsid w:val="007717E6"/>
    <w:rsid w:val="007727C8"/>
    <w:rsid w:val="00774ADD"/>
    <w:rsid w:val="00780A11"/>
    <w:rsid w:val="00780DEC"/>
    <w:rsid w:val="00781747"/>
    <w:rsid w:val="00782EC1"/>
    <w:rsid w:val="00785599"/>
    <w:rsid w:val="007928FB"/>
    <w:rsid w:val="00795487"/>
    <w:rsid w:val="00795684"/>
    <w:rsid w:val="007977F3"/>
    <w:rsid w:val="007A0188"/>
    <w:rsid w:val="007A2004"/>
    <w:rsid w:val="007A4B72"/>
    <w:rsid w:val="007A66B1"/>
    <w:rsid w:val="007A7A0C"/>
    <w:rsid w:val="007B2749"/>
    <w:rsid w:val="007B30C9"/>
    <w:rsid w:val="007B36EF"/>
    <w:rsid w:val="007C67B1"/>
    <w:rsid w:val="007C7087"/>
    <w:rsid w:val="007C7E59"/>
    <w:rsid w:val="007F2050"/>
    <w:rsid w:val="007F43F8"/>
    <w:rsid w:val="00804838"/>
    <w:rsid w:val="00807654"/>
    <w:rsid w:val="008113B4"/>
    <w:rsid w:val="0081396B"/>
    <w:rsid w:val="008158BF"/>
    <w:rsid w:val="00821BAE"/>
    <w:rsid w:val="008229AB"/>
    <w:rsid w:val="0082406D"/>
    <w:rsid w:val="008317BC"/>
    <w:rsid w:val="00833FD3"/>
    <w:rsid w:val="00841799"/>
    <w:rsid w:val="008437BD"/>
    <w:rsid w:val="008445C8"/>
    <w:rsid w:val="00844F37"/>
    <w:rsid w:val="00850986"/>
    <w:rsid w:val="0085231D"/>
    <w:rsid w:val="008523F9"/>
    <w:rsid w:val="00853CF9"/>
    <w:rsid w:val="008700B7"/>
    <w:rsid w:val="00870980"/>
    <w:rsid w:val="0087221D"/>
    <w:rsid w:val="008737B8"/>
    <w:rsid w:val="008745D1"/>
    <w:rsid w:val="008813BA"/>
    <w:rsid w:val="008858B7"/>
    <w:rsid w:val="008868D1"/>
    <w:rsid w:val="008930DF"/>
    <w:rsid w:val="008935BB"/>
    <w:rsid w:val="00893899"/>
    <w:rsid w:val="008950DE"/>
    <w:rsid w:val="00895FA6"/>
    <w:rsid w:val="008A27A3"/>
    <w:rsid w:val="008A37EE"/>
    <w:rsid w:val="008A3CB6"/>
    <w:rsid w:val="008A6FF7"/>
    <w:rsid w:val="008B0010"/>
    <w:rsid w:val="008B136A"/>
    <w:rsid w:val="008B636B"/>
    <w:rsid w:val="008C4B87"/>
    <w:rsid w:val="008C59DD"/>
    <w:rsid w:val="008C6AB1"/>
    <w:rsid w:val="008D10B1"/>
    <w:rsid w:val="008D2E97"/>
    <w:rsid w:val="008D4AE7"/>
    <w:rsid w:val="008E16FA"/>
    <w:rsid w:val="008F242E"/>
    <w:rsid w:val="00901294"/>
    <w:rsid w:val="00902B34"/>
    <w:rsid w:val="00917E59"/>
    <w:rsid w:val="00920802"/>
    <w:rsid w:val="009223B6"/>
    <w:rsid w:val="009247DA"/>
    <w:rsid w:val="00924D97"/>
    <w:rsid w:val="00930051"/>
    <w:rsid w:val="00936109"/>
    <w:rsid w:val="00940907"/>
    <w:rsid w:val="00945AEA"/>
    <w:rsid w:val="00951DEA"/>
    <w:rsid w:val="009525A0"/>
    <w:rsid w:val="0095432F"/>
    <w:rsid w:val="009561C1"/>
    <w:rsid w:val="00957F1F"/>
    <w:rsid w:val="00963A02"/>
    <w:rsid w:val="00965101"/>
    <w:rsid w:val="009660E7"/>
    <w:rsid w:val="00972CE7"/>
    <w:rsid w:val="0097450A"/>
    <w:rsid w:val="009745EF"/>
    <w:rsid w:val="00976B39"/>
    <w:rsid w:val="009832C7"/>
    <w:rsid w:val="00986A98"/>
    <w:rsid w:val="00991494"/>
    <w:rsid w:val="00993563"/>
    <w:rsid w:val="00993A40"/>
    <w:rsid w:val="00994B1E"/>
    <w:rsid w:val="009A6C71"/>
    <w:rsid w:val="009B14F5"/>
    <w:rsid w:val="009B2B12"/>
    <w:rsid w:val="009B3189"/>
    <w:rsid w:val="009B45A1"/>
    <w:rsid w:val="009B6147"/>
    <w:rsid w:val="009B6B63"/>
    <w:rsid w:val="009C13B0"/>
    <w:rsid w:val="009C344E"/>
    <w:rsid w:val="009C39BA"/>
    <w:rsid w:val="009D6370"/>
    <w:rsid w:val="009D75EB"/>
    <w:rsid w:val="009E1CBD"/>
    <w:rsid w:val="009F51F9"/>
    <w:rsid w:val="00A00DD5"/>
    <w:rsid w:val="00A02076"/>
    <w:rsid w:val="00A033B4"/>
    <w:rsid w:val="00A036B2"/>
    <w:rsid w:val="00A0767B"/>
    <w:rsid w:val="00A10C4F"/>
    <w:rsid w:val="00A10C74"/>
    <w:rsid w:val="00A116A4"/>
    <w:rsid w:val="00A1206D"/>
    <w:rsid w:val="00A12970"/>
    <w:rsid w:val="00A21138"/>
    <w:rsid w:val="00A2272F"/>
    <w:rsid w:val="00A305F6"/>
    <w:rsid w:val="00A35A8D"/>
    <w:rsid w:val="00A440C2"/>
    <w:rsid w:val="00A44852"/>
    <w:rsid w:val="00A46624"/>
    <w:rsid w:val="00A50C8F"/>
    <w:rsid w:val="00A56257"/>
    <w:rsid w:val="00A5647D"/>
    <w:rsid w:val="00A60452"/>
    <w:rsid w:val="00A70723"/>
    <w:rsid w:val="00A708BF"/>
    <w:rsid w:val="00A82B06"/>
    <w:rsid w:val="00A85F90"/>
    <w:rsid w:val="00A86129"/>
    <w:rsid w:val="00A9052D"/>
    <w:rsid w:val="00A90C59"/>
    <w:rsid w:val="00A93D20"/>
    <w:rsid w:val="00A94048"/>
    <w:rsid w:val="00AA60D9"/>
    <w:rsid w:val="00AA6D85"/>
    <w:rsid w:val="00AB32A1"/>
    <w:rsid w:val="00AB3554"/>
    <w:rsid w:val="00AB430D"/>
    <w:rsid w:val="00AB4F00"/>
    <w:rsid w:val="00AB6106"/>
    <w:rsid w:val="00AB75D7"/>
    <w:rsid w:val="00AB75F9"/>
    <w:rsid w:val="00AC06AF"/>
    <w:rsid w:val="00AC0F78"/>
    <w:rsid w:val="00AC3B2D"/>
    <w:rsid w:val="00AC6C17"/>
    <w:rsid w:val="00AD08B3"/>
    <w:rsid w:val="00AD0FC5"/>
    <w:rsid w:val="00AD2498"/>
    <w:rsid w:val="00AD2D56"/>
    <w:rsid w:val="00AD5CA5"/>
    <w:rsid w:val="00AE1264"/>
    <w:rsid w:val="00AE6300"/>
    <w:rsid w:val="00AF2C89"/>
    <w:rsid w:val="00AF6056"/>
    <w:rsid w:val="00AF65E2"/>
    <w:rsid w:val="00B070F1"/>
    <w:rsid w:val="00B108FB"/>
    <w:rsid w:val="00B14AD5"/>
    <w:rsid w:val="00B152F4"/>
    <w:rsid w:val="00B15FD6"/>
    <w:rsid w:val="00B21444"/>
    <w:rsid w:val="00B227C9"/>
    <w:rsid w:val="00B252F0"/>
    <w:rsid w:val="00B3033C"/>
    <w:rsid w:val="00B339E7"/>
    <w:rsid w:val="00B370C3"/>
    <w:rsid w:val="00B43621"/>
    <w:rsid w:val="00B43BB4"/>
    <w:rsid w:val="00B447BC"/>
    <w:rsid w:val="00B4652F"/>
    <w:rsid w:val="00B53181"/>
    <w:rsid w:val="00B602EE"/>
    <w:rsid w:val="00B63AA2"/>
    <w:rsid w:val="00B64F21"/>
    <w:rsid w:val="00B651E4"/>
    <w:rsid w:val="00B72474"/>
    <w:rsid w:val="00B77089"/>
    <w:rsid w:val="00B805CE"/>
    <w:rsid w:val="00B8133C"/>
    <w:rsid w:val="00B85B77"/>
    <w:rsid w:val="00B95346"/>
    <w:rsid w:val="00BA04F8"/>
    <w:rsid w:val="00BA25D5"/>
    <w:rsid w:val="00BA2F0C"/>
    <w:rsid w:val="00BA59EE"/>
    <w:rsid w:val="00BB2F5D"/>
    <w:rsid w:val="00BB3EA9"/>
    <w:rsid w:val="00BB5F55"/>
    <w:rsid w:val="00BC13C5"/>
    <w:rsid w:val="00BC5571"/>
    <w:rsid w:val="00BC6194"/>
    <w:rsid w:val="00BC7E6F"/>
    <w:rsid w:val="00BD3F44"/>
    <w:rsid w:val="00BD764B"/>
    <w:rsid w:val="00BD7749"/>
    <w:rsid w:val="00BE01D8"/>
    <w:rsid w:val="00BE1131"/>
    <w:rsid w:val="00BF18BE"/>
    <w:rsid w:val="00BF2BB9"/>
    <w:rsid w:val="00C004DE"/>
    <w:rsid w:val="00C01935"/>
    <w:rsid w:val="00C01D38"/>
    <w:rsid w:val="00C02B45"/>
    <w:rsid w:val="00C050D4"/>
    <w:rsid w:val="00C05C36"/>
    <w:rsid w:val="00C06D6B"/>
    <w:rsid w:val="00C2169C"/>
    <w:rsid w:val="00C252DD"/>
    <w:rsid w:val="00C25E9F"/>
    <w:rsid w:val="00C328A6"/>
    <w:rsid w:val="00C335A9"/>
    <w:rsid w:val="00C4190E"/>
    <w:rsid w:val="00C45545"/>
    <w:rsid w:val="00C535B9"/>
    <w:rsid w:val="00C71637"/>
    <w:rsid w:val="00C72CCC"/>
    <w:rsid w:val="00C76323"/>
    <w:rsid w:val="00C77505"/>
    <w:rsid w:val="00C81858"/>
    <w:rsid w:val="00C835BD"/>
    <w:rsid w:val="00C908C8"/>
    <w:rsid w:val="00C90A48"/>
    <w:rsid w:val="00C91A33"/>
    <w:rsid w:val="00C929DA"/>
    <w:rsid w:val="00C94DD0"/>
    <w:rsid w:val="00C9746E"/>
    <w:rsid w:val="00CA1CA6"/>
    <w:rsid w:val="00CA5AA2"/>
    <w:rsid w:val="00CB1E53"/>
    <w:rsid w:val="00CB331C"/>
    <w:rsid w:val="00CB6276"/>
    <w:rsid w:val="00CC194C"/>
    <w:rsid w:val="00CC322E"/>
    <w:rsid w:val="00CC495D"/>
    <w:rsid w:val="00CD27C5"/>
    <w:rsid w:val="00CD2C96"/>
    <w:rsid w:val="00CD50B2"/>
    <w:rsid w:val="00CD7FDD"/>
    <w:rsid w:val="00CE00BF"/>
    <w:rsid w:val="00CE56BF"/>
    <w:rsid w:val="00CE646D"/>
    <w:rsid w:val="00CF1F07"/>
    <w:rsid w:val="00CF259C"/>
    <w:rsid w:val="00CF2643"/>
    <w:rsid w:val="00CF4857"/>
    <w:rsid w:val="00CF64CD"/>
    <w:rsid w:val="00CF7CE4"/>
    <w:rsid w:val="00D006EF"/>
    <w:rsid w:val="00D02FDC"/>
    <w:rsid w:val="00D0561E"/>
    <w:rsid w:val="00D07256"/>
    <w:rsid w:val="00D10FD8"/>
    <w:rsid w:val="00D11042"/>
    <w:rsid w:val="00D1304B"/>
    <w:rsid w:val="00D16D52"/>
    <w:rsid w:val="00D232CD"/>
    <w:rsid w:val="00D34E2D"/>
    <w:rsid w:val="00D34EAA"/>
    <w:rsid w:val="00D36BC4"/>
    <w:rsid w:val="00D37143"/>
    <w:rsid w:val="00D428BE"/>
    <w:rsid w:val="00D440B9"/>
    <w:rsid w:val="00D442C6"/>
    <w:rsid w:val="00D464E1"/>
    <w:rsid w:val="00D466A5"/>
    <w:rsid w:val="00D47D1A"/>
    <w:rsid w:val="00D5242A"/>
    <w:rsid w:val="00D52510"/>
    <w:rsid w:val="00D52641"/>
    <w:rsid w:val="00D56201"/>
    <w:rsid w:val="00D56AAF"/>
    <w:rsid w:val="00D6102F"/>
    <w:rsid w:val="00D6297E"/>
    <w:rsid w:val="00D64CAA"/>
    <w:rsid w:val="00D70359"/>
    <w:rsid w:val="00D70BBA"/>
    <w:rsid w:val="00D73AEC"/>
    <w:rsid w:val="00D81969"/>
    <w:rsid w:val="00D81CC9"/>
    <w:rsid w:val="00D829E5"/>
    <w:rsid w:val="00D8599B"/>
    <w:rsid w:val="00D91E04"/>
    <w:rsid w:val="00D92396"/>
    <w:rsid w:val="00D927EC"/>
    <w:rsid w:val="00D93E59"/>
    <w:rsid w:val="00D97194"/>
    <w:rsid w:val="00D973F2"/>
    <w:rsid w:val="00DA01DF"/>
    <w:rsid w:val="00DA4B9A"/>
    <w:rsid w:val="00DA5AA0"/>
    <w:rsid w:val="00DB15E9"/>
    <w:rsid w:val="00DB3459"/>
    <w:rsid w:val="00DB43B1"/>
    <w:rsid w:val="00DC168D"/>
    <w:rsid w:val="00DD1586"/>
    <w:rsid w:val="00DD16FC"/>
    <w:rsid w:val="00DD2A9A"/>
    <w:rsid w:val="00DD5BA2"/>
    <w:rsid w:val="00DD6EE8"/>
    <w:rsid w:val="00DD765B"/>
    <w:rsid w:val="00DD7FB9"/>
    <w:rsid w:val="00DE20BD"/>
    <w:rsid w:val="00DE6D71"/>
    <w:rsid w:val="00DE7066"/>
    <w:rsid w:val="00DE78D8"/>
    <w:rsid w:val="00DF71BA"/>
    <w:rsid w:val="00E03655"/>
    <w:rsid w:val="00E03D5B"/>
    <w:rsid w:val="00E040A0"/>
    <w:rsid w:val="00E059D4"/>
    <w:rsid w:val="00E0612B"/>
    <w:rsid w:val="00E138E9"/>
    <w:rsid w:val="00E22F4E"/>
    <w:rsid w:val="00E328DF"/>
    <w:rsid w:val="00E4158E"/>
    <w:rsid w:val="00E44B3B"/>
    <w:rsid w:val="00E46F6C"/>
    <w:rsid w:val="00E667EE"/>
    <w:rsid w:val="00E72F7C"/>
    <w:rsid w:val="00E73F4D"/>
    <w:rsid w:val="00E7603F"/>
    <w:rsid w:val="00E80503"/>
    <w:rsid w:val="00E81B6E"/>
    <w:rsid w:val="00E853EA"/>
    <w:rsid w:val="00E868AC"/>
    <w:rsid w:val="00E909D7"/>
    <w:rsid w:val="00E92A1D"/>
    <w:rsid w:val="00EA0A50"/>
    <w:rsid w:val="00EA4C73"/>
    <w:rsid w:val="00EA6B07"/>
    <w:rsid w:val="00EB1904"/>
    <w:rsid w:val="00EB7FF8"/>
    <w:rsid w:val="00EC365F"/>
    <w:rsid w:val="00EC4FD0"/>
    <w:rsid w:val="00EC62FF"/>
    <w:rsid w:val="00ED4E3E"/>
    <w:rsid w:val="00ED5777"/>
    <w:rsid w:val="00EE463A"/>
    <w:rsid w:val="00EE559C"/>
    <w:rsid w:val="00EF4CFC"/>
    <w:rsid w:val="00F102C6"/>
    <w:rsid w:val="00F1347F"/>
    <w:rsid w:val="00F137D8"/>
    <w:rsid w:val="00F15296"/>
    <w:rsid w:val="00F240A6"/>
    <w:rsid w:val="00F24724"/>
    <w:rsid w:val="00F24A40"/>
    <w:rsid w:val="00F27865"/>
    <w:rsid w:val="00F32E27"/>
    <w:rsid w:val="00F37785"/>
    <w:rsid w:val="00F41457"/>
    <w:rsid w:val="00F422DD"/>
    <w:rsid w:val="00F437CB"/>
    <w:rsid w:val="00F43E00"/>
    <w:rsid w:val="00F4624B"/>
    <w:rsid w:val="00F47DBB"/>
    <w:rsid w:val="00F501D3"/>
    <w:rsid w:val="00F53B95"/>
    <w:rsid w:val="00F62FEE"/>
    <w:rsid w:val="00F654E8"/>
    <w:rsid w:val="00F65625"/>
    <w:rsid w:val="00F710DD"/>
    <w:rsid w:val="00F86275"/>
    <w:rsid w:val="00F866F6"/>
    <w:rsid w:val="00F97171"/>
    <w:rsid w:val="00FA0CE0"/>
    <w:rsid w:val="00FA56F7"/>
    <w:rsid w:val="00FA677C"/>
    <w:rsid w:val="00FC4B3C"/>
    <w:rsid w:val="00FC56EF"/>
    <w:rsid w:val="00FC6193"/>
    <w:rsid w:val="00FC6781"/>
    <w:rsid w:val="00FC68B4"/>
    <w:rsid w:val="00FD05B8"/>
    <w:rsid w:val="00FD073D"/>
    <w:rsid w:val="00FD2254"/>
    <w:rsid w:val="00FD47F2"/>
    <w:rsid w:val="00FF1CD7"/>
    <w:rsid w:val="00FF4F79"/>
    <w:rsid w:val="00FF55E2"/>
    <w:rsid w:val="00FF5898"/>
    <w:rsid w:val="011D5257"/>
    <w:rsid w:val="049039B1"/>
    <w:rsid w:val="084F3130"/>
    <w:rsid w:val="0957582C"/>
    <w:rsid w:val="0BAC05B3"/>
    <w:rsid w:val="129E211B"/>
    <w:rsid w:val="15E7507B"/>
    <w:rsid w:val="1677496A"/>
    <w:rsid w:val="18181DEA"/>
    <w:rsid w:val="18BF5B28"/>
    <w:rsid w:val="2D4241CE"/>
    <w:rsid w:val="34155E66"/>
    <w:rsid w:val="3AEE2FBA"/>
    <w:rsid w:val="3D363D7A"/>
    <w:rsid w:val="3F153934"/>
    <w:rsid w:val="3F8A0269"/>
    <w:rsid w:val="428C4697"/>
    <w:rsid w:val="445C4E37"/>
    <w:rsid w:val="44911A8D"/>
    <w:rsid w:val="4A0A0505"/>
    <w:rsid w:val="5373753A"/>
    <w:rsid w:val="54B96538"/>
    <w:rsid w:val="56384502"/>
    <w:rsid w:val="5EF7046C"/>
    <w:rsid w:val="65C92F03"/>
    <w:rsid w:val="683F4BBF"/>
    <w:rsid w:val="75B92F09"/>
    <w:rsid w:val="7B271119"/>
    <w:rsid w:val="7F143C8D"/>
    <w:rsid w:val="7FC25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4"/>
    <w:qFormat/>
    <w:uiPriority w:val="9"/>
    <w:pPr>
      <w:keepNext/>
      <w:keepLines/>
      <w:spacing w:before="480" w:after="0"/>
      <w:outlineLvl w:val="0"/>
    </w:pPr>
    <w:rPr>
      <w:rFonts w:eastAsiaTheme="majorEastAsia" w:cstheme="majorBidi"/>
      <w:b/>
      <w:bCs/>
      <w:sz w:val="28"/>
      <w:szCs w:val="28"/>
    </w:rPr>
  </w:style>
  <w:style w:type="paragraph" w:styleId="3">
    <w:name w:val="heading 2"/>
    <w:basedOn w:val="1"/>
    <w:next w:val="1"/>
    <w:link w:val="15"/>
    <w:unhideWhenUsed/>
    <w:qFormat/>
    <w:uiPriority w:val="9"/>
    <w:pPr>
      <w:keepNext/>
      <w:keepLines/>
      <w:spacing w:before="200" w:after="0"/>
      <w:outlineLvl w:val="1"/>
    </w:pPr>
    <w:rPr>
      <w:rFonts w:eastAsiaTheme="majorEastAsia" w:cstheme="majorBidi"/>
      <w:b/>
      <w:bCs/>
      <w:sz w:val="26"/>
      <w:szCs w:val="26"/>
    </w:rPr>
  </w:style>
  <w:style w:type="paragraph" w:styleId="4">
    <w:name w:val="heading 3"/>
    <w:basedOn w:val="1"/>
    <w:next w:val="1"/>
    <w:link w:val="16"/>
    <w:unhideWhenUsed/>
    <w:qFormat/>
    <w:uiPriority w:val="9"/>
    <w:pPr>
      <w:keepNext/>
      <w:keepLines/>
      <w:spacing w:before="200" w:after="0"/>
      <w:outlineLvl w:val="2"/>
    </w:pPr>
    <w:rPr>
      <w:rFonts w:eastAsiaTheme="majorEastAsia" w:cstheme="majorBidi"/>
      <w:b/>
      <w:bCs/>
    </w:rPr>
  </w:style>
  <w:style w:type="character" w:default="1" w:styleId="5">
    <w:name w:val="Default Paragraph Font"/>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7"/>
    <w:semiHidden/>
    <w:unhideWhenUsed/>
    <w:qFormat/>
    <w:uiPriority w:val="99"/>
    <w:pPr>
      <w:spacing w:after="0" w:line="240" w:lineRule="auto"/>
    </w:pPr>
    <w:rPr>
      <w:rFonts w:ascii="Tahoma" w:hAnsi="Tahoma" w:cs="Tahoma"/>
      <w:sz w:val="16"/>
      <w:szCs w:val="16"/>
    </w:rPr>
  </w:style>
  <w:style w:type="paragraph" w:styleId="8">
    <w:name w:val="footer"/>
    <w:basedOn w:val="1"/>
    <w:link w:val="19"/>
    <w:unhideWhenUsed/>
    <w:qFormat/>
    <w:uiPriority w:val="99"/>
    <w:pPr>
      <w:tabs>
        <w:tab w:val="center" w:pos="4680"/>
        <w:tab w:val="right" w:pos="9360"/>
      </w:tabs>
      <w:spacing w:after="0" w:line="240" w:lineRule="auto"/>
    </w:pPr>
  </w:style>
  <w:style w:type="paragraph" w:styleId="9">
    <w:name w:val="header"/>
    <w:basedOn w:val="1"/>
    <w:link w:val="18"/>
    <w:semiHidden/>
    <w:unhideWhenUsed/>
    <w:qFormat/>
    <w:uiPriority w:val="99"/>
    <w:pPr>
      <w:tabs>
        <w:tab w:val="center" w:pos="4680"/>
        <w:tab w:val="right" w:pos="9360"/>
      </w:tabs>
      <w:spacing w:after="0" w:line="240" w:lineRule="auto"/>
    </w:pPr>
  </w:style>
  <w:style w:type="character" w:styleId="10">
    <w:name w:val="Hyperlink"/>
    <w:basedOn w:val="5"/>
    <w:unhideWhenUsed/>
    <w:qFormat/>
    <w:uiPriority w:val="99"/>
    <w:rPr>
      <w:color w:val="0000FF" w:themeColor="hyperlink"/>
      <w:u w:val="single"/>
    </w:rPr>
  </w:style>
  <w:style w:type="paragraph" w:styleId="11">
    <w:name w:val="toc 1"/>
    <w:basedOn w:val="1"/>
    <w:next w:val="1"/>
    <w:autoRedefine/>
    <w:unhideWhenUsed/>
    <w:qFormat/>
    <w:uiPriority w:val="39"/>
    <w:pPr>
      <w:spacing w:after="100"/>
    </w:pPr>
  </w:style>
  <w:style w:type="paragraph" w:styleId="12">
    <w:name w:val="toc 2"/>
    <w:basedOn w:val="1"/>
    <w:next w:val="1"/>
    <w:autoRedefine/>
    <w:unhideWhenUsed/>
    <w:uiPriority w:val="39"/>
    <w:pPr>
      <w:spacing w:after="100"/>
      <w:ind w:left="240"/>
    </w:pPr>
  </w:style>
  <w:style w:type="paragraph" w:styleId="13">
    <w:name w:val="toc 3"/>
    <w:basedOn w:val="1"/>
    <w:next w:val="1"/>
    <w:autoRedefine/>
    <w:unhideWhenUsed/>
    <w:qFormat/>
    <w:uiPriority w:val="39"/>
    <w:pPr>
      <w:spacing w:after="100"/>
      <w:ind w:left="480"/>
    </w:pPr>
  </w:style>
  <w:style w:type="character" w:customStyle="1" w:styleId="14">
    <w:name w:val="Heading 1 Char"/>
    <w:basedOn w:val="5"/>
    <w:link w:val="2"/>
    <w:qFormat/>
    <w:uiPriority w:val="9"/>
    <w:rPr>
      <w:rFonts w:ascii="Times New Roman" w:hAnsi="Times New Roman" w:eastAsiaTheme="majorEastAsia" w:cstheme="majorBidi"/>
      <w:b/>
      <w:bCs/>
      <w:sz w:val="28"/>
      <w:szCs w:val="28"/>
      <w:lang w:val="en-GB"/>
    </w:rPr>
  </w:style>
  <w:style w:type="character" w:customStyle="1" w:styleId="15">
    <w:name w:val="Heading 2 Char"/>
    <w:basedOn w:val="5"/>
    <w:link w:val="3"/>
    <w:qFormat/>
    <w:uiPriority w:val="9"/>
    <w:rPr>
      <w:rFonts w:ascii="Times New Roman" w:hAnsi="Times New Roman" w:eastAsiaTheme="majorEastAsia" w:cstheme="majorBidi"/>
      <w:b/>
      <w:bCs/>
      <w:sz w:val="26"/>
      <w:szCs w:val="26"/>
      <w:lang w:val="en-GB"/>
    </w:rPr>
  </w:style>
  <w:style w:type="character" w:customStyle="1" w:styleId="16">
    <w:name w:val="Heading 3 Char"/>
    <w:basedOn w:val="5"/>
    <w:link w:val="4"/>
    <w:qFormat/>
    <w:uiPriority w:val="9"/>
    <w:rPr>
      <w:rFonts w:ascii="Times New Roman" w:hAnsi="Times New Roman" w:eastAsiaTheme="majorEastAsia" w:cstheme="majorBidi"/>
      <w:b/>
      <w:bCs/>
      <w:sz w:val="24"/>
      <w:lang w:val="en-GB"/>
    </w:rPr>
  </w:style>
  <w:style w:type="character" w:customStyle="1" w:styleId="17">
    <w:name w:val="Balloon Text Char"/>
    <w:basedOn w:val="5"/>
    <w:link w:val="7"/>
    <w:semiHidden/>
    <w:qFormat/>
    <w:uiPriority w:val="99"/>
    <w:rPr>
      <w:rFonts w:ascii="Tahoma" w:hAnsi="Tahoma" w:cs="Tahoma"/>
      <w:sz w:val="16"/>
      <w:szCs w:val="16"/>
      <w:lang w:val="en-GB"/>
    </w:rPr>
  </w:style>
  <w:style w:type="character" w:customStyle="1" w:styleId="18">
    <w:name w:val="Header Char"/>
    <w:basedOn w:val="5"/>
    <w:link w:val="9"/>
    <w:semiHidden/>
    <w:qFormat/>
    <w:uiPriority w:val="99"/>
    <w:rPr>
      <w:rFonts w:ascii="Times New Roman" w:hAnsi="Times New Roman"/>
      <w:sz w:val="24"/>
      <w:lang w:val="en-GB"/>
    </w:rPr>
  </w:style>
  <w:style w:type="character" w:customStyle="1" w:styleId="19">
    <w:name w:val="Footer Char"/>
    <w:basedOn w:val="5"/>
    <w:link w:val="8"/>
    <w:uiPriority w:val="99"/>
    <w:rPr>
      <w:rFonts w:ascii="Times New Roman" w:hAnsi="Times New Roman"/>
      <w:sz w:val="24"/>
      <w:lang w:val="en-GB"/>
    </w:rPr>
  </w:style>
  <w:style w:type="paragraph" w:customStyle="1" w:styleId="20">
    <w:name w:val="TOC Heading"/>
    <w:basedOn w:val="2"/>
    <w:next w:val="1"/>
    <w:semiHidden/>
    <w:unhideWhenUsed/>
    <w:qFormat/>
    <w:uiPriority w:val="39"/>
    <w:pPr>
      <w:spacing w:line="276" w:lineRule="auto"/>
      <w:jc w:val="left"/>
      <w:outlineLvl w:val="9"/>
    </w:pPr>
    <w:rPr>
      <w:rFonts w:asciiTheme="majorHAnsi" w:hAnsiTheme="majorHAnsi"/>
      <w:color w:val="366091" w:themeColor="accent1" w:themeShade="BF"/>
      <w:lang w:val="en-US"/>
    </w:rPr>
  </w:style>
  <w:style w:type="paragraph" w:styleId="2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7.emf"/><Relationship Id="rId13" Type="http://schemas.openxmlformats.org/officeDocument/2006/relationships/package" Target="embeddings/Slide1.sldx"/><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2FC99-6CF3-49CF-A616-10757ED52F95}">
  <ds:schemaRefs/>
</ds:datastoreItem>
</file>

<file path=docProps/app.xml><?xml version="1.0" encoding="utf-8"?>
<Properties xmlns="http://schemas.openxmlformats.org/officeDocument/2006/extended-properties" xmlns:vt="http://schemas.openxmlformats.org/officeDocument/2006/docPropsVTypes">
  <Template>Normal</Template>
  <Pages>13</Pages>
  <Words>1604</Words>
  <Characters>9144</Characters>
  <Lines>76</Lines>
  <Paragraphs>21</Paragraphs>
  <TotalTime>366</TotalTime>
  <ScaleCrop>false</ScaleCrop>
  <LinksUpToDate>false</LinksUpToDate>
  <CharactersWithSpaces>10727</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2025-03-18T10:04:00Z</dcterms:created>
  <dc:creator>Owner</dc:creator>
  <cp:lastModifiedBy>Pratima Makwana</cp:lastModifiedBy>
  <dcterms:modified xsi:type="dcterms:W3CDTF">2025-03-31T22:35:18Z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54FDFB4E5B8748658A9BF2FF15499989_13</vt:lpwstr>
  </property>
</Properties>
</file>