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B7EC27" w14:textId="415701E3" w:rsidR="00271E1F" w:rsidRDefault="00271E1F">
      <w:pPr>
        <w:rPr>
          <w:rFonts w:cs="Arial"/>
          <w:noProof/>
        </w:rPr>
      </w:pPr>
      <w:r w:rsidRPr="00074402">
        <w:rPr>
          <w:rFonts w:cs="Arial"/>
          <w:noProof/>
          <w:lang w:eastAsia="en-GB"/>
        </w:rPr>
        <w:drawing>
          <wp:anchor distT="0" distB="0" distL="114300" distR="114300" simplePos="0" relativeHeight="251665408" behindDoc="0" locked="0" layoutInCell="1" allowOverlap="1" wp14:anchorId="1EF5A46D" wp14:editId="2C738481">
            <wp:simplePos x="0" y="0"/>
            <wp:positionH relativeFrom="margin">
              <wp:posOffset>-120650</wp:posOffset>
            </wp:positionH>
            <wp:positionV relativeFrom="paragraph">
              <wp:posOffset>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56E53D" w14:textId="77777777" w:rsidR="00271E1F" w:rsidRDefault="00271E1F">
      <w:pPr>
        <w:rPr>
          <w:rFonts w:cs="Arial"/>
          <w:noProof/>
        </w:rPr>
      </w:pPr>
    </w:p>
    <w:p w14:paraId="5794A80F" w14:textId="77777777" w:rsidR="00271E1F" w:rsidRDefault="00271E1F">
      <w:pPr>
        <w:rPr>
          <w:rFonts w:cs="Arial"/>
          <w:noProof/>
        </w:rPr>
      </w:pPr>
    </w:p>
    <w:p w14:paraId="0C17C262" w14:textId="77777777" w:rsidR="00271E1F" w:rsidRDefault="00271E1F">
      <w:pPr>
        <w:rPr>
          <w:rFonts w:cs="Arial"/>
          <w:noProof/>
        </w:rPr>
      </w:pPr>
    </w:p>
    <w:p w14:paraId="1B713992" w14:textId="77777777" w:rsidR="00271E1F" w:rsidRPr="00F83C42" w:rsidRDefault="00271E1F">
      <w:pPr>
        <w:rPr>
          <w:rFonts w:cs="Arial"/>
        </w:rPr>
      </w:pPr>
    </w:p>
    <w:p w14:paraId="026EC193" w14:textId="66AF216D" w:rsidR="007071C2" w:rsidRPr="00F83C42" w:rsidRDefault="007071C2" w:rsidP="00271E1F">
      <w:pPr>
        <w:jc w:val="center"/>
        <w:rPr>
          <w:rFonts w:cs="Arial"/>
          <w:b/>
          <w:bCs/>
          <w:sz w:val="32"/>
          <w:szCs w:val="32"/>
        </w:rPr>
      </w:pPr>
      <w:r w:rsidRPr="00F83C42">
        <w:rPr>
          <w:rFonts w:cs="Arial"/>
          <w:b/>
          <w:sz w:val="32"/>
          <w:szCs w:val="32"/>
        </w:rPr>
        <w:t>Exploring</w:t>
      </w:r>
      <w:r w:rsidRPr="00F83C42">
        <w:t xml:space="preserve"> </w:t>
      </w:r>
      <w:r w:rsidRPr="00F83C42">
        <w:rPr>
          <w:rFonts w:cs="Arial"/>
          <w:b/>
          <w:bCs/>
          <w:sz w:val="32"/>
          <w:szCs w:val="32"/>
        </w:rPr>
        <w:t>the Role of Health and So</w:t>
      </w:r>
      <w:r w:rsidR="00734B69" w:rsidRPr="00F83C42">
        <w:rPr>
          <w:rFonts w:cs="Arial"/>
          <w:b/>
          <w:bCs/>
          <w:sz w:val="32"/>
          <w:szCs w:val="32"/>
        </w:rPr>
        <w:t>c</w:t>
      </w:r>
      <w:r w:rsidRPr="00F83C42">
        <w:rPr>
          <w:rFonts w:cs="Arial"/>
          <w:b/>
          <w:bCs/>
          <w:sz w:val="32"/>
          <w:szCs w:val="32"/>
        </w:rPr>
        <w:t>ial Care Professionals in Addressing Health Inequalities among Low-Income Families in the UK</w:t>
      </w:r>
    </w:p>
    <w:p w14:paraId="5A955673" w14:textId="26D806A4" w:rsidR="000921B7" w:rsidRPr="00F83C42" w:rsidRDefault="000921B7" w:rsidP="004D2656">
      <w:pPr>
        <w:spacing w:line="278" w:lineRule="auto"/>
        <w:jc w:val="center"/>
        <w:rPr>
          <w:rFonts w:ascii="Times New Roman" w:hAnsi="Times New Roman"/>
          <w:b/>
          <w:bCs/>
          <w:sz w:val="24"/>
        </w:rPr>
      </w:pPr>
    </w:p>
    <w:p w14:paraId="7716B8BF" w14:textId="77777777" w:rsidR="000921B7" w:rsidRPr="00F83C42" w:rsidRDefault="000921B7" w:rsidP="004D2656"/>
    <w:p w14:paraId="455F074B" w14:textId="029F7930" w:rsidR="004D2656" w:rsidRPr="0077507C" w:rsidRDefault="004D2656" w:rsidP="004D2656">
      <w:pPr>
        <w:rPr>
          <w:rFonts w:cs="Arial"/>
          <w:b/>
          <w:bCs/>
          <w:sz w:val="36"/>
          <w:szCs w:val="36"/>
        </w:rPr>
      </w:pPr>
      <w:r w:rsidRPr="0077507C">
        <w:rPr>
          <w:rFonts w:cs="Arial"/>
          <w:b/>
          <w:bCs/>
          <w:sz w:val="36"/>
          <w:szCs w:val="36"/>
        </w:rPr>
        <w:t xml:space="preserve">Student Name: </w:t>
      </w:r>
      <w:r w:rsidR="00EB19BC" w:rsidRPr="0077507C">
        <w:rPr>
          <w:rFonts w:cs="Arial"/>
          <w:b/>
          <w:bCs/>
          <w:sz w:val="36"/>
          <w:szCs w:val="36"/>
        </w:rPr>
        <w:t xml:space="preserve">Sindatche D B Baldé </w:t>
      </w:r>
    </w:p>
    <w:p w14:paraId="787EAC8A" w14:textId="3A287527" w:rsidR="004D2656" w:rsidRPr="0077507C" w:rsidRDefault="004D2656" w:rsidP="004D2656">
      <w:pPr>
        <w:rPr>
          <w:rFonts w:cs="Arial"/>
          <w:b/>
          <w:bCs/>
          <w:sz w:val="36"/>
          <w:szCs w:val="36"/>
        </w:rPr>
      </w:pPr>
      <w:r w:rsidRPr="0077507C">
        <w:rPr>
          <w:rFonts w:cs="Arial"/>
          <w:b/>
          <w:bCs/>
          <w:sz w:val="36"/>
          <w:szCs w:val="36"/>
        </w:rPr>
        <w:t>Student ID:</w:t>
      </w:r>
      <w:r w:rsidR="0077507C">
        <w:rPr>
          <w:rFonts w:cs="Arial"/>
          <w:b/>
          <w:bCs/>
          <w:sz w:val="36"/>
          <w:szCs w:val="36"/>
        </w:rPr>
        <w:t xml:space="preserve"> </w:t>
      </w:r>
      <w:r w:rsidR="00EB19BC" w:rsidRPr="0077507C">
        <w:rPr>
          <w:rFonts w:cs="Arial"/>
          <w:b/>
          <w:bCs/>
          <w:sz w:val="36"/>
          <w:szCs w:val="36"/>
        </w:rPr>
        <w:t>223364</w:t>
      </w:r>
      <w:r w:rsidR="00EA658E" w:rsidRPr="0077507C">
        <w:rPr>
          <w:rFonts w:cs="Arial"/>
          <w:b/>
          <w:bCs/>
          <w:sz w:val="36"/>
          <w:szCs w:val="36"/>
        </w:rPr>
        <w:t>3</w:t>
      </w:r>
    </w:p>
    <w:p w14:paraId="4A12E7DE" w14:textId="3D233182" w:rsidR="004D2656" w:rsidRPr="0077507C" w:rsidRDefault="004D2656" w:rsidP="004D2656">
      <w:pPr>
        <w:rPr>
          <w:rFonts w:cs="Arial"/>
          <w:b/>
          <w:bCs/>
          <w:sz w:val="36"/>
          <w:szCs w:val="36"/>
        </w:rPr>
      </w:pPr>
      <w:r w:rsidRPr="0077507C">
        <w:rPr>
          <w:rFonts w:cs="Arial"/>
          <w:b/>
          <w:bCs/>
          <w:sz w:val="36"/>
          <w:szCs w:val="36"/>
        </w:rPr>
        <w:t>Module Code:</w:t>
      </w:r>
      <w:r w:rsidR="0077507C" w:rsidRPr="0077507C">
        <w:rPr>
          <w:rStyle w:val="Heading1Char"/>
          <w:rFonts w:cs="Arial"/>
          <w:color w:val="1D2125"/>
          <w:sz w:val="36"/>
          <w:szCs w:val="36"/>
          <w:shd w:val="clear" w:color="auto" w:fill="FFFFFF"/>
        </w:rPr>
        <w:t xml:space="preserve"> </w:t>
      </w:r>
      <w:r w:rsidR="0077507C" w:rsidRPr="0077507C">
        <w:rPr>
          <w:rStyle w:val="Strong"/>
          <w:rFonts w:cs="Arial"/>
          <w:color w:val="1D2125"/>
          <w:sz w:val="36"/>
          <w:szCs w:val="36"/>
          <w:shd w:val="clear" w:color="auto" w:fill="FFFFFF"/>
        </w:rPr>
        <w:t>BMHP6020-Independent Project</w:t>
      </w:r>
    </w:p>
    <w:p w14:paraId="00B1A747" w14:textId="569260BD" w:rsidR="004D2656" w:rsidRPr="0077507C" w:rsidRDefault="004D2656" w:rsidP="004D2656">
      <w:pPr>
        <w:rPr>
          <w:rFonts w:cs="Arial"/>
          <w:b/>
          <w:bCs/>
          <w:sz w:val="36"/>
          <w:szCs w:val="36"/>
        </w:rPr>
      </w:pPr>
      <w:r w:rsidRPr="0077507C">
        <w:rPr>
          <w:rFonts w:cs="Arial"/>
          <w:b/>
          <w:bCs/>
          <w:sz w:val="36"/>
          <w:szCs w:val="36"/>
        </w:rPr>
        <w:t>Supervisor:</w:t>
      </w:r>
      <w:r w:rsidR="0077507C" w:rsidRPr="0077507C">
        <w:rPr>
          <w:rFonts w:cs="Arial"/>
          <w:b/>
          <w:bCs/>
          <w:sz w:val="36"/>
          <w:szCs w:val="36"/>
        </w:rPr>
        <w:t xml:space="preserve"> </w:t>
      </w:r>
      <w:r w:rsidR="00291E15">
        <w:rPr>
          <w:rFonts w:cs="Arial"/>
          <w:b/>
          <w:bCs/>
          <w:sz w:val="36"/>
          <w:szCs w:val="36"/>
        </w:rPr>
        <w:t xml:space="preserve">Dra </w:t>
      </w:r>
      <w:r w:rsidR="0077507C" w:rsidRPr="0077507C">
        <w:rPr>
          <w:rFonts w:cs="Arial"/>
          <w:b/>
          <w:bCs/>
          <w:sz w:val="36"/>
          <w:szCs w:val="36"/>
        </w:rPr>
        <w:t>Caroline Salami</w:t>
      </w:r>
    </w:p>
    <w:p w14:paraId="5E2A7653" w14:textId="5AC7FDC3" w:rsidR="00D52BF4" w:rsidRPr="00F83C42" w:rsidRDefault="00D52BF4" w:rsidP="004D2656">
      <w:pPr>
        <w:rPr>
          <w:rFonts w:cs="Arial"/>
          <w:b/>
          <w:bCs/>
        </w:rPr>
      </w:pPr>
      <w:r w:rsidRPr="00F83C42">
        <w:rPr>
          <w:rFonts w:cs="Arial"/>
          <w:b/>
          <w:bCs/>
        </w:rPr>
        <w:br w:type="page"/>
      </w:r>
    </w:p>
    <w:bookmarkStart w:id="0" w:name="_Toc203422445" w:displacedByCustomXml="next"/>
    <w:sdt>
      <w:sdtPr>
        <w:rPr>
          <w:rFonts w:ascii="Arial" w:eastAsiaTheme="minorHAnsi" w:hAnsi="Arial" w:cstheme="minorBidi"/>
          <w:color w:val="auto"/>
          <w:kern w:val="2"/>
          <w:sz w:val="22"/>
          <w:szCs w:val="24"/>
        </w:rPr>
        <w:id w:val="1898475769"/>
        <w:docPartObj>
          <w:docPartGallery w:val="Table of Contents"/>
          <w:docPartUnique/>
        </w:docPartObj>
      </w:sdtPr>
      <w:sdtEndPr>
        <w:rPr>
          <w:b/>
          <w:bCs/>
          <w:noProof/>
        </w:rPr>
      </w:sdtEndPr>
      <w:sdtContent>
        <w:p w14:paraId="625AFB7F" w14:textId="16203C77" w:rsidR="00D85E8C" w:rsidRPr="00DB0FEF" w:rsidRDefault="00D85E8C" w:rsidP="009E11EA">
          <w:pPr>
            <w:pStyle w:val="TOCHeading"/>
          </w:pPr>
          <w:r w:rsidRPr="00DB0FEF">
            <w:t>Table of Contents</w:t>
          </w:r>
        </w:p>
        <w:p w14:paraId="767F661E" w14:textId="16D27591" w:rsidR="00056280" w:rsidRDefault="00D85E8C">
          <w:pPr>
            <w:pStyle w:val="TOC1"/>
            <w:tabs>
              <w:tab w:val="right" w:leader="dot" w:pos="9350"/>
            </w:tabs>
            <w:rPr>
              <w:rFonts w:asciiTheme="minorHAnsi" w:eastAsiaTheme="minorEastAsia" w:hAnsiTheme="minorHAnsi"/>
              <w:noProof/>
              <w:sz w:val="24"/>
              <w:lang w:val="en-US"/>
            </w:rPr>
          </w:pPr>
          <w:r>
            <w:fldChar w:fldCharType="begin"/>
          </w:r>
          <w:r>
            <w:instrText xml:space="preserve"> TOC \o "1-3" \h \z \u </w:instrText>
          </w:r>
          <w:r>
            <w:fldChar w:fldCharType="separate"/>
          </w:r>
          <w:hyperlink w:anchor="_Toc210700670" w:history="1">
            <w:r w:rsidR="00056280" w:rsidRPr="008E00C4">
              <w:rPr>
                <w:rStyle w:val="Hyperlink"/>
                <w:noProof/>
              </w:rPr>
              <w:t>Abstract</w:t>
            </w:r>
            <w:r w:rsidR="00056280">
              <w:rPr>
                <w:noProof/>
                <w:webHidden/>
              </w:rPr>
              <w:tab/>
            </w:r>
            <w:r w:rsidR="00056280">
              <w:rPr>
                <w:noProof/>
                <w:webHidden/>
              </w:rPr>
              <w:fldChar w:fldCharType="begin"/>
            </w:r>
            <w:r w:rsidR="00056280">
              <w:rPr>
                <w:noProof/>
                <w:webHidden/>
              </w:rPr>
              <w:instrText xml:space="preserve"> PAGEREF _Toc210700670 \h </w:instrText>
            </w:r>
            <w:r w:rsidR="00056280">
              <w:rPr>
                <w:noProof/>
                <w:webHidden/>
              </w:rPr>
            </w:r>
            <w:r w:rsidR="00056280">
              <w:rPr>
                <w:noProof/>
                <w:webHidden/>
              </w:rPr>
              <w:fldChar w:fldCharType="separate"/>
            </w:r>
            <w:r w:rsidR="00056280">
              <w:rPr>
                <w:noProof/>
                <w:webHidden/>
              </w:rPr>
              <w:t>5</w:t>
            </w:r>
            <w:r w:rsidR="00056280">
              <w:rPr>
                <w:noProof/>
                <w:webHidden/>
              </w:rPr>
              <w:fldChar w:fldCharType="end"/>
            </w:r>
          </w:hyperlink>
        </w:p>
        <w:p w14:paraId="107D8191" w14:textId="283CEBB7" w:rsidR="00056280" w:rsidRDefault="008A4496">
          <w:pPr>
            <w:pStyle w:val="TOC1"/>
            <w:tabs>
              <w:tab w:val="left" w:pos="440"/>
              <w:tab w:val="right" w:leader="dot" w:pos="9350"/>
            </w:tabs>
            <w:rPr>
              <w:rFonts w:asciiTheme="minorHAnsi" w:eastAsiaTheme="minorEastAsia" w:hAnsiTheme="minorHAnsi"/>
              <w:noProof/>
              <w:sz w:val="24"/>
              <w:lang w:val="en-US"/>
            </w:rPr>
          </w:pPr>
          <w:hyperlink w:anchor="_Toc210700671" w:history="1">
            <w:r w:rsidR="00056280" w:rsidRPr="008E00C4">
              <w:rPr>
                <w:rStyle w:val="Hyperlink"/>
                <w:noProof/>
              </w:rPr>
              <w:t>1.</w:t>
            </w:r>
            <w:r w:rsidR="00056280">
              <w:rPr>
                <w:rFonts w:asciiTheme="minorHAnsi" w:eastAsiaTheme="minorEastAsia" w:hAnsiTheme="minorHAnsi"/>
                <w:noProof/>
                <w:sz w:val="24"/>
                <w:lang w:val="en-US"/>
              </w:rPr>
              <w:tab/>
            </w:r>
            <w:r w:rsidR="00056280" w:rsidRPr="008E00C4">
              <w:rPr>
                <w:rStyle w:val="Hyperlink"/>
                <w:noProof/>
              </w:rPr>
              <w:t>CHAPTER ONE: INTRODUCTION</w:t>
            </w:r>
            <w:r w:rsidR="00056280">
              <w:rPr>
                <w:noProof/>
                <w:webHidden/>
              </w:rPr>
              <w:tab/>
            </w:r>
            <w:r w:rsidR="00056280">
              <w:rPr>
                <w:noProof/>
                <w:webHidden/>
              </w:rPr>
              <w:fldChar w:fldCharType="begin"/>
            </w:r>
            <w:r w:rsidR="00056280">
              <w:rPr>
                <w:noProof/>
                <w:webHidden/>
              </w:rPr>
              <w:instrText xml:space="preserve"> PAGEREF _Toc210700671 \h </w:instrText>
            </w:r>
            <w:r w:rsidR="00056280">
              <w:rPr>
                <w:noProof/>
                <w:webHidden/>
              </w:rPr>
            </w:r>
            <w:r w:rsidR="00056280">
              <w:rPr>
                <w:noProof/>
                <w:webHidden/>
              </w:rPr>
              <w:fldChar w:fldCharType="separate"/>
            </w:r>
            <w:r w:rsidR="00056280">
              <w:rPr>
                <w:noProof/>
                <w:webHidden/>
              </w:rPr>
              <w:t>6</w:t>
            </w:r>
            <w:r w:rsidR="00056280">
              <w:rPr>
                <w:noProof/>
                <w:webHidden/>
              </w:rPr>
              <w:fldChar w:fldCharType="end"/>
            </w:r>
          </w:hyperlink>
        </w:p>
        <w:p w14:paraId="39E0441C" w14:textId="55A9580B"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2" w:history="1">
            <w:r w:rsidR="00056280" w:rsidRPr="008E00C4">
              <w:rPr>
                <w:rStyle w:val="Hyperlink"/>
                <w:rFonts w:cs="Arial"/>
                <w:noProof/>
              </w:rPr>
              <w:t>1.1</w:t>
            </w:r>
            <w:r w:rsidR="00056280">
              <w:rPr>
                <w:rFonts w:asciiTheme="minorHAnsi" w:eastAsiaTheme="minorEastAsia" w:hAnsiTheme="minorHAnsi"/>
                <w:noProof/>
                <w:sz w:val="24"/>
                <w:lang w:val="en-US"/>
              </w:rPr>
              <w:tab/>
            </w:r>
            <w:r w:rsidR="00056280" w:rsidRPr="008E00C4">
              <w:rPr>
                <w:rStyle w:val="Hyperlink"/>
                <w:rFonts w:cs="Arial"/>
                <w:noProof/>
              </w:rPr>
              <w:t>Background and Rationale</w:t>
            </w:r>
            <w:r w:rsidR="00056280">
              <w:rPr>
                <w:noProof/>
                <w:webHidden/>
              </w:rPr>
              <w:tab/>
            </w:r>
            <w:r w:rsidR="00056280">
              <w:rPr>
                <w:noProof/>
                <w:webHidden/>
              </w:rPr>
              <w:fldChar w:fldCharType="begin"/>
            </w:r>
            <w:r w:rsidR="00056280">
              <w:rPr>
                <w:noProof/>
                <w:webHidden/>
              </w:rPr>
              <w:instrText xml:space="preserve"> PAGEREF _Toc210700672 \h </w:instrText>
            </w:r>
            <w:r w:rsidR="00056280">
              <w:rPr>
                <w:noProof/>
                <w:webHidden/>
              </w:rPr>
            </w:r>
            <w:r w:rsidR="00056280">
              <w:rPr>
                <w:noProof/>
                <w:webHidden/>
              </w:rPr>
              <w:fldChar w:fldCharType="separate"/>
            </w:r>
            <w:r w:rsidR="00056280">
              <w:rPr>
                <w:noProof/>
                <w:webHidden/>
              </w:rPr>
              <w:t>6</w:t>
            </w:r>
            <w:r w:rsidR="00056280">
              <w:rPr>
                <w:noProof/>
                <w:webHidden/>
              </w:rPr>
              <w:fldChar w:fldCharType="end"/>
            </w:r>
          </w:hyperlink>
        </w:p>
        <w:p w14:paraId="6BA1B4FE" w14:textId="074FF1E0"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3" w:history="1">
            <w:r w:rsidR="00056280" w:rsidRPr="008E00C4">
              <w:rPr>
                <w:rStyle w:val="Hyperlink"/>
                <w:rFonts w:cs="Arial"/>
                <w:noProof/>
              </w:rPr>
              <w:t>1.2</w:t>
            </w:r>
            <w:r w:rsidR="00056280">
              <w:rPr>
                <w:rFonts w:asciiTheme="minorHAnsi" w:eastAsiaTheme="minorEastAsia" w:hAnsiTheme="minorHAnsi"/>
                <w:noProof/>
                <w:sz w:val="24"/>
                <w:lang w:val="en-US"/>
              </w:rPr>
              <w:tab/>
            </w:r>
            <w:r w:rsidR="00056280" w:rsidRPr="008E00C4">
              <w:rPr>
                <w:rStyle w:val="Hyperlink"/>
                <w:rFonts w:cs="Arial"/>
                <w:noProof/>
              </w:rPr>
              <w:t>Problem Statement</w:t>
            </w:r>
            <w:r w:rsidR="00056280">
              <w:rPr>
                <w:noProof/>
                <w:webHidden/>
              </w:rPr>
              <w:tab/>
            </w:r>
            <w:r w:rsidR="00056280">
              <w:rPr>
                <w:noProof/>
                <w:webHidden/>
              </w:rPr>
              <w:fldChar w:fldCharType="begin"/>
            </w:r>
            <w:r w:rsidR="00056280">
              <w:rPr>
                <w:noProof/>
                <w:webHidden/>
              </w:rPr>
              <w:instrText xml:space="preserve"> PAGEREF _Toc210700673 \h </w:instrText>
            </w:r>
            <w:r w:rsidR="00056280">
              <w:rPr>
                <w:noProof/>
                <w:webHidden/>
              </w:rPr>
            </w:r>
            <w:r w:rsidR="00056280">
              <w:rPr>
                <w:noProof/>
                <w:webHidden/>
              </w:rPr>
              <w:fldChar w:fldCharType="separate"/>
            </w:r>
            <w:r w:rsidR="00056280">
              <w:rPr>
                <w:noProof/>
                <w:webHidden/>
              </w:rPr>
              <w:t>7</w:t>
            </w:r>
            <w:r w:rsidR="00056280">
              <w:rPr>
                <w:noProof/>
                <w:webHidden/>
              </w:rPr>
              <w:fldChar w:fldCharType="end"/>
            </w:r>
          </w:hyperlink>
        </w:p>
        <w:p w14:paraId="35A977C6" w14:textId="684A2672"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4" w:history="1">
            <w:r w:rsidR="00056280" w:rsidRPr="008E00C4">
              <w:rPr>
                <w:rStyle w:val="Hyperlink"/>
                <w:rFonts w:cs="Arial"/>
                <w:noProof/>
              </w:rPr>
              <w:t>1.3</w:t>
            </w:r>
            <w:r w:rsidR="00056280">
              <w:rPr>
                <w:rFonts w:asciiTheme="minorHAnsi" w:eastAsiaTheme="minorEastAsia" w:hAnsiTheme="minorHAnsi"/>
                <w:noProof/>
                <w:sz w:val="24"/>
                <w:lang w:val="en-US"/>
              </w:rPr>
              <w:tab/>
            </w:r>
            <w:r w:rsidR="00056280" w:rsidRPr="008E00C4">
              <w:rPr>
                <w:rStyle w:val="Hyperlink"/>
                <w:rFonts w:cs="Arial"/>
                <w:bCs/>
                <w:noProof/>
              </w:rPr>
              <w:t>Aim and Objectives</w:t>
            </w:r>
            <w:r w:rsidR="00056280">
              <w:rPr>
                <w:noProof/>
                <w:webHidden/>
              </w:rPr>
              <w:tab/>
            </w:r>
            <w:r w:rsidR="00056280">
              <w:rPr>
                <w:noProof/>
                <w:webHidden/>
              </w:rPr>
              <w:fldChar w:fldCharType="begin"/>
            </w:r>
            <w:r w:rsidR="00056280">
              <w:rPr>
                <w:noProof/>
                <w:webHidden/>
              </w:rPr>
              <w:instrText xml:space="preserve"> PAGEREF _Toc210700674 \h </w:instrText>
            </w:r>
            <w:r w:rsidR="00056280">
              <w:rPr>
                <w:noProof/>
                <w:webHidden/>
              </w:rPr>
            </w:r>
            <w:r w:rsidR="00056280">
              <w:rPr>
                <w:noProof/>
                <w:webHidden/>
              </w:rPr>
              <w:fldChar w:fldCharType="separate"/>
            </w:r>
            <w:r w:rsidR="00056280">
              <w:rPr>
                <w:noProof/>
                <w:webHidden/>
              </w:rPr>
              <w:t>8</w:t>
            </w:r>
            <w:r w:rsidR="00056280">
              <w:rPr>
                <w:noProof/>
                <w:webHidden/>
              </w:rPr>
              <w:fldChar w:fldCharType="end"/>
            </w:r>
          </w:hyperlink>
        </w:p>
        <w:p w14:paraId="4164B861" w14:textId="64E6680B"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5" w:history="1">
            <w:r w:rsidR="00056280" w:rsidRPr="008E00C4">
              <w:rPr>
                <w:rStyle w:val="Hyperlink"/>
                <w:noProof/>
              </w:rPr>
              <w:t>1.4</w:t>
            </w:r>
            <w:r w:rsidR="00056280">
              <w:rPr>
                <w:rFonts w:asciiTheme="minorHAnsi" w:eastAsiaTheme="minorEastAsia" w:hAnsiTheme="minorHAnsi"/>
                <w:noProof/>
                <w:sz w:val="24"/>
                <w:lang w:val="en-US"/>
              </w:rPr>
              <w:tab/>
            </w:r>
            <w:r w:rsidR="00056280" w:rsidRPr="008E00C4">
              <w:rPr>
                <w:rStyle w:val="Hyperlink"/>
                <w:noProof/>
              </w:rPr>
              <w:t>Significance of the Study</w:t>
            </w:r>
            <w:r w:rsidR="00056280">
              <w:rPr>
                <w:noProof/>
                <w:webHidden/>
              </w:rPr>
              <w:tab/>
            </w:r>
            <w:r w:rsidR="00056280">
              <w:rPr>
                <w:noProof/>
                <w:webHidden/>
              </w:rPr>
              <w:fldChar w:fldCharType="begin"/>
            </w:r>
            <w:r w:rsidR="00056280">
              <w:rPr>
                <w:noProof/>
                <w:webHidden/>
              </w:rPr>
              <w:instrText xml:space="preserve"> PAGEREF _Toc210700675 \h </w:instrText>
            </w:r>
            <w:r w:rsidR="00056280">
              <w:rPr>
                <w:noProof/>
                <w:webHidden/>
              </w:rPr>
            </w:r>
            <w:r w:rsidR="00056280">
              <w:rPr>
                <w:noProof/>
                <w:webHidden/>
              </w:rPr>
              <w:fldChar w:fldCharType="separate"/>
            </w:r>
            <w:r w:rsidR="00056280">
              <w:rPr>
                <w:noProof/>
                <w:webHidden/>
              </w:rPr>
              <w:t>9</w:t>
            </w:r>
            <w:r w:rsidR="00056280">
              <w:rPr>
                <w:noProof/>
                <w:webHidden/>
              </w:rPr>
              <w:fldChar w:fldCharType="end"/>
            </w:r>
          </w:hyperlink>
        </w:p>
        <w:p w14:paraId="500225B9" w14:textId="07477160"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6" w:history="1">
            <w:r w:rsidR="00056280" w:rsidRPr="008E00C4">
              <w:rPr>
                <w:rStyle w:val="Hyperlink"/>
                <w:rFonts w:cs="Arial"/>
                <w:noProof/>
              </w:rPr>
              <w:t>1.5</w:t>
            </w:r>
            <w:r w:rsidR="00056280">
              <w:rPr>
                <w:rFonts w:asciiTheme="minorHAnsi" w:eastAsiaTheme="minorEastAsia" w:hAnsiTheme="minorHAnsi"/>
                <w:noProof/>
                <w:sz w:val="24"/>
                <w:lang w:val="en-US"/>
              </w:rPr>
              <w:tab/>
            </w:r>
            <w:r w:rsidR="00056280" w:rsidRPr="008E00C4">
              <w:rPr>
                <w:rStyle w:val="Hyperlink"/>
                <w:rFonts w:cs="Arial"/>
                <w:bCs/>
                <w:noProof/>
              </w:rPr>
              <w:t>Scope and Delimitations</w:t>
            </w:r>
            <w:r w:rsidR="00056280">
              <w:rPr>
                <w:noProof/>
                <w:webHidden/>
              </w:rPr>
              <w:tab/>
            </w:r>
            <w:r w:rsidR="00056280">
              <w:rPr>
                <w:noProof/>
                <w:webHidden/>
              </w:rPr>
              <w:fldChar w:fldCharType="begin"/>
            </w:r>
            <w:r w:rsidR="00056280">
              <w:rPr>
                <w:noProof/>
                <w:webHidden/>
              </w:rPr>
              <w:instrText xml:space="preserve"> PAGEREF _Toc210700676 \h </w:instrText>
            </w:r>
            <w:r w:rsidR="00056280">
              <w:rPr>
                <w:noProof/>
                <w:webHidden/>
              </w:rPr>
            </w:r>
            <w:r w:rsidR="00056280">
              <w:rPr>
                <w:noProof/>
                <w:webHidden/>
              </w:rPr>
              <w:fldChar w:fldCharType="separate"/>
            </w:r>
            <w:r w:rsidR="00056280">
              <w:rPr>
                <w:noProof/>
                <w:webHidden/>
              </w:rPr>
              <w:t>9</w:t>
            </w:r>
            <w:r w:rsidR="00056280">
              <w:rPr>
                <w:noProof/>
                <w:webHidden/>
              </w:rPr>
              <w:fldChar w:fldCharType="end"/>
            </w:r>
          </w:hyperlink>
        </w:p>
        <w:p w14:paraId="7D6E04CB" w14:textId="3F63723A" w:rsidR="00056280" w:rsidRDefault="008A4496">
          <w:pPr>
            <w:pStyle w:val="TOC1"/>
            <w:tabs>
              <w:tab w:val="left" w:pos="440"/>
              <w:tab w:val="right" w:leader="dot" w:pos="9350"/>
            </w:tabs>
            <w:rPr>
              <w:rFonts w:asciiTheme="minorHAnsi" w:eastAsiaTheme="minorEastAsia" w:hAnsiTheme="minorHAnsi"/>
              <w:noProof/>
              <w:sz w:val="24"/>
              <w:lang w:val="en-US"/>
            </w:rPr>
          </w:pPr>
          <w:hyperlink w:anchor="_Toc210700677" w:history="1">
            <w:r w:rsidR="00056280" w:rsidRPr="008E00C4">
              <w:rPr>
                <w:rStyle w:val="Hyperlink"/>
                <w:noProof/>
              </w:rPr>
              <w:t>2.</w:t>
            </w:r>
            <w:r w:rsidR="00056280">
              <w:rPr>
                <w:rFonts w:asciiTheme="minorHAnsi" w:eastAsiaTheme="minorEastAsia" w:hAnsiTheme="minorHAnsi"/>
                <w:noProof/>
                <w:sz w:val="24"/>
                <w:lang w:val="en-US"/>
              </w:rPr>
              <w:tab/>
            </w:r>
            <w:r w:rsidR="00056280" w:rsidRPr="008E00C4">
              <w:rPr>
                <w:rStyle w:val="Hyperlink"/>
                <w:noProof/>
              </w:rPr>
              <w:t>CHAPTER TWO: LITERATURE REVIEW</w:t>
            </w:r>
            <w:r w:rsidR="00056280">
              <w:rPr>
                <w:noProof/>
                <w:webHidden/>
              </w:rPr>
              <w:tab/>
            </w:r>
            <w:r w:rsidR="00056280">
              <w:rPr>
                <w:noProof/>
                <w:webHidden/>
              </w:rPr>
              <w:fldChar w:fldCharType="begin"/>
            </w:r>
            <w:r w:rsidR="00056280">
              <w:rPr>
                <w:noProof/>
                <w:webHidden/>
              </w:rPr>
              <w:instrText xml:space="preserve"> PAGEREF _Toc210700677 \h </w:instrText>
            </w:r>
            <w:r w:rsidR="00056280">
              <w:rPr>
                <w:noProof/>
                <w:webHidden/>
              </w:rPr>
            </w:r>
            <w:r w:rsidR="00056280">
              <w:rPr>
                <w:noProof/>
                <w:webHidden/>
              </w:rPr>
              <w:fldChar w:fldCharType="separate"/>
            </w:r>
            <w:r w:rsidR="00056280">
              <w:rPr>
                <w:noProof/>
                <w:webHidden/>
              </w:rPr>
              <w:t>10</w:t>
            </w:r>
            <w:r w:rsidR="00056280">
              <w:rPr>
                <w:noProof/>
                <w:webHidden/>
              </w:rPr>
              <w:fldChar w:fldCharType="end"/>
            </w:r>
          </w:hyperlink>
        </w:p>
        <w:p w14:paraId="00BAD0BE" w14:textId="63419A5E"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8" w:history="1">
            <w:r w:rsidR="00056280" w:rsidRPr="008E00C4">
              <w:rPr>
                <w:rStyle w:val="Hyperlink"/>
                <w:noProof/>
              </w:rPr>
              <w:t>2.1</w:t>
            </w:r>
            <w:r w:rsidR="00056280">
              <w:rPr>
                <w:rFonts w:asciiTheme="minorHAnsi" w:eastAsiaTheme="minorEastAsia" w:hAnsiTheme="minorHAnsi"/>
                <w:noProof/>
                <w:sz w:val="24"/>
                <w:lang w:val="en-US"/>
              </w:rPr>
              <w:tab/>
            </w:r>
            <w:r w:rsidR="00056280" w:rsidRPr="008E00C4">
              <w:rPr>
                <w:rStyle w:val="Hyperlink"/>
                <w:noProof/>
              </w:rPr>
              <w:t>Introduction</w:t>
            </w:r>
            <w:r w:rsidR="00056280">
              <w:rPr>
                <w:noProof/>
                <w:webHidden/>
              </w:rPr>
              <w:tab/>
            </w:r>
            <w:r w:rsidR="00056280">
              <w:rPr>
                <w:noProof/>
                <w:webHidden/>
              </w:rPr>
              <w:fldChar w:fldCharType="begin"/>
            </w:r>
            <w:r w:rsidR="00056280">
              <w:rPr>
                <w:noProof/>
                <w:webHidden/>
              </w:rPr>
              <w:instrText xml:space="preserve"> PAGEREF _Toc210700678 \h </w:instrText>
            </w:r>
            <w:r w:rsidR="00056280">
              <w:rPr>
                <w:noProof/>
                <w:webHidden/>
              </w:rPr>
            </w:r>
            <w:r w:rsidR="00056280">
              <w:rPr>
                <w:noProof/>
                <w:webHidden/>
              </w:rPr>
              <w:fldChar w:fldCharType="separate"/>
            </w:r>
            <w:r w:rsidR="00056280">
              <w:rPr>
                <w:noProof/>
                <w:webHidden/>
              </w:rPr>
              <w:t>10</w:t>
            </w:r>
            <w:r w:rsidR="00056280">
              <w:rPr>
                <w:noProof/>
                <w:webHidden/>
              </w:rPr>
              <w:fldChar w:fldCharType="end"/>
            </w:r>
          </w:hyperlink>
        </w:p>
        <w:p w14:paraId="19E6B934" w14:textId="36EE757B"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79" w:history="1">
            <w:r w:rsidR="00056280" w:rsidRPr="008E00C4">
              <w:rPr>
                <w:rStyle w:val="Hyperlink"/>
                <w:noProof/>
              </w:rPr>
              <w:t>2.2</w:t>
            </w:r>
            <w:r w:rsidR="00056280">
              <w:rPr>
                <w:rFonts w:asciiTheme="minorHAnsi" w:eastAsiaTheme="minorEastAsia" w:hAnsiTheme="minorHAnsi"/>
                <w:noProof/>
                <w:sz w:val="24"/>
                <w:lang w:val="en-US"/>
              </w:rPr>
              <w:tab/>
            </w:r>
            <w:r w:rsidR="00056280" w:rsidRPr="008E00C4">
              <w:rPr>
                <w:rStyle w:val="Hyperlink"/>
                <w:noProof/>
              </w:rPr>
              <w:t>Significance of the Topic</w:t>
            </w:r>
            <w:r w:rsidR="00056280">
              <w:rPr>
                <w:noProof/>
                <w:webHidden/>
              </w:rPr>
              <w:tab/>
            </w:r>
            <w:r w:rsidR="00056280">
              <w:rPr>
                <w:noProof/>
                <w:webHidden/>
              </w:rPr>
              <w:fldChar w:fldCharType="begin"/>
            </w:r>
            <w:r w:rsidR="00056280">
              <w:rPr>
                <w:noProof/>
                <w:webHidden/>
              </w:rPr>
              <w:instrText xml:space="preserve"> PAGEREF _Toc210700679 \h </w:instrText>
            </w:r>
            <w:r w:rsidR="00056280">
              <w:rPr>
                <w:noProof/>
                <w:webHidden/>
              </w:rPr>
            </w:r>
            <w:r w:rsidR="00056280">
              <w:rPr>
                <w:noProof/>
                <w:webHidden/>
              </w:rPr>
              <w:fldChar w:fldCharType="separate"/>
            </w:r>
            <w:r w:rsidR="00056280">
              <w:rPr>
                <w:noProof/>
                <w:webHidden/>
              </w:rPr>
              <w:t>10</w:t>
            </w:r>
            <w:r w:rsidR="00056280">
              <w:rPr>
                <w:noProof/>
                <w:webHidden/>
              </w:rPr>
              <w:fldChar w:fldCharType="end"/>
            </w:r>
          </w:hyperlink>
        </w:p>
        <w:p w14:paraId="435BD1DD" w14:textId="0F64D269"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80" w:history="1">
            <w:r w:rsidR="00056280" w:rsidRPr="008E00C4">
              <w:rPr>
                <w:rStyle w:val="Hyperlink"/>
                <w:noProof/>
              </w:rPr>
              <w:t>2.3</w:t>
            </w:r>
            <w:r w:rsidR="00056280">
              <w:rPr>
                <w:rFonts w:asciiTheme="minorHAnsi" w:eastAsiaTheme="minorEastAsia" w:hAnsiTheme="minorHAnsi"/>
                <w:noProof/>
                <w:sz w:val="24"/>
                <w:lang w:val="en-US"/>
              </w:rPr>
              <w:tab/>
            </w:r>
            <w:r w:rsidR="00056280" w:rsidRPr="008E00C4">
              <w:rPr>
                <w:rStyle w:val="Hyperlink"/>
                <w:noProof/>
              </w:rPr>
              <w:t>Social Determinants of Health</w:t>
            </w:r>
            <w:r w:rsidR="00056280">
              <w:rPr>
                <w:noProof/>
                <w:webHidden/>
              </w:rPr>
              <w:tab/>
            </w:r>
            <w:r w:rsidR="00056280">
              <w:rPr>
                <w:noProof/>
                <w:webHidden/>
              </w:rPr>
              <w:fldChar w:fldCharType="begin"/>
            </w:r>
            <w:r w:rsidR="00056280">
              <w:rPr>
                <w:noProof/>
                <w:webHidden/>
              </w:rPr>
              <w:instrText xml:space="preserve"> PAGEREF _Toc210700680 \h </w:instrText>
            </w:r>
            <w:r w:rsidR="00056280">
              <w:rPr>
                <w:noProof/>
                <w:webHidden/>
              </w:rPr>
            </w:r>
            <w:r w:rsidR="00056280">
              <w:rPr>
                <w:noProof/>
                <w:webHidden/>
              </w:rPr>
              <w:fldChar w:fldCharType="separate"/>
            </w:r>
            <w:r w:rsidR="00056280">
              <w:rPr>
                <w:noProof/>
                <w:webHidden/>
              </w:rPr>
              <w:t>11</w:t>
            </w:r>
            <w:r w:rsidR="00056280">
              <w:rPr>
                <w:noProof/>
                <w:webHidden/>
              </w:rPr>
              <w:fldChar w:fldCharType="end"/>
            </w:r>
          </w:hyperlink>
        </w:p>
        <w:p w14:paraId="348EE5B0" w14:textId="629E3DFB"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1" w:history="1">
            <w:r w:rsidR="00056280" w:rsidRPr="008E00C4">
              <w:rPr>
                <w:rStyle w:val="Hyperlink"/>
                <w:rFonts w:cs="Arial"/>
                <w:noProof/>
              </w:rPr>
              <w:t>2.3.1</w:t>
            </w:r>
            <w:r w:rsidR="00056280">
              <w:rPr>
                <w:rFonts w:asciiTheme="minorHAnsi" w:eastAsiaTheme="minorEastAsia" w:hAnsiTheme="minorHAnsi"/>
                <w:noProof/>
                <w:sz w:val="24"/>
                <w:lang w:val="en-US"/>
              </w:rPr>
              <w:tab/>
            </w:r>
            <w:r w:rsidR="00056280" w:rsidRPr="008E00C4">
              <w:rPr>
                <w:rStyle w:val="Hyperlink"/>
                <w:rFonts w:cs="Arial"/>
                <w:noProof/>
              </w:rPr>
              <w:t>Income</w:t>
            </w:r>
            <w:r w:rsidR="00056280">
              <w:rPr>
                <w:noProof/>
                <w:webHidden/>
              </w:rPr>
              <w:tab/>
            </w:r>
            <w:r w:rsidR="00056280">
              <w:rPr>
                <w:noProof/>
                <w:webHidden/>
              </w:rPr>
              <w:fldChar w:fldCharType="begin"/>
            </w:r>
            <w:r w:rsidR="00056280">
              <w:rPr>
                <w:noProof/>
                <w:webHidden/>
              </w:rPr>
              <w:instrText xml:space="preserve"> PAGEREF _Toc210700681 \h </w:instrText>
            </w:r>
            <w:r w:rsidR="00056280">
              <w:rPr>
                <w:noProof/>
                <w:webHidden/>
              </w:rPr>
            </w:r>
            <w:r w:rsidR="00056280">
              <w:rPr>
                <w:noProof/>
                <w:webHidden/>
              </w:rPr>
              <w:fldChar w:fldCharType="separate"/>
            </w:r>
            <w:r w:rsidR="00056280">
              <w:rPr>
                <w:noProof/>
                <w:webHidden/>
              </w:rPr>
              <w:t>11</w:t>
            </w:r>
            <w:r w:rsidR="00056280">
              <w:rPr>
                <w:noProof/>
                <w:webHidden/>
              </w:rPr>
              <w:fldChar w:fldCharType="end"/>
            </w:r>
          </w:hyperlink>
        </w:p>
        <w:p w14:paraId="690E5D5D" w14:textId="405F0051"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2" w:history="1">
            <w:r w:rsidR="00056280" w:rsidRPr="008E00C4">
              <w:rPr>
                <w:rStyle w:val="Hyperlink"/>
                <w:rFonts w:cs="Arial"/>
                <w:noProof/>
              </w:rPr>
              <w:t>2.3.2</w:t>
            </w:r>
            <w:r w:rsidR="00056280">
              <w:rPr>
                <w:rFonts w:asciiTheme="minorHAnsi" w:eastAsiaTheme="minorEastAsia" w:hAnsiTheme="minorHAnsi"/>
                <w:noProof/>
                <w:sz w:val="24"/>
                <w:lang w:val="en-US"/>
              </w:rPr>
              <w:tab/>
            </w:r>
            <w:r w:rsidR="00056280" w:rsidRPr="008E00C4">
              <w:rPr>
                <w:rStyle w:val="Hyperlink"/>
                <w:rFonts w:cs="Arial"/>
                <w:noProof/>
              </w:rPr>
              <w:t>Education</w:t>
            </w:r>
            <w:r w:rsidR="00056280">
              <w:rPr>
                <w:noProof/>
                <w:webHidden/>
              </w:rPr>
              <w:tab/>
            </w:r>
            <w:r w:rsidR="00056280">
              <w:rPr>
                <w:noProof/>
                <w:webHidden/>
              </w:rPr>
              <w:fldChar w:fldCharType="begin"/>
            </w:r>
            <w:r w:rsidR="00056280">
              <w:rPr>
                <w:noProof/>
                <w:webHidden/>
              </w:rPr>
              <w:instrText xml:space="preserve"> PAGEREF _Toc210700682 \h </w:instrText>
            </w:r>
            <w:r w:rsidR="00056280">
              <w:rPr>
                <w:noProof/>
                <w:webHidden/>
              </w:rPr>
            </w:r>
            <w:r w:rsidR="00056280">
              <w:rPr>
                <w:noProof/>
                <w:webHidden/>
              </w:rPr>
              <w:fldChar w:fldCharType="separate"/>
            </w:r>
            <w:r w:rsidR="00056280">
              <w:rPr>
                <w:noProof/>
                <w:webHidden/>
              </w:rPr>
              <w:t>11</w:t>
            </w:r>
            <w:r w:rsidR="00056280">
              <w:rPr>
                <w:noProof/>
                <w:webHidden/>
              </w:rPr>
              <w:fldChar w:fldCharType="end"/>
            </w:r>
          </w:hyperlink>
        </w:p>
        <w:p w14:paraId="67209D1D" w14:textId="5314109F"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3" w:history="1">
            <w:r w:rsidR="00056280" w:rsidRPr="008E00C4">
              <w:rPr>
                <w:rStyle w:val="Hyperlink"/>
                <w:noProof/>
              </w:rPr>
              <w:t>2.3.3</w:t>
            </w:r>
            <w:r w:rsidR="00056280">
              <w:rPr>
                <w:rFonts w:asciiTheme="minorHAnsi" w:eastAsiaTheme="minorEastAsia" w:hAnsiTheme="minorHAnsi"/>
                <w:noProof/>
                <w:sz w:val="24"/>
                <w:lang w:val="en-US"/>
              </w:rPr>
              <w:tab/>
            </w:r>
            <w:r w:rsidR="00056280" w:rsidRPr="008E00C4">
              <w:rPr>
                <w:rStyle w:val="Hyperlink"/>
                <w:noProof/>
              </w:rPr>
              <w:t>Job and Job Conditions</w:t>
            </w:r>
            <w:r w:rsidR="00056280">
              <w:rPr>
                <w:noProof/>
                <w:webHidden/>
              </w:rPr>
              <w:tab/>
            </w:r>
            <w:r w:rsidR="00056280">
              <w:rPr>
                <w:noProof/>
                <w:webHidden/>
              </w:rPr>
              <w:fldChar w:fldCharType="begin"/>
            </w:r>
            <w:r w:rsidR="00056280">
              <w:rPr>
                <w:noProof/>
                <w:webHidden/>
              </w:rPr>
              <w:instrText xml:space="preserve"> PAGEREF _Toc210700683 \h </w:instrText>
            </w:r>
            <w:r w:rsidR="00056280">
              <w:rPr>
                <w:noProof/>
                <w:webHidden/>
              </w:rPr>
            </w:r>
            <w:r w:rsidR="00056280">
              <w:rPr>
                <w:noProof/>
                <w:webHidden/>
              </w:rPr>
              <w:fldChar w:fldCharType="separate"/>
            </w:r>
            <w:r w:rsidR="00056280">
              <w:rPr>
                <w:noProof/>
                <w:webHidden/>
              </w:rPr>
              <w:t>11</w:t>
            </w:r>
            <w:r w:rsidR="00056280">
              <w:rPr>
                <w:noProof/>
                <w:webHidden/>
              </w:rPr>
              <w:fldChar w:fldCharType="end"/>
            </w:r>
          </w:hyperlink>
        </w:p>
        <w:p w14:paraId="693843B0" w14:textId="63481388"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4" w:history="1">
            <w:r w:rsidR="00056280" w:rsidRPr="008E00C4">
              <w:rPr>
                <w:rStyle w:val="Hyperlink"/>
                <w:noProof/>
              </w:rPr>
              <w:t>2.3.4</w:t>
            </w:r>
            <w:r w:rsidR="00056280">
              <w:rPr>
                <w:rFonts w:asciiTheme="minorHAnsi" w:eastAsiaTheme="minorEastAsia" w:hAnsiTheme="minorHAnsi"/>
                <w:noProof/>
                <w:sz w:val="24"/>
                <w:lang w:val="en-US"/>
              </w:rPr>
              <w:tab/>
            </w:r>
            <w:r w:rsidR="00056280" w:rsidRPr="008E00C4">
              <w:rPr>
                <w:rStyle w:val="Hyperlink"/>
                <w:noProof/>
              </w:rPr>
              <w:t>Housing</w:t>
            </w:r>
            <w:r w:rsidR="00056280">
              <w:rPr>
                <w:noProof/>
                <w:webHidden/>
              </w:rPr>
              <w:tab/>
            </w:r>
            <w:r w:rsidR="00056280">
              <w:rPr>
                <w:noProof/>
                <w:webHidden/>
              </w:rPr>
              <w:fldChar w:fldCharType="begin"/>
            </w:r>
            <w:r w:rsidR="00056280">
              <w:rPr>
                <w:noProof/>
                <w:webHidden/>
              </w:rPr>
              <w:instrText xml:space="preserve"> PAGEREF _Toc210700684 \h </w:instrText>
            </w:r>
            <w:r w:rsidR="00056280">
              <w:rPr>
                <w:noProof/>
                <w:webHidden/>
              </w:rPr>
            </w:r>
            <w:r w:rsidR="00056280">
              <w:rPr>
                <w:noProof/>
                <w:webHidden/>
              </w:rPr>
              <w:fldChar w:fldCharType="separate"/>
            </w:r>
            <w:r w:rsidR="00056280">
              <w:rPr>
                <w:noProof/>
                <w:webHidden/>
              </w:rPr>
              <w:t>12</w:t>
            </w:r>
            <w:r w:rsidR="00056280">
              <w:rPr>
                <w:noProof/>
                <w:webHidden/>
              </w:rPr>
              <w:fldChar w:fldCharType="end"/>
            </w:r>
          </w:hyperlink>
        </w:p>
        <w:p w14:paraId="2E89B531" w14:textId="3BF017E7"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5" w:history="1">
            <w:r w:rsidR="00056280" w:rsidRPr="008E00C4">
              <w:rPr>
                <w:rStyle w:val="Hyperlink"/>
                <w:noProof/>
              </w:rPr>
              <w:t>2.3.5</w:t>
            </w:r>
            <w:r w:rsidR="00056280">
              <w:rPr>
                <w:rFonts w:asciiTheme="minorHAnsi" w:eastAsiaTheme="minorEastAsia" w:hAnsiTheme="minorHAnsi"/>
                <w:noProof/>
                <w:sz w:val="24"/>
                <w:lang w:val="en-US"/>
              </w:rPr>
              <w:tab/>
            </w:r>
            <w:r w:rsidR="00056280" w:rsidRPr="008E00C4">
              <w:rPr>
                <w:rStyle w:val="Hyperlink"/>
                <w:noProof/>
              </w:rPr>
              <w:t>Cross-Social Determination</w:t>
            </w:r>
            <w:r w:rsidR="00056280">
              <w:rPr>
                <w:noProof/>
                <w:webHidden/>
              </w:rPr>
              <w:tab/>
            </w:r>
            <w:r w:rsidR="00056280">
              <w:rPr>
                <w:noProof/>
                <w:webHidden/>
              </w:rPr>
              <w:fldChar w:fldCharType="begin"/>
            </w:r>
            <w:r w:rsidR="00056280">
              <w:rPr>
                <w:noProof/>
                <w:webHidden/>
              </w:rPr>
              <w:instrText xml:space="preserve"> PAGEREF _Toc210700685 \h </w:instrText>
            </w:r>
            <w:r w:rsidR="00056280">
              <w:rPr>
                <w:noProof/>
                <w:webHidden/>
              </w:rPr>
            </w:r>
            <w:r w:rsidR="00056280">
              <w:rPr>
                <w:noProof/>
                <w:webHidden/>
              </w:rPr>
              <w:fldChar w:fldCharType="separate"/>
            </w:r>
            <w:r w:rsidR="00056280">
              <w:rPr>
                <w:noProof/>
                <w:webHidden/>
              </w:rPr>
              <w:t>12</w:t>
            </w:r>
            <w:r w:rsidR="00056280">
              <w:rPr>
                <w:noProof/>
                <w:webHidden/>
              </w:rPr>
              <w:fldChar w:fldCharType="end"/>
            </w:r>
          </w:hyperlink>
        </w:p>
        <w:p w14:paraId="73F8F51C" w14:textId="01416622"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6" w:history="1">
            <w:r w:rsidR="00056280" w:rsidRPr="008E00C4">
              <w:rPr>
                <w:rStyle w:val="Hyperlink"/>
                <w:noProof/>
              </w:rPr>
              <w:t>2.3.6</w:t>
            </w:r>
            <w:r w:rsidR="00056280">
              <w:rPr>
                <w:rFonts w:asciiTheme="minorHAnsi" w:eastAsiaTheme="minorEastAsia" w:hAnsiTheme="minorHAnsi"/>
                <w:noProof/>
                <w:sz w:val="24"/>
                <w:lang w:val="en-US"/>
              </w:rPr>
              <w:tab/>
            </w:r>
            <w:r w:rsidR="00056280" w:rsidRPr="008E00C4">
              <w:rPr>
                <w:rStyle w:val="Hyperlink"/>
                <w:noProof/>
              </w:rPr>
              <w:t>Impact on Health</w:t>
            </w:r>
            <w:r w:rsidR="00056280">
              <w:rPr>
                <w:noProof/>
                <w:webHidden/>
              </w:rPr>
              <w:tab/>
            </w:r>
            <w:r w:rsidR="00056280">
              <w:rPr>
                <w:noProof/>
                <w:webHidden/>
              </w:rPr>
              <w:fldChar w:fldCharType="begin"/>
            </w:r>
            <w:r w:rsidR="00056280">
              <w:rPr>
                <w:noProof/>
                <w:webHidden/>
              </w:rPr>
              <w:instrText xml:space="preserve"> PAGEREF _Toc210700686 \h </w:instrText>
            </w:r>
            <w:r w:rsidR="00056280">
              <w:rPr>
                <w:noProof/>
                <w:webHidden/>
              </w:rPr>
            </w:r>
            <w:r w:rsidR="00056280">
              <w:rPr>
                <w:noProof/>
                <w:webHidden/>
              </w:rPr>
              <w:fldChar w:fldCharType="separate"/>
            </w:r>
            <w:r w:rsidR="00056280">
              <w:rPr>
                <w:noProof/>
                <w:webHidden/>
              </w:rPr>
              <w:t>12</w:t>
            </w:r>
            <w:r w:rsidR="00056280">
              <w:rPr>
                <w:noProof/>
                <w:webHidden/>
              </w:rPr>
              <w:fldChar w:fldCharType="end"/>
            </w:r>
          </w:hyperlink>
        </w:p>
        <w:p w14:paraId="30E02AFC" w14:textId="754F55F5"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87" w:history="1">
            <w:r w:rsidR="00056280" w:rsidRPr="008E00C4">
              <w:rPr>
                <w:rStyle w:val="Hyperlink"/>
                <w:noProof/>
              </w:rPr>
              <w:t>2.4</w:t>
            </w:r>
            <w:r w:rsidR="00056280">
              <w:rPr>
                <w:rFonts w:asciiTheme="minorHAnsi" w:eastAsiaTheme="minorEastAsia" w:hAnsiTheme="minorHAnsi"/>
                <w:noProof/>
                <w:sz w:val="24"/>
                <w:lang w:val="en-US"/>
              </w:rPr>
              <w:tab/>
            </w:r>
            <w:r w:rsidR="00056280" w:rsidRPr="008E00C4">
              <w:rPr>
                <w:rStyle w:val="Hyperlink"/>
                <w:noProof/>
              </w:rPr>
              <w:t>Income and Health</w:t>
            </w:r>
            <w:r w:rsidR="00056280">
              <w:rPr>
                <w:noProof/>
                <w:webHidden/>
              </w:rPr>
              <w:tab/>
            </w:r>
            <w:r w:rsidR="00056280">
              <w:rPr>
                <w:noProof/>
                <w:webHidden/>
              </w:rPr>
              <w:fldChar w:fldCharType="begin"/>
            </w:r>
            <w:r w:rsidR="00056280">
              <w:rPr>
                <w:noProof/>
                <w:webHidden/>
              </w:rPr>
              <w:instrText xml:space="preserve"> PAGEREF _Toc210700687 \h </w:instrText>
            </w:r>
            <w:r w:rsidR="00056280">
              <w:rPr>
                <w:noProof/>
                <w:webHidden/>
              </w:rPr>
            </w:r>
            <w:r w:rsidR="00056280">
              <w:rPr>
                <w:noProof/>
                <w:webHidden/>
              </w:rPr>
              <w:fldChar w:fldCharType="separate"/>
            </w:r>
            <w:r w:rsidR="00056280">
              <w:rPr>
                <w:noProof/>
                <w:webHidden/>
              </w:rPr>
              <w:t>13</w:t>
            </w:r>
            <w:r w:rsidR="00056280">
              <w:rPr>
                <w:noProof/>
                <w:webHidden/>
              </w:rPr>
              <w:fldChar w:fldCharType="end"/>
            </w:r>
          </w:hyperlink>
        </w:p>
        <w:p w14:paraId="22DDCA1C" w14:textId="76BA8B2A"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8" w:history="1">
            <w:r w:rsidR="00056280" w:rsidRPr="008E00C4">
              <w:rPr>
                <w:rStyle w:val="Hyperlink"/>
                <w:rFonts w:ascii="Times New Roman" w:hAnsi="Times New Roman"/>
                <w:noProof/>
              </w:rPr>
              <w:t>2.4.1</w:t>
            </w:r>
            <w:r w:rsidR="00056280">
              <w:rPr>
                <w:rFonts w:asciiTheme="minorHAnsi" w:eastAsiaTheme="minorEastAsia" w:hAnsiTheme="minorHAnsi"/>
                <w:noProof/>
                <w:sz w:val="24"/>
                <w:lang w:val="en-US"/>
              </w:rPr>
              <w:tab/>
            </w:r>
            <w:r w:rsidR="00056280" w:rsidRPr="008E00C4">
              <w:rPr>
                <w:rStyle w:val="Hyperlink"/>
                <w:noProof/>
              </w:rPr>
              <w:t>Housing and Health</w:t>
            </w:r>
            <w:r w:rsidR="00056280">
              <w:rPr>
                <w:noProof/>
                <w:webHidden/>
              </w:rPr>
              <w:tab/>
            </w:r>
            <w:r w:rsidR="00056280">
              <w:rPr>
                <w:noProof/>
                <w:webHidden/>
              </w:rPr>
              <w:fldChar w:fldCharType="begin"/>
            </w:r>
            <w:r w:rsidR="00056280">
              <w:rPr>
                <w:noProof/>
                <w:webHidden/>
              </w:rPr>
              <w:instrText xml:space="preserve"> PAGEREF _Toc210700688 \h </w:instrText>
            </w:r>
            <w:r w:rsidR="00056280">
              <w:rPr>
                <w:noProof/>
                <w:webHidden/>
              </w:rPr>
            </w:r>
            <w:r w:rsidR="00056280">
              <w:rPr>
                <w:noProof/>
                <w:webHidden/>
              </w:rPr>
              <w:fldChar w:fldCharType="separate"/>
            </w:r>
            <w:r w:rsidR="00056280">
              <w:rPr>
                <w:noProof/>
                <w:webHidden/>
              </w:rPr>
              <w:t>14</w:t>
            </w:r>
            <w:r w:rsidR="00056280">
              <w:rPr>
                <w:noProof/>
                <w:webHidden/>
              </w:rPr>
              <w:fldChar w:fldCharType="end"/>
            </w:r>
          </w:hyperlink>
        </w:p>
        <w:p w14:paraId="319F4F5E" w14:textId="7527D94D"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89" w:history="1">
            <w:r w:rsidR="00056280" w:rsidRPr="008E00C4">
              <w:rPr>
                <w:rStyle w:val="Hyperlink"/>
                <w:noProof/>
              </w:rPr>
              <w:t>2.4.2</w:t>
            </w:r>
            <w:r w:rsidR="00056280">
              <w:rPr>
                <w:rFonts w:asciiTheme="minorHAnsi" w:eastAsiaTheme="minorEastAsia" w:hAnsiTheme="minorHAnsi"/>
                <w:noProof/>
                <w:sz w:val="24"/>
                <w:lang w:val="en-US"/>
              </w:rPr>
              <w:tab/>
            </w:r>
            <w:r w:rsidR="00056280" w:rsidRPr="008E00C4">
              <w:rPr>
                <w:rStyle w:val="Hyperlink"/>
                <w:noProof/>
              </w:rPr>
              <w:t>Education and Health</w:t>
            </w:r>
            <w:r w:rsidR="00056280">
              <w:rPr>
                <w:noProof/>
                <w:webHidden/>
              </w:rPr>
              <w:tab/>
            </w:r>
            <w:r w:rsidR="00056280">
              <w:rPr>
                <w:noProof/>
                <w:webHidden/>
              </w:rPr>
              <w:fldChar w:fldCharType="begin"/>
            </w:r>
            <w:r w:rsidR="00056280">
              <w:rPr>
                <w:noProof/>
                <w:webHidden/>
              </w:rPr>
              <w:instrText xml:space="preserve"> PAGEREF _Toc210700689 \h </w:instrText>
            </w:r>
            <w:r w:rsidR="00056280">
              <w:rPr>
                <w:noProof/>
                <w:webHidden/>
              </w:rPr>
            </w:r>
            <w:r w:rsidR="00056280">
              <w:rPr>
                <w:noProof/>
                <w:webHidden/>
              </w:rPr>
              <w:fldChar w:fldCharType="separate"/>
            </w:r>
            <w:r w:rsidR="00056280">
              <w:rPr>
                <w:noProof/>
                <w:webHidden/>
              </w:rPr>
              <w:t>15</w:t>
            </w:r>
            <w:r w:rsidR="00056280">
              <w:rPr>
                <w:noProof/>
                <w:webHidden/>
              </w:rPr>
              <w:fldChar w:fldCharType="end"/>
            </w:r>
          </w:hyperlink>
        </w:p>
        <w:p w14:paraId="47B48FA8" w14:textId="62BC3857"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90" w:history="1">
            <w:r w:rsidR="00056280" w:rsidRPr="008E00C4">
              <w:rPr>
                <w:rStyle w:val="Hyperlink"/>
                <w:noProof/>
              </w:rPr>
              <w:t>2.4.3</w:t>
            </w:r>
            <w:r w:rsidR="00056280">
              <w:rPr>
                <w:rFonts w:asciiTheme="minorHAnsi" w:eastAsiaTheme="minorEastAsia" w:hAnsiTheme="minorHAnsi"/>
                <w:noProof/>
                <w:sz w:val="24"/>
                <w:lang w:val="en-US"/>
              </w:rPr>
              <w:tab/>
            </w:r>
            <w:r w:rsidR="00056280" w:rsidRPr="008E00C4">
              <w:rPr>
                <w:rStyle w:val="Hyperlink"/>
                <w:noProof/>
              </w:rPr>
              <w:t>Access to Healthcare and Health</w:t>
            </w:r>
            <w:r w:rsidR="00056280">
              <w:rPr>
                <w:noProof/>
                <w:webHidden/>
              </w:rPr>
              <w:tab/>
            </w:r>
            <w:r w:rsidR="00056280">
              <w:rPr>
                <w:noProof/>
                <w:webHidden/>
              </w:rPr>
              <w:fldChar w:fldCharType="begin"/>
            </w:r>
            <w:r w:rsidR="00056280">
              <w:rPr>
                <w:noProof/>
                <w:webHidden/>
              </w:rPr>
              <w:instrText xml:space="preserve"> PAGEREF _Toc210700690 \h </w:instrText>
            </w:r>
            <w:r w:rsidR="00056280">
              <w:rPr>
                <w:noProof/>
                <w:webHidden/>
              </w:rPr>
            </w:r>
            <w:r w:rsidR="00056280">
              <w:rPr>
                <w:noProof/>
                <w:webHidden/>
              </w:rPr>
              <w:fldChar w:fldCharType="separate"/>
            </w:r>
            <w:r w:rsidR="00056280">
              <w:rPr>
                <w:noProof/>
                <w:webHidden/>
              </w:rPr>
              <w:t>16</w:t>
            </w:r>
            <w:r w:rsidR="00056280">
              <w:rPr>
                <w:noProof/>
                <w:webHidden/>
              </w:rPr>
              <w:fldChar w:fldCharType="end"/>
            </w:r>
          </w:hyperlink>
        </w:p>
        <w:p w14:paraId="74F7F6F2" w14:textId="0EF56EFA"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91" w:history="1">
            <w:r w:rsidR="00056280" w:rsidRPr="008E00C4">
              <w:rPr>
                <w:rStyle w:val="Hyperlink"/>
                <w:noProof/>
              </w:rPr>
              <w:t>2.5</w:t>
            </w:r>
            <w:r w:rsidR="00056280">
              <w:rPr>
                <w:rFonts w:asciiTheme="minorHAnsi" w:eastAsiaTheme="minorEastAsia" w:hAnsiTheme="minorHAnsi"/>
                <w:noProof/>
                <w:sz w:val="24"/>
                <w:lang w:val="en-US"/>
              </w:rPr>
              <w:tab/>
            </w:r>
            <w:r w:rsidR="00056280" w:rsidRPr="008E00C4">
              <w:rPr>
                <w:rStyle w:val="Hyperlink"/>
                <w:noProof/>
              </w:rPr>
              <w:t>Health Inequalities Among Low-Income Families</w:t>
            </w:r>
            <w:r w:rsidR="00056280">
              <w:rPr>
                <w:noProof/>
                <w:webHidden/>
              </w:rPr>
              <w:tab/>
            </w:r>
            <w:r w:rsidR="00056280">
              <w:rPr>
                <w:noProof/>
                <w:webHidden/>
              </w:rPr>
              <w:fldChar w:fldCharType="begin"/>
            </w:r>
            <w:r w:rsidR="00056280">
              <w:rPr>
                <w:noProof/>
                <w:webHidden/>
              </w:rPr>
              <w:instrText xml:space="preserve"> PAGEREF _Toc210700691 \h </w:instrText>
            </w:r>
            <w:r w:rsidR="00056280">
              <w:rPr>
                <w:noProof/>
                <w:webHidden/>
              </w:rPr>
            </w:r>
            <w:r w:rsidR="00056280">
              <w:rPr>
                <w:noProof/>
                <w:webHidden/>
              </w:rPr>
              <w:fldChar w:fldCharType="separate"/>
            </w:r>
            <w:r w:rsidR="00056280">
              <w:rPr>
                <w:noProof/>
                <w:webHidden/>
              </w:rPr>
              <w:t>16</w:t>
            </w:r>
            <w:r w:rsidR="00056280">
              <w:rPr>
                <w:noProof/>
                <w:webHidden/>
              </w:rPr>
              <w:fldChar w:fldCharType="end"/>
            </w:r>
          </w:hyperlink>
        </w:p>
        <w:p w14:paraId="67C996BA" w14:textId="71ECAFFA"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92" w:history="1">
            <w:r w:rsidR="00056280" w:rsidRPr="008E00C4">
              <w:rPr>
                <w:rStyle w:val="Hyperlink"/>
                <w:noProof/>
              </w:rPr>
              <w:t>2.5.1</w:t>
            </w:r>
            <w:r w:rsidR="00056280">
              <w:rPr>
                <w:rFonts w:asciiTheme="minorHAnsi" w:eastAsiaTheme="minorEastAsia" w:hAnsiTheme="minorHAnsi"/>
                <w:noProof/>
                <w:sz w:val="24"/>
                <w:lang w:val="en-US"/>
              </w:rPr>
              <w:tab/>
            </w:r>
            <w:r w:rsidR="00056280" w:rsidRPr="008E00C4">
              <w:rPr>
                <w:rStyle w:val="Hyperlink"/>
                <w:noProof/>
              </w:rPr>
              <w:t>Scope of the Problem</w:t>
            </w:r>
            <w:r w:rsidR="00056280">
              <w:rPr>
                <w:noProof/>
                <w:webHidden/>
              </w:rPr>
              <w:tab/>
            </w:r>
            <w:r w:rsidR="00056280">
              <w:rPr>
                <w:noProof/>
                <w:webHidden/>
              </w:rPr>
              <w:fldChar w:fldCharType="begin"/>
            </w:r>
            <w:r w:rsidR="00056280">
              <w:rPr>
                <w:noProof/>
                <w:webHidden/>
              </w:rPr>
              <w:instrText xml:space="preserve"> PAGEREF _Toc210700692 \h </w:instrText>
            </w:r>
            <w:r w:rsidR="00056280">
              <w:rPr>
                <w:noProof/>
                <w:webHidden/>
              </w:rPr>
            </w:r>
            <w:r w:rsidR="00056280">
              <w:rPr>
                <w:noProof/>
                <w:webHidden/>
              </w:rPr>
              <w:fldChar w:fldCharType="separate"/>
            </w:r>
            <w:r w:rsidR="00056280">
              <w:rPr>
                <w:noProof/>
                <w:webHidden/>
              </w:rPr>
              <w:t>16</w:t>
            </w:r>
            <w:r w:rsidR="00056280">
              <w:rPr>
                <w:noProof/>
                <w:webHidden/>
              </w:rPr>
              <w:fldChar w:fldCharType="end"/>
            </w:r>
          </w:hyperlink>
        </w:p>
        <w:p w14:paraId="3BA83E4E" w14:textId="38B3F558"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93" w:history="1">
            <w:r w:rsidR="00056280" w:rsidRPr="008E00C4">
              <w:rPr>
                <w:rStyle w:val="Hyperlink"/>
                <w:noProof/>
              </w:rPr>
              <w:t>2.5.2</w:t>
            </w:r>
            <w:r w:rsidR="00056280">
              <w:rPr>
                <w:rFonts w:asciiTheme="minorHAnsi" w:eastAsiaTheme="minorEastAsia" w:hAnsiTheme="minorHAnsi"/>
                <w:noProof/>
                <w:sz w:val="24"/>
                <w:lang w:val="en-US"/>
              </w:rPr>
              <w:tab/>
            </w:r>
            <w:r w:rsidR="00056280" w:rsidRPr="008E00C4">
              <w:rPr>
                <w:rStyle w:val="Hyperlink"/>
                <w:noProof/>
              </w:rPr>
              <w:t>Case Studies</w:t>
            </w:r>
            <w:r w:rsidR="00056280">
              <w:rPr>
                <w:noProof/>
                <w:webHidden/>
              </w:rPr>
              <w:tab/>
            </w:r>
            <w:r w:rsidR="00056280">
              <w:rPr>
                <w:noProof/>
                <w:webHidden/>
              </w:rPr>
              <w:fldChar w:fldCharType="begin"/>
            </w:r>
            <w:r w:rsidR="00056280">
              <w:rPr>
                <w:noProof/>
                <w:webHidden/>
              </w:rPr>
              <w:instrText xml:space="preserve"> PAGEREF _Toc210700693 \h </w:instrText>
            </w:r>
            <w:r w:rsidR="00056280">
              <w:rPr>
                <w:noProof/>
                <w:webHidden/>
              </w:rPr>
            </w:r>
            <w:r w:rsidR="00056280">
              <w:rPr>
                <w:noProof/>
                <w:webHidden/>
              </w:rPr>
              <w:fldChar w:fldCharType="separate"/>
            </w:r>
            <w:r w:rsidR="00056280">
              <w:rPr>
                <w:noProof/>
                <w:webHidden/>
              </w:rPr>
              <w:t>17</w:t>
            </w:r>
            <w:r w:rsidR="00056280">
              <w:rPr>
                <w:noProof/>
                <w:webHidden/>
              </w:rPr>
              <w:fldChar w:fldCharType="end"/>
            </w:r>
          </w:hyperlink>
        </w:p>
        <w:p w14:paraId="406AFCEB" w14:textId="7CD01C9E"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94" w:history="1">
            <w:r w:rsidR="00056280" w:rsidRPr="008E00C4">
              <w:rPr>
                <w:rStyle w:val="Hyperlink"/>
                <w:noProof/>
              </w:rPr>
              <w:t>2.6</w:t>
            </w:r>
            <w:r w:rsidR="00056280">
              <w:rPr>
                <w:rFonts w:asciiTheme="minorHAnsi" w:eastAsiaTheme="minorEastAsia" w:hAnsiTheme="minorHAnsi"/>
                <w:noProof/>
                <w:sz w:val="24"/>
                <w:lang w:val="en-US"/>
              </w:rPr>
              <w:tab/>
            </w:r>
            <w:r w:rsidR="00056280" w:rsidRPr="008E00C4">
              <w:rPr>
                <w:rStyle w:val="Hyperlink"/>
                <w:noProof/>
              </w:rPr>
              <w:t>Role of Health and Social Care Professionals in Addressing Inequalities</w:t>
            </w:r>
            <w:r w:rsidR="00056280">
              <w:rPr>
                <w:noProof/>
                <w:webHidden/>
              </w:rPr>
              <w:tab/>
            </w:r>
            <w:r w:rsidR="00056280">
              <w:rPr>
                <w:noProof/>
                <w:webHidden/>
              </w:rPr>
              <w:fldChar w:fldCharType="begin"/>
            </w:r>
            <w:r w:rsidR="00056280">
              <w:rPr>
                <w:noProof/>
                <w:webHidden/>
              </w:rPr>
              <w:instrText xml:space="preserve"> PAGEREF _Toc210700694 \h </w:instrText>
            </w:r>
            <w:r w:rsidR="00056280">
              <w:rPr>
                <w:noProof/>
                <w:webHidden/>
              </w:rPr>
            </w:r>
            <w:r w:rsidR="00056280">
              <w:rPr>
                <w:noProof/>
                <w:webHidden/>
              </w:rPr>
              <w:fldChar w:fldCharType="separate"/>
            </w:r>
            <w:r w:rsidR="00056280">
              <w:rPr>
                <w:noProof/>
                <w:webHidden/>
              </w:rPr>
              <w:t>20</w:t>
            </w:r>
            <w:r w:rsidR="00056280">
              <w:rPr>
                <w:noProof/>
                <w:webHidden/>
              </w:rPr>
              <w:fldChar w:fldCharType="end"/>
            </w:r>
          </w:hyperlink>
        </w:p>
        <w:p w14:paraId="6375A141" w14:textId="71D1F3B5"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95" w:history="1">
            <w:r w:rsidR="00056280" w:rsidRPr="008E00C4">
              <w:rPr>
                <w:rStyle w:val="Hyperlink"/>
                <w:noProof/>
              </w:rPr>
              <w:t>2.7</w:t>
            </w:r>
            <w:r w:rsidR="00056280">
              <w:rPr>
                <w:rFonts w:asciiTheme="minorHAnsi" w:eastAsiaTheme="minorEastAsia" w:hAnsiTheme="minorHAnsi"/>
                <w:noProof/>
                <w:sz w:val="24"/>
                <w:lang w:val="en-US"/>
              </w:rPr>
              <w:tab/>
            </w:r>
            <w:r w:rsidR="00056280" w:rsidRPr="008E00C4">
              <w:rPr>
                <w:rStyle w:val="Hyperlink"/>
                <w:noProof/>
              </w:rPr>
              <w:t>Policy and Institutional Responses</w:t>
            </w:r>
            <w:r w:rsidR="00056280">
              <w:rPr>
                <w:noProof/>
                <w:webHidden/>
              </w:rPr>
              <w:tab/>
            </w:r>
            <w:r w:rsidR="00056280">
              <w:rPr>
                <w:noProof/>
                <w:webHidden/>
              </w:rPr>
              <w:fldChar w:fldCharType="begin"/>
            </w:r>
            <w:r w:rsidR="00056280">
              <w:rPr>
                <w:noProof/>
                <w:webHidden/>
              </w:rPr>
              <w:instrText xml:space="preserve"> PAGEREF _Toc210700695 \h </w:instrText>
            </w:r>
            <w:r w:rsidR="00056280">
              <w:rPr>
                <w:noProof/>
                <w:webHidden/>
              </w:rPr>
            </w:r>
            <w:r w:rsidR="00056280">
              <w:rPr>
                <w:noProof/>
                <w:webHidden/>
              </w:rPr>
              <w:fldChar w:fldCharType="separate"/>
            </w:r>
            <w:r w:rsidR="00056280">
              <w:rPr>
                <w:noProof/>
                <w:webHidden/>
              </w:rPr>
              <w:t>21</w:t>
            </w:r>
            <w:r w:rsidR="00056280">
              <w:rPr>
                <w:noProof/>
                <w:webHidden/>
              </w:rPr>
              <w:fldChar w:fldCharType="end"/>
            </w:r>
          </w:hyperlink>
        </w:p>
        <w:p w14:paraId="32B82B4E" w14:textId="14FD2073"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96" w:history="1">
            <w:r w:rsidR="00056280" w:rsidRPr="008E00C4">
              <w:rPr>
                <w:rStyle w:val="Hyperlink"/>
                <w:noProof/>
              </w:rPr>
              <w:t>2.7.1</w:t>
            </w:r>
            <w:r w:rsidR="00056280">
              <w:rPr>
                <w:rFonts w:asciiTheme="minorHAnsi" w:eastAsiaTheme="minorEastAsia" w:hAnsiTheme="minorHAnsi"/>
                <w:noProof/>
                <w:sz w:val="24"/>
                <w:lang w:val="en-US"/>
              </w:rPr>
              <w:tab/>
            </w:r>
            <w:r w:rsidR="00056280" w:rsidRPr="008E00C4">
              <w:rPr>
                <w:rStyle w:val="Hyperlink"/>
                <w:noProof/>
              </w:rPr>
              <w:t>National Policies</w:t>
            </w:r>
            <w:r w:rsidR="00056280">
              <w:rPr>
                <w:noProof/>
                <w:webHidden/>
              </w:rPr>
              <w:tab/>
            </w:r>
            <w:r w:rsidR="00056280">
              <w:rPr>
                <w:noProof/>
                <w:webHidden/>
              </w:rPr>
              <w:fldChar w:fldCharType="begin"/>
            </w:r>
            <w:r w:rsidR="00056280">
              <w:rPr>
                <w:noProof/>
                <w:webHidden/>
              </w:rPr>
              <w:instrText xml:space="preserve"> PAGEREF _Toc210700696 \h </w:instrText>
            </w:r>
            <w:r w:rsidR="00056280">
              <w:rPr>
                <w:noProof/>
                <w:webHidden/>
              </w:rPr>
            </w:r>
            <w:r w:rsidR="00056280">
              <w:rPr>
                <w:noProof/>
                <w:webHidden/>
              </w:rPr>
              <w:fldChar w:fldCharType="separate"/>
            </w:r>
            <w:r w:rsidR="00056280">
              <w:rPr>
                <w:noProof/>
                <w:webHidden/>
              </w:rPr>
              <w:t>21</w:t>
            </w:r>
            <w:r w:rsidR="00056280">
              <w:rPr>
                <w:noProof/>
                <w:webHidden/>
              </w:rPr>
              <w:fldChar w:fldCharType="end"/>
            </w:r>
          </w:hyperlink>
        </w:p>
        <w:p w14:paraId="5E62305E" w14:textId="25BF74E5"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697" w:history="1">
            <w:r w:rsidR="00056280" w:rsidRPr="008E00C4">
              <w:rPr>
                <w:rStyle w:val="Hyperlink"/>
                <w:noProof/>
              </w:rPr>
              <w:t>2.7.2</w:t>
            </w:r>
            <w:r w:rsidR="00056280">
              <w:rPr>
                <w:rFonts w:asciiTheme="minorHAnsi" w:eastAsiaTheme="minorEastAsia" w:hAnsiTheme="minorHAnsi"/>
                <w:noProof/>
                <w:sz w:val="24"/>
                <w:lang w:val="en-US"/>
              </w:rPr>
              <w:tab/>
            </w:r>
            <w:r w:rsidR="00056280" w:rsidRPr="008E00C4">
              <w:rPr>
                <w:rStyle w:val="Hyperlink"/>
                <w:noProof/>
              </w:rPr>
              <w:t>Effectiveness</w:t>
            </w:r>
            <w:r w:rsidR="00056280">
              <w:rPr>
                <w:noProof/>
                <w:webHidden/>
              </w:rPr>
              <w:tab/>
            </w:r>
            <w:r w:rsidR="00056280">
              <w:rPr>
                <w:noProof/>
                <w:webHidden/>
              </w:rPr>
              <w:fldChar w:fldCharType="begin"/>
            </w:r>
            <w:r w:rsidR="00056280">
              <w:rPr>
                <w:noProof/>
                <w:webHidden/>
              </w:rPr>
              <w:instrText xml:space="preserve"> PAGEREF _Toc210700697 \h </w:instrText>
            </w:r>
            <w:r w:rsidR="00056280">
              <w:rPr>
                <w:noProof/>
                <w:webHidden/>
              </w:rPr>
            </w:r>
            <w:r w:rsidR="00056280">
              <w:rPr>
                <w:noProof/>
                <w:webHidden/>
              </w:rPr>
              <w:fldChar w:fldCharType="separate"/>
            </w:r>
            <w:r w:rsidR="00056280">
              <w:rPr>
                <w:noProof/>
                <w:webHidden/>
              </w:rPr>
              <w:t>21</w:t>
            </w:r>
            <w:r w:rsidR="00056280">
              <w:rPr>
                <w:noProof/>
                <w:webHidden/>
              </w:rPr>
              <w:fldChar w:fldCharType="end"/>
            </w:r>
          </w:hyperlink>
        </w:p>
        <w:p w14:paraId="77E6689A" w14:textId="7F69C70A"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698" w:history="1">
            <w:r w:rsidR="00056280" w:rsidRPr="008E00C4">
              <w:rPr>
                <w:rStyle w:val="Hyperlink"/>
                <w:noProof/>
              </w:rPr>
              <w:t>2.8</w:t>
            </w:r>
            <w:r w:rsidR="00056280">
              <w:rPr>
                <w:rFonts w:asciiTheme="minorHAnsi" w:eastAsiaTheme="minorEastAsia" w:hAnsiTheme="minorHAnsi"/>
                <w:noProof/>
                <w:sz w:val="24"/>
                <w:lang w:val="en-US"/>
              </w:rPr>
              <w:tab/>
            </w:r>
            <w:r w:rsidR="00056280" w:rsidRPr="008E00C4">
              <w:rPr>
                <w:rStyle w:val="Hyperlink"/>
                <w:noProof/>
              </w:rPr>
              <w:t>Research Gaps and Study Rationale</w:t>
            </w:r>
            <w:r w:rsidR="00056280">
              <w:rPr>
                <w:noProof/>
                <w:webHidden/>
              </w:rPr>
              <w:tab/>
            </w:r>
            <w:r w:rsidR="00056280">
              <w:rPr>
                <w:noProof/>
                <w:webHidden/>
              </w:rPr>
              <w:fldChar w:fldCharType="begin"/>
            </w:r>
            <w:r w:rsidR="00056280">
              <w:rPr>
                <w:noProof/>
                <w:webHidden/>
              </w:rPr>
              <w:instrText xml:space="preserve"> PAGEREF _Toc210700698 \h </w:instrText>
            </w:r>
            <w:r w:rsidR="00056280">
              <w:rPr>
                <w:noProof/>
                <w:webHidden/>
              </w:rPr>
            </w:r>
            <w:r w:rsidR="00056280">
              <w:rPr>
                <w:noProof/>
                <w:webHidden/>
              </w:rPr>
              <w:fldChar w:fldCharType="separate"/>
            </w:r>
            <w:r w:rsidR="00056280">
              <w:rPr>
                <w:noProof/>
                <w:webHidden/>
              </w:rPr>
              <w:t>22</w:t>
            </w:r>
            <w:r w:rsidR="00056280">
              <w:rPr>
                <w:noProof/>
                <w:webHidden/>
              </w:rPr>
              <w:fldChar w:fldCharType="end"/>
            </w:r>
          </w:hyperlink>
        </w:p>
        <w:p w14:paraId="5D47CFB5" w14:textId="2DE20C7E" w:rsidR="00056280" w:rsidRDefault="008A4496">
          <w:pPr>
            <w:pStyle w:val="TOC1"/>
            <w:tabs>
              <w:tab w:val="left" w:pos="440"/>
              <w:tab w:val="right" w:leader="dot" w:pos="9350"/>
            </w:tabs>
            <w:rPr>
              <w:rFonts w:asciiTheme="minorHAnsi" w:eastAsiaTheme="minorEastAsia" w:hAnsiTheme="minorHAnsi"/>
              <w:noProof/>
              <w:sz w:val="24"/>
              <w:lang w:val="en-US"/>
            </w:rPr>
          </w:pPr>
          <w:hyperlink w:anchor="_Toc210700699" w:history="1">
            <w:r w:rsidR="00056280" w:rsidRPr="008E00C4">
              <w:rPr>
                <w:rStyle w:val="Hyperlink"/>
                <w:noProof/>
              </w:rPr>
              <w:t>3.</w:t>
            </w:r>
            <w:r w:rsidR="00056280">
              <w:rPr>
                <w:rFonts w:asciiTheme="minorHAnsi" w:eastAsiaTheme="minorEastAsia" w:hAnsiTheme="minorHAnsi"/>
                <w:noProof/>
                <w:sz w:val="24"/>
                <w:lang w:val="en-US"/>
              </w:rPr>
              <w:tab/>
            </w:r>
            <w:r w:rsidR="00056280" w:rsidRPr="008E00C4">
              <w:rPr>
                <w:rStyle w:val="Hyperlink"/>
                <w:noProof/>
              </w:rPr>
              <w:t>CHAPTER THREE: METHODOLOGY</w:t>
            </w:r>
            <w:r w:rsidR="00056280">
              <w:rPr>
                <w:noProof/>
                <w:webHidden/>
              </w:rPr>
              <w:tab/>
            </w:r>
            <w:r w:rsidR="00056280">
              <w:rPr>
                <w:noProof/>
                <w:webHidden/>
              </w:rPr>
              <w:fldChar w:fldCharType="begin"/>
            </w:r>
            <w:r w:rsidR="00056280">
              <w:rPr>
                <w:noProof/>
                <w:webHidden/>
              </w:rPr>
              <w:instrText xml:space="preserve"> PAGEREF _Toc210700699 \h </w:instrText>
            </w:r>
            <w:r w:rsidR="00056280">
              <w:rPr>
                <w:noProof/>
                <w:webHidden/>
              </w:rPr>
            </w:r>
            <w:r w:rsidR="00056280">
              <w:rPr>
                <w:noProof/>
                <w:webHidden/>
              </w:rPr>
              <w:fldChar w:fldCharType="separate"/>
            </w:r>
            <w:r w:rsidR="00056280">
              <w:rPr>
                <w:noProof/>
                <w:webHidden/>
              </w:rPr>
              <w:t>23</w:t>
            </w:r>
            <w:r w:rsidR="00056280">
              <w:rPr>
                <w:noProof/>
                <w:webHidden/>
              </w:rPr>
              <w:fldChar w:fldCharType="end"/>
            </w:r>
          </w:hyperlink>
        </w:p>
        <w:p w14:paraId="26F84505" w14:textId="06F5E888"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0" w:history="1">
            <w:r w:rsidR="00056280" w:rsidRPr="008E00C4">
              <w:rPr>
                <w:rStyle w:val="Hyperlink"/>
                <w:noProof/>
              </w:rPr>
              <w:t>3.1</w:t>
            </w:r>
            <w:r w:rsidR="00056280">
              <w:rPr>
                <w:rFonts w:asciiTheme="minorHAnsi" w:eastAsiaTheme="minorEastAsia" w:hAnsiTheme="minorHAnsi"/>
                <w:noProof/>
                <w:sz w:val="24"/>
                <w:lang w:val="en-US"/>
              </w:rPr>
              <w:tab/>
            </w:r>
            <w:r w:rsidR="00056280" w:rsidRPr="008E00C4">
              <w:rPr>
                <w:rStyle w:val="Hyperlink"/>
                <w:noProof/>
              </w:rPr>
              <w:t>Chapter Overview</w:t>
            </w:r>
            <w:r w:rsidR="00056280">
              <w:rPr>
                <w:noProof/>
                <w:webHidden/>
              </w:rPr>
              <w:tab/>
            </w:r>
            <w:r w:rsidR="00056280">
              <w:rPr>
                <w:noProof/>
                <w:webHidden/>
              </w:rPr>
              <w:fldChar w:fldCharType="begin"/>
            </w:r>
            <w:r w:rsidR="00056280">
              <w:rPr>
                <w:noProof/>
                <w:webHidden/>
              </w:rPr>
              <w:instrText xml:space="preserve"> PAGEREF _Toc210700700 \h </w:instrText>
            </w:r>
            <w:r w:rsidR="00056280">
              <w:rPr>
                <w:noProof/>
                <w:webHidden/>
              </w:rPr>
            </w:r>
            <w:r w:rsidR="00056280">
              <w:rPr>
                <w:noProof/>
                <w:webHidden/>
              </w:rPr>
              <w:fldChar w:fldCharType="separate"/>
            </w:r>
            <w:r w:rsidR="00056280">
              <w:rPr>
                <w:noProof/>
                <w:webHidden/>
              </w:rPr>
              <w:t>23</w:t>
            </w:r>
            <w:r w:rsidR="00056280">
              <w:rPr>
                <w:noProof/>
                <w:webHidden/>
              </w:rPr>
              <w:fldChar w:fldCharType="end"/>
            </w:r>
          </w:hyperlink>
        </w:p>
        <w:p w14:paraId="1D7CAABC" w14:textId="7C26E905"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1" w:history="1">
            <w:r w:rsidR="00056280" w:rsidRPr="008E00C4">
              <w:rPr>
                <w:rStyle w:val="Hyperlink"/>
                <w:noProof/>
              </w:rPr>
              <w:t>3.2</w:t>
            </w:r>
            <w:r w:rsidR="00056280">
              <w:rPr>
                <w:rFonts w:asciiTheme="minorHAnsi" w:eastAsiaTheme="minorEastAsia" w:hAnsiTheme="minorHAnsi"/>
                <w:noProof/>
                <w:sz w:val="24"/>
                <w:lang w:val="en-US"/>
              </w:rPr>
              <w:tab/>
            </w:r>
            <w:r w:rsidR="00056280" w:rsidRPr="008E00C4">
              <w:rPr>
                <w:rStyle w:val="Hyperlink"/>
                <w:noProof/>
              </w:rPr>
              <w:t>Search Strategy</w:t>
            </w:r>
            <w:r w:rsidR="00056280">
              <w:rPr>
                <w:noProof/>
                <w:webHidden/>
              </w:rPr>
              <w:tab/>
            </w:r>
            <w:r w:rsidR="00056280">
              <w:rPr>
                <w:noProof/>
                <w:webHidden/>
              </w:rPr>
              <w:fldChar w:fldCharType="begin"/>
            </w:r>
            <w:r w:rsidR="00056280">
              <w:rPr>
                <w:noProof/>
                <w:webHidden/>
              </w:rPr>
              <w:instrText xml:space="preserve"> PAGEREF _Toc210700701 \h </w:instrText>
            </w:r>
            <w:r w:rsidR="00056280">
              <w:rPr>
                <w:noProof/>
                <w:webHidden/>
              </w:rPr>
            </w:r>
            <w:r w:rsidR="00056280">
              <w:rPr>
                <w:noProof/>
                <w:webHidden/>
              </w:rPr>
              <w:fldChar w:fldCharType="separate"/>
            </w:r>
            <w:r w:rsidR="00056280">
              <w:rPr>
                <w:noProof/>
                <w:webHidden/>
              </w:rPr>
              <w:t>23</w:t>
            </w:r>
            <w:r w:rsidR="00056280">
              <w:rPr>
                <w:noProof/>
                <w:webHidden/>
              </w:rPr>
              <w:fldChar w:fldCharType="end"/>
            </w:r>
          </w:hyperlink>
        </w:p>
        <w:p w14:paraId="52AEA093" w14:textId="01BD0992"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2" w:history="1">
            <w:r w:rsidR="00056280" w:rsidRPr="008E00C4">
              <w:rPr>
                <w:rStyle w:val="Hyperlink"/>
                <w:noProof/>
              </w:rPr>
              <w:t>3.3</w:t>
            </w:r>
            <w:r w:rsidR="00056280">
              <w:rPr>
                <w:rFonts w:asciiTheme="minorHAnsi" w:eastAsiaTheme="minorEastAsia" w:hAnsiTheme="minorHAnsi"/>
                <w:noProof/>
                <w:sz w:val="24"/>
                <w:lang w:val="en-US"/>
              </w:rPr>
              <w:tab/>
            </w:r>
            <w:r w:rsidR="00056280" w:rsidRPr="008E00C4">
              <w:rPr>
                <w:rStyle w:val="Hyperlink"/>
                <w:noProof/>
              </w:rPr>
              <w:t>Inclusion and Exclusion Criteria</w:t>
            </w:r>
            <w:r w:rsidR="00056280">
              <w:rPr>
                <w:noProof/>
                <w:webHidden/>
              </w:rPr>
              <w:tab/>
            </w:r>
            <w:r w:rsidR="00056280">
              <w:rPr>
                <w:noProof/>
                <w:webHidden/>
              </w:rPr>
              <w:fldChar w:fldCharType="begin"/>
            </w:r>
            <w:r w:rsidR="00056280">
              <w:rPr>
                <w:noProof/>
                <w:webHidden/>
              </w:rPr>
              <w:instrText xml:space="preserve"> PAGEREF _Toc210700702 \h </w:instrText>
            </w:r>
            <w:r w:rsidR="00056280">
              <w:rPr>
                <w:noProof/>
                <w:webHidden/>
              </w:rPr>
            </w:r>
            <w:r w:rsidR="00056280">
              <w:rPr>
                <w:noProof/>
                <w:webHidden/>
              </w:rPr>
              <w:fldChar w:fldCharType="separate"/>
            </w:r>
            <w:r w:rsidR="00056280">
              <w:rPr>
                <w:noProof/>
                <w:webHidden/>
              </w:rPr>
              <w:t>24</w:t>
            </w:r>
            <w:r w:rsidR="00056280">
              <w:rPr>
                <w:noProof/>
                <w:webHidden/>
              </w:rPr>
              <w:fldChar w:fldCharType="end"/>
            </w:r>
          </w:hyperlink>
        </w:p>
        <w:p w14:paraId="1052FCAD" w14:textId="3AED8352"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3" w:history="1">
            <w:r w:rsidR="00056280" w:rsidRPr="008E00C4">
              <w:rPr>
                <w:rStyle w:val="Hyperlink"/>
                <w:noProof/>
              </w:rPr>
              <w:t>3.4</w:t>
            </w:r>
            <w:r w:rsidR="00056280">
              <w:rPr>
                <w:rFonts w:asciiTheme="minorHAnsi" w:eastAsiaTheme="minorEastAsia" w:hAnsiTheme="minorHAnsi"/>
                <w:noProof/>
                <w:sz w:val="24"/>
                <w:lang w:val="en-US"/>
              </w:rPr>
              <w:tab/>
            </w:r>
            <w:r w:rsidR="00056280" w:rsidRPr="008E00C4">
              <w:rPr>
                <w:rStyle w:val="Hyperlink"/>
                <w:noProof/>
              </w:rPr>
              <w:t>Identifying Keywords</w:t>
            </w:r>
            <w:r w:rsidR="00056280">
              <w:rPr>
                <w:noProof/>
                <w:webHidden/>
              </w:rPr>
              <w:tab/>
            </w:r>
            <w:r w:rsidR="00056280">
              <w:rPr>
                <w:noProof/>
                <w:webHidden/>
              </w:rPr>
              <w:fldChar w:fldCharType="begin"/>
            </w:r>
            <w:r w:rsidR="00056280">
              <w:rPr>
                <w:noProof/>
                <w:webHidden/>
              </w:rPr>
              <w:instrText xml:space="preserve"> PAGEREF _Toc210700703 \h </w:instrText>
            </w:r>
            <w:r w:rsidR="00056280">
              <w:rPr>
                <w:noProof/>
                <w:webHidden/>
              </w:rPr>
            </w:r>
            <w:r w:rsidR="00056280">
              <w:rPr>
                <w:noProof/>
                <w:webHidden/>
              </w:rPr>
              <w:fldChar w:fldCharType="separate"/>
            </w:r>
            <w:r w:rsidR="00056280">
              <w:rPr>
                <w:noProof/>
                <w:webHidden/>
              </w:rPr>
              <w:t>25</w:t>
            </w:r>
            <w:r w:rsidR="00056280">
              <w:rPr>
                <w:noProof/>
                <w:webHidden/>
              </w:rPr>
              <w:fldChar w:fldCharType="end"/>
            </w:r>
          </w:hyperlink>
        </w:p>
        <w:p w14:paraId="5AB42115" w14:textId="0860F309"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4" w:history="1">
            <w:r w:rsidR="00056280" w:rsidRPr="008E00C4">
              <w:rPr>
                <w:rStyle w:val="Hyperlink"/>
                <w:noProof/>
              </w:rPr>
              <w:t>3.5</w:t>
            </w:r>
            <w:r w:rsidR="00056280">
              <w:rPr>
                <w:rFonts w:asciiTheme="minorHAnsi" w:eastAsiaTheme="minorEastAsia" w:hAnsiTheme="minorHAnsi"/>
                <w:noProof/>
                <w:sz w:val="24"/>
                <w:lang w:val="en-US"/>
              </w:rPr>
              <w:tab/>
            </w:r>
            <w:r w:rsidR="00056280" w:rsidRPr="008E00C4">
              <w:rPr>
                <w:rStyle w:val="Hyperlink"/>
                <w:noProof/>
              </w:rPr>
              <w:t>Data Collection</w:t>
            </w:r>
            <w:r w:rsidR="00056280">
              <w:rPr>
                <w:noProof/>
                <w:webHidden/>
              </w:rPr>
              <w:tab/>
            </w:r>
            <w:r w:rsidR="00056280">
              <w:rPr>
                <w:noProof/>
                <w:webHidden/>
              </w:rPr>
              <w:fldChar w:fldCharType="begin"/>
            </w:r>
            <w:r w:rsidR="00056280">
              <w:rPr>
                <w:noProof/>
                <w:webHidden/>
              </w:rPr>
              <w:instrText xml:space="preserve"> PAGEREF _Toc210700704 \h </w:instrText>
            </w:r>
            <w:r w:rsidR="00056280">
              <w:rPr>
                <w:noProof/>
                <w:webHidden/>
              </w:rPr>
            </w:r>
            <w:r w:rsidR="00056280">
              <w:rPr>
                <w:noProof/>
                <w:webHidden/>
              </w:rPr>
              <w:fldChar w:fldCharType="separate"/>
            </w:r>
            <w:r w:rsidR="00056280">
              <w:rPr>
                <w:noProof/>
                <w:webHidden/>
              </w:rPr>
              <w:t>25</w:t>
            </w:r>
            <w:r w:rsidR="00056280">
              <w:rPr>
                <w:noProof/>
                <w:webHidden/>
              </w:rPr>
              <w:fldChar w:fldCharType="end"/>
            </w:r>
          </w:hyperlink>
        </w:p>
        <w:p w14:paraId="4B661139" w14:textId="7B88A16C"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5" w:history="1">
            <w:r w:rsidR="00056280" w:rsidRPr="008E00C4">
              <w:rPr>
                <w:rStyle w:val="Hyperlink"/>
                <w:noProof/>
              </w:rPr>
              <w:t>3.6</w:t>
            </w:r>
            <w:r w:rsidR="00056280">
              <w:rPr>
                <w:rFonts w:asciiTheme="minorHAnsi" w:eastAsiaTheme="minorEastAsia" w:hAnsiTheme="minorHAnsi"/>
                <w:noProof/>
                <w:sz w:val="24"/>
                <w:lang w:val="en-US"/>
              </w:rPr>
              <w:tab/>
            </w:r>
            <w:r w:rsidR="00056280" w:rsidRPr="008E00C4">
              <w:rPr>
                <w:rStyle w:val="Hyperlink"/>
                <w:noProof/>
              </w:rPr>
              <w:t>Data Analysis: Braun and Clarke Framework</w:t>
            </w:r>
            <w:r w:rsidR="00056280">
              <w:rPr>
                <w:noProof/>
                <w:webHidden/>
              </w:rPr>
              <w:tab/>
            </w:r>
            <w:r w:rsidR="00056280">
              <w:rPr>
                <w:noProof/>
                <w:webHidden/>
              </w:rPr>
              <w:fldChar w:fldCharType="begin"/>
            </w:r>
            <w:r w:rsidR="00056280">
              <w:rPr>
                <w:noProof/>
                <w:webHidden/>
              </w:rPr>
              <w:instrText xml:space="preserve"> PAGEREF _Toc210700705 \h </w:instrText>
            </w:r>
            <w:r w:rsidR="00056280">
              <w:rPr>
                <w:noProof/>
                <w:webHidden/>
              </w:rPr>
            </w:r>
            <w:r w:rsidR="00056280">
              <w:rPr>
                <w:noProof/>
                <w:webHidden/>
              </w:rPr>
              <w:fldChar w:fldCharType="separate"/>
            </w:r>
            <w:r w:rsidR="00056280">
              <w:rPr>
                <w:noProof/>
                <w:webHidden/>
              </w:rPr>
              <w:t>25</w:t>
            </w:r>
            <w:r w:rsidR="00056280">
              <w:rPr>
                <w:noProof/>
                <w:webHidden/>
              </w:rPr>
              <w:fldChar w:fldCharType="end"/>
            </w:r>
          </w:hyperlink>
        </w:p>
        <w:p w14:paraId="25AF9572" w14:textId="46EBE9D1"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6" w:history="1">
            <w:r w:rsidR="00056280" w:rsidRPr="008E00C4">
              <w:rPr>
                <w:rStyle w:val="Hyperlink"/>
                <w:rFonts w:cs="Arial"/>
                <w:noProof/>
              </w:rPr>
              <w:t>3.7</w:t>
            </w:r>
            <w:r w:rsidR="00056280">
              <w:rPr>
                <w:rFonts w:asciiTheme="minorHAnsi" w:eastAsiaTheme="minorEastAsia" w:hAnsiTheme="minorHAnsi"/>
                <w:noProof/>
                <w:sz w:val="24"/>
                <w:lang w:val="en-US"/>
              </w:rPr>
              <w:tab/>
            </w:r>
            <w:r w:rsidR="00056280" w:rsidRPr="008E00C4">
              <w:rPr>
                <w:rStyle w:val="Hyperlink"/>
                <w:rFonts w:cs="Arial"/>
                <w:noProof/>
              </w:rPr>
              <w:t>Ethical Considerations</w:t>
            </w:r>
            <w:r w:rsidR="00056280">
              <w:rPr>
                <w:noProof/>
                <w:webHidden/>
              </w:rPr>
              <w:tab/>
            </w:r>
            <w:r w:rsidR="00056280">
              <w:rPr>
                <w:noProof/>
                <w:webHidden/>
              </w:rPr>
              <w:fldChar w:fldCharType="begin"/>
            </w:r>
            <w:r w:rsidR="00056280">
              <w:rPr>
                <w:noProof/>
                <w:webHidden/>
              </w:rPr>
              <w:instrText xml:space="preserve"> PAGEREF _Toc210700706 \h </w:instrText>
            </w:r>
            <w:r w:rsidR="00056280">
              <w:rPr>
                <w:noProof/>
                <w:webHidden/>
              </w:rPr>
            </w:r>
            <w:r w:rsidR="00056280">
              <w:rPr>
                <w:noProof/>
                <w:webHidden/>
              </w:rPr>
              <w:fldChar w:fldCharType="separate"/>
            </w:r>
            <w:r w:rsidR="00056280">
              <w:rPr>
                <w:noProof/>
                <w:webHidden/>
              </w:rPr>
              <w:t>26</w:t>
            </w:r>
            <w:r w:rsidR="00056280">
              <w:rPr>
                <w:noProof/>
                <w:webHidden/>
              </w:rPr>
              <w:fldChar w:fldCharType="end"/>
            </w:r>
          </w:hyperlink>
        </w:p>
        <w:p w14:paraId="5C04F2CE" w14:textId="375B7D75"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7" w:history="1">
            <w:r w:rsidR="00056280" w:rsidRPr="008E00C4">
              <w:rPr>
                <w:rStyle w:val="Hyperlink"/>
                <w:noProof/>
              </w:rPr>
              <w:t>3.8</w:t>
            </w:r>
            <w:r w:rsidR="00056280">
              <w:rPr>
                <w:rFonts w:asciiTheme="minorHAnsi" w:eastAsiaTheme="minorEastAsia" w:hAnsiTheme="minorHAnsi"/>
                <w:noProof/>
                <w:sz w:val="24"/>
                <w:lang w:val="en-US"/>
              </w:rPr>
              <w:tab/>
            </w:r>
            <w:r w:rsidR="00056280" w:rsidRPr="008E00C4">
              <w:rPr>
                <w:rStyle w:val="Hyperlink"/>
                <w:noProof/>
              </w:rPr>
              <w:t>Conclusion</w:t>
            </w:r>
            <w:r w:rsidR="00056280">
              <w:rPr>
                <w:noProof/>
                <w:webHidden/>
              </w:rPr>
              <w:tab/>
            </w:r>
            <w:r w:rsidR="00056280">
              <w:rPr>
                <w:noProof/>
                <w:webHidden/>
              </w:rPr>
              <w:fldChar w:fldCharType="begin"/>
            </w:r>
            <w:r w:rsidR="00056280">
              <w:rPr>
                <w:noProof/>
                <w:webHidden/>
              </w:rPr>
              <w:instrText xml:space="preserve"> PAGEREF _Toc210700707 \h </w:instrText>
            </w:r>
            <w:r w:rsidR="00056280">
              <w:rPr>
                <w:noProof/>
                <w:webHidden/>
              </w:rPr>
            </w:r>
            <w:r w:rsidR="00056280">
              <w:rPr>
                <w:noProof/>
                <w:webHidden/>
              </w:rPr>
              <w:fldChar w:fldCharType="separate"/>
            </w:r>
            <w:r w:rsidR="00056280">
              <w:rPr>
                <w:noProof/>
                <w:webHidden/>
              </w:rPr>
              <w:t>27</w:t>
            </w:r>
            <w:r w:rsidR="00056280">
              <w:rPr>
                <w:noProof/>
                <w:webHidden/>
              </w:rPr>
              <w:fldChar w:fldCharType="end"/>
            </w:r>
          </w:hyperlink>
        </w:p>
        <w:p w14:paraId="44E3B21C" w14:textId="3B3E329E" w:rsidR="00056280" w:rsidRDefault="008A4496">
          <w:pPr>
            <w:pStyle w:val="TOC1"/>
            <w:tabs>
              <w:tab w:val="left" w:pos="440"/>
              <w:tab w:val="right" w:leader="dot" w:pos="9350"/>
            </w:tabs>
            <w:rPr>
              <w:rFonts w:asciiTheme="minorHAnsi" w:eastAsiaTheme="minorEastAsia" w:hAnsiTheme="minorHAnsi"/>
              <w:noProof/>
              <w:sz w:val="24"/>
              <w:lang w:val="en-US"/>
            </w:rPr>
          </w:pPr>
          <w:hyperlink w:anchor="_Toc210700708" w:history="1">
            <w:r w:rsidR="00056280" w:rsidRPr="008E00C4">
              <w:rPr>
                <w:rStyle w:val="Hyperlink"/>
                <w:noProof/>
              </w:rPr>
              <w:t>4.</w:t>
            </w:r>
            <w:r w:rsidR="00056280">
              <w:rPr>
                <w:rFonts w:asciiTheme="minorHAnsi" w:eastAsiaTheme="minorEastAsia" w:hAnsiTheme="minorHAnsi"/>
                <w:noProof/>
                <w:sz w:val="24"/>
                <w:lang w:val="en-US"/>
              </w:rPr>
              <w:tab/>
            </w:r>
            <w:r w:rsidR="00056280" w:rsidRPr="008E00C4">
              <w:rPr>
                <w:rStyle w:val="Hyperlink"/>
                <w:noProof/>
              </w:rPr>
              <w:t>CHAPTER FOUR: RESULTS AND DISCUSSION</w:t>
            </w:r>
            <w:r w:rsidR="00056280">
              <w:rPr>
                <w:noProof/>
                <w:webHidden/>
              </w:rPr>
              <w:tab/>
            </w:r>
            <w:r w:rsidR="00056280">
              <w:rPr>
                <w:noProof/>
                <w:webHidden/>
              </w:rPr>
              <w:fldChar w:fldCharType="begin"/>
            </w:r>
            <w:r w:rsidR="00056280">
              <w:rPr>
                <w:noProof/>
                <w:webHidden/>
              </w:rPr>
              <w:instrText xml:space="preserve"> PAGEREF _Toc210700708 \h </w:instrText>
            </w:r>
            <w:r w:rsidR="00056280">
              <w:rPr>
                <w:noProof/>
                <w:webHidden/>
              </w:rPr>
            </w:r>
            <w:r w:rsidR="00056280">
              <w:rPr>
                <w:noProof/>
                <w:webHidden/>
              </w:rPr>
              <w:fldChar w:fldCharType="separate"/>
            </w:r>
            <w:r w:rsidR="00056280">
              <w:rPr>
                <w:noProof/>
                <w:webHidden/>
              </w:rPr>
              <w:t>28</w:t>
            </w:r>
            <w:r w:rsidR="00056280">
              <w:rPr>
                <w:noProof/>
                <w:webHidden/>
              </w:rPr>
              <w:fldChar w:fldCharType="end"/>
            </w:r>
          </w:hyperlink>
        </w:p>
        <w:p w14:paraId="6E34BDE0" w14:textId="1FAE6823"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09" w:history="1">
            <w:r w:rsidR="00056280" w:rsidRPr="008E00C4">
              <w:rPr>
                <w:rStyle w:val="Hyperlink"/>
                <w:noProof/>
              </w:rPr>
              <w:t>4.1</w:t>
            </w:r>
            <w:r w:rsidR="00056280">
              <w:rPr>
                <w:rFonts w:asciiTheme="minorHAnsi" w:eastAsiaTheme="minorEastAsia" w:hAnsiTheme="minorHAnsi"/>
                <w:noProof/>
                <w:sz w:val="24"/>
                <w:lang w:val="en-US"/>
              </w:rPr>
              <w:tab/>
            </w:r>
            <w:r w:rsidR="00056280" w:rsidRPr="008E00C4">
              <w:rPr>
                <w:rStyle w:val="Hyperlink"/>
                <w:noProof/>
              </w:rPr>
              <w:t>Chapter Overview</w:t>
            </w:r>
            <w:r w:rsidR="00056280">
              <w:rPr>
                <w:noProof/>
                <w:webHidden/>
              </w:rPr>
              <w:tab/>
            </w:r>
            <w:r w:rsidR="00056280">
              <w:rPr>
                <w:noProof/>
                <w:webHidden/>
              </w:rPr>
              <w:fldChar w:fldCharType="begin"/>
            </w:r>
            <w:r w:rsidR="00056280">
              <w:rPr>
                <w:noProof/>
                <w:webHidden/>
              </w:rPr>
              <w:instrText xml:space="preserve"> PAGEREF _Toc210700709 \h </w:instrText>
            </w:r>
            <w:r w:rsidR="00056280">
              <w:rPr>
                <w:noProof/>
                <w:webHidden/>
              </w:rPr>
            </w:r>
            <w:r w:rsidR="00056280">
              <w:rPr>
                <w:noProof/>
                <w:webHidden/>
              </w:rPr>
              <w:fldChar w:fldCharType="separate"/>
            </w:r>
            <w:r w:rsidR="00056280">
              <w:rPr>
                <w:noProof/>
                <w:webHidden/>
              </w:rPr>
              <w:t>28</w:t>
            </w:r>
            <w:r w:rsidR="00056280">
              <w:rPr>
                <w:noProof/>
                <w:webHidden/>
              </w:rPr>
              <w:fldChar w:fldCharType="end"/>
            </w:r>
          </w:hyperlink>
        </w:p>
        <w:p w14:paraId="7865352E" w14:textId="577E817A"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10" w:history="1">
            <w:r w:rsidR="00056280" w:rsidRPr="008E00C4">
              <w:rPr>
                <w:rStyle w:val="Hyperlink"/>
                <w:noProof/>
              </w:rPr>
              <w:t>4.2</w:t>
            </w:r>
            <w:r w:rsidR="00056280">
              <w:rPr>
                <w:rFonts w:asciiTheme="minorHAnsi" w:eastAsiaTheme="minorEastAsia" w:hAnsiTheme="minorHAnsi"/>
                <w:noProof/>
                <w:sz w:val="24"/>
                <w:lang w:val="en-US"/>
              </w:rPr>
              <w:tab/>
            </w:r>
            <w:r w:rsidR="00056280" w:rsidRPr="008E00C4">
              <w:rPr>
                <w:rStyle w:val="Hyperlink"/>
                <w:noProof/>
              </w:rPr>
              <w:t>Overview of Selected Studies</w:t>
            </w:r>
            <w:r w:rsidR="00056280">
              <w:rPr>
                <w:noProof/>
                <w:webHidden/>
              </w:rPr>
              <w:tab/>
            </w:r>
            <w:r w:rsidR="00056280">
              <w:rPr>
                <w:noProof/>
                <w:webHidden/>
              </w:rPr>
              <w:fldChar w:fldCharType="begin"/>
            </w:r>
            <w:r w:rsidR="00056280">
              <w:rPr>
                <w:noProof/>
                <w:webHidden/>
              </w:rPr>
              <w:instrText xml:space="preserve"> PAGEREF _Toc210700710 \h </w:instrText>
            </w:r>
            <w:r w:rsidR="00056280">
              <w:rPr>
                <w:noProof/>
                <w:webHidden/>
              </w:rPr>
            </w:r>
            <w:r w:rsidR="00056280">
              <w:rPr>
                <w:noProof/>
                <w:webHidden/>
              </w:rPr>
              <w:fldChar w:fldCharType="separate"/>
            </w:r>
            <w:r w:rsidR="00056280">
              <w:rPr>
                <w:noProof/>
                <w:webHidden/>
              </w:rPr>
              <w:t>28</w:t>
            </w:r>
            <w:r w:rsidR="00056280">
              <w:rPr>
                <w:noProof/>
                <w:webHidden/>
              </w:rPr>
              <w:fldChar w:fldCharType="end"/>
            </w:r>
          </w:hyperlink>
        </w:p>
        <w:p w14:paraId="5DB61AD3" w14:textId="6D462AC6"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1" w:history="1">
            <w:r w:rsidR="00056280" w:rsidRPr="008E00C4">
              <w:rPr>
                <w:rStyle w:val="Hyperlink"/>
                <w:noProof/>
              </w:rPr>
              <w:t>4.2.1</w:t>
            </w:r>
            <w:r w:rsidR="00056280">
              <w:rPr>
                <w:rFonts w:asciiTheme="minorHAnsi" w:eastAsiaTheme="minorEastAsia" w:hAnsiTheme="minorHAnsi"/>
                <w:noProof/>
                <w:sz w:val="24"/>
                <w:lang w:val="en-US"/>
              </w:rPr>
              <w:tab/>
            </w:r>
            <w:r w:rsidR="00056280" w:rsidRPr="008E00C4">
              <w:rPr>
                <w:rStyle w:val="Hyperlink"/>
                <w:noProof/>
              </w:rPr>
              <w:t>Summary of Selected Studies</w:t>
            </w:r>
            <w:r w:rsidR="00056280">
              <w:rPr>
                <w:noProof/>
                <w:webHidden/>
              </w:rPr>
              <w:tab/>
            </w:r>
            <w:r w:rsidR="00056280">
              <w:rPr>
                <w:noProof/>
                <w:webHidden/>
              </w:rPr>
              <w:fldChar w:fldCharType="begin"/>
            </w:r>
            <w:r w:rsidR="00056280">
              <w:rPr>
                <w:noProof/>
                <w:webHidden/>
              </w:rPr>
              <w:instrText xml:space="preserve"> PAGEREF _Toc210700711 \h </w:instrText>
            </w:r>
            <w:r w:rsidR="00056280">
              <w:rPr>
                <w:noProof/>
                <w:webHidden/>
              </w:rPr>
            </w:r>
            <w:r w:rsidR="00056280">
              <w:rPr>
                <w:noProof/>
                <w:webHidden/>
              </w:rPr>
              <w:fldChar w:fldCharType="separate"/>
            </w:r>
            <w:r w:rsidR="00056280">
              <w:rPr>
                <w:noProof/>
                <w:webHidden/>
              </w:rPr>
              <w:t>31</w:t>
            </w:r>
            <w:r w:rsidR="00056280">
              <w:rPr>
                <w:noProof/>
                <w:webHidden/>
              </w:rPr>
              <w:fldChar w:fldCharType="end"/>
            </w:r>
          </w:hyperlink>
        </w:p>
        <w:p w14:paraId="2E2FE6E5" w14:textId="3E0B21E9"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2" w:history="1">
            <w:r w:rsidR="00056280" w:rsidRPr="008E00C4">
              <w:rPr>
                <w:rStyle w:val="Hyperlink"/>
                <w:noProof/>
              </w:rPr>
              <w:t>4.2.2</w:t>
            </w:r>
            <w:r w:rsidR="00056280">
              <w:rPr>
                <w:rFonts w:asciiTheme="minorHAnsi" w:eastAsiaTheme="minorEastAsia" w:hAnsiTheme="minorHAnsi"/>
                <w:noProof/>
                <w:sz w:val="24"/>
                <w:lang w:val="en-US"/>
              </w:rPr>
              <w:tab/>
            </w:r>
            <w:r w:rsidR="00056280" w:rsidRPr="008E00C4">
              <w:rPr>
                <w:rStyle w:val="Hyperlink"/>
                <w:noProof/>
              </w:rPr>
              <w:t>Narrative Synthesis</w:t>
            </w:r>
            <w:r w:rsidR="00056280">
              <w:rPr>
                <w:noProof/>
                <w:webHidden/>
              </w:rPr>
              <w:tab/>
            </w:r>
            <w:r w:rsidR="00056280">
              <w:rPr>
                <w:noProof/>
                <w:webHidden/>
              </w:rPr>
              <w:fldChar w:fldCharType="begin"/>
            </w:r>
            <w:r w:rsidR="00056280">
              <w:rPr>
                <w:noProof/>
                <w:webHidden/>
              </w:rPr>
              <w:instrText xml:space="preserve"> PAGEREF _Toc210700712 \h </w:instrText>
            </w:r>
            <w:r w:rsidR="00056280">
              <w:rPr>
                <w:noProof/>
                <w:webHidden/>
              </w:rPr>
            </w:r>
            <w:r w:rsidR="00056280">
              <w:rPr>
                <w:noProof/>
                <w:webHidden/>
              </w:rPr>
              <w:fldChar w:fldCharType="separate"/>
            </w:r>
            <w:r w:rsidR="00056280">
              <w:rPr>
                <w:noProof/>
                <w:webHidden/>
              </w:rPr>
              <w:t>34</w:t>
            </w:r>
            <w:r w:rsidR="00056280">
              <w:rPr>
                <w:noProof/>
                <w:webHidden/>
              </w:rPr>
              <w:fldChar w:fldCharType="end"/>
            </w:r>
          </w:hyperlink>
        </w:p>
        <w:p w14:paraId="7EB9BBA6" w14:textId="1DCB7952"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13" w:history="1">
            <w:r w:rsidR="00056280" w:rsidRPr="008E00C4">
              <w:rPr>
                <w:rStyle w:val="Hyperlink"/>
                <w:noProof/>
              </w:rPr>
              <w:t>4.3</w:t>
            </w:r>
            <w:r w:rsidR="00056280">
              <w:rPr>
                <w:rFonts w:asciiTheme="minorHAnsi" w:eastAsiaTheme="minorEastAsia" w:hAnsiTheme="minorHAnsi"/>
                <w:noProof/>
                <w:sz w:val="24"/>
                <w:lang w:val="en-US"/>
              </w:rPr>
              <w:tab/>
            </w:r>
            <w:r w:rsidR="00056280" w:rsidRPr="008E00C4">
              <w:rPr>
                <w:rStyle w:val="Hyperlink"/>
                <w:noProof/>
              </w:rPr>
              <w:t>Thematic Analysis Findings</w:t>
            </w:r>
            <w:r w:rsidR="00056280">
              <w:rPr>
                <w:noProof/>
                <w:webHidden/>
              </w:rPr>
              <w:tab/>
            </w:r>
            <w:r w:rsidR="00056280">
              <w:rPr>
                <w:noProof/>
                <w:webHidden/>
              </w:rPr>
              <w:fldChar w:fldCharType="begin"/>
            </w:r>
            <w:r w:rsidR="00056280">
              <w:rPr>
                <w:noProof/>
                <w:webHidden/>
              </w:rPr>
              <w:instrText xml:space="preserve"> PAGEREF _Toc210700713 \h </w:instrText>
            </w:r>
            <w:r w:rsidR="00056280">
              <w:rPr>
                <w:noProof/>
                <w:webHidden/>
              </w:rPr>
            </w:r>
            <w:r w:rsidR="00056280">
              <w:rPr>
                <w:noProof/>
                <w:webHidden/>
              </w:rPr>
              <w:fldChar w:fldCharType="separate"/>
            </w:r>
            <w:r w:rsidR="00056280">
              <w:rPr>
                <w:noProof/>
                <w:webHidden/>
              </w:rPr>
              <w:t>34</w:t>
            </w:r>
            <w:r w:rsidR="00056280">
              <w:rPr>
                <w:noProof/>
                <w:webHidden/>
              </w:rPr>
              <w:fldChar w:fldCharType="end"/>
            </w:r>
          </w:hyperlink>
        </w:p>
        <w:p w14:paraId="3660D50D" w14:textId="0C65912A"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4" w:history="1">
            <w:r w:rsidR="00056280" w:rsidRPr="008E00C4">
              <w:rPr>
                <w:rStyle w:val="Hyperlink"/>
                <w:noProof/>
              </w:rPr>
              <w:t>4.3.1</w:t>
            </w:r>
            <w:r w:rsidR="00056280">
              <w:rPr>
                <w:rFonts w:asciiTheme="minorHAnsi" w:eastAsiaTheme="minorEastAsia" w:hAnsiTheme="minorHAnsi"/>
                <w:noProof/>
                <w:sz w:val="24"/>
                <w:lang w:val="en-US"/>
              </w:rPr>
              <w:tab/>
            </w:r>
            <w:r w:rsidR="00056280" w:rsidRPr="008E00C4">
              <w:rPr>
                <w:rStyle w:val="Hyperlink"/>
                <w:noProof/>
              </w:rPr>
              <w:t>Theme 1: Influence of Social Determinants on Professional Practice</w:t>
            </w:r>
            <w:r w:rsidR="00056280">
              <w:rPr>
                <w:noProof/>
                <w:webHidden/>
              </w:rPr>
              <w:tab/>
            </w:r>
            <w:r w:rsidR="00056280">
              <w:rPr>
                <w:noProof/>
                <w:webHidden/>
              </w:rPr>
              <w:fldChar w:fldCharType="begin"/>
            </w:r>
            <w:r w:rsidR="00056280">
              <w:rPr>
                <w:noProof/>
                <w:webHidden/>
              </w:rPr>
              <w:instrText xml:space="preserve"> PAGEREF _Toc210700714 \h </w:instrText>
            </w:r>
            <w:r w:rsidR="00056280">
              <w:rPr>
                <w:noProof/>
                <w:webHidden/>
              </w:rPr>
            </w:r>
            <w:r w:rsidR="00056280">
              <w:rPr>
                <w:noProof/>
                <w:webHidden/>
              </w:rPr>
              <w:fldChar w:fldCharType="separate"/>
            </w:r>
            <w:r w:rsidR="00056280">
              <w:rPr>
                <w:noProof/>
                <w:webHidden/>
              </w:rPr>
              <w:t>35</w:t>
            </w:r>
            <w:r w:rsidR="00056280">
              <w:rPr>
                <w:noProof/>
                <w:webHidden/>
              </w:rPr>
              <w:fldChar w:fldCharType="end"/>
            </w:r>
          </w:hyperlink>
        </w:p>
        <w:p w14:paraId="3BDA3667" w14:textId="29587F6D"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5" w:history="1">
            <w:r w:rsidR="00056280" w:rsidRPr="008E00C4">
              <w:rPr>
                <w:rStyle w:val="Hyperlink"/>
                <w:noProof/>
              </w:rPr>
              <w:t>4.3.2</w:t>
            </w:r>
            <w:r w:rsidR="00056280">
              <w:rPr>
                <w:rFonts w:asciiTheme="minorHAnsi" w:eastAsiaTheme="minorEastAsia" w:hAnsiTheme="minorHAnsi"/>
                <w:noProof/>
                <w:sz w:val="24"/>
                <w:lang w:val="en-US"/>
              </w:rPr>
              <w:tab/>
            </w:r>
            <w:r w:rsidR="00056280" w:rsidRPr="008E00C4">
              <w:rPr>
                <w:rStyle w:val="Hyperlink"/>
                <w:noProof/>
              </w:rPr>
              <w:t>Theme 2: Barriers Faced by Health and Social Care Professionals</w:t>
            </w:r>
            <w:r w:rsidR="00056280">
              <w:rPr>
                <w:noProof/>
                <w:webHidden/>
              </w:rPr>
              <w:tab/>
            </w:r>
            <w:r w:rsidR="00056280">
              <w:rPr>
                <w:noProof/>
                <w:webHidden/>
              </w:rPr>
              <w:fldChar w:fldCharType="begin"/>
            </w:r>
            <w:r w:rsidR="00056280">
              <w:rPr>
                <w:noProof/>
                <w:webHidden/>
              </w:rPr>
              <w:instrText xml:space="preserve"> PAGEREF _Toc210700715 \h </w:instrText>
            </w:r>
            <w:r w:rsidR="00056280">
              <w:rPr>
                <w:noProof/>
                <w:webHidden/>
              </w:rPr>
            </w:r>
            <w:r w:rsidR="00056280">
              <w:rPr>
                <w:noProof/>
                <w:webHidden/>
              </w:rPr>
              <w:fldChar w:fldCharType="separate"/>
            </w:r>
            <w:r w:rsidR="00056280">
              <w:rPr>
                <w:noProof/>
                <w:webHidden/>
              </w:rPr>
              <w:t>36</w:t>
            </w:r>
            <w:r w:rsidR="00056280">
              <w:rPr>
                <w:noProof/>
                <w:webHidden/>
              </w:rPr>
              <w:fldChar w:fldCharType="end"/>
            </w:r>
          </w:hyperlink>
        </w:p>
        <w:p w14:paraId="3D65EFB9" w14:textId="571B826B"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6" w:history="1">
            <w:r w:rsidR="00056280" w:rsidRPr="008E00C4">
              <w:rPr>
                <w:rStyle w:val="Hyperlink"/>
                <w:noProof/>
              </w:rPr>
              <w:t>4.3.3</w:t>
            </w:r>
            <w:r w:rsidR="00056280">
              <w:rPr>
                <w:rFonts w:asciiTheme="minorHAnsi" w:eastAsiaTheme="minorEastAsia" w:hAnsiTheme="minorHAnsi"/>
                <w:noProof/>
                <w:sz w:val="24"/>
                <w:lang w:val="en-US"/>
              </w:rPr>
              <w:tab/>
            </w:r>
            <w:r w:rsidR="00056280" w:rsidRPr="008E00C4">
              <w:rPr>
                <w:rStyle w:val="Hyperlink"/>
                <w:noProof/>
              </w:rPr>
              <w:t>Theme 3: Strategies and Interventions by Professionals</w:t>
            </w:r>
            <w:r w:rsidR="00056280">
              <w:rPr>
                <w:noProof/>
                <w:webHidden/>
              </w:rPr>
              <w:tab/>
            </w:r>
            <w:r w:rsidR="00056280">
              <w:rPr>
                <w:noProof/>
                <w:webHidden/>
              </w:rPr>
              <w:fldChar w:fldCharType="begin"/>
            </w:r>
            <w:r w:rsidR="00056280">
              <w:rPr>
                <w:noProof/>
                <w:webHidden/>
              </w:rPr>
              <w:instrText xml:space="preserve"> PAGEREF _Toc210700716 \h </w:instrText>
            </w:r>
            <w:r w:rsidR="00056280">
              <w:rPr>
                <w:noProof/>
                <w:webHidden/>
              </w:rPr>
            </w:r>
            <w:r w:rsidR="00056280">
              <w:rPr>
                <w:noProof/>
                <w:webHidden/>
              </w:rPr>
              <w:fldChar w:fldCharType="separate"/>
            </w:r>
            <w:r w:rsidR="00056280">
              <w:rPr>
                <w:noProof/>
                <w:webHidden/>
              </w:rPr>
              <w:t>37</w:t>
            </w:r>
            <w:r w:rsidR="00056280">
              <w:rPr>
                <w:noProof/>
                <w:webHidden/>
              </w:rPr>
              <w:fldChar w:fldCharType="end"/>
            </w:r>
          </w:hyperlink>
        </w:p>
        <w:p w14:paraId="0AAA720A" w14:textId="71F00AD4"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7" w:history="1">
            <w:r w:rsidR="00056280" w:rsidRPr="008E00C4">
              <w:rPr>
                <w:rStyle w:val="Hyperlink"/>
                <w:noProof/>
              </w:rPr>
              <w:t>4.3.4</w:t>
            </w:r>
            <w:r w:rsidR="00056280">
              <w:rPr>
                <w:rFonts w:asciiTheme="minorHAnsi" w:eastAsiaTheme="minorEastAsia" w:hAnsiTheme="minorHAnsi"/>
                <w:noProof/>
                <w:sz w:val="24"/>
                <w:lang w:val="en-US"/>
              </w:rPr>
              <w:tab/>
            </w:r>
            <w:r w:rsidR="00056280" w:rsidRPr="008E00C4">
              <w:rPr>
                <w:rStyle w:val="Hyperlink"/>
                <w:noProof/>
              </w:rPr>
              <w:t>Theme 4: Role of Policy and Institutional Frameworks</w:t>
            </w:r>
            <w:r w:rsidR="00056280">
              <w:rPr>
                <w:noProof/>
                <w:webHidden/>
              </w:rPr>
              <w:tab/>
            </w:r>
            <w:r w:rsidR="00056280">
              <w:rPr>
                <w:noProof/>
                <w:webHidden/>
              </w:rPr>
              <w:fldChar w:fldCharType="begin"/>
            </w:r>
            <w:r w:rsidR="00056280">
              <w:rPr>
                <w:noProof/>
                <w:webHidden/>
              </w:rPr>
              <w:instrText xml:space="preserve"> PAGEREF _Toc210700717 \h </w:instrText>
            </w:r>
            <w:r w:rsidR="00056280">
              <w:rPr>
                <w:noProof/>
                <w:webHidden/>
              </w:rPr>
            </w:r>
            <w:r w:rsidR="00056280">
              <w:rPr>
                <w:noProof/>
                <w:webHidden/>
              </w:rPr>
              <w:fldChar w:fldCharType="separate"/>
            </w:r>
            <w:r w:rsidR="00056280">
              <w:rPr>
                <w:noProof/>
                <w:webHidden/>
              </w:rPr>
              <w:t>38</w:t>
            </w:r>
            <w:r w:rsidR="00056280">
              <w:rPr>
                <w:noProof/>
                <w:webHidden/>
              </w:rPr>
              <w:fldChar w:fldCharType="end"/>
            </w:r>
          </w:hyperlink>
        </w:p>
        <w:p w14:paraId="47E59757" w14:textId="3E297270"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18" w:history="1">
            <w:r w:rsidR="00056280" w:rsidRPr="008E00C4">
              <w:rPr>
                <w:rStyle w:val="Hyperlink"/>
                <w:noProof/>
              </w:rPr>
              <w:t>4.4</w:t>
            </w:r>
            <w:r w:rsidR="00056280">
              <w:rPr>
                <w:rFonts w:asciiTheme="minorHAnsi" w:eastAsiaTheme="minorEastAsia" w:hAnsiTheme="minorHAnsi"/>
                <w:noProof/>
                <w:sz w:val="24"/>
                <w:lang w:val="en-US"/>
              </w:rPr>
              <w:tab/>
            </w:r>
            <w:r w:rsidR="00056280" w:rsidRPr="008E00C4">
              <w:rPr>
                <w:rStyle w:val="Hyperlink"/>
                <w:noProof/>
              </w:rPr>
              <w:t>Discussion</w:t>
            </w:r>
            <w:r w:rsidR="00056280">
              <w:rPr>
                <w:noProof/>
                <w:webHidden/>
              </w:rPr>
              <w:tab/>
            </w:r>
            <w:r w:rsidR="00056280">
              <w:rPr>
                <w:noProof/>
                <w:webHidden/>
              </w:rPr>
              <w:fldChar w:fldCharType="begin"/>
            </w:r>
            <w:r w:rsidR="00056280">
              <w:rPr>
                <w:noProof/>
                <w:webHidden/>
              </w:rPr>
              <w:instrText xml:space="preserve"> PAGEREF _Toc210700718 \h </w:instrText>
            </w:r>
            <w:r w:rsidR="00056280">
              <w:rPr>
                <w:noProof/>
                <w:webHidden/>
              </w:rPr>
            </w:r>
            <w:r w:rsidR="00056280">
              <w:rPr>
                <w:noProof/>
                <w:webHidden/>
              </w:rPr>
              <w:fldChar w:fldCharType="separate"/>
            </w:r>
            <w:r w:rsidR="00056280">
              <w:rPr>
                <w:noProof/>
                <w:webHidden/>
              </w:rPr>
              <w:t>40</w:t>
            </w:r>
            <w:r w:rsidR="00056280">
              <w:rPr>
                <w:noProof/>
                <w:webHidden/>
              </w:rPr>
              <w:fldChar w:fldCharType="end"/>
            </w:r>
          </w:hyperlink>
        </w:p>
        <w:p w14:paraId="4DEBB6CD" w14:textId="52407638"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19" w:history="1">
            <w:r w:rsidR="00056280" w:rsidRPr="008E00C4">
              <w:rPr>
                <w:rStyle w:val="Hyperlink"/>
                <w:noProof/>
              </w:rPr>
              <w:t>4.4.1</w:t>
            </w:r>
            <w:r w:rsidR="00056280">
              <w:rPr>
                <w:rFonts w:asciiTheme="minorHAnsi" w:eastAsiaTheme="minorEastAsia" w:hAnsiTheme="minorHAnsi"/>
                <w:noProof/>
                <w:sz w:val="24"/>
                <w:lang w:val="en-US"/>
              </w:rPr>
              <w:tab/>
            </w:r>
            <w:r w:rsidR="00056280" w:rsidRPr="008E00C4">
              <w:rPr>
                <w:rStyle w:val="Hyperlink"/>
                <w:noProof/>
              </w:rPr>
              <w:t>Principal Findings</w:t>
            </w:r>
            <w:r w:rsidR="00056280">
              <w:rPr>
                <w:noProof/>
                <w:webHidden/>
              </w:rPr>
              <w:tab/>
            </w:r>
            <w:r w:rsidR="00056280">
              <w:rPr>
                <w:noProof/>
                <w:webHidden/>
              </w:rPr>
              <w:fldChar w:fldCharType="begin"/>
            </w:r>
            <w:r w:rsidR="00056280">
              <w:rPr>
                <w:noProof/>
                <w:webHidden/>
              </w:rPr>
              <w:instrText xml:space="preserve"> PAGEREF _Toc210700719 \h </w:instrText>
            </w:r>
            <w:r w:rsidR="00056280">
              <w:rPr>
                <w:noProof/>
                <w:webHidden/>
              </w:rPr>
            </w:r>
            <w:r w:rsidR="00056280">
              <w:rPr>
                <w:noProof/>
                <w:webHidden/>
              </w:rPr>
              <w:fldChar w:fldCharType="separate"/>
            </w:r>
            <w:r w:rsidR="00056280">
              <w:rPr>
                <w:noProof/>
                <w:webHidden/>
              </w:rPr>
              <w:t>40</w:t>
            </w:r>
            <w:r w:rsidR="00056280">
              <w:rPr>
                <w:noProof/>
                <w:webHidden/>
              </w:rPr>
              <w:fldChar w:fldCharType="end"/>
            </w:r>
          </w:hyperlink>
        </w:p>
        <w:p w14:paraId="66D0BA46" w14:textId="5254BF3B"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20" w:history="1">
            <w:r w:rsidR="00056280" w:rsidRPr="008E00C4">
              <w:rPr>
                <w:rStyle w:val="Hyperlink"/>
                <w:noProof/>
              </w:rPr>
              <w:t>4.4.2</w:t>
            </w:r>
            <w:r w:rsidR="00056280">
              <w:rPr>
                <w:rFonts w:asciiTheme="minorHAnsi" w:eastAsiaTheme="minorEastAsia" w:hAnsiTheme="minorHAnsi"/>
                <w:noProof/>
                <w:sz w:val="24"/>
                <w:lang w:val="en-US"/>
              </w:rPr>
              <w:tab/>
            </w:r>
            <w:r w:rsidR="00056280" w:rsidRPr="008E00C4">
              <w:rPr>
                <w:rStyle w:val="Hyperlink"/>
                <w:noProof/>
              </w:rPr>
              <w:t>Comparison with Existing Literature</w:t>
            </w:r>
            <w:r w:rsidR="00056280">
              <w:rPr>
                <w:noProof/>
                <w:webHidden/>
              </w:rPr>
              <w:tab/>
            </w:r>
            <w:r w:rsidR="00056280">
              <w:rPr>
                <w:noProof/>
                <w:webHidden/>
              </w:rPr>
              <w:fldChar w:fldCharType="begin"/>
            </w:r>
            <w:r w:rsidR="00056280">
              <w:rPr>
                <w:noProof/>
                <w:webHidden/>
              </w:rPr>
              <w:instrText xml:space="preserve"> PAGEREF _Toc210700720 \h </w:instrText>
            </w:r>
            <w:r w:rsidR="00056280">
              <w:rPr>
                <w:noProof/>
                <w:webHidden/>
              </w:rPr>
            </w:r>
            <w:r w:rsidR="00056280">
              <w:rPr>
                <w:noProof/>
                <w:webHidden/>
              </w:rPr>
              <w:fldChar w:fldCharType="separate"/>
            </w:r>
            <w:r w:rsidR="00056280">
              <w:rPr>
                <w:noProof/>
                <w:webHidden/>
              </w:rPr>
              <w:t>40</w:t>
            </w:r>
            <w:r w:rsidR="00056280">
              <w:rPr>
                <w:noProof/>
                <w:webHidden/>
              </w:rPr>
              <w:fldChar w:fldCharType="end"/>
            </w:r>
          </w:hyperlink>
        </w:p>
        <w:p w14:paraId="70870D88" w14:textId="63B4119B"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21" w:history="1">
            <w:r w:rsidR="00056280" w:rsidRPr="008E00C4">
              <w:rPr>
                <w:rStyle w:val="Hyperlink"/>
                <w:noProof/>
              </w:rPr>
              <w:t>4.4.3</w:t>
            </w:r>
            <w:r w:rsidR="00056280">
              <w:rPr>
                <w:rFonts w:asciiTheme="minorHAnsi" w:eastAsiaTheme="minorEastAsia" w:hAnsiTheme="minorHAnsi"/>
                <w:noProof/>
                <w:sz w:val="24"/>
                <w:lang w:val="en-US"/>
              </w:rPr>
              <w:tab/>
            </w:r>
            <w:r w:rsidR="00056280" w:rsidRPr="008E00C4">
              <w:rPr>
                <w:rStyle w:val="Hyperlink"/>
                <w:noProof/>
              </w:rPr>
              <w:t>Strengths and Weaknesses of Included Studies and Current Study</w:t>
            </w:r>
            <w:r w:rsidR="00056280">
              <w:rPr>
                <w:noProof/>
                <w:webHidden/>
              </w:rPr>
              <w:tab/>
            </w:r>
            <w:r w:rsidR="00056280">
              <w:rPr>
                <w:noProof/>
                <w:webHidden/>
              </w:rPr>
              <w:fldChar w:fldCharType="begin"/>
            </w:r>
            <w:r w:rsidR="00056280">
              <w:rPr>
                <w:noProof/>
                <w:webHidden/>
              </w:rPr>
              <w:instrText xml:space="preserve"> PAGEREF _Toc210700721 \h </w:instrText>
            </w:r>
            <w:r w:rsidR="00056280">
              <w:rPr>
                <w:noProof/>
                <w:webHidden/>
              </w:rPr>
            </w:r>
            <w:r w:rsidR="00056280">
              <w:rPr>
                <w:noProof/>
                <w:webHidden/>
              </w:rPr>
              <w:fldChar w:fldCharType="separate"/>
            </w:r>
            <w:r w:rsidR="00056280">
              <w:rPr>
                <w:noProof/>
                <w:webHidden/>
              </w:rPr>
              <w:t>41</w:t>
            </w:r>
            <w:r w:rsidR="00056280">
              <w:rPr>
                <w:noProof/>
                <w:webHidden/>
              </w:rPr>
              <w:fldChar w:fldCharType="end"/>
            </w:r>
          </w:hyperlink>
        </w:p>
        <w:p w14:paraId="081F0F26" w14:textId="3B08757C"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22" w:history="1">
            <w:r w:rsidR="00056280" w:rsidRPr="008E00C4">
              <w:rPr>
                <w:rStyle w:val="Hyperlink"/>
                <w:noProof/>
              </w:rPr>
              <w:t>4.4.4</w:t>
            </w:r>
            <w:r w:rsidR="00056280">
              <w:rPr>
                <w:rFonts w:asciiTheme="minorHAnsi" w:eastAsiaTheme="minorEastAsia" w:hAnsiTheme="minorHAnsi"/>
                <w:noProof/>
                <w:sz w:val="24"/>
                <w:lang w:val="en-US"/>
              </w:rPr>
              <w:tab/>
            </w:r>
            <w:r w:rsidR="00056280" w:rsidRPr="008E00C4">
              <w:rPr>
                <w:rStyle w:val="Hyperlink"/>
                <w:noProof/>
              </w:rPr>
              <w:t>Implications for Practice and Policy</w:t>
            </w:r>
            <w:r w:rsidR="00056280">
              <w:rPr>
                <w:noProof/>
                <w:webHidden/>
              </w:rPr>
              <w:tab/>
            </w:r>
            <w:r w:rsidR="00056280">
              <w:rPr>
                <w:noProof/>
                <w:webHidden/>
              </w:rPr>
              <w:fldChar w:fldCharType="begin"/>
            </w:r>
            <w:r w:rsidR="00056280">
              <w:rPr>
                <w:noProof/>
                <w:webHidden/>
              </w:rPr>
              <w:instrText xml:space="preserve"> PAGEREF _Toc210700722 \h </w:instrText>
            </w:r>
            <w:r w:rsidR="00056280">
              <w:rPr>
                <w:noProof/>
                <w:webHidden/>
              </w:rPr>
            </w:r>
            <w:r w:rsidR="00056280">
              <w:rPr>
                <w:noProof/>
                <w:webHidden/>
              </w:rPr>
              <w:fldChar w:fldCharType="separate"/>
            </w:r>
            <w:r w:rsidR="00056280">
              <w:rPr>
                <w:noProof/>
                <w:webHidden/>
              </w:rPr>
              <w:t>41</w:t>
            </w:r>
            <w:r w:rsidR="00056280">
              <w:rPr>
                <w:noProof/>
                <w:webHidden/>
              </w:rPr>
              <w:fldChar w:fldCharType="end"/>
            </w:r>
          </w:hyperlink>
        </w:p>
        <w:p w14:paraId="2A94D848" w14:textId="0220D295" w:rsidR="00056280" w:rsidRDefault="008A4496">
          <w:pPr>
            <w:pStyle w:val="TOC3"/>
            <w:tabs>
              <w:tab w:val="left" w:pos="1200"/>
              <w:tab w:val="right" w:leader="dot" w:pos="9350"/>
            </w:tabs>
            <w:rPr>
              <w:rFonts w:asciiTheme="minorHAnsi" w:eastAsiaTheme="minorEastAsia" w:hAnsiTheme="minorHAnsi"/>
              <w:noProof/>
              <w:sz w:val="24"/>
              <w:lang w:val="en-US"/>
            </w:rPr>
          </w:pPr>
          <w:hyperlink w:anchor="_Toc210700723" w:history="1">
            <w:r w:rsidR="00056280" w:rsidRPr="008E00C4">
              <w:rPr>
                <w:rStyle w:val="Hyperlink"/>
                <w:noProof/>
              </w:rPr>
              <w:t>4.4.5</w:t>
            </w:r>
            <w:r w:rsidR="00056280">
              <w:rPr>
                <w:rFonts w:asciiTheme="minorHAnsi" w:eastAsiaTheme="minorEastAsia" w:hAnsiTheme="minorHAnsi"/>
                <w:noProof/>
                <w:sz w:val="24"/>
                <w:lang w:val="en-US"/>
              </w:rPr>
              <w:tab/>
            </w:r>
            <w:r w:rsidR="00056280" w:rsidRPr="008E00C4">
              <w:rPr>
                <w:rStyle w:val="Hyperlink"/>
                <w:noProof/>
              </w:rPr>
              <w:t>Future Research Directions</w:t>
            </w:r>
            <w:r w:rsidR="00056280">
              <w:rPr>
                <w:noProof/>
                <w:webHidden/>
              </w:rPr>
              <w:tab/>
            </w:r>
            <w:r w:rsidR="00056280">
              <w:rPr>
                <w:noProof/>
                <w:webHidden/>
              </w:rPr>
              <w:fldChar w:fldCharType="begin"/>
            </w:r>
            <w:r w:rsidR="00056280">
              <w:rPr>
                <w:noProof/>
                <w:webHidden/>
              </w:rPr>
              <w:instrText xml:space="preserve"> PAGEREF _Toc210700723 \h </w:instrText>
            </w:r>
            <w:r w:rsidR="00056280">
              <w:rPr>
                <w:noProof/>
                <w:webHidden/>
              </w:rPr>
            </w:r>
            <w:r w:rsidR="00056280">
              <w:rPr>
                <w:noProof/>
                <w:webHidden/>
              </w:rPr>
              <w:fldChar w:fldCharType="separate"/>
            </w:r>
            <w:r w:rsidR="00056280">
              <w:rPr>
                <w:noProof/>
                <w:webHidden/>
              </w:rPr>
              <w:t>42</w:t>
            </w:r>
            <w:r w:rsidR="00056280">
              <w:rPr>
                <w:noProof/>
                <w:webHidden/>
              </w:rPr>
              <w:fldChar w:fldCharType="end"/>
            </w:r>
          </w:hyperlink>
        </w:p>
        <w:p w14:paraId="2B3A13D4" w14:textId="3DBC643C"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24" w:history="1">
            <w:r w:rsidR="00056280" w:rsidRPr="008E00C4">
              <w:rPr>
                <w:rStyle w:val="Hyperlink"/>
                <w:noProof/>
              </w:rPr>
              <w:t>4.5</w:t>
            </w:r>
            <w:r w:rsidR="00056280">
              <w:rPr>
                <w:rFonts w:asciiTheme="minorHAnsi" w:eastAsiaTheme="minorEastAsia" w:hAnsiTheme="minorHAnsi"/>
                <w:noProof/>
                <w:sz w:val="24"/>
                <w:lang w:val="en-US"/>
              </w:rPr>
              <w:tab/>
            </w:r>
            <w:r w:rsidR="00056280" w:rsidRPr="008E00C4">
              <w:rPr>
                <w:rStyle w:val="Hyperlink"/>
                <w:noProof/>
              </w:rPr>
              <w:t>Chapter Summary</w:t>
            </w:r>
            <w:r w:rsidR="00056280">
              <w:rPr>
                <w:noProof/>
                <w:webHidden/>
              </w:rPr>
              <w:tab/>
            </w:r>
            <w:r w:rsidR="00056280">
              <w:rPr>
                <w:noProof/>
                <w:webHidden/>
              </w:rPr>
              <w:fldChar w:fldCharType="begin"/>
            </w:r>
            <w:r w:rsidR="00056280">
              <w:rPr>
                <w:noProof/>
                <w:webHidden/>
              </w:rPr>
              <w:instrText xml:space="preserve"> PAGEREF _Toc210700724 \h </w:instrText>
            </w:r>
            <w:r w:rsidR="00056280">
              <w:rPr>
                <w:noProof/>
                <w:webHidden/>
              </w:rPr>
            </w:r>
            <w:r w:rsidR="00056280">
              <w:rPr>
                <w:noProof/>
                <w:webHidden/>
              </w:rPr>
              <w:fldChar w:fldCharType="separate"/>
            </w:r>
            <w:r w:rsidR="00056280">
              <w:rPr>
                <w:noProof/>
                <w:webHidden/>
              </w:rPr>
              <w:t>42</w:t>
            </w:r>
            <w:r w:rsidR="00056280">
              <w:rPr>
                <w:noProof/>
                <w:webHidden/>
              </w:rPr>
              <w:fldChar w:fldCharType="end"/>
            </w:r>
          </w:hyperlink>
        </w:p>
        <w:p w14:paraId="6E178567" w14:textId="5A5B2248" w:rsidR="00056280" w:rsidRDefault="008A4496">
          <w:pPr>
            <w:pStyle w:val="TOC1"/>
            <w:tabs>
              <w:tab w:val="left" w:pos="440"/>
              <w:tab w:val="right" w:leader="dot" w:pos="9350"/>
            </w:tabs>
            <w:rPr>
              <w:rFonts w:asciiTheme="minorHAnsi" w:eastAsiaTheme="minorEastAsia" w:hAnsiTheme="minorHAnsi"/>
              <w:noProof/>
              <w:sz w:val="24"/>
              <w:lang w:val="en-US"/>
            </w:rPr>
          </w:pPr>
          <w:hyperlink w:anchor="_Toc210700725" w:history="1">
            <w:r w:rsidR="00056280" w:rsidRPr="008E00C4">
              <w:rPr>
                <w:rStyle w:val="Hyperlink"/>
                <w:noProof/>
              </w:rPr>
              <w:t>5.</w:t>
            </w:r>
            <w:r w:rsidR="00056280">
              <w:rPr>
                <w:rFonts w:asciiTheme="minorHAnsi" w:eastAsiaTheme="minorEastAsia" w:hAnsiTheme="minorHAnsi"/>
                <w:noProof/>
                <w:sz w:val="24"/>
                <w:lang w:val="en-US"/>
              </w:rPr>
              <w:tab/>
            </w:r>
            <w:r w:rsidR="00056280" w:rsidRPr="008E00C4">
              <w:rPr>
                <w:rStyle w:val="Hyperlink"/>
                <w:noProof/>
              </w:rPr>
              <w:t>CHAPTER FIVE: CONCLUSIONS AND RECOMMENDATIONS</w:t>
            </w:r>
            <w:r w:rsidR="00056280">
              <w:rPr>
                <w:noProof/>
                <w:webHidden/>
              </w:rPr>
              <w:tab/>
            </w:r>
            <w:r w:rsidR="00056280">
              <w:rPr>
                <w:noProof/>
                <w:webHidden/>
              </w:rPr>
              <w:fldChar w:fldCharType="begin"/>
            </w:r>
            <w:r w:rsidR="00056280">
              <w:rPr>
                <w:noProof/>
                <w:webHidden/>
              </w:rPr>
              <w:instrText xml:space="preserve"> PAGEREF _Toc210700725 \h </w:instrText>
            </w:r>
            <w:r w:rsidR="00056280">
              <w:rPr>
                <w:noProof/>
                <w:webHidden/>
              </w:rPr>
            </w:r>
            <w:r w:rsidR="00056280">
              <w:rPr>
                <w:noProof/>
                <w:webHidden/>
              </w:rPr>
              <w:fldChar w:fldCharType="separate"/>
            </w:r>
            <w:r w:rsidR="00056280">
              <w:rPr>
                <w:noProof/>
                <w:webHidden/>
              </w:rPr>
              <w:t>43</w:t>
            </w:r>
            <w:r w:rsidR="00056280">
              <w:rPr>
                <w:noProof/>
                <w:webHidden/>
              </w:rPr>
              <w:fldChar w:fldCharType="end"/>
            </w:r>
          </w:hyperlink>
        </w:p>
        <w:p w14:paraId="1765B502" w14:textId="1051C6E5"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26" w:history="1">
            <w:r w:rsidR="00056280" w:rsidRPr="008E00C4">
              <w:rPr>
                <w:rStyle w:val="Hyperlink"/>
                <w:noProof/>
              </w:rPr>
              <w:t>5.1</w:t>
            </w:r>
            <w:r w:rsidR="00056280">
              <w:rPr>
                <w:rFonts w:asciiTheme="minorHAnsi" w:eastAsiaTheme="minorEastAsia" w:hAnsiTheme="minorHAnsi"/>
                <w:noProof/>
                <w:sz w:val="24"/>
                <w:lang w:val="en-US"/>
              </w:rPr>
              <w:tab/>
            </w:r>
            <w:r w:rsidR="00056280" w:rsidRPr="008E00C4">
              <w:rPr>
                <w:rStyle w:val="Hyperlink"/>
                <w:noProof/>
              </w:rPr>
              <w:t>Summary</w:t>
            </w:r>
            <w:r w:rsidR="00056280">
              <w:rPr>
                <w:noProof/>
                <w:webHidden/>
              </w:rPr>
              <w:tab/>
            </w:r>
            <w:r w:rsidR="00056280">
              <w:rPr>
                <w:noProof/>
                <w:webHidden/>
              </w:rPr>
              <w:fldChar w:fldCharType="begin"/>
            </w:r>
            <w:r w:rsidR="00056280">
              <w:rPr>
                <w:noProof/>
                <w:webHidden/>
              </w:rPr>
              <w:instrText xml:space="preserve"> PAGEREF _Toc210700726 \h </w:instrText>
            </w:r>
            <w:r w:rsidR="00056280">
              <w:rPr>
                <w:noProof/>
                <w:webHidden/>
              </w:rPr>
            </w:r>
            <w:r w:rsidR="00056280">
              <w:rPr>
                <w:noProof/>
                <w:webHidden/>
              </w:rPr>
              <w:fldChar w:fldCharType="separate"/>
            </w:r>
            <w:r w:rsidR="00056280">
              <w:rPr>
                <w:noProof/>
                <w:webHidden/>
              </w:rPr>
              <w:t>43</w:t>
            </w:r>
            <w:r w:rsidR="00056280">
              <w:rPr>
                <w:noProof/>
                <w:webHidden/>
              </w:rPr>
              <w:fldChar w:fldCharType="end"/>
            </w:r>
          </w:hyperlink>
        </w:p>
        <w:p w14:paraId="33DDD97B" w14:textId="5DD0EBD4"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27" w:history="1">
            <w:r w:rsidR="00056280" w:rsidRPr="008E00C4">
              <w:rPr>
                <w:rStyle w:val="Hyperlink"/>
                <w:noProof/>
              </w:rPr>
              <w:t>5.2</w:t>
            </w:r>
            <w:r w:rsidR="00056280">
              <w:rPr>
                <w:rFonts w:asciiTheme="minorHAnsi" w:eastAsiaTheme="minorEastAsia" w:hAnsiTheme="minorHAnsi"/>
                <w:noProof/>
                <w:sz w:val="24"/>
                <w:lang w:val="en-US"/>
              </w:rPr>
              <w:tab/>
            </w:r>
            <w:r w:rsidR="00056280" w:rsidRPr="008E00C4">
              <w:rPr>
                <w:rStyle w:val="Hyperlink"/>
                <w:noProof/>
              </w:rPr>
              <w:t>Synthesis of Principal Findings</w:t>
            </w:r>
            <w:r w:rsidR="00056280">
              <w:rPr>
                <w:noProof/>
                <w:webHidden/>
              </w:rPr>
              <w:tab/>
            </w:r>
            <w:r w:rsidR="00056280">
              <w:rPr>
                <w:noProof/>
                <w:webHidden/>
              </w:rPr>
              <w:fldChar w:fldCharType="begin"/>
            </w:r>
            <w:r w:rsidR="00056280">
              <w:rPr>
                <w:noProof/>
                <w:webHidden/>
              </w:rPr>
              <w:instrText xml:space="preserve"> PAGEREF _Toc210700727 \h </w:instrText>
            </w:r>
            <w:r w:rsidR="00056280">
              <w:rPr>
                <w:noProof/>
                <w:webHidden/>
              </w:rPr>
            </w:r>
            <w:r w:rsidR="00056280">
              <w:rPr>
                <w:noProof/>
                <w:webHidden/>
              </w:rPr>
              <w:fldChar w:fldCharType="separate"/>
            </w:r>
            <w:r w:rsidR="00056280">
              <w:rPr>
                <w:noProof/>
                <w:webHidden/>
              </w:rPr>
              <w:t>43</w:t>
            </w:r>
            <w:r w:rsidR="00056280">
              <w:rPr>
                <w:noProof/>
                <w:webHidden/>
              </w:rPr>
              <w:fldChar w:fldCharType="end"/>
            </w:r>
          </w:hyperlink>
        </w:p>
        <w:p w14:paraId="60ED0FA9" w14:textId="5724B7CC"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28" w:history="1">
            <w:r w:rsidR="00056280" w:rsidRPr="008E00C4">
              <w:rPr>
                <w:rStyle w:val="Hyperlink"/>
                <w:noProof/>
              </w:rPr>
              <w:t>5.3</w:t>
            </w:r>
            <w:r w:rsidR="00056280">
              <w:rPr>
                <w:rFonts w:asciiTheme="minorHAnsi" w:eastAsiaTheme="minorEastAsia" w:hAnsiTheme="minorHAnsi"/>
                <w:noProof/>
                <w:sz w:val="24"/>
                <w:lang w:val="en-US"/>
              </w:rPr>
              <w:tab/>
            </w:r>
            <w:r w:rsidR="00056280" w:rsidRPr="008E00C4">
              <w:rPr>
                <w:rStyle w:val="Hyperlink"/>
                <w:noProof/>
              </w:rPr>
              <w:t>Recommendations for Practice</w:t>
            </w:r>
            <w:r w:rsidR="00056280">
              <w:rPr>
                <w:noProof/>
                <w:webHidden/>
              </w:rPr>
              <w:tab/>
            </w:r>
            <w:r w:rsidR="00056280">
              <w:rPr>
                <w:noProof/>
                <w:webHidden/>
              </w:rPr>
              <w:fldChar w:fldCharType="begin"/>
            </w:r>
            <w:r w:rsidR="00056280">
              <w:rPr>
                <w:noProof/>
                <w:webHidden/>
              </w:rPr>
              <w:instrText xml:space="preserve"> PAGEREF _Toc210700728 \h </w:instrText>
            </w:r>
            <w:r w:rsidR="00056280">
              <w:rPr>
                <w:noProof/>
                <w:webHidden/>
              </w:rPr>
            </w:r>
            <w:r w:rsidR="00056280">
              <w:rPr>
                <w:noProof/>
                <w:webHidden/>
              </w:rPr>
              <w:fldChar w:fldCharType="separate"/>
            </w:r>
            <w:r w:rsidR="00056280">
              <w:rPr>
                <w:noProof/>
                <w:webHidden/>
              </w:rPr>
              <w:t>44</w:t>
            </w:r>
            <w:r w:rsidR="00056280">
              <w:rPr>
                <w:noProof/>
                <w:webHidden/>
              </w:rPr>
              <w:fldChar w:fldCharType="end"/>
            </w:r>
          </w:hyperlink>
        </w:p>
        <w:p w14:paraId="017EA748" w14:textId="7BDEC8E9"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29" w:history="1">
            <w:r w:rsidR="00056280" w:rsidRPr="008E00C4">
              <w:rPr>
                <w:rStyle w:val="Hyperlink"/>
                <w:noProof/>
              </w:rPr>
              <w:t>5.4</w:t>
            </w:r>
            <w:r w:rsidR="00056280">
              <w:rPr>
                <w:rFonts w:asciiTheme="minorHAnsi" w:eastAsiaTheme="minorEastAsia" w:hAnsiTheme="minorHAnsi"/>
                <w:noProof/>
                <w:sz w:val="24"/>
                <w:lang w:val="en-US"/>
              </w:rPr>
              <w:tab/>
            </w:r>
            <w:r w:rsidR="00056280" w:rsidRPr="008E00C4">
              <w:rPr>
                <w:rStyle w:val="Hyperlink"/>
                <w:noProof/>
              </w:rPr>
              <w:t>Policy Recommendations</w:t>
            </w:r>
            <w:r w:rsidR="00056280">
              <w:rPr>
                <w:noProof/>
                <w:webHidden/>
              </w:rPr>
              <w:tab/>
            </w:r>
            <w:r w:rsidR="00056280">
              <w:rPr>
                <w:noProof/>
                <w:webHidden/>
              </w:rPr>
              <w:fldChar w:fldCharType="begin"/>
            </w:r>
            <w:r w:rsidR="00056280">
              <w:rPr>
                <w:noProof/>
                <w:webHidden/>
              </w:rPr>
              <w:instrText xml:space="preserve"> PAGEREF _Toc210700729 \h </w:instrText>
            </w:r>
            <w:r w:rsidR="00056280">
              <w:rPr>
                <w:noProof/>
                <w:webHidden/>
              </w:rPr>
            </w:r>
            <w:r w:rsidR="00056280">
              <w:rPr>
                <w:noProof/>
                <w:webHidden/>
              </w:rPr>
              <w:fldChar w:fldCharType="separate"/>
            </w:r>
            <w:r w:rsidR="00056280">
              <w:rPr>
                <w:noProof/>
                <w:webHidden/>
              </w:rPr>
              <w:t>44</w:t>
            </w:r>
            <w:r w:rsidR="00056280">
              <w:rPr>
                <w:noProof/>
                <w:webHidden/>
              </w:rPr>
              <w:fldChar w:fldCharType="end"/>
            </w:r>
          </w:hyperlink>
        </w:p>
        <w:p w14:paraId="72E4234F" w14:textId="0CA2180C"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30" w:history="1">
            <w:r w:rsidR="00056280" w:rsidRPr="008E00C4">
              <w:rPr>
                <w:rStyle w:val="Hyperlink"/>
                <w:noProof/>
              </w:rPr>
              <w:t>5.5</w:t>
            </w:r>
            <w:r w:rsidR="00056280">
              <w:rPr>
                <w:rFonts w:asciiTheme="minorHAnsi" w:eastAsiaTheme="minorEastAsia" w:hAnsiTheme="minorHAnsi"/>
                <w:noProof/>
                <w:sz w:val="24"/>
                <w:lang w:val="en-US"/>
              </w:rPr>
              <w:tab/>
            </w:r>
            <w:r w:rsidR="00056280" w:rsidRPr="008E00C4">
              <w:rPr>
                <w:rStyle w:val="Hyperlink"/>
                <w:noProof/>
              </w:rPr>
              <w:t>Education, Implementation and Monitoring</w:t>
            </w:r>
            <w:r w:rsidR="00056280">
              <w:rPr>
                <w:noProof/>
                <w:webHidden/>
              </w:rPr>
              <w:tab/>
            </w:r>
            <w:r w:rsidR="00056280">
              <w:rPr>
                <w:noProof/>
                <w:webHidden/>
              </w:rPr>
              <w:fldChar w:fldCharType="begin"/>
            </w:r>
            <w:r w:rsidR="00056280">
              <w:rPr>
                <w:noProof/>
                <w:webHidden/>
              </w:rPr>
              <w:instrText xml:space="preserve"> PAGEREF _Toc210700730 \h </w:instrText>
            </w:r>
            <w:r w:rsidR="00056280">
              <w:rPr>
                <w:noProof/>
                <w:webHidden/>
              </w:rPr>
            </w:r>
            <w:r w:rsidR="00056280">
              <w:rPr>
                <w:noProof/>
                <w:webHidden/>
              </w:rPr>
              <w:fldChar w:fldCharType="separate"/>
            </w:r>
            <w:r w:rsidR="00056280">
              <w:rPr>
                <w:noProof/>
                <w:webHidden/>
              </w:rPr>
              <w:t>45</w:t>
            </w:r>
            <w:r w:rsidR="00056280">
              <w:rPr>
                <w:noProof/>
                <w:webHidden/>
              </w:rPr>
              <w:fldChar w:fldCharType="end"/>
            </w:r>
          </w:hyperlink>
        </w:p>
        <w:p w14:paraId="352B89B5" w14:textId="15BDB91D" w:rsidR="00056280" w:rsidRDefault="008A4496">
          <w:pPr>
            <w:pStyle w:val="TOC2"/>
            <w:tabs>
              <w:tab w:val="left" w:pos="960"/>
              <w:tab w:val="right" w:leader="dot" w:pos="9350"/>
            </w:tabs>
            <w:rPr>
              <w:rFonts w:asciiTheme="minorHAnsi" w:eastAsiaTheme="minorEastAsia" w:hAnsiTheme="minorHAnsi"/>
              <w:noProof/>
              <w:sz w:val="24"/>
              <w:lang w:val="en-US"/>
            </w:rPr>
          </w:pPr>
          <w:hyperlink w:anchor="_Toc210700731" w:history="1">
            <w:r w:rsidR="00056280" w:rsidRPr="008E00C4">
              <w:rPr>
                <w:rStyle w:val="Hyperlink"/>
                <w:noProof/>
              </w:rPr>
              <w:t>5.6</w:t>
            </w:r>
            <w:r w:rsidR="00056280">
              <w:rPr>
                <w:rFonts w:asciiTheme="minorHAnsi" w:eastAsiaTheme="minorEastAsia" w:hAnsiTheme="minorHAnsi"/>
                <w:noProof/>
                <w:sz w:val="24"/>
                <w:lang w:val="en-US"/>
              </w:rPr>
              <w:tab/>
            </w:r>
            <w:r w:rsidR="00056280" w:rsidRPr="008E00C4">
              <w:rPr>
                <w:rStyle w:val="Hyperlink"/>
                <w:noProof/>
              </w:rPr>
              <w:t>Future Research Priorities</w:t>
            </w:r>
            <w:r w:rsidR="00056280">
              <w:rPr>
                <w:noProof/>
                <w:webHidden/>
              </w:rPr>
              <w:tab/>
            </w:r>
            <w:r w:rsidR="00056280">
              <w:rPr>
                <w:noProof/>
                <w:webHidden/>
              </w:rPr>
              <w:fldChar w:fldCharType="begin"/>
            </w:r>
            <w:r w:rsidR="00056280">
              <w:rPr>
                <w:noProof/>
                <w:webHidden/>
              </w:rPr>
              <w:instrText xml:space="preserve"> PAGEREF _Toc210700731 \h </w:instrText>
            </w:r>
            <w:r w:rsidR="00056280">
              <w:rPr>
                <w:noProof/>
                <w:webHidden/>
              </w:rPr>
            </w:r>
            <w:r w:rsidR="00056280">
              <w:rPr>
                <w:noProof/>
                <w:webHidden/>
              </w:rPr>
              <w:fldChar w:fldCharType="separate"/>
            </w:r>
            <w:r w:rsidR="00056280">
              <w:rPr>
                <w:noProof/>
                <w:webHidden/>
              </w:rPr>
              <w:t>45</w:t>
            </w:r>
            <w:r w:rsidR="00056280">
              <w:rPr>
                <w:noProof/>
                <w:webHidden/>
              </w:rPr>
              <w:fldChar w:fldCharType="end"/>
            </w:r>
          </w:hyperlink>
        </w:p>
        <w:p w14:paraId="624EBB72" w14:textId="25ED5B18" w:rsidR="00056280" w:rsidRDefault="008A4496">
          <w:pPr>
            <w:pStyle w:val="TOC1"/>
            <w:tabs>
              <w:tab w:val="left" w:pos="440"/>
              <w:tab w:val="right" w:leader="dot" w:pos="9350"/>
            </w:tabs>
            <w:rPr>
              <w:rFonts w:asciiTheme="minorHAnsi" w:eastAsiaTheme="minorEastAsia" w:hAnsiTheme="minorHAnsi"/>
              <w:noProof/>
              <w:sz w:val="24"/>
              <w:lang w:val="en-US"/>
            </w:rPr>
          </w:pPr>
          <w:hyperlink w:anchor="_Toc210700732" w:history="1">
            <w:r w:rsidR="00056280" w:rsidRPr="008E00C4">
              <w:rPr>
                <w:rStyle w:val="Hyperlink"/>
                <w:noProof/>
              </w:rPr>
              <w:t>6.</w:t>
            </w:r>
            <w:r w:rsidR="00056280">
              <w:rPr>
                <w:rFonts w:asciiTheme="minorHAnsi" w:eastAsiaTheme="minorEastAsia" w:hAnsiTheme="minorHAnsi"/>
                <w:noProof/>
                <w:sz w:val="24"/>
                <w:lang w:val="en-US"/>
              </w:rPr>
              <w:tab/>
            </w:r>
            <w:r w:rsidR="00056280" w:rsidRPr="008E00C4">
              <w:rPr>
                <w:rStyle w:val="Hyperlink"/>
                <w:noProof/>
              </w:rPr>
              <w:t>REFERENCES</w:t>
            </w:r>
            <w:r w:rsidR="00056280">
              <w:rPr>
                <w:noProof/>
                <w:webHidden/>
              </w:rPr>
              <w:tab/>
            </w:r>
            <w:r w:rsidR="00056280">
              <w:rPr>
                <w:noProof/>
                <w:webHidden/>
              </w:rPr>
              <w:fldChar w:fldCharType="begin"/>
            </w:r>
            <w:r w:rsidR="00056280">
              <w:rPr>
                <w:noProof/>
                <w:webHidden/>
              </w:rPr>
              <w:instrText xml:space="preserve"> PAGEREF _Toc210700732 \h </w:instrText>
            </w:r>
            <w:r w:rsidR="00056280">
              <w:rPr>
                <w:noProof/>
                <w:webHidden/>
              </w:rPr>
            </w:r>
            <w:r w:rsidR="00056280">
              <w:rPr>
                <w:noProof/>
                <w:webHidden/>
              </w:rPr>
              <w:fldChar w:fldCharType="separate"/>
            </w:r>
            <w:r w:rsidR="00056280">
              <w:rPr>
                <w:noProof/>
                <w:webHidden/>
              </w:rPr>
              <w:t>47</w:t>
            </w:r>
            <w:r w:rsidR="00056280">
              <w:rPr>
                <w:noProof/>
                <w:webHidden/>
              </w:rPr>
              <w:fldChar w:fldCharType="end"/>
            </w:r>
          </w:hyperlink>
        </w:p>
        <w:p w14:paraId="576F229F" w14:textId="579BBC9A" w:rsidR="00D85E8C" w:rsidRDefault="00D85E8C">
          <w:r>
            <w:rPr>
              <w:b/>
              <w:bCs/>
              <w:noProof/>
            </w:rPr>
            <w:fldChar w:fldCharType="end"/>
          </w:r>
        </w:p>
      </w:sdtContent>
    </w:sdt>
    <w:p w14:paraId="5077CEE8" w14:textId="77777777" w:rsidR="00D85E8C" w:rsidRDefault="00D85E8C">
      <w:pPr>
        <w:spacing w:line="278" w:lineRule="auto"/>
        <w:jc w:val="left"/>
        <w:rPr>
          <w:rFonts w:eastAsiaTheme="majorEastAsia" w:cstheme="majorBidi"/>
          <w:b/>
          <w:sz w:val="28"/>
          <w:szCs w:val="40"/>
        </w:rPr>
      </w:pPr>
      <w:r>
        <w:br w:type="page"/>
      </w:r>
    </w:p>
    <w:p w14:paraId="45C2018D" w14:textId="5E14EDC0" w:rsidR="00005DA8" w:rsidRDefault="006A5259" w:rsidP="009E11EA">
      <w:pPr>
        <w:pStyle w:val="Heading1"/>
      </w:pPr>
      <w:bookmarkStart w:id="1" w:name="_Toc210700670"/>
      <w:r>
        <w:lastRenderedPageBreak/>
        <w:t>ABSTRACT</w:t>
      </w:r>
      <w:bookmarkEnd w:id="1"/>
    </w:p>
    <w:p w14:paraId="7BA879D9" w14:textId="4399F1A0" w:rsidR="00814D4F" w:rsidRDefault="00814D4F" w:rsidP="00005DA8">
      <w:pPr>
        <w:rPr>
          <w:b/>
          <w:bCs/>
          <w:iCs/>
        </w:rPr>
      </w:pPr>
      <w:r>
        <w:rPr>
          <w:b/>
          <w:bCs/>
          <w:iCs/>
        </w:rPr>
        <w:t>Introduction:</w:t>
      </w:r>
    </w:p>
    <w:p w14:paraId="03D75C40" w14:textId="21425E57" w:rsidR="00814D4F" w:rsidRDefault="00814D4F" w:rsidP="00005DA8">
      <w:pPr>
        <w:rPr>
          <w:bCs/>
          <w:iCs/>
        </w:rPr>
      </w:pPr>
      <w:r>
        <w:rPr>
          <w:bCs/>
          <w:iCs/>
        </w:rPr>
        <w:t>The study discussed the role of frontline health and social care professional in alleviating health inequalities in low-income families in the UK. It explored how social determinants such as housing, income, education and employment shape professional practice and health outcomes.</w:t>
      </w:r>
    </w:p>
    <w:p w14:paraId="0A29F4FE" w14:textId="5C2D3708" w:rsidR="00814D4F" w:rsidRDefault="00814D4F" w:rsidP="00005DA8">
      <w:pPr>
        <w:rPr>
          <w:b/>
          <w:bCs/>
          <w:iCs/>
        </w:rPr>
      </w:pPr>
      <w:r>
        <w:rPr>
          <w:b/>
          <w:bCs/>
          <w:iCs/>
        </w:rPr>
        <w:t>Aim:</w:t>
      </w:r>
    </w:p>
    <w:p w14:paraId="4DA5123C" w14:textId="34622E90" w:rsidR="00814D4F" w:rsidRDefault="00814D4F" w:rsidP="00005DA8">
      <w:pPr>
        <w:rPr>
          <w:bCs/>
          <w:iCs/>
        </w:rPr>
      </w:pPr>
      <w:r>
        <w:rPr>
          <w:bCs/>
          <w:iCs/>
        </w:rPr>
        <w:t>The study aimed to examine the impact of these key social determinants on both health outcomes and the practice of frontline professionals, with a focus on how inequalities are experienced and addressed among low-income families.</w:t>
      </w:r>
    </w:p>
    <w:p w14:paraId="35A10DD3" w14:textId="70911216" w:rsidR="00814D4F" w:rsidRDefault="00814D4F" w:rsidP="00005DA8">
      <w:pPr>
        <w:rPr>
          <w:b/>
          <w:bCs/>
          <w:iCs/>
        </w:rPr>
      </w:pPr>
      <w:r>
        <w:rPr>
          <w:b/>
          <w:bCs/>
          <w:iCs/>
        </w:rPr>
        <w:t>Methodology:</w:t>
      </w:r>
    </w:p>
    <w:p w14:paraId="086FB887" w14:textId="41118C8D" w:rsidR="00814D4F" w:rsidRDefault="00814D4F" w:rsidP="00005DA8">
      <w:pPr>
        <w:rPr>
          <w:bCs/>
          <w:iCs/>
        </w:rPr>
      </w:pPr>
      <w:r>
        <w:rPr>
          <w:bCs/>
          <w:iCs/>
        </w:rPr>
        <w:t>The study used a qualitative secondary research design and a systematic literature review to investigate existing evidence. Thematic analysis was applied to the selected literature to identify recurring patterns relating to practice, inequalities, interventions, and policy effects.</w:t>
      </w:r>
    </w:p>
    <w:p w14:paraId="5949C467" w14:textId="0EB3DE2D" w:rsidR="00814D4F" w:rsidRDefault="00814D4F" w:rsidP="00005DA8">
      <w:pPr>
        <w:rPr>
          <w:b/>
          <w:bCs/>
          <w:iCs/>
        </w:rPr>
      </w:pPr>
      <w:r>
        <w:rPr>
          <w:b/>
          <w:bCs/>
          <w:iCs/>
        </w:rPr>
        <w:t>Results:</w:t>
      </w:r>
    </w:p>
    <w:p w14:paraId="255F2D54" w14:textId="563E65B0" w:rsidR="00814D4F" w:rsidRDefault="00814D4F" w:rsidP="00005DA8">
      <w:pPr>
        <w:rPr>
          <w:bCs/>
          <w:iCs/>
        </w:rPr>
      </w:pPr>
      <w:r>
        <w:rPr>
          <w:bCs/>
          <w:iCs/>
        </w:rPr>
        <w:t>Thematic analysis revealed four broader themes: effects of social determinants on practice, what healthcare professionals face, strategies and interventions, and policy and institutional framework effects. The results indicate that community outreach, health education, and social prescribing have been shown to be effective, but the professionals suffer systemic problems such as shortage of resources and ambiguous policy guidelines.</w:t>
      </w:r>
    </w:p>
    <w:p w14:paraId="3EF33088" w14:textId="58E705CE" w:rsidR="00814D4F" w:rsidRDefault="00814D4F" w:rsidP="00005DA8">
      <w:pPr>
        <w:rPr>
          <w:b/>
          <w:bCs/>
          <w:iCs/>
        </w:rPr>
      </w:pPr>
      <w:r>
        <w:rPr>
          <w:b/>
          <w:bCs/>
          <w:iCs/>
        </w:rPr>
        <w:t>Conclusion:</w:t>
      </w:r>
    </w:p>
    <w:p w14:paraId="32D001B5" w14:textId="7390B89E" w:rsidR="00814D4F" w:rsidRPr="00814D4F" w:rsidRDefault="00814D4F" w:rsidP="00005DA8">
      <w:pPr>
        <w:rPr>
          <w:bCs/>
          <w:iCs/>
        </w:rPr>
      </w:pPr>
      <w:r>
        <w:rPr>
          <w:bCs/>
          <w:iCs/>
        </w:rPr>
        <w:t>The paper emphasises that institutional support needs to be strengthened, the integration of policies must be more transparent, and multi-agency teamwork is required to develop equitable healthcare and sustainable policies to address disadvantaged groups in the post-covid-19 scenario.</w:t>
      </w:r>
    </w:p>
    <w:p w14:paraId="31D6A7DF" w14:textId="77777777" w:rsidR="00814D4F" w:rsidRPr="00814D4F" w:rsidRDefault="00814D4F" w:rsidP="00005DA8">
      <w:pPr>
        <w:rPr>
          <w:b/>
          <w:bCs/>
          <w:iCs/>
        </w:rPr>
      </w:pPr>
    </w:p>
    <w:p w14:paraId="66B0F028" w14:textId="30731856" w:rsidR="00005DA8" w:rsidRPr="001F1F02" w:rsidRDefault="001F1F02" w:rsidP="00005DA8">
      <w:pPr>
        <w:rPr>
          <w:b/>
          <w:bCs/>
          <w:i/>
          <w:iCs/>
        </w:rPr>
      </w:pPr>
      <w:r w:rsidRPr="001F1F02">
        <w:rPr>
          <w:b/>
          <w:bCs/>
          <w:i/>
          <w:iCs/>
        </w:rPr>
        <w:t>Keywords</w:t>
      </w:r>
      <w:r>
        <w:rPr>
          <w:b/>
          <w:bCs/>
          <w:i/>
          <w:iCs/>
        </w:rPr>
        <w:t xml:space="preserve">: </w:t>
      </w:r>
      <w:r w:rsidRPr="001F1F02">
        <w:rPr>
          <w:i/>
          <w:iCs/>
        </w:rPr>
        <w:t>Health inequalities</w:t>
      </w:r>
      <w:r>
        <w:rPr>
          <w:i/>
          <w:iCs/>
        </w:rPr>
        <w:t>,</w:t>
      </w:r>
      <w:r w:rsidRPr="001F1F02">
        <w:rPr>
          <w:i/>
          <w:iCs/>
        </w:rPr>
        <w:t xml:space="preserve"> social determinants of health</w:t>
      </w:r>
      <w:r>
        <w:rPr>
          <w:i/>
          <w:iCs/>
        </w:rPr>
        <w:t>,</w:t>
      </w:r>
      <w:r w:rsidRPr="001F1F02">
        <w:rPr>
          <w:i/>
          <w:iCs/>
        </w:rPr>
        <w:t xml:space="preserve"> low-income families</w:t>
      </w:r>
      <w:r>
        <w:rPr>
          <w:i/>
          <w:iCs/>
        </w:rPr>
        <w:t>,</w:t>
      </w:r>
      <w:r w:rsidRPr="001F1F02">
        <w:rPr>
          <w:i/>
          <w:iCs/>
        </w:rPr>
        <w:t xml:space="preserve"> health and social care professionals</w:t>
      </w:r>
      <w:r>
        <w:rPr>
          <w:i/>
          <w:iCs/>
        </w:rPr>
        <w:t>,</w:t>
      </w:r>
      <w:r w:rsidRPr="001F1F02">
        <w:rPr>
          <w:i/>
          <w:iCs/>
        </w:rPr>
        <w:t xml:space="preserve"> policy frameworks</w:t>
      </w:r>
      <w:r>
        <w:rPr>
          <w:i/>
          <w:iCs/>
        </w:rPr>
        <w:t>,</w:t>
      </w:r>
      <w:r w:rsidRPr="001F1F02">
        <w:rPr>
          <w:i/>
          <w:iCs/>
        </w:rPr>
        <w:t xml:space="preserve"> UK healthcare</w:t>
      </w:r>
      <w:r>
        <w:rPr>
          <w:i/>
          <w:iCs/>
        </w:rPr>
        <w:t>,</w:t>
      </w:r>
      <w:r w:rsidRPr="001F1F02">
        <w:rPr>
          <w:i/>
          <w:iCs/>
        </w:rPr>
        <w:t xml:space="preserve"> </w:t>
      </w:r>
      <w:r>
        <w:rPr>
          <w:i/>
          <w:iCs/>
        </w:rPr>
        <w:t>and</w:t>
      </w:r>
      <w:r w:rsidRPr="001F1F02">
        <w:rPr>
          <w:i/>
          <w:iCs/>
        </w:rPr>
        <w:t xml:space="preserve"> health equity</w:t>
      </w:r>
      <w:r w:rsidR="00C74AC2">
        <w:rPr>
          <w:i/>
          <w:iCs/>
        </w:rPr>
        <w:t>.</w:t>
      </w:r>
      <w:r w:rsidR="00005DA8" w:rsidRPr="001F1F02">
        <w:rPr>
          <w:b/>
          <w:bCs/>
          <w:i/>
          <w:iCs/>
        </w:rPr>
        <w:br w:type="page"/>
      </w:r>
    </w:p>
    <w:p w14:paraId="7A15A47D" w14:textId="563FBFE1" w:rsidR="001038F8" w:rsidRPr="00F83C42" w:rsidRDefault="00224B64" w:rsidP="009E11EA">
      <w:pPr>
        <w:pStyle w:val="Heading1"/>
      </w:pPr>
      <w:bookmarkStart w:id="2" w:name="_Toc210700671"/>
      <w:r w:rsidRPr="00F83C42">
        <w:lastRenderedPageBreak/>
        <w:t>CHAPTER ONE: INTRODUCTION</w:t>
      </w:r>
      <w:bookmarkEnd w:id="0"/>
      <w:bookmarkEnd w:id="2"/>
    </w:p>
    <w:p w14:paraId="2A9C654C" w14:textId="2AA8DE0B" w:rsidR="00B10275" w:rsidRPr="00F83C42" w:rsidRDefault="005250CC" w:rsidP="001038F8">
      <w:pPr>
        <w:rPr>
          <w:rFonts w:cs="Arial"/>
        </w:rPr>
      </w:pPr>
      <w:r w:rsidRPr="00F83C42">
        <w:rPr>
          <w:rFonts w:cs="Arial"/>
        </w:rPr>
        <w:t xml:space="preserve">At the </w:t>
      </w:r>
      <w:r w:rsidR="005507F2">
        <w:rPr>
          <w:rFonts w:cs="Arial"/>
        </w:rPr>
        <w:t>core</w:t>
      </w:r>
      <w:r w:rsidRPr="00F83C42">
        <w:rPr>
          <w:rFonts w:cs="Arial"/>
        </w:rPr>
        <w:t xml:space="preserve"> of society lies the principles that one`s health should not be determined by </w:t>
      </w:r>
      <w:r w:rsidR="006D66A8" w:rsidRPr="00F83C42">
        <w:rPr>
          <w:rFonts w:cs="Arial"/>
        </w:rPr>
        <w:t>the postcode they are born into.</w:t>
      </w:r>
      <w:r w:rsidRPr="00F83C42">
        <w:rPr>
          <w:rFonts w:cs="Arial"/>
        </w:rPr>
        <w:t xml:space="preserve"> </w:t>
      </w:r>
      <w:r w:rsidR="006D66A8" w:rsidRPr="00F83C42">
        <w:rPr>
          <w:rFonts w:cs="Arial"/>
        </w:rPr>
        <w:t>In</w:t>
      </w:r>
      <w:r w:rsidRPr="00F83C42">
        <w:rPr>
          <w:rFonts w:cs="Arial"/>
        </w:rPr>
        <w:t xml:space="preserve"> </w:t>
      </w:r>
      <w:r w:rsidR="006D66A8" w:rsidRPr="00F83C42">
        <w:rPr>
          <w:rFonts w:cs="Arial"/>
        </w:rPr>
        <w:t xml:space="preserve">the </w:t>
      </w:r>
      <w:r w:rsidRPr="00F83C42">
        <w:rPr>
          <w:rFonts w:cs="Arial"/>
        </w:rPr>
        <w:t>UK stark and widening health inequalities continue to disproportionately affect low</w:t>
      </w:r>
      <w:r w:rsidR="00A156B4" w:rsidRPr="00F83C42">
        <w:rPr>
          <w:rFonts w:cs="Arial"/>
        </w:rPr>
        <w:t>-</w:t>
      </w:r>
      <w:r w:rsidRPr="00F83C42">
        <w:rPr>
          <w:rFonts w:cs="Arial"/>
        </w:rPr>
        <w:t>income families, undermining both individual wellbeing and public health at large</w:t>
      </w:r>
      <w:r w:rsidR="00CE29A3" w:rsidRPr="00F83C42">
        <w:rPr>
          <w:rFonts w:cs="Arial"/>
        </w:rPr>
        <w:t xml:space="preserve"> (</w:t>
      </w:r>
      <w:r w:rsidR="00B10275">
        <w:rPr>
          <w:rFonts w:cs="Arial"/>
        </w:rPr>
        <w:t xml:space="preserve">Case and </w:t>
      </w:r>
      <w:proofErr w:type="spellStart"/>
      <w:r w:rsidR="00B10275">
        <w:rPr>
          <w:rFonts w:cs="Arial"/>
        </w:rPr>
        <w:t>Kraftman</w:t>
      </w:r>
      <w:proofErr w:type="spellEnd"/>
      <w:r w:rsidR="00B10275">
        <w:rPr>
          <w:rFonts w:cs="Arial"/>
        </w:rPr>
        <w:t>,</w:t>
      </w:r>
      <w:r w:rsidR="00CE29A3" w:rsidRPr="00F83C42">
        <w:rPr>
          <w:rFonts w:cs="Arial"/>
        </w:rPr>
        <w:t xml:space="preserve"> 202</w:t>
      </w:r>
      <w:r w:rsidR="00B10275">
        <w:rPr>
          <w:rFonts w:cs="Arial"/>
        </w:rPr>
        <w:t>4</w:t>
      </w:r>
      <w:r w:rsidR="00CE29A3" w:rsidRPr="00F83C42">
        <w:rPr>
          <w:rFonts w:cs="Arial"/>
        </w:rPr>
        <w:t>)</w:t>
      </w:r>
      <w:r w:rsidRPr="00F83C42">
        <w:rPr>
          <w:rFonts w:cs="Arial"/>
        </w:rPr>
        <w:t>.</w:t>
      </w:r>
      <w:r w:rsidR="00074591">
        <w:rPr>
          <w:rFonts w:cs="Arial"/>
        </w:rPr>
        <w:t xml:space="preserve"> A core principle of a fair society is that health should not be determined by the postcode a person is born into. </w:t>
      </w:r>
      <w:r w:rsidRPr="00F83C42">
        <w:rPr>
          <w:rFonts w:cs="Arial"/>
        </w:rPr>
        <w:t xml:space="preserve">This research investigates the critical role that frontline health and social care professional play in addressing these disparities. By </w:t>
      </w:r>
      <w:r w:rsidR="00591053" w:rsidRPr="00F83C42">
        <w:rPr>
          <w:rFonts w:cs="Arial"/>
        </w:rPr>
        <w:t>analysing</w:t>
      </w:r>
      <w:r w:rsidRPr="00F83C42">
        <w:rPr>
          <w:rFonts w:cs="Arial"/>
        </w:rPr>
        <w:t xml:space="preserve"> how practitioners respond to the complex interplay of social determinants of health (SDH), this study </w:t>
      </w:r>
      <w:r w:rsidR="00CE29A3" w:rsidRPr="00F83C42">
        <w:rPr>
          <w:rFonts w:cs="Arial"/>
        </w:rPr>
        <w:t>explores</w:t>
      </w:r>
      <w:r w:rsidRPr="00F83C42">
        <w:rPr>
          <w:rFonts w:cs="Arial"/>
        </w:rPr>
        <w:t xml:space="preserve"> the real</w:t>
      </w:r>
      <w:r w:rsidR="00CE29A3" w:rsidRPr="00F83C42">
        <w:rPr>
          <w:rFonts w:cs="Arial"/>
        </w:rPr>
        <w:t>-</w:t>
      </w:r>
      <w:r w:rsidRPr="00F83C42">
        <w:rPr>
          <w:rFonts w:cs="Arial"/>
        </w:rPr>
        <w:t>world impact of localized, practitioner led interventions</w:t>
      </w:r>
      <w:r w:rsidR="00074591">
        <w:rPr>
          <w:rFonts w:cs="Arial"/>
        </w:rPr>
        <w:t xml:space="preserve"> is a</w:t>
      </w:r>
      <w:r w:rsidR="00074591">
        <w:t xml:space="preserve"> healthcare strategy where a trained professional takes primary responsibility for designing, delivering, and overseeing patient care, focusing on education, self-management, monitoring, and coordinated support, rather than just administering physician orders, to improve health outcomes, medication adherence, or chronic disease management </w:t>
      </w:r>
      <w:r w:rsidRPr="00F83C42">
        <w:rPr>
          <w:rFonts w:cs="Arial"/>
        </w:rPr>
        <w:t>within a challenging and often under resourced policy landscape. In doing so, it directly responds to national concerns over the enduring legacy of COVID-19, the failure of past strategies to close the inequality gap, and the pressing need for community rooted, equity driven approaches to public health in the UK.</w:t>
      </w:r>
    </w:p>
    <w:p w14:paraId="2884C1E3" w14:textId="77777777" w:rsidR="00074591" w:rsidRDefault="001F09C8" w:rsidP="00074591">
      <w:pPr>
        <w:rPr>
          <w:bCs/>
          <w:iCs/>
        </w:rPr>
      </w:pPr>
      <w:r w:rsidRPr="00F83C42">
        <w:rPr>
          <w:rFonts w:cs="Arial"/>
        </w:rPr>
        <w:t>It will also explore the social determinants of health, the role of healthcare workers, and systemic factors influencing health outcomes within this demographic. By addressing these interconnected elements, the study will aim to bridge critical knowledge gaps and inform the development of targeted public health strategies to reduce these inequalitie</w:t>
      </w:r>
      <w:r w:rsidR="00074591">
        <w:rPr>
          <w:rFonts w:cs="Arial"/>
        </w:rPr>
        <w:t xml:space="preserve">s while promoting health equity </w:t>
      </w:r>
      <w:r w:rsidR="00074591">
        <w:rPr>
          <w:bCs/>
          <w:iCs/>
        </w:rPr>
        <w:t>addressed among low-income families.</w:t>
      </w:r>
    </w:p>
    <w:p w14:paraId="4EDCC9A5" w14:textId="54219CAF" w:rsidR="001038F8" w:rsidRPr="00F83C42" w:rsidRDefault="001038F8" w:rsidP="007071C2">
      <w:pPr>
        <w:rPr>
          <w:rFonts w:cs="Arial"/>
        </w:rPr>
      </w:pPr>
    </w:p>
    <w:p w14:paraId="2DC3A1F3" w14:textId="4528BA5F" w:rsidR="000B2E29" w:rsidRPr="00F83C42" w:rsidRDefault="000B2E29" w:rsidP="0081526E">
      <w:pPr>
        <w:pStyle w:val="Heading2"/>
        <w:rPr>
          <w:rFonts w:cs="Arial"/>
          <w:szCs w:val="36"/>
        </w:rPr>
      </w:pPr>
      <w:bookmarkStart w:id="3" w:name="_Toc203422446"/>
      <w:bookmarkStart w:id="4" w:name="_Toc210700672"/>
      <w:r w:rsidRPr="00F83C42">
        <w:rPr>
          <w:rFonts w:cs="Arial"/>
          <w:szCs w:val="36"/>
        </w:rPr>
        <w:t>Background and Rationale</w:t>
      </w:r>
      <w:bookmarkEnd w:id="3"/>
      <w:bookmarkEnd w:id="4"/>
      <w:r w:rsidRPr="00F83C42">
        <w:rPr>
          <w:rFonts w:cs="Arial"/>
          <w:szCs w:val="36"/>
        </w:rPr>
        <w:t xml:space="preserve"> </w:t>
      </w:r>
    </w:p>
    <w:p w14:paraId="16EAD1E3" w14:textId="1EBC9722" w:rsidR="006523C3" w:rsidRPr="00F83C42" w:rsidRDefault="00CC38D4" w:rsidP="007071C2">
      <w:pPr>
        <w:rPr>
          <w:rFonts w:cs="Arial"/>
        </w:rPr>
      </w:pPr>
      <w:bookmarkStart w:id="5" w:name="_Toc203422447"/>
      <w:r w:rsidRPr="00F83C42">
        <w:rPr>
          <w:rFonts w:cs="Arial"/>
        </w:rPr>
        <w:t>Health inequalities refer to systematic, avoidable, and unjust differences in health outcomes between different population groups, often driven by social, economic, and environmental conditions (Marmot, 2020).</w:t>
      </w:r>
      <w:r w:rsidR="00CE29A3" w:rsidRPr="00F83C42">
        <w:rPr>
          <w:rFonts w:cs="Arial"/>
        </w:rPr>
        <w:t xml:space="preserve"> </w:t>
      </w:r>
      <w:r w:rsidR="002D5571" w:rsidRPr="00F83C42">
        <w:rPr>
          <w:rFonts w:cs="Arial"/>
        </w:rPr>
        <w:t>These inequalities are especially high with the families that have low incomes in the UK.</w:t>
      </w:r>
      <w:r w:rsidR="00074591">
        <w:rPr>
          <w:rFonts w:cs="Arial"/>
        </w:rPr>
        <w:t xml:space="preserve"> These inequalities are particularly pronounced among low-income families in UK. </w:t>
      </w:r>
      <w:r w:rsidR="002D5571" w:rsidRPr="00F83C42">
        <w:rPr>
          <w:rFonts w:cs="Arial"/>
        </w:rPr>
        <w:t xml:space="preserve"> </w:t>
      </w:r>
      <w:r w:rsidR="00C17B64" w:rsidRPr="00F83C42">
        <w:rPr>
          <w:rFonts w:cs="Arial"/>
        </w:rPr>
        <w:t xml:space="preserve">According to the Marmot Review (2020), children born in the most affluent areas of the UK can expect to live up to ten years longer in good health than those in the most deprived communities a stark indicator of persistent health inequality. </w:t>
      </w:r>
      <w:r w:rsidR="002D5571" w:rsidRPr="00F83C42">
        <w:rPr>
          <w:rFonts w:cs="Arial"/>
        </w:rPr>
        <w:t>The main causes of such disparities are social determinants of health, which are the non-medical issues shaping health life outcomes, which include the quality of housing, education, employment, income, access to health services.</w:t>
      </w:r>
      <w:r w:rsidR="00C17B64" w:rsidRPr="00F83C42">
        <w:rPr>
          <w:rFonts w:cs="Arial"/>
        </w:rPr>
        <w:t xml:space="preserve"> </w:t>
      </w:r>
    </w:p>
    <w:p w14:paraId="3E9E1B31" w14:textId="2132341E" w:rsidR="002D5571" w:rsidRPr="00F83C42" w:rsidRDefault="002D5571" w:rsidP="007071C2">
      <w:pPr>
        <w:rPr>
          <w:rFonts w:cs="Arial"/>
        </w:rPr>
      </w:pPr>
      <w:r w:rsidRPr="00F83C42">
        <w:rPr>
          <w:rFonts w:cs="Arial"/>
        </w:rPr>
        <w:lastRenderedPageBreak/>
        <w:t>The conditions under which individuals are born, grow up, live, work and grow old can be considered as the social determinants (</w:t>
      </w:r>
      <w:proofErr w:type="spellStart"/>
      <w:r w:rsidR="000023BF">
        <w:rPr>
          <w:rFonts w:cs="Arial"/>
        </w:rPr>
        <w:t>Langins</w:t>
      </w:r>
      <w:proofErr w:type="spellEnd"/>
      <w:r w:rsidR="000023BF">
        <w:rPr>
          <w:rFonts w:cs="Arial"/>
        </w:rPr>
        <w:t xml:space="preserve"> and </w:t>
      </w:r>
      <w:proofErr w:type="spellStart"/>
      <w:r w:rsidR="000023BF" w:rsidRPr="009B09FD">
        <w:rPr>
          <w:rStyle w:val="Strong"/>
          <w:rFonts w:eastAsiaTheme="majorEastAsia" w:cs="Arial"/>
          <w:b w:val="0"/>
          <w:bCs w:val="0"/>
          <w:szCs w:val="22"/>
        </w:rPr>
        <w:t>Llop-Gironés</w:t>
      </w:r>
      <w:proofErr w:type="spellEnd"/>
      <w:r w:rsidRPr="00F83C42">
        <w:rPr>
          <w:rFonts w:cs="Arial"/>
        </w:rPr>
        <w:t>, 20</w:t>
      </w:r>
      <w:r w:rsidR="000023BF">
        <w:rPr>
          <w:rFonts w:cs="Arial"/>
        </w:rPr>
        <w:t>24</w:t>
      </w:r>
      <w:r w:rsidRPr="00F83C42">
        <w:rPr>
          <w:rFonts w:cs="Arial"/>
        </w:rPr>
        <w:t>). These circumstances impact more on health as compared to clinical treatment, or genetic factors. As an illustration, the family with housing or food poverty is likely to be exposed to greater risk of physical and mental health issues</w:t>
      </w:r>
      <w:r w:rsidR="005648DF">
        <w:rPr>
          <w:rFonts w:cs="Arial"/>
        </w:rPr>
        <w:t xml:space="preserve"> (</w:t>
      </w:r>
      <w:proofErr w:type="spellStart"/>
      <w:r w:rsidR="005648DF">
        <w:rPr>
          <w:rFonts w:cs="Arial"/>
        </w:rPr>
        <w:t>Kirkbride</w:t>
      </w:r>
      <w:proofErr w:type="spellEnd"/>
      <w:r w:rsidR="005648DF">
        <w:rPr>
          <w:rFonts w:cs="Arial"/>
        </w:rPr>
        <w:t xml:space="preserve"> et al., 2024)</w:t>
      </w:r>
      <w:r w:rsidRPr="00F83C42">
        <w:rPr>
          <w:rFonts w:cs="Arial"/>
        </w:rPr>
        <w:t xml:space="preserve">. Relatively, one out of three children in the UK </w:t>
      </w:r>
      <w:r w:rsidR="00CE29A3" w:rsidRPr="00F83C42">
        <w:rPr>
          <w:rFonts w:cs="Arial"/>
        </w:rPr>
        <w:t>are</w:t>
      </w:r>
      <w:r w:rsidRPr="00F83C42">
        <w:rPr>
          <w:rFonts w:cs="Arial"/>
        </w:rPr>
        <w:t xml:space="preserve"> currently living in poverty, which has a direct connection to higher instances of childhood morbidity and death (Lee et al., 2022).</w:t>
      </w:r>
    </w:p>
    <w:p w14:paraId="386F0FBD" w14:textId="3AD09F39" w:rsidR="00DB5A33" w:rsidRPr="00F83C42" w:rsidRDefault="002D5571" w:rsidP="007071C2">
      <w:pPr>
        <w:rPr>
          <w:rFonts w:cs="Arial"/>
        </w:rPr>
      </w:pPr>
      <w:r w:rsidRPr="00F83C42">
        <w:rPr>
          <w:rFonts w:cs="Arial"/>
        </w:rPr>
        <w:t>These fault lines were further caught and worsened by the COVID-19 pande</w:t>
      </w:r>
      <w:r w:rsidR="008F7669">
        <w:rPr>
          <w:rFonts w:cs="Arial"/>
        </w:rPr>
        <w:t>m</w:t>
      </w:r>
      <w:r w:rsidRPr="00F83C42">
        <w:rPr>
          <w:rFonts w:cs="Arial"/>
        </w:rPr>
        <w:t xml:space="preserve">ic. The level of infection was not proportionate with the low-income households. The financially disadvantaged populations suffered most economically and testing and treatment was not easily accessible to all (Marmot, 2020; </w:t>
      </w:r>
      <w:proofErr w:type="spellStart"/>
      <w:r w:rsidRPr="00F83C42">
        <w:rPr>
          <w:rFonts w:cs="Arial"/>
        </w:rPr>
        <w:t>Alshakhs</w:t>
      </w:r>
      <w:proofErr w:type="spellEnd"/>
      <w:r w:rsidRPr="00F83C42">
        <w:rPr>
          <w:rFonts w:cs="Arial"/>
        </w:rPr>
        <w:t xml:space="preserve"> </w:t>
      </w:r>
      <w:r w:rsidR="000C582C" w:rsidRPr="00F83C42">
        <w:rPr>
          <w:rFonts w:cs="Arial"/>
        </w:rPr>
        <w:t>and</w:t>
      </w:r>
      <w:r w:rsidRPr="00F83C42">
        <w:rPr>
          <w:rFonts w:cs="Arial"/>
        </w:rPr>
        <w:t xml:space="preserve"> </w:t>
      </w:r>
      <w:proofErr w:type="spellStart"/>
      <w:r w:rsidRPr="00F83C42">
        <w:rPr>
          <w:rFonts w:cs="Arial"/>
        </w:rPr>
        <w:t>Alanzi</w:t>
      </w:r>
      <w:proofErr w:type="spellEnd"/>
      <w:r w:rsidRPr="00F83C42">
        <w:rPr>
          <w:rFonts w:cs="Arial"/>
        </w:rPr>
        <w:t>, 2018). These results demonstrate the extent to which social and economic conditions influence the state of populace health especially in case of emergency.</w:t>
      </w:r>
      <w:r w:rsidR="00DB5A33">
        <w:rPr>
          <w:rFonts w:cs="Arial"/>
        </w:rPr>
        <w:t xml:space="preserve"> Some example of unequal COVID-19 service access, Digital Divide: telehealth became common, but those without reliable internet, smartphones, or digital literacy( often elderly, low-income, or rural) were left behind, unable to book appointments or get advice; Racial &amp; ethnic minorities: faced higher covid-19 infection/ death rates but often encountered mistrust in the system, language barriers, and less cultural competent care, leading to delayed treatment; low-income communities: job losses, lack of paid sick leave, and living in crowded conditions increased risk but reduced ability to isolate or access care , with studies showing significant declines in routine procedures for poorer groups; Migrant populations: faced language barriers, fear of immigration status repercussions, and precarious employment, hindering access to testing, treatment, and vaccines; Essential workers: often low paid, healthcare support, retail, transport, faced higher exposure risks but less access to adequate PPE , testing, and paid time off to recover.   </w:t>
      </w:r>
    </w:p>
    <w:p w14:paraId="09229E34" w14:textId="77777777" w:rsidR="0078745B" w:rsidRDefault="002D5571" w:rsidP="00CC38D4">
      <w:pPr>
        <w:rPr>
          <w:rFonts w:cs="Arial"/>
        </w:rPr>
      </w:pPr>
      <w:r w:rsidRPr="00F83C42">
        <w:rPr>
          <w:rFonts w:cs="Arial"/>
        </w:rPr>
        <w:t>These inequalities happen at the frontline of health and social care professionals such as social workers, community nurses, health visitors, and general practitioners</w:t>
      </w:r>
      <w:r w:rsidRPr="0078745B">
        <w:rPr>
          <w:rFonts w:cs="Arial"/>
        </w:rPr>
        <w:t>.</w:t>
      </w:r>
      <w:r w:rsidR="0078745B">
        <w:rPr>
          <w:rFonts w:cs="Arial"/>
        </w:rPr>
        <w:t xml:space="preserve"> Frontline roles are uniquely positioned to identify inequalities because they involve direct, daily interaction with diverse populations, providing a first-hand view of how systemic issues manifest in real world situation. This proximity allows them to observe needs and disparities that may be invisible from a more removed, administrative perspective.</w:t>
      </w:r>
    </w:p>
    <w:p w14:paraId="1925FB0C" w14:textId="77777777" w:rsidR="0078745B" w:rsidRDefault="0078745B" w:rsidP="00CC38D4">
      <w:pPr>
        <w:rPr>
          <w:rFonts w:cs="Arial"/>
        </w:rPr>
      </w:pPr>
    </w:p>
    <w:p w14:paraId="00B83A83" w14:textId="101BE4D2" w:rsidR="00CC38D4" w:rsidRPr="00F83C42" w:rsidRDefault="002D5571" w:rsidP="00CC38D4">
      <w:pPr>
        <w:rPr>
          <w:rFonts w:cs="Arial"/>
        </w:rPr>
      </w:pPr>
      <w:r w:rsidRPr="00F83C42">
        <w:rPr>
          <w:rFonts w:cs="Arial"/>
        </w:rPr>
        <w:lastRenderedPageBreak/>
        <w:t>It is their task to detect the initial symptoms of deprivation, support at-risk populations, give them basic care, and redirect people themselves to broader social support sources (</w:t>
      </w:r>
      <w:proofErr w:type="spellStart"/>
      <w:r w:rsidRPr="00F83C42">
        <w:rPr>
          <w:rFonts w:cs="Arial"/>
        </w:rPr>
        <w:t>Frenk</w:t>
      </w:r>
      <w:proofErr w:type="spellEnd"/>
      <w:r w:rsidR="0080710F">
        <w:rPr>
          <w:rFonts w:cs="Arial"/>
        </w:rPr>
        <w:t xml:space="preserve"> et al.</w:t>
      </w:r>
      <w:r w:rsidRPr="00F83C42">
        <w:rPr>
          <w:rFonts w:cs="Arial"/>
        </w:rPr>
        <w:t xml:space="preserve">, 2020). </w:t>
      </w:r>
      <w:r w:rsidR="007071C2" w:rsidRPr="00F83C42">
        <w:rPr>
          <w:rFonts w:cs="Arial"/>
        </w:rPr>
        <w:t>Although,</w:t>
      </w:r>
      <w:r w:rsidRPr="00F83C42">
        <w:rPr>
          <w:rFonts w:cs="Arial"/>
        </w:rPr>
        <w:t xml:space="preserve"> the barriers to access to healthcare are discussed widely in the literature, very little is known about how these professionals can contribute to reducing health disparity in their everyday practice.</w:t>
      </w:r>
      <w:r w:rsidR="0078745B">
        <w:rPr>
          <w:rFonts w:cs="Arial"/>
        </w:rPr>
        <w:t xml:space="preserve"> Health disparities are unfair differences in health outcomes between groups like poverty, racism, environment and access to care, impacting life expectancy, disease burden, and quality of care.</w:t>
      </w:r>
    </w:p>
    <w:p w14:paraId="666D93A0" w14:textId="4B3864EB" w:rsidR="002D5571" w:rsidRPr="00F83C42" w:rsidRDefault="00CC38D4" w:rsidP="007071C2">
      <w:pPr>
        <w:rPr>
          <w:rFonts w:cs="Arial"/>
        </w:rPr>
      </w:pPr>
      <w:r w:rsidRPr="00F83C42">
        <w:rPr>
          <w:rFonts w:cs="Arial"/>
        </w:rPr>
        <w:t>This study is grounded in the need to explore how frontline professionals engage with these complex social determinants in their daily practice, and how their roles might be better understood and supported to promote health e</w:t>
      </w:r>
      <w:r w:rsidR="00AB58FC" w:rsidRPr="00F83C42">
        <w:rPr>
          <w:rFonts w:cs="Arial"/>
        </w:rPr>
        <w:t>quity in low</w:t>
      </w:r>
      <w:r w:rsidR="00CE29A3" w:rsidRPr="00F83C42">
        <w:rPr>
          <w:rFonts w:cs="Arial"/>
        </w:rPr>
        <w:t>-</w:t>
      </w:r>
      <w:r w:rsidR="00AB58FC" w:rsidRPr="00F83C42">
        <w:rPr>
          <w:rFonts w:cs="Arial"/>
        </w:rPr>
        <w:t>income communities, d</w:t>
      </w:r>
      <w:r w:rsidR="002D5571" w:rsidRPr="00F83C42">
        <w:rPr>
          <w:rFonts w:cs="Arial"/>
        </w:rPr>
        <w:t>eveloped on the back of the Marmot framework, the paper reflects on the relationship between professional practice and health equity, particularly in the new era of the post pandemic. It is crucial to have an understanding of such a dynamic not just to enhance the present service delivery, but also to create more robust systems that can handle future outbreaks of a similar nature (Islam, 2019).</w:t>
      </w:r>
      <w:r w:rsidR="00C17B64" w:rsidRPr="00F83C42">
        <w:rPr>
          <w:rFonts w:cs="Arial"/>
        </w:rPr>
        <w:t xml:space="preserve"> </w:t>
      </w:r>
    </w:p>
    <w:p w14:paraId="73F7C574" w14:textId="56145E2C" w:rsidR="000B2E29" w:rsidRPr="00F83C42" w:rsidRDefault="000B2E29" w:rsidP="0081526E">
      <w:pPr>
        <w:pStyle w:val="Heading2"/>
        <w:rPr>
          <w:rFonts w:cs="Arial"/>
          <w:szCs w:val="36"/>
        </w:rPr>
      </w:pPr>
      <w:bookmarkStart w:id="6" w:name="_Toc210700673"/>
      <w:r w:rsidRPr="00F83C42">
        <w:rPr>
          <w:rFonts w:cs="Arial"/>
          <w:szCs w:val="36"/>
        </w:rPr>
        <w:t>Problem Statement</w:t>
      </w:r>
      <w:bookmarkEnd w:id="5"/>
      <w:bookmarkEnd w:id="6"/>
      <w:r w:rsidRPr="00F83C42">
        <w:rPr>
          <w:rFonts w:cs="Arial"/>
          <w:szCs w:val="36"/>
        </w:rPr>
        <w:t xml:space="preserve"> </w:t>
      </w:r>
    </w:p>
    <w:p w14:paraId="4A4B4573" w14:textId="7D740D79" w:rsidR="002D5571" w:rsidRDefault="00AB58FC" w:rsidP="007071C2">
      <w:pPr>
        <w:rPr>
          <w:rFonts w:cs="Arial"/>
        </w:rPr>
      </w:pPr>
      <w:r w:rsidRPr="00F83C42">
        <w:rPr>
          <w:rFonts w:cs="Arial"/>
        </w:rPr>
        <w:t>Despite the implementation of national strategies such as the equality act 2010 and public health initiatives informed by Marmot principles, significant health inequalities persist between low income and higher income populations in the UK</w:t>
      </w:r>
      <w:r w:rsidR="00867A6E" w:rsidRPr="00F83C42">
        <w:rPr>
          <w:rFonts w:cs="Arial"/>
        </w:rPr>
        <w:t xml:space="preserve"> (Smith et al., 2016)</w:t>
      </w:r>
      <w:r w:rsidRPr="00F83C42">
        <w:rPr>
          <w:rFonts w:cs="Arial"/>
        </w:rPr>
        <w:t>. While macro level policy efforts are relatively well documented, there is limited empirical research into how frontline health and social care professional, such as community nurse, social workers, and health visitors, engage with and mitigate these disparities in practice. Existing outcomes measures often overlook the complexity of social determinants such as housing insecurity, food poverty, and digital exclusion, which professionals must navigate daily. This study addresses this gap by examining how these professionals operationalize equity</w:t>
      </w:r>
      <w:r w:rsidR="00CE29A3" w:rsidRPr="00F83C42">
        <w:rPr>
          <w:rFonts w:cs="Arial"/>
        </w:rPr>
        <w:t>-</w:t>
      </w:r>
      <w:r w:rsidRPr="00F83C42">
        <w:rPr>
          <w:rFonts w:cs="Arial"/>
        </w:rPr>
        <w:t>oriented interventions in disadvantaged communities.</w:t>
      </w:r>
      <w:r w:rsidR="00EE22A8" w:rsidRPr="00F83C42">
        <w:rPr>
          <w:rFonts w:cs="Arial"/>
        </w:rPr>
        <w:t xml:space="preserve"> </w:t>
      </w:r>
      <w:r w:rsidR="002D5571" w:rsidRPr="00F83C42">
        <w:rPr>
          <w:rFonts w:cs="Arial"/>
        </w:rPr>
        <w:t xml:space="preserve">Although the macro-level strategies are documented fairly well, there is a severe dearth of evidence on the actual </w:t>
      </w:r>
      <w:r w:rsidR="006523C3" w:rsidRPr="00F83C42">
        <w:rPr>
          <w:rFonts w:cs="Arial"/>
        </w:rPr>
        <w:t>practices</w:t>
      </w:r>
      <w:r w:rsidR="002D5571" w:rsidRPr="00F83C42">
        <w:rPr>
          <w:rFonts w:cs="Arial"/>
        </w:rPr>
        <w:t xml:space="preserve"> performed by those who directly interact with and redress these inequalities by means of the frontline health and social care professionals, which include social workers, community nurses, and health visitors</w:t>
      </w:r>
      <w:r w:rsidR="00EE22A8" w:rsidRPr="00F83C42">
        <w:rPr>
          <w:rFonts w:cs="Arial"/>
        </w:rPr>
        <w:t xml:space="preserve"> (</w:t>
      </w:r>
      <w:r w:rsidR="002E6B24" w:rsidRPr="00F83C42">
        <w:rPr>
          <w:rFonts w:cs="Arial"/>
        </w:rPr>
        <w:t>Moseley</w:t>
      </w:r>
      <w:r w:rsidR="00EE22A8" w:rsidRPr="00F83C42">
        <w:rPr>
          <w:rFonts w:cs="Arial"/>
        </w:rPr>
        <w:t>, 2024)</w:t>
      </w:r>
      <w:r w:rsidR="002D5571" w:rsidRPr="00F83C42">
        <w:rPr>
          <w:rFonts w:cs="Arial"/>
        </w:rPr>
        <w:t>.</w:t>
      </w:r>
    </w:p>
    <w:p w14:paraId="773659AE" w14:textId="77777777" w:rsidR="002A53B7" w:rsidRDefault="002D5571" w:rsidP="002A53B7">
      <w:r w:rsidRPr="00F83C42">
        <w:rPr>
          <w:rFonts w:cs="Arial"/>
        </w:rPr>
        <w:t xml:space="preserve">The existing systems of assessment are based on an assessment of the health outcomes at the population level and, thus, are not targeted at the daily activities of practitioners working in poor communities. Little empirical evidence is present on how professionals attend to the complex problems of housing insecurity, food poverty, and digital exclusion - those determinants which </w:t>
      </w:r>
      <w:r w:rsidRPr="00F83C42">
        <w:rPr>
          <w:rFonts w:cs="Arial"/>
        </w:rPr>
        <w:lastRenderedPageBreak/>
        <w:t>play a role in the social determinants of health (</w:t>
      </w:r>
      <w:proofErr w:type="spellStart"/>
      <w:r w:rsidRPr="00F83C42">
        <w:rPr>
          <w:rFonts w:cs="Arial"/>
        </w:rPr>
        <w:t>Moudatsou</w:t>
      </w:r>
      <w:proofErr w:type="spellEnd"/>
      <w:r w:rsidRPr="00F83C42">
        <w:rPr>
          <w:rFonts w:cs="Arial"/>
        </w:rPr>
        <w:t xml:space="preserve"> et al., 2020).</w:t>
      </w:r>
      <w:r w:rsidR="00EE22A8" w:rsidRPr="00F83C42">
        <w:rPr>
          <w:rFonts w:cs="Arial"/>
        </w:rPr>
        <w:t xml:space="preserve"> </w:t>
      </w:r>
      <w:r w:rsidRPr="00F83C42">
        <w:rPr>
          <w:rFonts w:cs="Arial"/>
        </w:rPr>
        <w:t xml:space="preserve">Moreover, the individual professional measures, that work best, like health instruction, </w:t>
      </w:r>
      <w:r w:rsidR="008D26E2" w:rsidRPr="00F83C42">
        <w:rPr>
          <w:rFonts w:cs="Arial"/>
        </w:rPr>
        <w:t>intersect oral</w:t>
      </w:r>
      <w:r w:rsidRPr="00F83C42">
        <w:rPr>
          <w:rFonts w:cs="Arial"/>
        </w:rPr>
        <w:t xml:space="preserve"> referrals, or community participation initiative, remain </w:t>
      </w:r>
      <w:r w:rsidR="007071C2" w:rsidRPr="00F83C42">
        <w:rPr>
          <w:rFonts w:cs="Arial"/>
        </w:rPr>
        <w:t>under researched</w:t>
      </w:r>
      <w:r w:rsidR="00AE722E" w:rsidRPr="00F83C42">
        <w:rPr>
          <w:rFonts w:cs="Arial"/>
        </w:rPr>
        <w:t xml:space="preserve"> (</w:t>
      </w:r>
      <w:proofErr w:type="spellStart"/>
      <w:r w:rsidR="00AE722E" w:rsidRPr="00F83C42">
        <w:rPr>
          <w:rFonts w:cs="Arial"/>
        </w:rPr>
        <w:t>Greenhalgh</w:t>
      </w:r>
      <w:proofErr w:type="spellEnd"/>
      <w:r w:rsidR="00AE722E" w:rsidRPr="00F83C42">
        <w:rPr>
          <w:rFonts w:cs="Arial"/>
        </w:rPr>
        <w:t xml:space="preserve"> et al., 2016)</w:t>
      </w:r>
      <w:r w:rsidRPr="00F83C42">
        <w:rPr>
          <w:rFonts w:cs="Arial"/>
        </w:rPr>
        <w:t>. Without such a micro level of awareness of the issue, policy work can suffer being poorly aimed and not as effective as it needs to be those in dire need.</w:t>
      </w:r>
      <w:r w:rsidR="00EE22A8" w:rsidRPr="00F83C42">
        <w:rPr>
          <w:rFonts w:cs="Arial"/>
        </w:rPr>
        <w:t xml:space="preserve"> </w:t>
      </w:r>
      <w:r w:rsidRPr="00F83C42">
        <w:rPr>
          <w:rFonts w:cs="Arial"/>
        </w:rPr>
        <w:t xml:space="preserve">The understandings of the frontline </w:t>
      </w:r>
      <w:r w:rsidR="007071C2" w:rsidRPr="00F83C42">
        <w:rPr>
          <w:rFonts w:cs="Arial"/>
        </w:rPr>
        <w:t>professional’s</w:t>
      </w:r>
      <w:r w:rsidRPr="00F83C42">
        <w:rPr>
          <w:rFonts w:cs="Arial"/>
        </w:rPr>
        <w:t xml:space="preserve"> contributions can be better outlined to close the gap between the policy intent and reality in health service delivery.</w:t>
      </w:r>
      <w:r w:rsidR="0078745B">
        <w:rPr>
          <w:rFonts w:cs="Arial"/>
        </w:rPr>
        <w:t xml:space="preserve"> </w:t>
      </w:r>
      <w:r w:rsidR="002A53B7">
        <w:rPr>
          <w:rFonts w:cs="Arial"/>
        </w:rPr>
        <w:t xml:space="preserve">One of concrete example of policy misalignment </w:t>
      </w:r>
      <w:r w:rsidR="002A53B7">
        <w:t> is the UK`s plastic packaging tax, aiming for recycled content but failing to align with industry reality by over emphasizing post-consumer recycled (PCRD) ignoring vital industry scrap blending, and penalizing complex flexible packaging, thus creating barriers to quality recycling and creating and confusion without strong accreditation, working against circular economy goals.</w:t>
      </w:r>
      <w:bookmarkStart w:id="7" w:name="_Toc203422448"/>
      <w:bookmarkStart w:id="8" w:name="_Toc210700674"/>
    </w:p>
    <w:p w14:paraId="391A9631" w14:textId="7B1B67CF" w:rsidR="000B2E29" w:rsidRPr="00291E15" w:rsidRDefault="002A53B7" w:rsidP="002A53B7">
      <w:pPr>
        <w:rPr>
          <w:rFonts w:cs="Arial"/>
          <w:b/>
          <w:bCs/>
        </w:rPr>
      </w:pPr>
      <w:r w:rsidRPr="00291E15">
        <w:rPr>
          <w:rFonts w:cs="Arial"/>
          <w:b/>
          <w:bCs/>
        </w:rPr>
        <w:t xml:space="preserve"> </w:t>
      </w:r>
      <w:r w:rsidR="000B2E29" w:rsidRPr="00291E15">
        <w:rPr>
          <w:rFonts w:cs="Arial"/>
          <w:b/>
          <w:bCs/>
        </w:rPr>
        <w:t>Aim and Objectives</w:t>
      </w:r>
      <w:bookmarkEnd w:id="7"/>
      <w:bookmarkEnd w:id="8"/>
      <w:r w:rsidR="000B2E29" w:rsidRPr="00291E15">
        <w:rPr>
          <w:rFonts w:cs="Arial"/>
          <w:b/>
          <w:bCs/>
        </w:rPr>
        <w:t xml:space="preserve"> </w:t>
      </w:r>
    </w:p>
    <w:p w14:paraId="279E7A37" w14:textId="375A04E0" w:rsidR="000B2E29" w:rsidRPr="00F83C42" w:rsidRDefault="000B2E29" w:rsidP="007071C2">
      <w:pPr>
        <w:rPr>
          <w:rFonts w:cs="Arial"/>
          <w:b/>
          <w:bCs/>
        </w:rPr>
      </w:pPr>
      <w:r w:rsidRPr="00F83C42">
        <w:rPr>
          <w:rFonts w:cs="Arial"/>
          <w:b/>
          <w:bCs/>
        </w:rPr>
        <w:t>Aim</w:t>
      </w:r>
    </w:p>
    <w:p w14:paraId="26281F9A" w14:textId="19B86C7D" w:rsidR="009346C8" w:rsidRPr="00F83C42" w:rsidRDefault="00357C57" w:rsidP="00EE22A8">
      <w:pPr>
        <w:rPr>
          <w:rFonts w:cs="Arial"/>
        </w:rPr>
      </w:pPr>
      <w:r w:rsidRPr="00F83C42">
        <w:rPr>
          <w:rFonts w:cs="Arial"/>
        </w:rPr>
        <w:t xml:space="preserve">This study aims to explore how </w:t>
      </w:r>
      <w:r w:rsidR="008D26E2" w:rsidRPr="00F83C42">
        <w:rPr>
          <w:rFonts w:cs="Arial"/>
        </w:rPr>
        <w:t xml:space="preserve">frontline </w:t>
      </w:r>
      <w:r w:rsidRPr="00F83C42">
        <w:rPr>
          <w:rFonts w:cs="Arial"/>
        </w:rPr>
        <w:t xml:space="preserve">health and social care professionals </w:t>
      </w:r>
      <w:r w:rsidR="008D26E2" w:rsidRPr="00F83C42">
        <w:rPr>
          <w:rFonts w:cs="Arial"/>
        </w:rPr>
        <w:t>in the UK address health inequalities</w:t>
      </w:r>
      <w:r w:rsidRPr="00F83C42">
        <w:rPr>
          <w:rFonts w:cs="Arial"/>
        </w:rPr>
        <w:t xml:space="preserve"> among low-income families</w:t>
      </w:r>
      <w:r w:rsidR="009346C8" w:rsidRPr="00F83C42">
        <w:rPr>
          <w:rFonts w:cs="Arial"/>
        </w:rPr>
        <w:t>, which a particular focus on the</w:t>
      </w:r>
      <w:r w:rsidR="008D26E2" w:rsidRPr="00F83C42">
        <w:rPr>
          <w:rFonts w:cs="Arial"/>
        </w:rPr>
        <w:t>ir engagement with social determinants of health</w:t>
      </w:r>
      <w:r w:rsidR="009346C8" w:rsidRPr="00F83C42">
        <w:rPr>
          <w:rFonts w:cs="Arial"/>
        </w:rPr>
        <w:t xml:space="preserve">, </w:t>
      </w:r>
      <w:r w:rsidR="008D26E2" w:rsidRPr="00F83C42">
        <w:rPr>
          <w:rFonts w:cs="Arial"/>
        </w:rPr>
        <w:t xml:space="preserve">interventions strategies </w:t>
      </w:r>
      <w:r w:rsidR="009346C8" w:rsidRPr="00F83C42">
        <w:rPr>
          <w:rFonts w:cs="Arial"/>
        </w:rPr>
        <w:t xml:space="preserve">and the implications for </w:t>
      </w:r>
      <w:r w:rsidR="008D26E2" w:rsidRPr="00F83C42">
        <w:rPr>
          <w:rFonts w:cs="Arial"/>
        </w:rPr>
        <w:t>equitable healthcare policy and</w:t>
      </w:r>
      <w:r w:rsidR="009346C8" w:rsidRPr="00F83C42">
        <w:rPr>
          <w:rFonts w:cs="Arial"/>
        </w:rPr>
        <w:t xml:space="preserve"> access. </w:t>
      </w:r>
    </w:p>
    <w:p w14:paraId="43E3DC4E" w14:textId="6E57DF58" w:rsidR="00930335" w:rsidRPr="00F83C42" w:rsidRDefault="000B2E29" w:rsidP="007071C2">
      <w:pPr>
        <w:spacing w:line="276" w:lineRule="auto"/>
        <w:rPr>
          <w:rFonts w:eastAsia="Times New Roman" w:cs="Arial"/>
        </w:rPr>
      </w:pPr>
      <w:r w:rsidRPr="00F83C42">
        <w:rPr>
          <w:rFonts w:cs="Arial"/>
          <w:b/>
          <w:bCs/>
        </w:rPr>
        <w:t>Objectives</w:t>
      </w:r>
    </w:p>
    <w:p w14:paraId="178779C7" w14:textId="1F5FA39D" w:rsidR="00930335" w:rsidRPr="00F83C42" w:rsidRDefault="00930335" w:rsidP="007071C2">
      <w:pPr>
        <w:pStyle w:val="ListParagraph"/>
        <w:numPr>
          <w:ilvl w:val="0"/>
          <w:numId w:val="7"/>
        </w:numPr>
        <w:rPr>
          <w:rFonts w:cs="Arial"/>
          <w:b/>
          <w:bCs/>
        </w:rPr>
      </w:pPr>
      <w:r w:rsidRPr="00F83C42">
        <w:rPr>
          <w:rFonts w:cs="Arial"/>
          <w:bCs/>
        </w:rPr>
        <w:t>To critically explore the role of health and social care professional in addressing health inequalities affecting low</w:t>
      </w:r>
      <w:r w:rsidR="00EE22A8" w:rsidRPr="00F83C42">
        <w:rPr>
          <w:rFonts w:cs="Arial"/>
          <w:bCs/>
        </w:rPr>
        <w:t>-</w:t>
      </w:r>
      <w:r w:rsidRPr="00F83C42">
        <w:rPr>
          <w:rFonts w:cs="Arial"/>
          <w:bCs/>
        </w:rPr>
        <w:t>income families in the UK.</w:t>
      </w:r>
    </w:p>
    <w:p w14:paraId="72061B7C" w14:textId="60DB2276" w:rsidR="00930335" w:rsidRPr="00F83C42" w:rsidRDefault="008D26E2" w:rsidP="007071C2">
      <w:pPr>
        <w:pStyle w:val="ListParagraph"/>
        <w:numPr>
          <w:ilvl w:val="0"/>
          <w:numId w:val="7"/>
        </w:numPr>
        <w:rPr>
          <w:rFonts w:cs="Arial"/>
          <w:b/>
          <w:bCs/>
        </w:rPr>
      </w:pPr>
      <w:r w:rsidRPr="00F83C42">
        <w:rPr>
          <w:rFonts w:cs="Arial"/>
          <w:bCs/>
        </w:rPr>
        <w:t xml:space="preserve">To </w:t>
      </w:r>
      <w:r w:rsidR="00591053" w:rsidRPr="00F83C42">
        <w:rPr>
          <w:rFonts w:cs="Arial"/>
          <w:bCs/>
        </w:rPr>
        <w:t>analyse</w:t>
      </w:r>
      <w:r w:rsidRPr="00F83C42">
        <w:rPr>
          <w:rFonts w:cs="Arial"/>
          <w:bCs/>
        </w:rPr>
        <w:t xml:space="preserve"> </w:t>
      </w:r>
      <w:r w:rsidR="00930335" w:rsidRPr="00F83C42">
        <w:rPr>
          <w:rFonts w:cs="Arial"/>
          <w:bCs/>
        </w:rPr>
        <w:t xml:space="preserve">how social determinants of health such as </w:t>
      </w:r>
      <w:r w:rsidR="00D25443" w:rsidRPr="00F83C42">
        <w:rPr>
          <w:rFonts w:cs="Arial"/>
          <w:bCs/>
        </w:rPr>
        <w:t>housing, education,</w:t>
      </w:r>
      <w:r w:rsidR="00930335" w:rsidRPr="00F83C42">
        <w:rPr>
          <w:rFonts w:cs="Arial"/>
          <w:bCs/>
        </w:rPr>
        <w:t xml:space="preserve"> income, </w:t>
      </w:r>
      <w:r w:rsidR="00D25443" w:rsidRPr="00F83C42">
        <w:rPr>
          <w:rFonts w:cs="Arial"/>
          <w:bCs/>
        </w:rPr>
        <w:t>and employment influence professional practice and health outcomes.</w:t>
      </w:r>
    </w:p>
    <w:p w14:paraId="2A06AA53" w14:textId="35DFD765" w:rsidR="00930335" w:rsidRPr="00F83C42" w:rsidRDefault="00930335" w:rsidP="007071C2">
      <w:pPr>
        <w:pStyle w:val="ListParagraph"/>
        <w:numPr>
          <w:ilvl w:val="0"/>
          <w:numId w:val="7"/>
        </w:numPr>
        <w:rPr>
          <w:rFonts w:cs="Arial"/>
          <w:b/>
          <w:bCs/>
        </w:rPr>
      </w:pPr>
      <w:r w:rsidRPr="00F83C42">
        <w:rPr>
          <w:rFonts w:cs="Arial"/>
          <w:bCs/>
        </w:rPr>
        <w:t xml:space="preserve">To evaluate the effectiveness </w:t>
      </w:r>
      <w:r w:rsidR="00D25443" w:rsidRPr="00F83C42">
        <w:rPr>
          <w:rFonts w:cs="Arial"/>
          <w:bCs/>
        </w:rPr>
        <w:t>of current policies and community</w:t>
      </w:r>
      <w:r w:rsidR="00EE22A8" w:rsidRPr="00F83C42">
        <w:rPr>
          <w:rFonts w:cs="Arial"/>
          <w:bCs/>
        </w:rPr>
        <w:t>-</w:t>
      </w:r>
      <w:r w:rsidR="00D25443" w:rsidRPr="00F83C42">
        <w:rPr>
          <w:rFonts w:cs="Arial"/>
          <w:bCs/>
        </w:rPr>
        <w:t xml:space="preserve">based interventions in addressing health disparities. </w:t>
      </w:r>
    </w:p>
    <w:p w14:paraId="118B0FD3" w14:textId="43E219C5" w:rsidR="00EE22A8" w:rsidRPr="00F45B54" w:rsidRDefault="00D25443" w:rsidP="00F45B54">
      <w:pPr>
        <w:pStyle w:val="ListParagraph"/>
        <w:numPr>
          <w:ilvl w:val="0"/>
          <w:numId w:val="7"/>
        </w:numPr>
        <w:spacing w:before="240" w:after="0"/>
        <w:rPr>
          <w:rFonts w:cs="Arial"/>
        </w:rPr>
      </w:pPr>
      <w:r w:rsidRPr="00F83C42">
        <w:rPr>
          <w:rFonts w:cs="Arial"/>
          <w:bCs/>
        </w:rPr>
        <w:t xml:space="preserve">To identify barriers and enablers in frontline service delivery and propose practitioner informed strategies to promote health equity.  </w:t>
      </w:r>
      <w:bookmarkStart w:id="9" w:name="_Toc203422449"/>
    </w:p>
    <w:p w14:paraId="331D5FD9" w14:textId="1EB7F051" w:rsidR="00D25443" w:rsidRPr="00F83C42" w:rsidRDefault="000B2E29" w:rsidP="0081526E">
      <w:pPr>
        <w:spacing w:before="240"/>
        <w:rPr>
          <w:rFonts w:cs="Arial"/>
          <w:b/>
        </w:rPr>
      </w:pPr>
      <w:r w:rsidRPr="00F83C42">
        <w:rPr>
          <w:rFonts w:cs="Arial"/>
          <w:b/>
        </w:rPr>
        <w:t>Research Question</w:t>
      </w:r>
      <w:bookmarkEnd w:id="9"/>
      <w:r w:rsidRPr="00F83C42">
        <w:rPr>
          <w:rFonts w:cs="Arial"/>
          <w:b/>
        </w:rPr>
        <w:t xml:space="preserve"> </w:t>
      </w:r>
      <w:r w:rsidR="00D25443" w:rsidRPr="00F83C42">
        <w:rPr>
          <w:rFonts w:cs="Arial"/>
          <w:b/>
        </w:rPr>
        <w:t xml:space="preserve"> </w:t>
      </w:r>
    </w:p>
    <w:p w14:paraId="45AB7195" w14:textId="71FB8DAF" w:rsidR="00D25443" w:rsidRPr="00F83C42" w:rsidRDefault="00D25443" w:rsidP="00D4716C">
      <w:pPr>
        <w:rPr>
          <w:rFonts w:cs="Arial"/>
        </w:rPr>
      </w:pPr>
      <w:r w:rsidRPr="00F83C42">
        <w:rPr>
          <w:rFonts w:cs="Arial"/>
        </w:rPr>
        <w:t>“</w:t>
      </w:r>
      <w:r w:rsidRPr="00291E15">
        <w:rPr>
          <w:rFonts w:cs="Arial"/>
          <w:b/>
          <w:i/>
        </w:rPr>
        <w:t>How do frontline health and social care professional contribute to reducing health inequalities among low</w:t>
      </w:r>
      <w:r w:rsidR="00EE22A8" w:rsidRPr="00291E15">
        <w:rPr>
          <w:rFonts w:cs="Arial"/>
          <w:b/>
          <w:i/>
        </w:rPr>
        <w:t>-</w:t>
      </w:r>
      <w:r w:rsidRPr="00291E15">
        <w:rPr>
          <w:rFonts w:cs="Arial"/>
          <w:b/>
          <w:i/>
        </w:rPr>
        <w:t>income families in the UK”?</w:t>
      </w:r>
      <w:r w:rsidRPr="00F83C42">
        <w:rPr>
          <w:rFonts w:cs="Arial"/>
        </w:rPr>
        <w:t xml:space="preserve"> </w:t>
      </w:r>
    </w:p>
    <w:p w14:paraId="4660F7D7" w14:textId="159C43C7" w:rsidR="00D25443" w:rsidRPr="00F83C42" w:rsidRDefault="00D25443" w:rsidP="00D4716C">
      <w:pPr>
        <w:rPr>
          <w:rFonts w:cs="Arial"/>
        </w:rPr>
      </w:pPr>
      <w:r w:rsidRPr="00F83C42">
        <w:rPr>
          <w:rFonts w:cs="Arial"/>
        </w:rPr>
        <w:t xml:space="preserve">To address this question, the research will explore three key areas. First, it will examine which social determinants of health, such as housing, income, education, and access to services, most </w:t>
      </w:r>
      <w:r w:rsidRPr="00F83C42">
        <w:rPr>
          <w:rFonts w:cs="Arial"/>
        </w:rPr>
        <w:lastRenderedPageBreak/>
        <w:t>significantly impact health outcomes among low</w:t>
      </w:r>
      <w:r w:rsidR="00EE22A8" w:rsidRPr="00F83C42">
        <w:rPr>
          <w:rFonts w:cs="Arial"/>
        </w:rPr>
        <w:t>-</w:t>
      </w:r>
      <w:r w:rsidRPr="00F83C42">
        <w:rPr>
          <w:rFonts w:cs="Arial"/>
        </w:rPr>
        <w:t>income families. Second, it will investigate the strategies and interventions used by health and social care professionals, including preventative work, health education, community engagement, and social prescribing. Finally, the study will assess how the current policy environment supports or constrains professionals in their efforts to address inequalities, with particular attention to the post CCOVID- 19 landscape and the legacy of national frameworks such as the Marmot Review.</w:t>
      </w:r>
    </w:p>
    <w:p w14:paraId="29FB330C" w14:textId="318D2D5E" w:rsidR="000B2E29" w:rsidRPr="00F83C42" w:rsidRDefault="000B2E29" w:rsidP="00D4716C">
      <w:pPr>
        <w:pStyle w:val="Heading2"/>
        <w:rPr>
          <w:b w:val="0"/>
        </w:rPr>
      </w:pPr>
      <w:bookmarkStart w:id="10" w:name="_Toc203422450"/>
      <w:bookmarkStart w:id="11" w:name="_Toc210700675"/>
      <w:r w:rsidRPr="00F83C42">
        <w:t>Significance of the Study</w:t>
      </w:r>
      <w:bookmarkEnd w:id="10"/>
      <w:bookmarkEnd w:id="11"/>
      <w:r w:rsidRPr="00F83C42">
        <w:t xml:space="preserve"> </w:t>
      </w:r>
    </w:p>
    <w:p w14:paraId="79FC7D6C" w14:textId="19B457E4" w:rsidR="00DC295F" w:rsidRPr="00F83C42" w:rsidRDefault="00012C73" w:rsidP="00EE22A8">
      <w:pPr>
        <w:rPr>
          <w:rFonts w:cs="Arial"/>
        </w:rPr>
      </w:pPr>
      <w:r w:rsidRPr="00F83C42">
        <w:rPr>
          <w:rFonts w:cs="Arial"/>
        </w:rPr>
        <w:t>This study contribute</w:t>
      </w:r>
      <w:r w:rsidR="00EE22A8" w:rsidRPr="00F83C42">
        <w:rPr>
          <w:rFonts w:cs="Arial"/>
        </w:rPr>
        <w:t>s</w:t>
      </w:r>
      <w:r w:rsidRPr="00F83C42">
        <w:rPr>
          <w:rFonts w:cs="Arial"/>
        </w:rPr>
        <w:t xml:space="preserve"> to the academic literature by addressing a notable gap between health equity policy and frontline practice. While policy frameworks such as the Marmot Review identify key structural determinants, less is known about how professionals translate these insights into day-to-day interventions. Practically, the findings will support service providers, commissioners, and community organizations in designing targeted, evidence</w:t>
      </w:r>
      <w:r w:rsidR="00EE22A8" w:rsidRPr="00F83C42">
        <w:rPr>
          <w:rFonts w:cs="Arial"/>
        </w:rPr>
        <w:t>-</w:t>
      </w:r>
      <w:r w:rsidRPr="00F83C42">
        <w:rPr>
          <w:rFonts w:cs="Arial"/>
        </w:rPr>
        <w:t>based services for vulnerable families. The research will also inform professional training and resource allocation, particularly in areas of housing, education, and mental health. In the context of post COVID-19 recovery, these insights are essential for building more resilie</w:t>
      </w:r>
      <w:r w:rsidR="00DC295F" w:rsidRPr="00F83C42">
        <w:rPr>
          <w:rFonts w:cs="Arial"/>
        </w:rPr>
        <w:t>nt and equitable health systems (Shaw et al., 2021)</w:t>
      </w:r>
      <w:bookmarkStart w:id="12" w:name="_Toc203422451"/>
    </w:p>
    <w:p w14:paraId="547C5A3B" w14:textId="7E49AB6A" w:rsidR="00DC295F" w:rsidRPr="00F83C42" w:rsidRDefault="000B2E29" w:rsidP="007071C2">
      <w:pPr>
        <w:pStyle w:val="Heading2"/>
        <w:rPr>
          <w:rFonts w:cs="Arial"/>
          <w:b w:val="0"/>
          <w:bCs/>
          <w:szCs w:val="24"/>
        </w:rPr>
      </w:pPr>
      <w:bookmarkStart w:id="13" w:name="_Toc210700676"/>
      <w:r w:rsidRPr="00F83C42">
        <w:rPr>
          <w:rFonts w:cs="Arial"/>
          <w:bCs/>
          <w:szCs w:val="24"/>
        </w:rPr>
        <w:t>Scope and Delimitations</w:t>
      </w:r>
      <w:bookmarkEnd w:id="12"/>
      <w:bookmarkEnd w:id="13"/>
      <w:r w:rsidRPr="00F83C42">
        <w:rPr>
          <w:rFonts w:cs="Arial"/>
          <w:bCs/>
          <w:szCs w:val="24"/>
        </w:rPr>
        <w:t xml:space="preserve"> </w:t>
      </w:r>
    </w:p>
    <w:p w14:paraId="419E5B8E" w14:textId="4FFB211C" w:rsidR="00DC295F" w:rsidRPr="00F83C42" w:rsidRDefault="00DC295F" w:rsidP="007071C2">
      <w:pPr>
        <w:rPr>
          <w:rFonts w:cs="Arial"/>
        </w:rPr>
      </w:pPr>
      <w:r w:rsidRPr="00F83C42">
        <w:rPr>
          <w:rFonts w:cs="Arial"/>
        </w:rPr>
        <w:t>This part focuses on the experiences and practices of frontline health and social care professional in England, including community nurse, social workers, health visitors, and general practitioners. It explores how these professionals engage with low</w:t>
      </w:r>
      <w:r w:rsidR="00EE22A8" w:rsidRPr="00F83C42">
        <w:rPr>
          <w:rFonts w:cs="Arial"/>
        </w:rPr>
        <w:t>-</w:t>
      </w:r>
      <w:r w:rsidRPr="00F83C42">
        <w:rPr>
          <w:rFonts w:cs="Arial"/>
        </w:rPr>
        <w:t>income families, defined as households earning less than 60% of the national median income after housing cost, particularly in relation to social determinants such as housing, education, and employment.</w:t>
      </w:r>
    </w:p>
    <w:p w14:paraId="231E36A8" w14:textId="4FC0D0A5" w:rsidR="002E6B24" w:rsidRDefault="00DC295F" w:rsidP="007071C2">
      <w:pPr>
        <w:rPr>
          <w:rFonts w:cs="Arial"/>
        </w:rPr>
      </w:pPr>
      <w:r w:rsidRPr="00F83C42">
        <w:rPr>
          <w:rFonts w:cs="Arial"/>
        </w:rPr>
        <w:t>Excluded from this study are global health comparisons, macroeconomic policy analyses, and secondary tertiary care systems, as the focus is on locally driven, community</w:t>
      </w:r>
      <w:r w:rsidR="00EE22A8" w:rsidRPr="00F83C42">
        <w:rPr>
          <w:rFonts w:cs="Arial"/>
        </w:rPr>
        <w:t>-</w:t>
      </w:r>
      <w:r w:rsidRPr="00F83C42">
        <w:rPr>
          <w:rFonts w:cs="Arial"/>
        </w:rPr>
        <w:t>based interventions. The timeframe for evidence is limited to UK based studies and data from 2015 to 2025. The Marmot framework provides the theoretical foundation for understanding how upstream social factors influence health equity.</w:t>
      </w:r>
    </w:p>
    <w:p w14:paraId="71E3EB25" w14:textId="3232115E" w:rsidR="003217B0" w:rsidRPr="00F83C42" w:rsidRDefault="002E6B24" w:rsidP="002E6B24">
      <w:pPr>
        <w:spacing w:line="278" w:lineRule="auto"/>
        <w:jc w:val="left"/>
        <w:rPr>
          <w:rFonts w:cs="Arial"/>
        </w:rPr>
      </w:pPr>
      <w:r>
        <w:rPr>
          <w:rFonts w:cs="Arial"/>
        </w:rPr>
        <w:br w:type="page"/>
      </w:r>
    </w:p>
    <w:p w14:paraId="45CABF9C" w14:textId="247A1468" w:rsidR="002F745C" w:rsidRPr="00F83C42" w:rsidRDefault="00D4716C" w:rsidP="009E11EA">
      <w:pPr>
        <w:pStyle w:val="Heading1"/>
      </w:pPr>
      <w:bookmarkStart w:id="14" w:name="_Toc210700677"/>
      <w:r w:rsidRPr="00F83C42">
        <w:lastRenderedPageBreak/>
        <w:t xml:space="preserve">CHAPTER </w:t>
      </w:r>
      <w:r w:rsidR="00533681">
        <w:t>TWO</w:t>
      </w:r>
      <w:r w:rsidRPr="00F83C42">
        <w:t>: LITERATURE REVIEW</w:t>
      </w:r>
      <w:bookmarkEnd w:id="14"/>
    </w:p>
    <w:p w14:paraId="728CFB83" w14:textId="422DD2A7" w:rsidR="002F745C" w:rsidRPr="00F83C42" w:rsidRDefault="002F745C" w:rsidP="00C83B7A">
      <w:pPr>
        <w:pStyle w:val="Heading2"/>
      </w:pPr>
      <w:bookmarkStart w:id="15" w:name="_Toc210700678"/>
      <w:r w:rsidRPr="00F83C42">
        <w:t>Introduction</w:t>
      </w:r>
      <w:bookmarkEnd w:id="15"/>
    </w:p>
    <w:p w14:paraId="29447A00" w14:textId="541C2875" w:rsidR="00255BBD" w:rsidRDefault="00C83B7A" w:rsidP="007071C2">
      <w:pPr>
        <w:rPr>
          <w:rFonts w:cs="Arial"/>
        </w:rPr>
      </w:pPr>
      <w:r w:rsidRPr="00F83C42">
        <w:rPr>
          <w:rFonts w:cs="Arial"/>
        </w:rPr>
        <w:t>Health inequality is a term used to describe differences in health experience between different groups of people and these differences are usually determined by social and economic status, education, occupation, and place of residence.</w:t>
      </w:r>
      <w:r w:rsidR="00E170B7">
        <w:rPr>
          <w:rFonts w:cs="Arial"/>
        </w:rPr>
        <w:t xml:space="preserve"> Health inequalities are unfair </w:t>
      </w:r>
      <w:r w:rsidR="00E170B7">
        <w:t>avoidable, and systematic differences in health outcomes or access to care between different groups of people, stemming from the conditions where they are born, live, work, and age (social determinants), and health inequities are avoidable, unfair, and systematic differences in health outcomes or healthcare access between different groups of people, stemming from social, economic, or environmental disadvantage, not random chance, involving unjust conditions beyond individual control like income, location, or ethnicity.</w:t>
      </w:r>
      <w:r w:rsidRPr="00F83C42">
        <w:rPr>
          <w:rFonts w:cs="Arial"/>
        </w:rPr>
        <w:t xml:space="preserve"> These health differences are usually dictated by what is referred to as the social determinants of health; the conditions that individuals are born, grow, live, go to work and age. Such aspects are availability of healthcare, education level, level of income, and living conditions, which can all have a notable impact on health (UK Government, 2010). </w:t>
      </w:r>
      <w:r w:rsidR="00255BBD">
        <w:t>Social Determinants of Health (SDH) are particularly important in public health because they are the </w:t>
      </w:r>
      <w:r w:rsidR="00255BBD" w:rsidRPr="00255BBD">
        <w:rPr>
          <w:rStyle w:val="Strong"/>
          <w:b w:val="0"/>
        </w:rPr>
        <w:t>non-medical, root causes of a majority of health outcomes and health inequitie</w:t>
      </w:r>
      <w:r w:rsidR="00255BBD">
        <w:rPr>
          <w:rStyle w:val="Strong"/>
          <w:b w:val="0"/>
        </w:rPr>
        <w:t>s. They are the conditions in which people are born, grow, live, work, and age, and they shape whether populations are health or become sick in the first place</w:t>
      </w:r>
    </w:p>
    <w:p w14:paraId="16DAFA32" w14:textId="11DDC045" w:rsidR="00826BA8" w:rsidRPr="00F83C42" w:rsidRDefault="00C83B7A" w:rsidP="007071C2">
      <w:pPr>
        <w:rPr>
          <w:rFonts w:cs="Arial"/>
        </w:rPr>
      </w:pPr>
      <w:r w:rsidRPr="00F83C42">
        <w:rPr>
          <w:rFonts w:cs="Arial"/>
        </w:rPr>
        <w:t xml:space="preserve">The model of social determinants framework by Whitehead and Dahlgren explains how the various social determinants are placed one above the other to display the relationship among them, which is that persons experiencing low socio-economic status have a high probability of being blocked to good health. This model focuses on the fact that health is not just an individual factor; it also depends on the surroundings that individuals are staying in. These social determinants may be in the form of health inequality between the rich and the poor which is likely to result in health inequality in terms of opportunities and outcomes, mostly in families with low-income. Most of these families are deprived of basic needs such as quality healthcare, healthy diets, as well as safe accommodations and this further increases health disparities. </w:t>
      </w:r>
      <w:r w:rsidR="00C63782" w:rsidRPr="00C63782">
        <w:rPr>
          <w:rFonts w:cs="Arial"/>
        </w:rPr>
        <w:t xml:space="preserve">They are particularly evident in the UK, where lower classes still accumulate higher </w:t>
      </w:r>
      <w:r w:rsidR="00C63782">
        <w:rPr>
          <w:rFonts w:cs="Arial"/>
        </w:rPr>
        <w:t>chronic</w:t>
      </w:r>
      <w:r w:rsidR="00C63782" w:rsidRPr="00C63782">
        <w:rPr>
          <w:rFonts w:cs="Arial"/>
        </w:rPr>
        <w:t xml:space="preserve"> conditions, more frequently exposed to mental health issues, and more susceptible to poor life outcomes (Marmot, 2020). Most of this happens due to the poor households and this becomes a cycle of sickness which is hard to come out and it subsequently leads to poverty (UK Government, 2010).</w:t>
      </w:r>
    </w:p>
    <w:p w14:paraId="28C08063" w14:textId="41E216BA" w:rsidR="002F745C" w:rsidRPr="00F83C42" w:rsidRDefault="002F745C" w:rsidP="00D4716C">
      <w:pPr>
        <w:pStyle w:val="Heading2"/>
        <w:rPr>
          <w:b w:val="0"/>
        </w:rPr>
      </w:pPr>
      <w:bookmarkStart w:id="16" w:name="_Toc210700679"/>
      <w:r w:rsidRPr="00F83C42">
        <w:lastRenderedPageBreak/>
        <w:t>Significance of the Topic</w:t>
      </w:r>
      <w:bookmarkEnd w:id="16"/>
    </w:p>
    <w:p w14:paraId="5E109E45" w14:textId="563C1653" w:rsidR="00D17F2D" w:rsidRPr="00F83C42" w:rsidRDefault="0080293D" w:rsidP="007071C2">
      <w:pPr>
        <w:rPr>
          <w:rFonts w:cs="Arial"/>
        </w:rPr>
      </w:pPr>
      <w:r w:rsidRPr="0080293D">
        <w:rPr>
          <w:rFonts w:cs="Arial"/>
        </w:rPr>
        <w:t xml:space="preserve">Health inequalities in health and social care cannot be avoided because it may have very remarkable effects on the </w:t>
      </w:r>
      <w:r>
        <w:rPr>
          <w:rFonts w:cs="Arial"/>
        </w:rPr>
        <w:t>individual</w:t>
      </w:r>
      <w:r w:rsidR="00964FD6">
        <w:rPr>
          <w:rFonts w:cs="Arial"/>
        </w:rPr>
        <w:t>s’</w:t>
      </w:r>
      <w:r>
        <w:rPr>
          <w:rFonts w:cs="Arial"/>
        </w:rPr>
        <w:t xml:space="preserve"> quality of life</w:t>
      </w:r>
      <w:r w:rsidRPr="0080293D">
        <w:rPr>
          <w:rFonts w:cs="Arial"/>
        </w:rPr>
        <w:t xml:space="preserve"> and the entire health system.</w:t>
      </w:r>
      <w:r w:rsidR="002F745C" w:rsidRPr="00F83C42">
        <w:rPr>
          <w:rFonts w:cs="Arial"/>
        </w:rPr>
        <w:t xml:space="preserve"> In particular, low</w:t>
      </w:r>
      <w:r w:rsidR="00953172" w:rsidRPr="00F83C42">
        <w:rPr>
          <w:rFonts w:cs="Arial"/>
        </w:rPr>
        <w:t>-</w:t>
      </w:r>
      <w:r w:rsidR="002F745C" w:rsidRPr="00F83C42">
        <w:rPr>
          <w:rFonts w:cs="Arial"/>
        </w:rPr>
        <w:t>income families have numerous problems that make them more exposed to negative health outcomes. These issues are lack of access to healthcare facilities, unsuitable housing, poor nutrition and limited opportunities of education and employment</w:t>
      </w:r>
      <w:r w:rsidR="00C947B9" w:rsidRPr="00F83C42">
        <w:rPr>
          <w:rFonts w:cs="Arial"/>
        </w:rPr>
        <w:t xml:space="preserve"> (</w:t>
      </w:r>
      <w:proofErr w:type="spellStart"/>
      <w:r w:rsidR="00C947B9" w:rsidRPr="00F83C42">
        <w:rPr>
          <w:rFonts w:cs="Arial"/>
        </w:rPr>
        <w:t>Checkland</w:t>
      </w:r>
      <w:proofErr w:type="spellEnd"/>
      <w:r w:rsidR="00C947B9" w:rsidRPr="00F83C42">
        <w:rPr>
          <w:rFonts w:cs="Arial"/>
        </w:rPr>
        <w:t xml:space="preserve"> et al., 2025)</w:t>
      </w:r>
      <w:r w:rsidR="002F745C" w:rsidRPr="00F83C42">
        <w:rPr>
          <w:rFonts w:cs="Arial"/>
        </w:rPr>
        <w:t>.</w:t>
      </w:r>
      <w:r w:rsidR="00C947B9" w:rsidRPr="00F83C42">
        <w:rPr>
          <w:rFonts w:cs="Arial"/>
        </w:rPr>
        <w:t xml:space="preserve"> </w:t>
      </w:r>
      <w:r w:rsidR="002F745C" w:rsidRPr="00F83C42">
        <w:rPr>
          <w:rFonts w:cs="Arial"/>
        </w:rPr>
        <w:t>Investigating health disparities within the low-income populations is essential to find out effective measures to help reduce the gaps. Knowledge concerning issues which lead to health inequalities help the professionals to make better healthcare strategies which will uphold health equality, and improve access to services and decrease the long-term effect of ill health on the deprived populations. The choice of the topic is justified by the fact that there are still disparities in the health outcomes of socioeconomic groups in the UK that still affect the most vulnerable groups</w:t>
      </w:r>
      <w:r w:rsidR="00C947B9" w:rsidRPr="00F83C42">
        <w:rPr>
          <w:rFonts w:cs="Arial"/>
        </w:rPr>
        <w:t xml:space="preserve"> (Baron et al., 2014)</w:t>
      </w:r>
      <w:r w:rsidR="002F745C" w:rsidRPr="00F83C42">
        <w:rPr>
          <w:rFonts w:cs="Arial"/>
        </w:rPr>
        <w:t>.</w:t>
      </w:r>
    </w:p>
    <w:p w14:paraId="0E17C62B" w14:textId="012992D4" w:rsidR="002F745C" w:rsidRPr="00F83C42" w:rsidRDefault="002F745C" w:rsidP="00C83B7A">
      <w:pPr>
        <w:pStyle w:val="Heading2"/>
      </w:pPr>
      <w:bookmarkStart w:id="17" w:name="_Toc210700680"/>
      <w:r w:rsidRPr="00F83C42">
        <w:t>Social Determinants of Health</w:t>
      </w:r>
      <w:bookmarkEnd w:id="17"/>
      <w:r w:rsidRPr="00F83C42">
        <w:t xml:space="preserve"> </w:t>
      </w:r>
    </w:p>
    <w:p w14:paraId="672D951F" w14:textId="70FEF02A" w:rsidR="0088411E" w:rsidRPr="00F83C42" w:rsidRDefault="0088411E" w:rsidP="0088411E">
      <w:pPr>
        <w:rPr>
          <w:rFonts w:cs="Arial"/>
        </w:rPr>
      </w:pPr>
      <w:r w:rsidRPr="00F83C42">
        <w:rPr>
          <w:rFonts w:cs="Arial"/>
        </w:rPr>
        <w:t xml:space="preserve">The social determinants of health (SDH) </w:t>
      </w:r>
      <w:r w:rsidR="00995A95" w:rsidRPr="00F83C42">
        <w:rPr>
          <w:rFonts w:cs="Arial"/>
        </w:rPr>
        <w:t>are</w:t>
      </w:r>
      <w:r w:rsidRPr="00F83C42">
        <w:rPr>
          <w:rFonts w:cs="Arial"/>
        </w:rPr>
        <w:t xml:space="preserve"> the ways in which individuals are born, live, grow, work and grow old in. This distribution of resources, money and power on global, national and local levels shapes these conditions. Main social factors that affect the health outcomes are:</w:t>
      </w:r>
    </w:p>
    <w:p w14:paraId="5ABEB47B" w14:textId="6C9FB620" w:rsidR="0088411E" w:rsidRPr="00F83C42" w:rsidRDefault="0088411E" w:rsidP="007212D2">
      <w:pPr>
        <w:pStyle w:val="Heading3"/>
      </w:pPr>
      <w:bookmarkStart w:id="18" w:name="_Toc210700681"/>
      <w:r w:rsidRPr="00F83C42">
        <w:t>Income</w:t>
      </w:r>
      <w:bookmarkEnd w:id="18"/>
    </w:p>
    <w:p w14:paraId="71E9F58C" w14:textId="40443035" w:rsidR="0088411E" w:rsidRPr="00F83C42" w:rsidRDefault="0088411E" w:rsidP="0088411E">
      <w:pPr>
        <w:rPr>
          <w:rFonts w:cs="Arial"/>
        </w:rPr>
      </w:pPr>
      <w:r w:rsidRPr="00F83C42">
        <w:rPr>
          <w:rFonts w:cs="Arial"/>
        </w:rPr>
        <w:t xml:space="preserve">Social determinant of health income is an important factor since households with low income typically have multiple obstacles in accessing high-quality healthcare, nutritious food, and safe shelter. </w:t>
      </w:r>
      <w:r w:rsidR="00BD182D" w:rsidRPr="00BD182D">
        <w:rPr>
          <w:rFonts w:cs="Arial"/>
        </w:rPr>
        <w:t>Poverty complicates those and imposes certain limitations on the access to health care services needed as it limits the opportunity to obtain necessary medical care there and considers sickness cost still more exorbitant (Swain et al., 2014). It also assumes that individuals within the low</w:t>
      </w:r>
      <w:r w:rsidR="00BD182D">
        <w:rPr>
          <w:rFonts w:cs="Arial"/>
        </w:rPr>
        <w:t>-</w:t>
      </w:r>
      <w:r w:rsidR="00BD182D" w:rsidRPr="00BD182D">
        <w:rPr>
          <w:rFonts w:cs="Arial"/>
        </w:rPr>
        <w:t>income scales are more were more likely to experience chronic diseases hence setting the amount spent on health at an even higher level.</w:t>
      </w:r>
    </w:p>
    <w:p w14:paraId="377DE343" w14:textId="1DB135B7" w:rsidR="0088411E" w:rsidRPr="00F83C42" w:rsidRDefault="0088411E" w:rsidP="007212D2">
      <w:pPr>
        <w:pStyle w:val="Heading3"/>
      </w:pPr>
      <w:bookmarkStart w:id="19" w:name="_Toc210700682"/>
      <w:r w:rsidRPr="00F83C42">
        <w:t>Education</w:t>
      </w:r>
      <w:bookmarkEnd w:id="19"/>
    </w:p>
    <w:p w14:paraId="651271AF" w14:textId="52F54565" w:rsidR="00072998" w:rsidRDefault="00F5163C" w:rsidP="00072998">
      <w:r w:rsidRPr="00F5163C">
        <w:rPr>
          <w:rFonts w:cs="Arial"/>
        </w:rPr>
        <w:t>Education is closely related to better health</w:t>
      </w:r>
      <w:r w:rsidR="00072998">
        <w:rPr>
          <w:rFonts w:cs="Arial"/>
        </w:rPr>
        <w:t xml:space="preserve"> literacy</w:t>
      </w:r>
      <w:r w:rsidRPr="00F5163C">
        <w:rPr>
          <w:rFonts w:cs="Arial"/>
        </w:rPr>
        <w:t>. People with a high level of education particularly college graduates would have a healthier lifestyle, access to more health facilities and stand a better economic opportunity.</w:t>
      </w:r>
      <w:r w:rsidR="0088411E" w:rsidRPr="00F83C42">
        <w:rPr>
          <w:rFonts w:cs="Arial"/>
        </w:rPr>
        <w:t xml:space="preserve"> </w:t>
      </w:r>
      <w:r w:rsidR="00707CF0" w:rsidRPr="00707CF0">
        <w:rPr>
          <w:rFonts w:cs="Arial"/>
        </w:rPr>
        <w:t xml:space="preserve">Not only has education remained highly pertinent in preparing people to make informed decisions regarding health, but also provides people with progressively higher opportunities of </w:t>
      </w:r>
      <w:r w:rsidR="00707CF0">
        <w:rPr>
          <w:rFonts w:cs="Arial"/>
        </w:rPr>
        <w:t>highly-paid</w:t>
      </w:r>
      <w:r w:rsidR="00707CF0" w:rsidRPr="00707CF0">
        <w:rPr>
          <w:rFonts w:cs="Arial"/>
        </w:rPr>
        <w:t xml:space="preserve"> employment, and education can influence </w:t>
      </w:r>
      <w:r w:rsidR="00707CF0" w:rsidRPr="00707CF0">
        <w:rPr>
          <w:rFonts w:cs="Arial"/>
        </w:rPr>
        <w:lastRenderedPageBreak/>
        <w:t>access to health services favourably.</w:t>
      </w:r>
      <w:r w:rsidR="0088411E" w:rsidRPr="00F83C42">
        <w:rPr>
          <w:rFonts w:cs="Arial"/>
        </w:rPr>
        <w:t xml:space="preserve"> On the other hand, health literacy and access to preventive health care may constrain due to lack of education (</w:t>
      </w:r>
      <w:proofErr w:type="spellStart"/>
      <w:r w:rsidR="0088411E" w:rsidRPr="00F83C42">
        <w:rPr>
          <w:rFonts w:cs="Arial"/>
        </w:rPr>
        <w:t>Bambra</w:t>
      </w:r>
      <w:proofErr w:type="spellEnd"/>
      <w:r w:rsidR="0088411E" w:rsidRPr="00F83C42">
        <w:rPr>
          <w:rFonts w:cs="Arial"/>
        </w:rPr>
        <w:t xml:space="preserve"> et al., 2010).</w:t>
      </w:r>
      <w:r w:rsidR="00072998">
        <w:rPr>
          <w:rFonts w:cs="Arial"/>
        </w:rPr>
        <w:t xml:space="preserve"> </w:t>
      </w:r>
      <w:r w:rsidR="00072998">
        <w:t xml:space="preserve">In the UK, a lack of digital skills and low health literacy act as significant barriers to accessing and navigating NHS services, particularly preventive care, this can exacerbate existing health inequalities, as digital exclusion often overlaps with other forms of social and economic disadvantage, for example </w:t>
      </w:r>
      <w:bookmarkStart w:id="20" w:name="_Toc210700683"/>
      <w:r w:rsidR="00072998">
        <w:t xml:space="preserve">accessing online consultations and booking, many GP have moved to “ digital first” models, using online forms (E-consult) and video consultations, people without </w:t>
      </w:r>
      <w:proofErr w:type="spellStart"/>
      <w:r w:rsidR="00072998">
        <w:t>reliabla</w:t>
      </w:r>
      <w:proofErr w:type="spellEnd"/>
      <w:r w:rsidR="00072998">
        <w:t xml:space="preserve"> internet access, a suitable device, or foundational digital skills ( around 10 million UK adults lacks these) are excluded from these primary access routes, often </w:t>
      </w:r>
      <w:proofErr w:type="spellStart"/>
      <w:r w:rsidR="00072998">
        <w:t>strggling</w:t>
      </w:r>
      <w:proofErr w:type="spellEnd"/>
      <w:r w:rsidR="00072998">
        <w:t xml:space="preserve"> to get through on busy phone lines as an alternative.</w:t>
      </w:r>
    </w:p>
    <w:p w14:paraId="1613F4F3" w14:textId="01CF3C04" w:rsidR="0088411E" w:rsidRPr="00F83C42" w:rsidRDefault="0088411E" w:rsidP="00072998">
      <w:r w:rsidRPr="00F83C42">
        <w:t>Job and Job Conditions</w:t>
      </w:r>
      <w:bookmarkEnd w:id="20"/>
    </w:p>
    <w:p w14:paraId="654E6191" w14:textId="00279318" w:rsidR="0088411E" w:rsidRPr="00F83C42" w:rsidRDefault="0088411E" w:rsidP="0088411E">
      <w:pPr>
        <w:rPr>
          <w:rFonts w:cs="Arial"/>
        </w:rPr>
      </w:pPr>
      <w:r w:rsidRPr="00F83C42">
        <w:rPr>
          <w:rFonts w:cs="Arial"/>
        </w:rPr>
        <w:t>Health is also highly dependent on the status of employment and working conditions. Health insurance and safer working environment are some of the benefits that may be provided through secure and well-compensated jobs to improve the health outcomes. On the other hand, people who have low wage or unrewarding employment have greater stress levels, negative health, and fewer opportunities to employ healthcare benefits, all of which deteriorate the health outcomes (</w:t>
      </w:r>
      <w:proofErr w:type="spellStart"/>
      <w:r w:rsidRPr="00F83C42">
        <w:rPr>
          <w:rFonts w:cs="Arial"/>
        </w:rPr>
        <w:t>Bambra</w:t>
      </w:r>
      <w:proofErr w:type="spellEnd"/>
      <w:r w:rsidRPr="00F83C42">
        <w:rPr>
          <w:rFonts w:cs="Arial"/>
        </w:rPr>
        <w:t xml:space="preserve"> et al., 2010). Inefficient working environment including job insecurity or insecure working environment may cause both physical and mental problems including respiratory diseases and stress.</w:t>
      </w:r>
    </w:p>
    <w:p w14:paraId="0B01D318" w14:textId="6B97597E" w:rsidR="0088411E" w:rsidRPr="00F83C42" w:rsidRDefault="0088411E" w:rsidP="007212D2">
      <w:pPr>
        <w:pStyle w:val="Heading3"/>
      </w:pPr>
      <w:bookmarkStart w:id="21" w:name="_Toc210700684"/>
      <w:r w:rsidRPr="00F83C42">
        <w:t>Housing</w:t>
      </w:r>
      <w:bookmarkEnd w:id="21"/>
    </w:p>
    <w:p w14:paraId="43333138" w14:textId="0942C2DC" w:rsidR="0088411E" w:rsidRPr="00F83C42" w:rsidRDefault="0088411E" w:rsidP="0088411E">
      <w:pPr>
        <w:rPr>
          <w:rFonts w:cs="Arial"/>
        </w:rPr>
      </w:pPr>
      <w:r w:rsidRPr="00F83C42">
        <w:rPr>
          <w:rFonts w:cs="Arial"/>
        </w:rPr>
        <w:t>The other key determinant of health is housing conditions. Poor housing conditions can be linked to higher prevalence of respiratory illnesses, mental health and other chronic diseases, like overcrowded, dampened or unsafe living conditions. Poor quality of housing influences physical and psychological conditions of health, and the impossibility to find safe and stable housing conditions is the biggest disaster to low-income families (</w:t>
      </w:r>
      <w:proofErr w:type="spellStart"/>
      <w:r w:rsidRPr="00F83C42">
        <w:rPr>
          <w:rFonts w:cs="Arial"/>
        </w:rPr>
        <w:t>Bambra</w:t>
      </w:r>
      <w:proofErr w:type="spellEnd"/>
      <w:r w:rsidRPr="00F83C42">
        <w:rPr>
          <w:rFonts w:cs="Arial"/>
        </w:rPr>
        <w:t xml:space="preserve"> et al., 2010).</w:t>
      </w:r>
    </w:p>
    <w:p w14:paraId="1DF40770" w14:textId="77777777" w:rsidR="0088411E" w:rsidRPr="00F83C42" w:rsidRDefault="0088411E" w:rsidP="007212D2">
      <w:pPr>
        <w:pStyle w:val="Heading3"/>
      </w:pPr>
      <w:bookmarkStart w:id="22" w:name="_Toc210700685"/>
      <w:r w:rsidRPr="00F83C42">
        <w:t>Cross-Social Determination</w:t>
      </w:r>
      <w:bookmarkEnd w:id="22"/>
    </w:p>
    <w:p w14:paraId="326E0468" w14:textId="03008BEE" w:rsidR="00826BA8" w:rsidRPr="00F83C42" w:rsidRDefault="0088411E" w:rsidP="007071C2">
      <w:pPr>
        <w:rPr>
          <w:rFonts w:cs="Arial"/>
        </w:rPr>
      </w:pPr>
      <w:r w:rsidRPr="00F83C42">
        <w:rPr>
          <w:rFonts w:cs="Arial"/>
        </w:rPr>
        <w:t xml:space="preserve">It should be mentioned that income, education and employment are highly interdependent in determining the outcomes of health. As an illustration, poorly paid workers can be expected to obtain limited education, can work in insecure and poorly paid jobs with low benefits of health activities, thereby worsening their health hazards. When it comes to health inequalities, it is necessary to consider that several disadvantages jointly contribute to the risks of being exposed to health disparities, including low income, low education level, and unstable employment. </w:t>
      </w:r>
      <w:r w:rsidR="00E07CE2" w:rsidRPr="00E07CE2">
        <w:rPr>
          <w:rFonts w:cs="Arial"/>
        </w:rPr>
        <w:t xml:space="preserve">Finally, </w:t>
      </w:r>
      <w:r w:rsidR="00E07CE2" w:rsidRPr="00E07CE2">
        <w:rPr>
          <w:rFonts w:cs="Arial"/>
        </w:rPr>
        <w:lastRenderedPageBreak/>
        <w:t>disparities regarding the access to high-quality care are a key factor contributing to health inequalities. The low-income communities that qualify as less privileged are usually unable to access and receive the essential healthcare services including the primary care, the preventative health care services, and the other special care treatments. The outcomes of such inaccessibility facilitate health disparity and promote ill health among stigmatised groups (Cookson et al., 2016).</w:t>
      </w:r>
    </w:p>
    <w:p w14:paraId="0E785A00" w14:textId="5DDD1248" w:rsidR="002F745C" w:rsidRPr="00F83C42" w:rsidRDefault="002F745C" w:rsidP="007212D2">
      <w:pPr>
        <w:pStyle w:val="Heading3"/>
      </w:pPr>
      <w:bookmarkStart w:id="23" w:name="_Toc210700686"/>
      <w:r w:rsidRPr="00F83C42">
        <w:t>Impact on Health</w:t>
      </w:r>
      <w:bookmarkEnd w:id="23"/>
    </w:p>
    <w:p w14:paraId="2FC2F30F" w14:textId="7F21476F" w:rsidR="00FB6E3F" w:rsidRPr="00F83C42" w:rsidRDefault="005A6F8A" w:rsidP="00FB6E3F">
      <w:pPr>
        <w:rPr>
          <w:rFonts w:cs="Arial"/>
        </w:rPr>
      </w:pPr>
      <w:r w:rsidRPr="005A6F8A">
        <w:rPr>
          <w:rFonts w:cs="Arial"/>
        </w:rPr>
        <w:t>The role of such social and economic factors is crucial in the individuals’ level of health shaping, thereby, contributing to the health and wellness outcomes, as social determinants of health. This position is supported by scientists of the Marmot Review (2020), who state that the impact on the results of the health process can be provided by social and economic factors than any medical treatment.</w:t>
      </w:r>
      <w:r w:rsidR="00FB6E3F" w:rsidRPr="00F83C42">
        <w:rPr>
          <w:rFonts w:cs="Arial"/>
        </w:rPr>
        <w:t xml:space="preserve"> As an example, members of low-income families are often subjected to increased stress, exposed to low access to healthy diet and not prone to exercise</w:t>
      </w:r>
      <w:r w:rsidR="000910FF" w:rsidRPr="00F83C42">
        <w:rPr>
          <w:rFonts w:cs="Arial"/>
        </w:rPr>
        <w:t xml:space="preserve"> (</w:t>
      </w:r>
      <w:proofErr w:type="spellStart"/>
      <w:r w:rsidR="000910FF" w:rsidRPr="00F83C42">
        <w:rPr>
          <w:rFonts w:cs="Arial"/>
        </w:rPr>
        <w:t>Laraia</w:t>
      </w:r>
      <w:proofErr w:type="spellEnd"/>
      <w:r w:rsidR="000910FF" w:rsidRPr="00F83C42">
        <w:rPr>
          <w:rFonts w:cs="Arial"/>
        </w:rPr>
        <w:t xml:space="preserve"> et al., 2017)</w:t>
      </w:r>
      <w:r w:rsidR="00FB6E3F" w:rsidRPr="00F83C42">
        <w:rPr>
          <w:rFonts w:cs="Arial"/>
        </w:rPr>
        <w:t>. All these are factors that lead to higher prevalence of chronic diseases like diabetes, hypertension and obesity. The review by Marmot reveals that the health inequalities in the UK have become deep-rooted wherein people in lower socio-economic groups have extremely poor health conditions compared to their economically more privileged immediate counterparts.</w:t>
      </w:r>
    </w:p>
    <w:p w14:paraId="647A6E51" w14:textId="6391B3BF" w:rsidR="00FB6E3F" w:rsidRPr="00F83C42" w:rsidRDefault="00FB6E3F" w:rsidP="00FB6E3F">
      <w:pPr>
        <w:rPr>
          <w:rFonts w:cs="Arial"/>
        </w:rPr>
      </w:pPr>
      <w:r w:rsidRPr="00F83C42">
        <w:rPr>
          <w:rFonts w:cs="Arial"/>
        </w:rPr>
        <w:t>The Marmot Review also shows that health inequalities may be reduced through the amelioration of social status of the most deprived groups. Health inequali</w:t>
      </w:r>
      <w:r w:rsidR="0073085C" w:rsidRPr="00F83C42">
        <w:rPr>
          <w:rFonts w:cs="Arial"/>
        </w:rPr>
        <w:t>t</w:t>
      </w:r>
      <w:r w:rsidRPr="00F83C42">
        <w:rPr>
          <w:rFonts w:cs="Arial"/>
        </w:rPr>
        <w:t>ies can be reduced by enhancing social conditions, including enhancing quality of non</w:t>
      </w:r>
      <w:r w:rsidR="0073085C" w:rsidRPr="00F83C42">
        <w:rPr>
          <w:rFonts w:cs="Arial"/>
        </w:rPr>
        <w:t>-</w:t>
      </w:r>
      <w:r w:rsidRPr="00F83C42">
        <w:rPr>
          <w:rFonts w:cs="Arial"/>
        </w:rPr>
        <w:t>hand-me-down housing, non</w:t>
      </w:r>
      <w:r w:rsidR="00927988" w:rsidRPr="00F83C42">
        <w:rPr>
          <w:rFonts w:cs="Arial"/>
        </w:rPr>
        <w:t>-</w:t>
      </w:r>
      <w:r w:rsidRPr="00F83C42">
        <w:rPr>
          <w:rFonts w:cs="Arial"/>
        </w:rPr>
        <w:t>hand-me-down access to nutritious food, reduced poverty-related stressors. This is supported by the research done, where the socio-economic status has a close association with life expectancy indicating that individuals within lower socio-economic groups are prone to preventable medical problems and have shorter life expectancy than those that are in higher socio-economic status (</w:t>
      </w:r>
      <w:proofErr w:type="spellStart"/>
      <w:r w:rsidRPr="00F83C42">
        <w:rPr>
          <w:rFonts w:cs="Arial"/>
        </w:rPr>
        <w:t>Langins</w:t>
      </w:r>
      <w:proofErr w:type="spellEnd"/>
      <w:r w:rsidRPr="00F83C42">
        <w:rPr>
          <w:rFonts w:cs="Arial"/>
        </w:rPr>
        <w:t xml:space="preserve"> </w:t>
      </w:r>
      <w:r w:rsidR="0080710F">
        <w:rPr>
          <w:rFonts w:cs="Arial"/>
        </w:rPr>
        <w:t>and</w:t>
      </w:r>
      <w:r w:rsidRPr="00F83C42">
        <w:rPr>
          <w:rFonts w:cs="Arial"/>
        </w:rPr>
        <w:t xml:space="preserve"> </w:t>
      </w:r>
      <w:proofErr w:type="spellStart"/>
      <w:r w:rsidRPr="00F83C42">
        <w:rPr>
          <w:rFonts w:cs="Arial"/>
        </w:rPr>
        <w:t>Llop-Girones</w:t>
      </w:r>
      <w:proofErr w:type="spellEnd"/>
      <w:r w:rsidRPr="00F83C42">
        <w:rPr>
          <w:rFonts w:cs="Arial"/>
        </w:rPr>
        <w:t>, 2024). As an illustration, poor housing conditions have been linked to respiratory diseases like asthma, mental issues, and depression.</w:t>
      </w:r>
    </w:p>
    <w:p w14:paraId="041A71D7" w14:textId="3F94848C" w:rsidR="00FB6E3F" w:rsidRPr="00F83C42" w:rsidRDefault="00FB6E3F" w:rsidP="00FB6E3F">
      <w:pPr>
        <w:rPr>
          <w:rFonts w:cs="Arial"/>
        </w:rPr>
      </w:pPr>
      <w:r w:rsidRPr="00F83C42">
        <w:rPr>
          <w:rFonts w:cs="Arial"/>
        </w:rPr>
        <w:t>In order to give more tangible proof of such an allegation, it may be helpful to look comparatively between obesity rates among various income levels. Research has revealed that obesity affects people of lower income families more disproportionately, and the prevalence levels are very high among the poor than among their rich counterparts. The correlation between low-income level and obesity prevalence is usually explained by poor access to healthy foods and an increased level of stress, which is widespread in impoverished communities.</w:t>
      </w:r>
    </w:p>
    <w:p w14:paraId="4BFFD19E" w14:textId="1B0590E6" w:rsidR="00826BA8" w:rsidRPr="00F83C42" w:rsidRDefault="00FB6E3F" w:rsidP="007071C2">
      <w:pPr>
        <w:rPr>
          <w:rFonts w:cs="Arial"/>
        </w:rPr>
      </w:pPr>
      <w:r w:rsidRPr="00F83C42">
        <w:rPr>
          <w:rFonts w:cs="Arial"/>
        </w:rPr>
        <w:lastRenderedPageBreak/>
        <w:t>Although all the evidence about the impact of the social determinants on health is highly convincing, one should apply critical analysis to the literature. The results of some studies can overestimate the positive outcome of social intervention to decrease the health inequality because sometimes the enhancement of social factors does not directly result in the measurable health outcome. Moreover, a significant part of the studies focuses on general socio-economic groupings and possibly ignore the subtleties of interaction between race, gender, and other variables with income to increase disparities in health.</w:t>
      </w:r>
    </w:p>
    <w:p w14:paraId="30A07A87" w14:textId="3E4A700D" w:rsidR="00D14FF0" w:rsidRPr="00F83C42" w:rsidRDefault="002F745C" w:rsidP="00FB6E3F">
      <w:pPr>
        <w:pStyle w:val="Heading2"/>
      </w:pPr>
      <w:bookmarkStart w:id="24" w:name="_Toc210700687"/>
      <w:r w:rsidRPr="00F83C42">
        <w:t>Income and Health</w:t>
      </w:r>
      <w:bookmarkEnd w:id="24"/>
    </w:p>
    <w:p w14:paraId="76F7109E" w14:textId="0B5E02DC" w:rsidR="002F745C" w:rsidRPr="00F83C42" w:rsidRDefault="00D14FF0" w:rsidP="007071C2">
      <w:pPr>
        <w:rPr>
          <w:rFonts w:cs="Arial"/>
        </w:rPr>
      </w:pPr>
      <w:r w:rsidRPr="00F83C42">
        <w:rPr>
          <w:rFonts w:cs="Arial"/>
        </w:rPr>
        <w:t>Studies have established that, people in the lowest income groups in UK are at increased risk of developing chronic illnesses, and they have difficulties in gaining access to healthcare. As another illustration, the Marmot Review concluded that people in the lowest income quintiles are disproportionately affected by such conditions as diabetes and heart disease and less likely to be able to access preventative health care.</w:t>
      </w:r>
    </w:p>
    <w:p w14:paraId="5DC5EBF3" w14:textId="77777777" w:rsidR="00C23588" w:rsidRPr="00F83C42" w:rsidRDefault="00C23588" w:rsidP="00C23588">
      <w:pPr>
        <w:keepNext/>
        <w:jc w:val="center"/>
      </w:pPr>
      <w:r w:rsidRPr="00F83C42">
        <w:rPr>
          <w:rFonts w:cs="Arial"/>
          <w:noProof/>
          <w:lang w:eastAsia="en-GB"/>
        </w:rPr>
        <w:drawing>
          <wp:inline distT="0" distB="0" distL="0" distR="0" wp14:anchorId="0A954D20" wp14:editId="1E15F859">
            <wp:extent cx="3403600" cy="2882900"/>
            <wp:effectExtent l="76200" t="76200" r="139700" b="127000"/>
            <wp:docPr id="1860319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319539" name=""/>
                    <pic:cNvPicPr/>
                  </pic:nvPicPr>
                  <pic:blipFill>
                    <a:blip r:embed="rId10"/>
                    <a:stretch>
                      <a:fillRect/>
                    </a:stretch>
                  </pic:blipFill>
                  <pic:spPr>
                    <a:xfrm>
                      <a:off x="0" y="0"/>
                      <a:ext cx="3403778" cy="2883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E15C80" w14:textId="1D5C668C" w:rsidR="00C23588" w:rsidRPr="00C16A55" w:rsidRDefault="00C23588" w:rsidP="00C23588">
      <w:pPr>
        <w:pStyle w:val="Caption"/>
        <w:jc w:val="center"/>
        <w:rPr>
          <w:rFonts w:cs="Arial"/>
          <w:i w:val="0"/>
          <w:iCs w:val="0"/>
          <w:color w:val="auto"/>
          <w:sz w:val="22"/>
          <w:szCs w:val="22"/>
        </w:rPr>
      </w:pPr>
      <w:r w:rsidRPr="00C16A55">
        <w:rPr>
          <w:rFonts w:cs="Arial"/>
          <w:i w:val="0"/>
          <w:iCs w:val="0"/>
          <w:color w:val="auto"/>
          <w:sz w:val="22"/>
          <w:szCs w:val="22"/>
        </w:rPr>
        <w:t xml:space="preserve">Figure </w:t>
      </w:r>
      <w:r w:rsidRPr="00C16A55">
        <w:rPr>
          <w:rFonts w:cs="Arial"/>
          <w:i w:val="0"/>
          <w:iCs w:val="0"/>
          <w:color w:val="auto"/>
          <w:sz w:val="22"/>
          <w:szCs w:val="22"/>
        </w:rPr>
        <w:fldChar w:fldCharType="begin"/>
      </w:r>
      <w:r w:rsidRPr="00C16A55">
        <w:rPr>
          <w:rFonts w:cs="Arial"/>
          <w:i w:val="0"/>
          <w:iCs w:val="0"/>
          <w:color w:val="auto"/>
          <w:sz w:val="22"/>
          <w:szCs w:val="22"/>
        </w:rPr>
        <w:instrText xml:space="preserve"> SEQ Figure \* ARABIC </w:instrText>
      </w:r>
      <w:r w:rsidRPr="00C16A55">
        <w:rPr>
          <w:rFonts w:cs="Arial"/>
          <w:i w:val="0"/>
          <w:iCs w:val="0"/>
          <w:color w:val="auto"/>
          <w:sz w:val="22"/>
          <w:szCs w:val="22"/>
        </w:rPr>
        <w:fldChar w:fldCharType="separate"/>
      </w:r>
      <w:r w:rsidR="00B75D34">
        <w:rPr>
          <w:rFonts w:cs="Arial"/>
          <w:i w:val="0"/>
          <w:iCs w:val="0"/>
          <w:noProof/>
          <w:color w:val="auto"/>
          <w:sz w:val="22"/>
          <w:szCs w:val="22"/>
        </w:rPr>
        <w:t>1</w:t>
      </w:r>
      <w:r w:rsidRPr="00C16A55">
        <w:rPr>
          <w:rFonts w:cs="Arial"/>
          <w:i w:val="0"/>
          <w:iCs w:val="0"/>
          <w:color w:val="auto"/>
          <w:sz w:val="22"/>
          <w:szCs w:val="22"/>
        </w:rPr>
        <w:fldChar w:fldCharType="end"/>
      </w:r>
      <w:r w:rsidRPr="00C16A55">
        <w:rPr>
          <w:rFonts w:cs="Arial"/>
          <w:i w:val="0"/>
          <w:iCs w:val="0"/>
          <w:color w:val="auto"/>
          <w:sz w:val="22"/>
          <w:szCs w:val="22"/>
        </w:rPr>
        <w:t xml:space="preserve">: Life Expectancy </w:t>
      </w:r>
      <w:proofErr w:type="spellStart"/>
      <w:r w:rsidRPr="00C16A55">
        <w:rPr>
          <w:rFonts w:cs="Arial"/>
          <w:i w:val="0"/>
          <w:iCs w:val="0"/>
          <w:color w:val="auto"/>
          <w:sz w:val="22"/>
          <w:szCs w:val="22"/>
        </w:rPr>
        <w:t>Vs</w:t>
      </w:r>
      <w:proofErr w:type="spellEnd"/>
      <w:r w:rsidRPr="00C16A55">
        <w:rPr>
          <w:rFonts w:cs="Arial"/>
          <w:i w:val="0"/>
          <w:iCs w:val="0"/>
          <w:color w:val="auto"/>
          <w:sz w:val="22"/>
          <w:szCs w:val="22"/>
        </w:rPr>
        <w:t xml:space="preserve"> Income Levels</w:t>
      </w:r>
    </w:p>
    <w:p w14:paraId="2F2960E6" w14:textId="455B74DA" w:rsidR="00762C50" w:rsidRPr="00C16A55" w:rsidRDefault="00C23588" w:rsidP="00C16A55">
      <w:pPr>
        <w:jc w:val="center"/>
        <w:rPr>
          <w:rFonts w:cs="Arial"/>
          <w:szCs w:val="22"/>
        </w:rPr>
      </w:pPr>
      <w:r w:rsidRPr="00C16A55">
        <w:rPr>
          <w:rFonts w:cs="Arial"/>
          <w:szCs w:val="22"/>
        </w:rPr>
        <w:t xml:space="preserve">Source: </w:t>
      </w:r>
      <w:proofErr w:type="spellStart"/>
      <w:r w:rsidRPr="00C16A55">
        <w:rPr>
          <w:rFonts w:cs="Arial"/>
          <w:szCs w:val="22"/>
        </w:rPr>
        <w:t>Reuell</w:t>
      </w:r>
      <w:proofErr w:type="spellEnd"/>
      <w:r w:rsidRPr="00C16A55">
        <w:rPr>
          <w:rFonts w:cs="Arial"/>
          <w:szCs w:val="22"/>
        </w:rPr>
        <w:t xml:space="preserve"> (2016)</w:t>
      </w:r>
    </w:p>
    <w:p w14:paraId="2E651DF7" w14:textId="530B60FE" w:rsidR="0016217A" w:rsidRPr="00F83C42" w:rsidRDefault="002F745C" w:rsidP="007212D2">
      <w:pPr>
        <w:pStyle w:val="Heading3"/>
        <w:rPr>
          <w:rFonts w:ascii="Times New Roman" w:hAnsi="Times New Roman" w:cstheme="minorBidi"/>
        </w:rPr>
      </w:pPr>
      <w:bookmarkStart w:id="25" w:name="_Toc210700688"/>
      <w:r w:rsidRPr="00F83C42">
        <w:t>Housing and Health</w:t>
      </w:r>
      <w:bookmarkEnd w:id="25"/>
    </w:p>
    <w:p w14:paraId="59449843" w14:textId="6C7188EC" w:rsidR="0016217A" w:rsidRPr="00F83C42" w:rsidRDefault="0016217A" w:rsidP="007071C2">
      <w:pPr>
        <w:rPr>
          <w:rFonts w:cs="Arial"/>
        </w:rPr>
      </w:pPr>
      <w:r w:rsidRPr="00F83C42">
        <w:rPr>
          <w:rFonts w:cs="Arial"/>
        </w:rPr>
        <w:t xml:space="preserve">There is a set of health issues associated with poor living conditions. According to a study conducted by The Health Foundation (2019), the risk of being subjected to respiratory disorders </w:t>
      </w:r>
      <w:r w:rsidRPr="00F83C42">
        <w:rPr>
          <w:rFonts w:cs="Arial"/>
        </w:rPr>
        <w:lastRenderedPageBreak/>
        <w:t xml:space="preserve">including asthma and having mental complications like depression increased when the family lived in the overcrowded home located in the low-income </w:t>
      </w:r>
      <w:r w:rsidR="00591053" w:rsidRPr="00F83C42">
        <w:rPr>
          <w:rFonts w:cs="Arial"/>
        </w:rPr>
        <w:t>neighbourhood</w:t>
      </w:r>
      <w:r w:rsidR="005C28FD">
        <w:rPr>
          <w:rFonts w:cs="Arial"/>
        </w:rPr>
        <w:t>.</w:t>
      </w:r>
    </w:p>
    <w:p w14:paraId="01B8CA0C" w14:textId="77777777" w:rsidR="006A2053" w:rsidRDefault="00ED6790" w:rsidP="006A2053">
      <w:pPr>
        <w:keepNext/>
        <w:ind w:left="720" w:firstLine="720"/>
        <w:jc w:val="center"/>
      </w:pPr>
      <w:r w:rsidRPr="00F83C42">
        <w:rPr>
          <w:rFonts w:cs="Arial"/>
          <w:noProof/>
          <w:lang w:eastAsia="en-GB"/>
        </w:rPr>
        <w:drawing>
          <wp:inline distT="0" distB="0" distL="0" distR="0" wp14:anchorId="527E5841" wp14:editId="2460E398">
            <wp:extent cx="3752850" cy="2527300"/>
            <wp:effectExtent l="76200" t="76200" r="133350" b="139700"/>
            <wp:docPr id="93181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13221"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Lst>
                    </a:blip>
                    <a:stretch>
                      <a:fillRect/>
                    </a:stretch>
                  </pic:blipFill>
                  <pic:spPr>
                    <a:xfrm>
                      <a:off x="0" y="0"/>
                      <a:ext cx="3760983" cy="25327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AFD628" w14:textId="2CAF26D0" w:rsidR="006A2053" w:rsidRPr="00C16A55" w:rsidRDefault="006A2053" w:rsidP="006A2053">
      <w:pPr>
        <w:pStyle w:val="Caption"/>
        <w:ind w:firstLine="720"/>
        <w:jc w:val="center"/>
        <w:rPr>
          <w:rFonts w:cs="Arial"/>
          <w:i w:val="0"/>
          <w:iCs w:val="0"/>
          <w:color w:val="auto"/>
          <w:sz w:val="22"/>
          <w:szCs w:val="22"/>
        </w:rPr>
      </w:pPr>
      <w:r w:rsidRPr="00C16A55">
        <w:rPr>
          <w:rFonts w:cs="Arial"/>
          <w:i w:val="0"/>
          <w:iCs w:val="0"/>
          <w:color w:val="auto"/>
          <w:sz w:val="22"/>
          <w:szCs w:val="22"/>
        </w:rPr>
        <w:t xml:space="preserve">Figure </w:t>
      </w:r>
      <w:r w:rsidRPr="00C16A55">
        <w:rPr>
          <w:rFonts w:cs="Arial"/>
          <w:i w:val="0"/>
          <w:iCs w:val="0"/>
          <w:color w:val="auto"/>
          <w:sz w:val="22"/>
          <w:szCs w:val="22"/>
        </w:rPr>
        <w:fldChar w:fldCharType="begin"/>
      </w:r>
      <w:r w:rsidRPr="00C16A55">
        <w:rPr>
          <w:rFonts w:cs="Arial"/>
          <w:i w:val="0"/>
          <w:iCs w:val="0"/>
          <w:color w:val="auto"/>
          <w:sz w:val="22"/>
          <w:szCs w:val="22"/>
        </w:rPr>
        <w:instrText xml:space="preserve"> SEQ Figure \* ARABIC </w:instrText>
      </w:r>
      <w:r w:rsidRPr="00C16A55">
        <w:rPr>
          <w:rFonts w:cs="Arial"/>
          <w:i w:val="0"/>
          <w:iCs w:val="0"/>
          <w:color w:val="auto"/>
          <w:sz w:val="22"/>
          <w:szCs w:val="22"/>
        </w:rPr>
        <w:fldChar w:fldCharType="separate"/>
      </w:r>
      <w:r w:rsidR="00B75D34">
        <w:rPr>
          <w:rFonts w:cs="Arial"/>
          <w:i w:val="0"/>
          <w:iCs w:val="0"/>
          <w:noProof/>
          <w:color w:val="auto"/>
          <w:sz w:val="22"/>
          <w:szCs w:val="22"/>
        </w:rPr>
        <w:t>2</w:t>
      </w:r>
      <w:r w:rsidRPr="00C16A55">
        <w:rPr>
          <w:rFonts w:cs="Arial"/>
          <w:i w:val="0"/>
          <w:iCs w:val="0"/>
          <w:color w:val="auto"/>
          <w:sz w:val="22"/>
          <w:szCs w:val="22"/>
        </w:rPr>
        <w:fldChar w:fldCharType="end"/>
      </w:r>
      <w:r w:rsidRPr="00C16A55">
        <w:rPr>
          <w:rFonts w:cs="Arial"/>
          <w:i w:val="0"/>
          <w:iCs w:val="0"/>
          <w:color w:val="auto"/>
          <w:sz w:val="22"/>
          <w:szCs w:val="22"/>
        </w:rPr>
        <w:t>: Housing Quality and Occupant’s Health</w:t>
      </w:r>
    </w:p>
    <w:p w14:paraId="379566F7" w14:textId="53679721" w:rsidR="00B966FA" w:rsidRPr="00CC1ED5" w:rsidRDefault="006A2053" w:rsidP="00CC1ED5">
      <w:pPr>
        <w:ind w:left="1440" w:firstLine="720"/>
        <w:jc w:val="center"/>
        <w:rPr>
          <w:rFonts w:cs="Arial"/>
          <w:szCs w:val="22"/>
        </w:rPr>
      </w:pPr>
      <w:r w:rsidRPr="00C16A55">
        <w:rPr>
          <w:rFonts w:cs="Arial"/>
          <w:szCs w:val="22"/>
        </w:rPr>
        <w:t>Source: Palacios et al. (2021)</w:t>
      </w:r>
    </w:p>
    <w:p w14:paraId="13DE585A" w14:textId="77A34438" w:rsidR="00AD4BE2" w:rsidRPr="00F83C42" w:rsidRDefault="002F745C" w:rsidP="007212D2">
      <w:pPr>
        <w:pStyle w:val="Heading3"/>
      </w:pPr>
      <w:bookmarkStart w:id="26" w:name="_Toc210700689"/>
      <w:r w:rsidRPr="00F83C42">
        <w:t>Education and Health</w:t>
      </w:r>
      <w:bookmarkEnd w:id="26"/>
    </w:p>
    <w:p w14:paraId="5734A1F3" w14:textId="7D286327" w:rsidR="0016217A" w:rsidRPr="00F83C42" w:rsidRDefault="0016217A" w:rsidP="007071C2">
      <w:pPr>
        <w:rPr>
          <w:rFonts w:cs="Arial"/>
        </w:rPr>
      </w:pPr>
      <w:r w:rsidRPr="00F83C42">
        <w:rPr>
          <w:rFonts w:cs="Arial"/>
        </w:rPr>
        <w:t xml:space="preserve">The more people are educated, the better their health. </w:t>
      </w:r>
      <w:r w:rsidR="00915C08" w:rsidRPr="00915C08">
        <w:rPr>
          <w:rFonts w:cs="Arial"/>
        </w:rPr>
        <w:t>A few examples, such as one who attends secondary school and advances to some other tier of education, stands a better chance of enjoying longer lives, lessening chronic and adverse diseases</w:t>
      </w:r>
      <w:r w:rsidR="00086D5B">
        <w:rPr>
          <w:rFonts w:cs="Arial"/>
        </w:rPr>
        <w:t>,</w:t>
      </w:r>
      <w:r w:rsidR="00915C08" w:rsidRPr="00915C08">
        <w:rPr>
          <w:rFonts w:cs="Arial"/>
        </w:rPr>
        <w:t xml:space="preserve"> and healthier life styles.</w:t>
      </w:r>
    </w:p>
    <w:p w14:paraId="572F2525" w14:textId="77777777" w:rsidR="00C47E73" w:rsidRDefault="00F9559E" w:rsidP="00C47E73">
      <w:pPr>
        <w:keepNext/>
        <w:ind w:left="360"/>
        <w:jc w:val="center"/>
      </w:pPr>
      <w:r w:rsidRPr="00F83C42">
        <w:rPr>
          <w:rFonts w:cs="Arial"/>
          <w:noProof/>
          <w:lang w:eastAsia="en-GB"/>
        </w:rPr>
        <w:lastRenderedPageBreak/>
        <w:drawing>
          <wp:inline distT="0" distB="0" distL="0" distR="0" wp14:anchorId="5917F053" wp14:editId="46B98072">
            <wp:extent cx="4540250" cy="2686050"/>
            <wp:effectExtent l="76200" t="76200" r="127000" b="133350"/>
            <wp:docPr id="118394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943840" name=""/>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Lst>
                    </a:blip>
                    <a:stretch>
                      <a:fillRect/>
                    </a:stretch>
                  </pic:blipFill>
                  <pic:spPr>
                    <a:xfrm>
                      <a:off x="0" y="0"/>
                      <a:ext cx="4540490" cy="26861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3AA202" w14:textId="4DA29F0B" w:rsidR="00AD4BE2" w:rsidRPr="00C16A55" w:rsidRDefault="00C47E73" w:rsidP="00C76D20">
      <w:pPr>
        <w:pStyle w:val="Caption"/>
        <w:jc w:val="center"/>
        <w:rPr>
          <w:rFonts w:cs="Arial"/>
          <w:i w:val="0"/>
          <w:iCs w:val="0"/>
          <w:color w:val="auto"/>
          <w:sz w:val="22"/>
          <w:szCs w:val="22"/>
        </w:rPr>
      </w:pPr>
      <w:r w:rsidRPr="00C16A55">
        <w:rPr>
          <w:rFonts w:cs="Arial"/>
          <w:i w:val="0"/>
          <w:iCs w:val="0"/>
          <w:color w:val="auto"/>
          <w:sz w:val="22"/>
          <w:szCs w:val="22"/>
        </w:rPr>
        <w:t xml:space="preserve">Figure </w:t>
      </w:r>
      <w:r w:rsidRPr="00C16A55">
        <w:rPr>
          <w:rFonts w:cs="Arial"/>
          <w:i w:val="0"/>
          <w:iCs w:val="0"/>
          <w:color w:val="auto"/>
          <w:sz w:val="22"/>
          <w:szCs w:val="22"/>
        </w:rPr>
        <w:fldChar w:fldCharType="begin"/>
      </w:r>
      <w:r w:rsidRPr="00C16A55">
        <w:rPr>
          <w:rFonts w:cs="Arial"/>
          <w:i w:val="0"/>
          <w:iCs w:val="0"/>
          <w:color w:val="auto"/>
          <w:sz w:val="22"/>
          <w:szCs w:val="22"/>
        </w:rPr>
        <w:instrText xml:space="preserve"> SEQ Figure \* ARABIC </w:instrText>
      </w:r>
      <w:r w:rsidRPr="00C16A55">
        <w:rPr>
          <w:rFonts w:cs="Arial"/>
          <w:i w:val="0"/>
          <w:iCs w:val="0"/>
          <w:color w:val="auto"/>
          <w:sz w:val="22"/>
          <w:szCs w:val="22"/>
        </w:rPr>
        <w:fldChar w:fldCharType="separate"/>
      </w:r>
      <w:r w:rsidR="00B75D34">
        <w:rPr>
          <w:rFonts w:cs="Arial"/>
          <w:i w:val="0"/>
          <w:iCs w:val="0"/>
          <w:noProof/>
          <w:color w:val="auto"/>
          <w:sz w:val="22"/>
          <w:szCs w:val="22"/>
        </w:rPr>
        <w:t>3</w:t>
      </w:r>
      <w:r w:rsidRPr="00C16A55">
        <w:rPr>
          <w:rFonts w:cs="Arial"/>
          <w:i w:val="0"/>
          <w:iCs w:val="0"/>
          <w:color w:val="auto"/>
          <w:sz w:val="22"/>
          <w:szCs w:val="22"/>
        </w:rPr>
        <w:fldChar w:fldCharType="end"/>
      </w:r>
      <w:r w:rsidRPr="00C16A55">
        <w:rPr>
          <w:rFonts w:cs="Arial"/>
          <w:i w:val="0"/>
          <w:iCs w:val="0"/>
          <w:color w:val="auto"/>
          <w:sz w:val="22"/>
          <w:szCs w:val="22"/>
        </w:rPr>
        <w:t>: Educational Attainment and Life Expectancy</w:t>
      </w:r>
    </w:p>
    <w:p w14:paraId="1D32B14F" w14:textId="55980657" w:rsidR="007071C2" w:rsidRPr="00C16A55" w:rsidRDefault="00390504" w:rsidP="00C76D20">
      <w:pPr>
        <w:ind w:left="1440" w:firstLine="720"/>
        <w:jc w:val="center"/>
        <w:rPr>
          <w:rFonts w:cs="Arial"/>
          <w:szCs w:val="22"/>
        </w:rPr>
      </w:pPr>
      <w:r w:rsidRPr="00C16A55">
        <w:rPr>
          <w:rFonts w:cs="Arial"/>
          <w:szCs w:val="22"/>
        </w:rPr>
        <w:t xml:space="preserve">Source: </w:t>
      </w:r>
      <w:r w:rsidR="00D936FD" w:rsidRPr="00C16A55">
        <w:rPr>
          <w:rFonts w:cs="Arial"/>
          <w:szCs w:val="22"/>
        </w:rPr>
        <w:t>Hummer and Hernandez (2013)</w:t>
      </w:r>
    </w:p>
    <w:p w14:paraId="3F69AC8C" w14:textId="2B0C7B24" w:rsidR="00AD4BE2" w:rsidRPr="00F83C42" w:rsidRDefault="002F745C" w:rsidP="007212D2">
      <w:pPr>
        <w:pStyle w:val="Heading3"/>
      </w:pPr>
      <w:bookmarkStart w:id="27" w:name="_Toc210700690"/>
      <w:r w:rsidRPr="00F83C42">
        <w:t>Access to Healthcare and Health</w:t>
      </w:r>
      <w:bookmarkEnd w:id="27"/>
    </w:p>
    <w:p w14:paraId="0D50CA3D" w14:textId="4107817D" w:rsidR="00AD4BE2" w:rsidRPr="00F83C42" w:rsidRDefault="00A57BE6" w:rsidP="007071C2">
      <w:pPr>
        <w:rPr>
          <w:rFonts w:cs="Arial"/>
        </w:rPr>
      </w:pPr>
      <w:r w:rsidRPr="00A57BE6">
        <w:rPr>
          <w:rFonts w:cs="Arial"/>
        </w:rPr>
        <w:t>The low-income families also have healthcare as a significant determinant of health. The people living in the poor neighbourhoods may be unable to access healthcare services because of long queues, poor service delivery as well as transportation to the care centres. These challenges can lead to the further escalation of unpreventable or incurable conditions in the past.</w:t>
      </w:r>
    </w:p>
    <w:p w14:paraId="339975AB" w14:textId="77777777" w:rsidR="00F44BFF" w:rsidRDefault="008B3E95" w:rsidP="00F44BFF">
      <w:pPr>
        <w:keepNext/>
        <w:jc w:val="center"/>
      </w:pPr>
      <w:r w:rsidRPr="00F83C42">
        <w:rPr>
          <w:rFonts w:cs="Arial"/>
          <w:noProof/>
          <w:lang w:eastAsia="en-GB"/>
        </w:rPr>
        <w:lastRenderedPageBreak/>
        <w:drawing>
          <wp:inline distT="0" distB="0" distL="0" distR="0" wp14:anchorId="0BED27B7" wp14:editId="71D1C20D">
            <wp:extent cx="4152900" cy="2921000"/>
            <wp:effectExtent l="76200" t="76200" r="133350" b="127000"/>
            <wp:docPr id="336701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01689" name=""/>
                    <pic:cNvPicPr/>
                  </pic:nvPicPr>
                  <pic:blipFill rotWithShape="1">
                    <a:blip r:embed="rId15"/>
                    <a:srcRect t="22314"/>
                    <a:stretch>
                      <a:fillRect/>
                    </a:stretch>
                  </pic:blipFill>
                  <pic:spPr bwMode="auto">
                    <a:xfrm>
                      <a:off x="0" y="0"/>
                      <a:ext cx="4152900" cy="2921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7069264" w14:textId="3FB5A074" w:rsidR="00AD4BE2" w:rsidRPr="00CC3CCF" w:rsidRDefault="00F44BFF" w:rsidP="00F44BFF">
      <w:pPr>
        <w:pStyle w:val="Caption"/>
        <w:jc w:val="center"/>
        <w:rPr>
          <w:rFonts w:cs="Arial"/>
          <w:i w:val="0"/>
          <w:iCs w:val="0"/>
          <w:color w:val="auto"/>
          <w:sz w:val="22"/>
          <w:szCs w:val="22"/>
        </w:rPr>
      </w:pPr>
      <w:r w:rsidRPr="00CC3CCF">
        <w:rPr>
          <w:rFonts w:cs="Arial"/>
          <w:i w:val="0"/>
          <w:iCs w:val="0"/>
          <w:color w:val="auto"/>
          <w:sz w:val="22"/>
          <w:szCs w:val="22"/>
        </w:rPr>
        <w:t xml:space="preserve">Figure </w:t>
      </w:r>
      <w:r w:rsidRPr="00CC3CCF">
        <w:rPr>
          <w:rFonts w:cs="Arial"/>
          <w:i w:val="0"/>
          <w:iCs w:val="0"/>
          <w:color w:val="auto"/>
          <w:sz w:val="22"/>
          <w:szCs w:val="22"/>
        </w:rPr>
        <w:fldChar w:fldCharType="begin"/>
      </w:r>
      <w:r w:rsidRPr="00CC3CCF">
        <w:rPr>
          <w:rFonts w:cs="Arial"/>
          <w:i w:val="0"/>
          <w:iCs w:val="0"/>
          <w:color w:val="auto"/>
          <w:sz w:val="22"/>
          <w:szCs w:val="22"/>
        </w:rPr>
        <w:instrText xml:space="preserve"> SEQ Figure \* ARABIC </w:instrText>
      </w:r>
      <w:r w:rsidRPr="00CC3CCF">
        <w:rPr>
          <w:rFonts w:cs="Arial"/>
          <w:i w:val="0"/>
          <w:iCs w:val="0"/>
          <w:color w:val="auto"/>
          <w:sz w:val="22"/>
          <w:szCs w:val="22"/>
        </w:rPr>
        <w:fldChar w:fldCharType="separate"/>
      </w:r>
      <w:r w:rsidR="00B75D34">
        <w:rPr>
          <w:rFonts w:cs="Arial"/>
          <w:i w:val="0"/>
          <w:iCs w:val="0"/>
          <w:noProof/>
          <w:color w:val="auto"/>
          <w:sz w:val="22"/>
          <w:szCs w:val="22"/>
        </w:rPr>
        <w:t>4</w:t>
      </w:r>
      <w:r w:rsidRPr="00CC3CCF">
        <w:rPr>
          <w:rFonts w:cs="Arial"/>
          <w:i w:val="0"/>
          <w:iCs w:val="0"/>
          <w:color w:val="auto"/>
          <w:sz w:val="22"/>
          <w:szCs w:val="22"/>
        </w:rPr>
        <w:fldChar w:fldCharType="end"/>
      </w:r>
      <w:r w:rsidRPr="00CC3CCF">
        <w:rPr>
          <w:rFonts w:cs="Arial"/>
          <w:i w:val="0"/>
          <w:iCs w:val="0"/>
          <w:color w:val="auto"/>
          <w:sz w:val="22"/>
          <w:szCs w:val="22"/>
        </w:rPr>
        <w:t>: Access to Healthcare by Housing Security</w:t>
      </w:r>
    </w:p>
    <w:p w14:paraId="4E9972C2" w14:textId="79AE71A0" w:rsidR="00390504" w:rsidRPr="00CC3CCF" w:rsidRDefault="00390504" w:rsidP="00E768BD">
      <w:pPr>
        <w:jc w:val="center"/>
        <w:rPr>
          <w:rFonts w:cs="Arial"/>
          <w:szCs w:val="22"/>
        </w:rPr>
      </w:pPr>
      <w:r w:rsidRPr="00CC3CCF">
        <w:rPr>
          <w:rFonts w:cs="Arial"/>
          <w:szCs w:val="22"/>
        </w:rPr>
        <w:t xml:space="preserve">Source: </w:t>
      </w:r>
      <w:r w:rsidR="003374F8" w:rsidRPr="00CC3CCF">
        <w:rPr>
          <w:rFonts w:cs="Arial"/>
          <w:szCs w:val="22"/>
        </w:rPr>
        <w:t>Martin et al. (2019)</w:t>
      </w:r>
    </w:p>
    <w:p w14:paraId="3CC8F020" w14:textId="6BC0C907" w:rsidR="007071C2" w:rsidRPr="00F83C42" w:rsidRDefault="00C34B52" w:rsidP="007071C2">
      <w:pPr>
        <w:rPr>
          <w:rFonts w:cs="Arial"/>
        </w:rPr>
      </w:pPr>
      <w:r w:rsidRPr="00C34B52">
        <w:rPr>
          <w:rFonts w:cs="Arial"/>
        </w:rPr>
        <w:t>The social factors of health are very significant in predetermining to find the health outcomes of the subjects, particularly of those belonging to low-income families. Such factors as income, education, housing, employment, access to healthcare must be addressed to address the problem of the UK healthcare disparity (Islam, 2019). By presenting social progress to disadvantage groups, this will assist in reducing these oppressive health effects on these groups, and creating an improved healthcare system.</w:t>
      </w:r>
    </w:p>
    <w:p w14:paraId="67197EF1" w14:textId="70C366CD" w:rsidR="002F745C" w:rsidRPr="00F83C42" w:rsidRDefault="002F745C" w:rsidP="009C48F0">
      <w:pPr>
        <w:pStyle w:val="Heading2"/>
        <w:rPr>
          <w:b w:val="0"/>
        </w:rPr>
      </w:pPr>
      <w:bookmarkStart w:id="28" w:name="_Toc210700691"/>
      <w:r w:rsidRPr="00F83C42">
        <w:t>Health Inequalities Among Low-Income Families</w:t>
      </w:r>
      <w:bookmarkEnd w:id="28"/>
      <w:r w:rsidRPr="00F83C42">
        <w:t xml:space="preserve"> </w:t>
      </w:r>
    </w:p>
    <w:p w14:paraId="5827C734" w14:textId="2539E689" w:rsidR="002F745C" w:rsidRPr="00F83C42" w:rsidRDefault="002F745C" w:rsidP="007212D2">
      <w:pPr>
        <w:pStyle w:val="Heading3"/>
      </w:pPr>
      <w:bookmarkStart w:id="29" w:name="_Toc210700692"/>
      <w:r w:rsidRPr="00F83C42">
        <w:t>Scope of the Problem</w:t>
      </w:r>
      <w:bookmarkEnd w:id="29"/>
    </w:p>
    <w:p w14:paraId="35E2A550" w14:textId="28DAB11A" w:rsidR="006523C3" w:rsidRPr="00F83C42" w:rsidRDefault="0000763E" w:rsidP="007071C2">
      <w:pPr>
        <w:rPr>
          <w:rFonts w:cs="Arial"/>
        </w:rPr>
      </w:pPr>
      <w:r w:rsidRPr="0000763E">
        <w:rPr>
          <w:rFonts w:cs="Arial"/>
        </w:rPr>
        <w:t>The health disparities within the low-income families in the UK are myriad and point towards effects of social, economic forces on health. The health, morbidity, and life expectancy of poor individuals are worse than that of the rich individuals. The correlation between the level of income and health outcome, as the Marmot Review (2020) puts it, is self-evident, and individuals with the lowest incomes are significantly more likely to contract certain chronic diseases, develop mental problems, or dying at an early age.</w:t>
      </w:r>
    </w:p>
    <w:p w14:paraId="1463191E" w14:textId="533C0E5D" w:rsidR="002F745C" w:rsidRPr="00F83C42" w:rsidRDefault="00583384" w:rsidP="007071C2">
      <w:pPr>
        <w:rPr>
          <w:rFonts w:cs="Arial"/>
        </w:rPr>
      </w:pPr>
      <w:r w:rsidRPr="00583384">
        <w:rPr>
          <w:rFonts w:cs="Arial"/>
        </w:rPr>
        <w:t xml:space="preserve">Indicatively, in UK, people living in poor neighbourhoods, live almost 10 years less than their counter parts in rich neighbourhoods. In addition to this shorter life, other categories of low-income </w:t>
      </w:r>
      <w:r w:rsidRPr="00583384">
        <w:rPr>
          <w:rFonts w:cs="Arial"/>
        </w:rPr>
        <w:lastRenderedPageBreak/>
        <w:t>earners are more susceptible to these and other such frequently preventable health complications as heart disease, diabetes and respiratory illness. It is not only a question of morbidity and mortality, and it demonstrated that disparity holds true even in the quality of life of low and high-income families (Swain et al., 2014). The shortage of the money raises the likelihood of the low-income families experiencing a chronic state of stress and it may also cause several health issues like cardiovascular ailments, and mental ailments.</w:t>
      </w:r>
    </w:p>
    <w:p w14:paraId="1D01A686" w14:textId="77777777" w:rsidR="00323E96" w:rsidRPr="00CC1ED5" w:rsidRDefault="003012C9" w:rsidP="00323E96">
      <w:pPr>
        <w:keepNext/>
        <w:ind w:left="720" w:firstLine="720"/>
        <w:rPr>
          <w:sz w:val="20"/>
          <w:szCs w:val="22"/>
        </w:rPr>
      </w:pPr>
      <w:r w:rsidRPr="00CC1ED5">
        <w:rPr>
          <w:rFonts w:cs="Arial"/>
          <w:noProof/>
          <w:sz w:val="20"/>
          <w:szCs w:val="22"/>
          <w:lang w:eastAsia="en-GB"/>
        </w:rPr>
        <w:drawing>
          <wp:inline distT="0" distB="0" distL="0" distR="0" wp14:anchorId="52C079F3" wp14:editId="3A7AC228">
            <wp:extent cx="4184650" cy="2491740"/>
            <wp:effectExtent l="76200" t="76200" r="139700" b="137160"/>
            <wp:docPr id="865159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159136" name=""/>
                    <pic:cNvPicPr/>
                  </pic:nvPicPr>
                  <pic:blipFill>
                    <a:blip r:embed="rId16"/>
                    <a:stretch>
                      <a:fillRect/>
                    </a:stretch>
                  </pic:blipFill>
                  <pic:spPr>
                    <a:xfrm>
                      <a:off x="0" y="0"/>
                      <a:ext cx="4184650" cy="2491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D5D642" w14:textId="698FEA15" w:rsidR="005165EE" w:rsidRPr="00CC1ED5" w:rsidRDefault="00323E96" w:rsidP="00323E96">
      <w:pPr>
        <w:pStyle w:val="Caption"/>
        <w:jc w:val="center"/>
        <w:rPr>
          <w:rFonts w:cs="Arial"/>
          <w:i w:val="0"/>
          <w:iCs w:val="0"/>
          <w:color w:val="auto"/>
          <w:sz w:val="22"/>
          <w:szCs w:val="22"/>
        </w:rPr>
      </w:pPr>
      <w:r w:rsidRPr="00CC1ED5">
        <w:rPr>
          <w:rFonts w:cs="Arial"/>
          <w:i w:val="0"/>
          <w:iCs w:val="0"/>
          <w:color w:val="auto"/>
          <w:sz w:val="22"/>
          <w:szCs w:val="22"/>
        </w:rPr>
        <w:t xml:space="preserve">Figure </w:t>
      </w:r>
      <w:r w:rsidRPr="00CC1ED5">
        <w:rPr>
          <w:rFonts w:cs="Arial"/>
          <w:i w:val="0"/>
          <w:iCs w:val="0"/>
          <w:color w:val="auto"/>
          <w:sz w:val="22"/>
          <w:szCs w:val="22"/>
        </w:rPr>
        <w:fldChar w:fldCharType="begin"/>
      </w:r>
      <w:r w:rsidRPr="00CC1ED5">
        <w:rPr>
          <w:rFonts w:cs="Arial"/>
          <w:i w:val="0"/>
          <w:iCs w:val="0"/>
          <w:color w:val="auto"/>
          <w:sz w:val="22"/>
          <w:szCs w:val="22"/>
        </w:rPr>
        <w:instrText xml:space="preserve"> SEQ Figure \* ARABIC </w:instrText>
      </w:r>
      <w:r w:rsidRPr="00CC1ED5">
        <w:rPr>
          <w:rFonts w:cs="Arial"/>
          <w:i w:val="0"/>
          <w:iCs w:val="0"/>
          <w:color w:val="auto"/>
          <w:sz w:val="22"/>
          <w:szCs w:val="22"/>
        </w:rPr>
        <w:fldChar w:fldCharType="separate"/>
      </w:r>
      <w:r w:rsidR="00B75D34">
        <w:rPr>
          <w:rFonts w:cs="Arial"/>
          <w:i w:val="0"/>
          <w:iCs w:val="0"/>
          <w:noProof/>
          <w:color w:val="auto"/>
          <w:sz w:val="22"/>
          <w:szCs w:val="22"/>
        </w:rPr>
        <w:t>5</w:t>
      </w:r>
      <w:r w:rsidRPr="00CC1ED5">
        <w:rPr>
          <w:rFonts w:cs="Arial"/>
          <w:i w:val="0"/>
          <w:iCs w:val="0"/>
          <w:color w:val="auto"/>
          <w:sz w:val="22"/>
          <w:szCs w:val="22"/>
        </w:rPr>
        <w:fldChar w:fldCharType="end"/>
      </w:r>
      <w:r w:rsidRPr="00CC1ED5">
        <w:rPr>
          <w:rFonts w:cs="Arial"/>
          <w:i w:val="0"/>
          <w:iCs w:val="0"/>
          <w:color w:val="auto"/>
          <w:sz w:val="22"/>
          <w:szCs w:val="22"/>
        </w:rPr>
        <w:t xml:space="preserve">: Life Expectancy Disparities </w:t>
      </w:r>
      <w:proofErr w:type="gramStart"/>
      <w:r w:rsidRPr="00CC1ED5">
        <w:rPr>
          <w:rFonts w:cs="Arial"/>
          <w:i w:val="0"/>
          <w:iCs w:val="0"/>
          <w:color w:val="auto"/>
          <w:sz w:val="22"/>
          <w:szCs w:val="22"/>
        </w:rPr>
        <w:t>Across</w:t>
      </w:r>
      <w:proofErr w:type="gramEnd"/>
      <w:r w:rsidRPr="00CC1ED5">
        <w:rPr>
          <w:rFonts w:cs="Arial"/>
          <w:i w:val="0"/>
          <w:iCs w:val="0"/>
          <w:color w:val="auto"/>
          <w:sz w:val="22"/>
          <w:szCs w:val="22"/>
        </w:rPr>
        <w:t xml:space="preserve"> Low-Income Groups in the UK</w:t>
      </w:r>
    </w:p>
    <w:p w14:paraId="73F0E38D" w14:textId="606D4B97" w:rsidR="008C2C96" w:rsidRPr="00CC1ED5" w:rsidRDefault="008C2C96" w:rsidP="00323E96">
      <w:pPr>
        <w:jc w:val="center"/>
        <w:rPr>
          <w:rFonts w:cs="Arial"/>
          <w:szCs w:val="22"/>
        </w:rPr>
      </w:pPr>
      <w:r w:rsidRPr="00CC1ED5">
        <w:rPr>
          <w:rFonts w:cs="Arial"/>
          <w:szCs w:val="22"/>
        </w:rPr>
        <w:t>Source:</w:t>
      </w:r>
      <w:r w:rsidRPr="00CC1ED5">
        <w:rPr>
          <w:rFonts w:eastAsia="Times New Roman" w:cs="Arial"/>
          <w:kern w:val="0"/>
          <w:szCs w:val="22"/>
          <w14:ligatures w14:val="none"/>
        </w:rPr>
        <w:t xml:space="preserve"> </w:t>
      </w:r>
      <w:proofErr w:type="spellStart"/>
      <w:r w:rsidRPr="00CC1ED5">
        <w:rPr>
          <w:rFonts w:cs="Arial"/>
          <w:szCs w:val="22"/>
        </w:rPr>
        <w:t>Mallorie</w:t>
      </w:r>
      <w:proofErr w:type="spellEnd"/>
      <w:r w:rsidRPr="00CC1ED5">
        <w:rPr>
          <w:rFonts w:cs="Arial"/>
          <w:szCs w:val="22"/>
        </w:rPr>
        <w:t xml:space="preserve"> (2024)</w:t>
      </w:r>
    </w:p>
    <w:p w14:paraId="5387F753" w14:textId="6A471DD7" w:rsidR="002F745C" w:rsidRPr="00F83C42" w:rsidRDefault="002F745C" w:rsidP="007212D2">
      <w:pPr>
        <w:pStyle w:val="Heading3"/>
      </w:pPr>
      <w:bookmarkStart w:id="30" w:name="_Toc210700693"/>
      <w:r w:rsidRPr="00F83C42">
        <w:t>Case Studies</w:t>
      </w:r>
      <w:bookmarkEnd w:id="30"/>
    </w:p>
    <w:p w14:paraId="23D62496" w14:textId="27019904" w:rsidR="005165EE" w:rsidRPr="009E11EA" w:rsidRDefault="002F745C" w:rsidP="004821E7">
      <w:pPr>
        <w:pStyle w:val="Heading4"/>
        <w:rPr>
          <w:b/>
        </w:rPr>
      </w:pPr>
      <w:r w:rsidRPr="009E11EA">
        <w:rPr>
          <w:b/>
        </w:rPr>
        <w:t>Children in Low-Income Families</w:t>
      </w:r>
    </w:p>
    <w:p w14:paraId="22281B3F" w14:textId="5BE9258E" w:rsidR="002F745C" w:rsidRPr="00F83C42" w:rsidRDefault="007601B4" w:rsidP="007071C2">
      <w:pPr>
        <w:rPr>
          <w:rFonts w:cs="Arial"/>
        </w:rPr>
      </w:pPr>
      <w:r w:rsidRPr="00F83C42">
        <w:rPr>
          <w:rFonts w:cs="Arial"/>
        </w:rPr>
        <w:t>The Joseph Rowntree Foundation (2020) conducted one study that pointed out that children living in poverty have higher chances of developing physical and mental health problems. As an example, the low-income families have their children at an increased risk of being obese, developing asthma, and suffering delays in their development. The differences occur as a result of overcrowded residential environment, lack of proper nutrition and poor healthcare accessibility.</w:t>
      </w:r>
      <w:r w:rsidR="009C48F0" w:rsidRPr="00F83C42">
        <w:rPr>
          <w:rFonts w:cs="Arial"/>
        </w:rPr>
        <w:t xml:space="preserve"> </w:t>
      </w:r>
      <w:r w:rsidRPr="00F83C42">
        <w:rPr>
          <w:rFonts w:cs="Arial"/>
        </w:rPr>
        <w:t>A Greater Manchester case study established that children born in the most deprived regions were twice more probable to record respiratory issues and even to be confined to hospital owing to diseases that can be avoided such as pneumonia.</w:t>
      </w:r>
    </w:p>
    <w:p w14:paraId="71D75DCF" w14:textId="1A52A443" w:rsidR="007601B4" w:rsidRPr="009E11EA" w:rsidRDefault="002F745C" w:rsidP="009C48F0">
      <w:pPr>
        <w:pStyle w:val="Heading4"/>
        <w:rPr>
          <w:b/>
        </w:rPr>
      </w:pPr>
      <w:r w:rsidRPr="009E11EA">
        <w:rPr>
          <w:b/>
        </w:rPr>
        <w:lastRenderedPageBreak/>
        <w:t>Vulnerable Adults in Low-Income Households</w:t>
      </w:r>
    </w:p>
    <w:p w14:paraId="5222D7D4" w14:textId="08830FB6" w:rsidR="002F745C" w:rsidRPr="00F83C42" w:rsidRDefault="007601B4" w:rsidP="007071C2">
      <w:pPr>
        <w:rPr>
          <w:rFonts w:cs="Arial"/>
        </w:rPr>
      </w:pPr>
      <w:r w:rsidRPr="00F83C42">
        <w:rPr>
          <w:rFonts w:cs="Arial"/>
        </w:rPr>
        <w:t xml:space="preserve">There is also a great degree of health inequality among vulnerable adults especially those with chronic conditions. The Liverpool case study looked at the health impact of low-income elderly inhabitants. As it was stated in the study, older people, those with poorer housing conditions, were more prone to having hypertension, diabetes, and arthritis. </w:t>
      </w:r>
      <w:r w:rsidR="00ED22BE" w:rsidRPr="00ED22BE">
        <w:rPr>
          <w:rFonts w:cs="Arial"/>
        </w:rPr>
        <w:t xml:space="preserve">Other correlated problems included a deficiency of sufficient health provisions and social isolation. The article highlighted how social influences such as income, degree of housing </w:t>
      </w:r>
      <w:r w:rsidR="0055738B" w:rsidRPr="00ED22BE">
        <w:rPr>
          <w:rFonts w:cs="Arial"/>
        </w:rPr>
        <w:t>was</w:t>
      </w:r>
      <w:r w:rsidR="00ED22BE" w:rsidRPr="00ED22BE">
        <w:rPr>
          <w:rFonts w:cs="Arial"/>
        </w:rPr>
        <w:t xml:space="preserve"> contributing factors in the development of the ordeals (</w:t>
      </w:r>
      <w:proofErr w:type="spellStart"/>
      <w:r w:rsidR="00ED22BE" w:rsidRPr="00ED22BE">
        <w:rPr>
          <w:rFonts w:cs="Arial"/>
        </w:rPr>
        <w:t>Alshakhs</w:t>
      </w:r>
      <w:proofErr w:type="spellEnd"/>
      <w:r w:rsidR="00ED22BE" w:rsidRPr="00ED22BE">
        <w:rPr>
          <w:rFonts w:cs="Arial"/>
        </w:rPr>
        <w:t xml:space="preserve"> and </w:t>
      </w:r>
      <w:proofErr w:type="spellStart"/>
      <w:r w:rsidR="00ED22BE" w:rsidRPr="00ED22BE">
        <w:rPr>
          <w:rFonts w:cs="Arial"/>
        </w:rPr>
        <w:t>Alanzi</w:t>
      </w:r>
      <w:proofErr w:type="spellEnd"/>
      <w:r w:rsidR="00ED22BE" w:rsidRPr="00ED22BE">
        <w:rPr>
          <w:rFonts w:cs="Arial"/>
        </w:rPr>
        <w:t>, 2018).</w:t>
      </w:r>
    </w:p>
    <w:p w14:paraId="3C623066" w14:textId="7838BCDC" w:rsidR="002F745C" w:rsidRPr="009E11EA" w:rsidRDefault="002F745C" w:rsidP="009C48F0">
      <w:pPr>
        <w:pStyle w:val="Heading4"/>
        <w:rPr>
          <w:b/>
        </w:rPr>
      </w:pPr>
      <w:r w:rsidRPr="009E11EA">
        <w:rPr>
          <w:b/>
        </w:rPr>
        <w:t>COVID-19 Impact</w:t>
      </w:r>
    </w:p>
    <w:p w14:paraId="1B3318F4" w14:textId="134A6646" w:rsidR="00FB6E3F" w:rsidRPr="00F83C42" w:rsidRDefault="00812428" w:rsidP="00FB6E3F">
      <w:pPr>
        <w:rPr>
          <w:rFonts w:cs="Arial"/>
        </w:rPr>
      </w:pPr>
      <w:r w:rsidRPr="00812428">
        <w:rPr>
          <w:rFonts w:cs="Arial"/>
        </w:rPr>
        <w:t>The COVID-19 epidemic vastly exacerbated the status of ill health of low-income households and underscored unbelievable differences in median care and outcome disparities across economically deprived communities. According to the Office for National Statistics (ONS, 2020), the population of the less-affluent households is more likely than the more-affluent households to be exposed to the COVID-19 disease and experience either the severe forms of the infection requiring hospitalisation and being killed. The existence of this inequality was encouraged by various factors such as overcrowding living standards, lack of proper accessibility and provision of health care and most of the lower income earners had some underlying medical conditions.</w:t>
      </w:r>
    </w:p>
    <w:p w14:paraId="4A0FA39C" w14:textId="44F846B3" w:rsidR="00FB6E3F" w:rsidRPr="00F83C42" w:rsidRDefault="00FF0AB6" w:rsidP="00FB6E3F">
      <w:pPr>
        <w:rPr>
          <w:rFonts w:cs="Arial"/>
        </w:rPr>
      </w:pPr>
      <w:r w:rsidRPr="00FF0AB6">
        <w:rPr>
          <w:rFonts w:cs="Arial"/>
        </w:rPr>
        <w:t xml:space="preserve">Moreover, poor families were adversely discriminated in financial pandemic expenses. Uncontrolled unemployment, economic instability, and substandard social welfare provision led to a surge in stress and mental health problems and disproportionately impacted the susceptible who were already economically strained. One of the examples cited by </w:t>
      </w:r>
      <w:proofErr w:type="spellStart"/>
      <w:r w:rsidR="00BD4900" w:rsidRPr="004B0845">
        <w:rPr>
          <w:rFonts w:cs="Arial"/>
        </w:rPr>
        <w:t>Wellings</w:t>
      </w:r>
      <w:proofErr w:type="spellEnd"/>
      <w:r w:rsidR="00BD4900" w:rsidRPr="004B0845">
        <w:rPr>
          <w:rFonts w:cs="Arial"/>
        </w:rPr>
        <w:t xml:space="preserve"> and Appleby</w:t>
      </w:r>
      <w:r w:rsidR="00BD4900">
        <w:rPr>
          <w:rFonts w:cs="Arial"/>
        </w:rPr>
        <w:t xml:space="preserve"> (</w:t>
      </w:r>
      <w:r w:rsidRPr="00FF0AB6">
        <w:rPr>
          <w:rFonts w:cs="Arial"/>
        </w:rPr>
        <w:t>202</w:t>
      </w:r>
      <w:r w:rsidR="00BD4900">
        <w:rPr>
          <w:rFonts w:cs="Arial"/>
        </w:rPr>
        <w:t>1</w:t>
      </w:r>
      <w:r w:rsidRPr="00FF0AB6">
        <w:rPr>
          <w:rFonts w:cs="Arial"/>
        </w:rPr>
        <w:t>) shows that conditions such as anxiety, depression, and substance abuse escalated among the less privileged economically, during the pandemic. As a second example, the authors of the study printed in The BMJ have dubbed a sharp rise in mental health problems resulting in inhabitants of lower-income families due to the additional strain of the economic and social province of alienation (</w:t>
      </w:r>
      <w:proofErr w:type="spellStart"/>
      <w:r w:rsidR="004B0845" w:rsidRPr="004B0845">
        <w:rPr>
          <w:rFonts w:cs="Arial"/>
        </w:rPr>
        <w:t>Wellings</w:t>
      </w:r>
      <w:proofErr w:type="spellEnd"/>
      <w:r w:rsidR="004B0845" w:rsidRPr="004B0845">
        <w:rPr>
          <w:rFonts w:cs="Arial"/>
        </w:rPr>
        <w:t xml:space="preserve"> and Appleby, 2021</w:t>
      </w:r>
      <w:r w:rsidRPr="00FF0AB6">
        <w:rPr>
          <w:rFonts w:cs="Arial"/>
        </w:rPr>
        <w:t>).</w:t>
      </w:r>
    </w:p>
    <w:p w14:paraId="27FC0F52" w14:textId="74F93D94" w:rsidR="00FB6E3F" w:rsidRPr="00F83C42" w:rsidRDefault="00E337AB" w:rsidP="00FB6E3F">
      <w:pPr>
        <w:rPr>
          <w:rFonts w:cs="Arial"/>
        </w:rPr>
      </w:pPr>
      <w:r w:rsidRPr="00E337AB">
        <w:rPr>
          <w:rFonts w:cs="Arial"/>
        </w:rPr>
        <w:t xml:space="preserve">The same instance applies to the pandemic since it illustrated systemic weakness within the systems in the society, the most tangible ones being the digital inequalities and unsafe </w:t>
      </w:r>
      <w:proofErr w:type="spellStart"/>
      <w:r w:rsidRPr="00E337AB">
        <w:rPr>
          <w:rFonts w:cs="Arial"/>
        </w:rPr>
        <w:t>labor</w:t>
      </w:r>
      <w:proofErr w:type="spellEnd"/>
      <w:r w:rsidRPr="00E337AB">
        <w:rPr>
          <w:rFonts w:cs="Arial"/>
        </w:rPr>
        <w:t xml:space="preserve">. Lockdowns abruptly turned to online learning and </w:t>
      </w:r>
      <w:r w:rsidR="00EE3F94" w:rsidRPr="00E337AB">
        <w:rPr>
          <w:rFonts w:cs="Arial"/>
        </w:rPr>
        <w:t>work;</w:t>
      </w:r>
      <w:r w:rsidRPr="00E337AB">
        <w:rPr>
          <w:rFonts w:cs="Arial"/>
        </w:rPr>
        <w:t xml:space="preserve"> the digital gap has introduced such a scenario when low-income earners lack an Internet connection and technological gadgets and made the issue of inequalities in terms of learning and working opportunities even stronger. Children who particularly have a lavish background were especially left behind due to the closure of schools and other public places.</w:t>
      </w:r>
      <w:r w:rsidR="00FB6E3F" w:rsidRPr="00F83C42">
        <w:rPr>
          <w:rFonts w:cs="Arial"/>
        </w:rPr>
        <w:t xml:space="preserve"> Lack of access to the internet-learning platforms led many to </w:t>
      </w:r>
      <w:r w:rsidR="00FB6E3F" w:rsidRPr="00F83C42">
        <w:rPr>
          <w:rFonts w:cs="Arial"/>
        </w:rPr>
        <w:lastRenderedPageBreak/>
        <w:t>experience learning losses and heightened social isolation, which affected mental health further and their chances in the future (ONS, 2020).</w:t>
      </w:r>
    </w:p>
    <w:p w14:paraId="0BE49369" w14:textId="28144709" w:rsidR="00FB6E3F" w:rsidRPr="00F83C42" w:rsidRDefault="00AA3BB6" w:rsidP="00FB6E3F">
      <w:pPr>
        <w:rPr>
          <w:rFonts w:cs="Arial"/>
        </w:rPr>
      </w:pPr>
      <w:r w:rsidRPr="00AA3BB6">
        <w:rPr>
          <w:rFonts w:cs="Arial"/>
        </w:rPr>
        <w:t>In addition, the COVID-19 also contributed to the demonstration of how ethnic health differences are linked to low-income levels. COVID-19 infection and mortality particularly affected the minority ethnic groups (Black, Asian and Minority Ethnic) as well as disproportionately impacted ethnic minorities. Socio-economic disparities have inclined on increases of these disparities since they entail overcrowded dwelling, inadequately compensated and unstable employment, and pre-emptive healthcare. According to the study by BMJ (2020), representatives of ethnic minorities are more likely to work in a job that provides them with more exposure to the virus, as well as a multi-generational family, increasing the risk.</w:t>
      </w:r>
    </w:p>
    <w:p w14:paraId="4542A173" w14:textId="62CA4788" w:rsidR="00072726" w:rsidRPr="00F83C42" w:rsidRDefault="001C6E15" w:rsidP="007071C2">
      <w:pPr>
        <w:rPr>
          <w:rFonts w:cs="Arial"/>
        </w:rPr>
      </w:pPr>
      <w:r w:rsidRPr="001C6E15">
        <w:rPr>
          <w:rFonts w:cs="Arial"/>
        </w:rPr>
        <w:t>In such a manner, the pandemic revealed the larger issues of digital exclusion, precarious labour and inequity in resource distribution, all of which have health equity concerns in the long-term. It has also made clear that more rigorous social and health policy units have concluded to a greater consideration not only of the socio-</w:t>
      </w:r>
      <w:proofErr w:type="spellStart"/>
      <w:r w:rsidRPr="001C6E15">
        <w:rPr>
          <w:rFonts w:cs="Arial"/>
        </w:rPr>
        <w:t>economographic</w:t>
      </w:r>
      <w:proofErr w:type="spellEnd"/>
      <w:r w:rsidRPr="001C6E15">
        <w:rPr>
          <w:rFonts w:cs="Arial"/>
        </w:rPr>
        <w:t xml:space="preserve"> problems, but of ethnic disparities with intersection and influence of the most susceptible groups of persons on health outcomes within a greater scope.</w:t>
      </w:r>
    </w:p>
    <w:p w14:paraId="1D3CCE1F" w14:textId="77777777" w:rsidR="00F86032" w:rsidRPr="00CC1ED5" w:rsidRDefault="00817A06" w:rsidP="00F86032">
      <w:pPr>
        <w:keepNext/>
        <w:jc w:val="center"/>
        <w:rPr>
          <w:sz w:val="20"/>
          <w:szCs w:val="22"/>
        </w:rPr>
      </w:pPr>
      <w:r w:rsidRPr="00CC1ED5">
        <w:rPr>
          <w:rFonts w:cs="Arial"/>
          <w:noProof/>
          <w:sz w:val="20"/>
          <w:szCs w:val="22"/>
          <w:lang w:eastAsia="en-GB"/>
        </w:rPr>
        <w:drawing>
          <wp:inline distT="0" distB="0" distL="0" distR="0" wp14:anchorId="4BE634BE" wp14:editId="408EE96A">
            <wp:extent cx="4222750" cy="2139950"/>
            <wp:effectExtent l="76200" t="76200" r="139700" b="127000"/>
            <wp:docPr id="1418087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087291" name=""/>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Lst>
                    </a:blip>
                    <a:stretch>
                      <a:fillRect/>
                    </a:stretch>
                  </pic:blipFill>
                  <pic:spPr>
                    <a:xfrm>
                      <a:off x="0" y="0"/>
                      <a:ext cx="4239094" cy="2148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A399E4" w14:textId="7E16BBB7" w:rsidR="007601B4" w:rsidRPr="00CC1ED5" w:rsidRDefault="00F86032" w:rsidP="00F86032">
      <w:pPr>
        <w:pStyle w:val="Caption"/>
        <w:jc w:val="center"/>
        <w:rPr>
          <w:rFonts w:cs="Arial"/>
          <w:i w:val="0"/>
          <w:iCs w:val="0"/>
          <w:color w:val="auto"/>
          <w:sz w:val="22"/>
          <w:szCs w:val="22"/>
        </w:rPr>
      </w:pPr>
      <w:r w:rsidRPr="00CC1ED5">
        <w:rPr>
          <w:rFonts w:cs="Arial"/>
          <w:i w:val="0"/>
          <w:iCs w:val="0"/>
          <w:color w:val="auto"/>
          <w:sz w:val="22"/>
          <w:szCs w:val="22"/>
        </w:rPr>
        <w:t xml:space="preserve">Figure </w:t>
      </w:r>
      <w:r w:rsidRPr="00CC1ED5">
        <w:rPr>
          <w:rFonts w:cs="Arial"/>
          <w:i w:val="0"/>
          <w:iCs w:val="0"/>
          <w:color w:val="auto"/>
          <w:sz w:val="22"/>
          <w:szCs w:val="22"/>
        </w:rPr>
        <w:fldChar w:fldCharType="begin"/>
      </w:r>
      <w:r w:rsidRPr="00CC1ED5">
        <w:rPr>
          <w:rFonts w:cs="Arial"/>
          <w:i w:val="0"/>
          <w:iCs w:val="0"/>
          <w:color w:val="auto"/>
          <w:sz w:val="22"/>
          <w:szCs w:val="22"/>
        </w:rPr>
        <w:instrText xml:space="preserve"> SEQ Figure \* ARABIC </w:instrText>
      </w:r>
      <w:r w:rsidRPr="00CC1ED5">
        <w:rPr>
          <w:rFonts w:cs="Arial"/>
          <w:i w:val="0"/>
          <w:iCs w:val="0"/>
          <w:color w:val="auto"/>
          <w:sz w:val="22"/>
          <w:szCs w:val="22"/>
        </w:rPr>
        <w:fldChar w:fldCharType="separate"/>
      </w:r>
      <w:r w:rsidR="00B75D34">
        <w:rPr>
          <w:rFonts w:cs="Arial"/>
          <w:i w:val="0"/>
          <w:iCs w:val="0"/>
          <w:noProof/>
          <w:color w:val="auto"/>
          <w:sz w:val="22"/>
          <w:szCs w:val="22"/>
        </w:rPr>
        <w:t>6</w:t>
      </w:r>
      <w:r w:rsidRPr="00CC1ED5">
        <w:rPr>
          <w:rFonts w:cs="Arial"/>
          <w:i w:val="0"/>
          <w:iCs w:val="0"/>
          <w:color w:val="auto"/>
          <w:sz w:val="22"/>
          <w:szCs w:val="22"/>
        </w:rPr>
        <w:fldChar w:fldCharType="end"/>
      </w:r>
      <w:r w:rsidRPr="00CC1ED5">
        <w:rPr>
          <w:rFonts w:cs="Arial"/>
          <w:i w:val="0"/>
          <w:iCs w:val="0"/>
          <w:color w:val="auto"/>
          <w:sz w:val="22"/>
          <w:szCs w:val="22"/>
        </w:rPr>
        <w:t xml:space="preserve">: COVID-19 Infections </w:t>
      </w:r>
      <w:proofErr w:type="gramStart"/>
      <w:r w:rsidRPr="00CC1ED5">
        <w:rPr>
          <w:rFonts w:cs="Arial"/>
          <w:i w:val="0"/>
          <w:iCs w:val="0"/>
          <w:color w:val="auto"/>
          <w:sz w:val="22"/>
          <w:szCs w:val="22"/>
        </w:rPr>
        <w:t>Across</w:t>
      </w:r>
      <w:proofErr w:type="gramEnd"/>
      <w:r w:rsidRPr="00CC1ED5">
        <w:rPr>
          <w:rFonts w:cs="Arial"/>
          <w:i w:val="0"/>
          <w:iCs w:val="0"/>
          <w:color w:val="auto"/>
          <w:sz w:val="22"/>
          <w:szCs w:val="22"/>
        </w:rPr>
        <w:t xml:space="preserve"> Socio-Economic Groups</w:t>
      </w:r>
    </w:p>
    <w:p w14:paraId="25F3B866" w14:textId="7C400BA1" w:rsidR="009B78F7" w:rsidRPr="00CC1ED5" w:rsidRDefault="009B78F7" w:rsidP="00321273">
      <w:pPr>
        <w:jc w:val="center"/>
        <w:rPr>
          <w:rFonts w:cs="Arial"/>
          <w:szCs w:val="22"/>
        </w:rPr>
      </w:pPr>
      <w:r w:rsidRPr="00CC1ED5">
        <w:rPr>
          <w:rFonts w:cs="Arial"/>
          <w:szCs w:val="22"/>
        </w:rPr>
        <w:t xml:space="preserve">Source: </w:t>
      </w:r>
      <w:proofErr w:type="spellStart"/>
      <w:r w:rsidRPr="00CC1ED5">
        <w:rPr>
          <w:rFonts w:cs="Arial"/>
          <w:szCs w:val="22"/>
        </w:rPr>
        <w:t>Belot</w:t>
      </w:r>
      <w:proofErr w:type="spellEnd"/>
      <w:r w:rsidRPr="00CC1ED5">
        <w:rPr>
          <w:rFonts w:cs="Arial"/>
          <w:szCs w:val="22"/>
        </w:rPr>
        <w:t xml:space="preserve"> and </w:t>
      </w:r>
      <w:proofErr w:type="spellStart"/>
      <w:r w:rsidRPr="00CC1ED5">
        <w:rPr>
          <w:rFonts w:cs="Arial"/>
          <w:szCs w:val="22"/>
        </w:rPr>
        <w:t>Lenhart</w:t>
      </w:r>
      <w:proofErr w:type="spellEnd"/>
      <w:r w:rsidRPr="00CC1ED5">
        <w:rPr>
          <w:rFonts w:cs="Arial"/>
          <w:szCs w:val="22"/>
        </w:rPr>
        <w:t xml:space="preserve"> (2021)</w:t>
      </w:r>
    </w:p>
    <w:p w14:paraId="754C0DAF" w14:textId="0F185044" w:rsidR="002F745C" w:rsidRPr="00F83C42" w:rsidRDefault="002313A6" w:rsidP="007071C2">
      <w:pPr>
        <w:rPr>
          <w:rFonts w:cs="Arial"/>
        </w:rPr>
      </w:pPr>
      <w:r w:rsidRPr="002313A6">
        <w:rPr>
          <w:rFonts w:cs="Arial"/>
        </w:rPr>
        <w:t xml:space="preserve">The issue of health disparities among low-income families is a significant topic of the UK community health. The social factors that contribute to these inequalities are access to health care, education, income and housing. Chronic health conditions increase the risks of infections; as lower-income individuals have a higher proportion of chronic health conditions, this is one of </w:t>
      </w:r>
      <w:r w:rsidRPr="002313A6">
        <w:rPr>
          <w:rFonts w:cs="Arial"/>
        </w:rPr>
        <w:lastRenderedPageBreak/>
        <w:t>the reasons why COVID-19 is connected to low-income communities and localities in the UK. The emergence of a COVID-19 pandemic is nothing that could widen such disparities to the point that concentrated measures would be needed to correct the causes of health disparities.</w:t>
      </w:r>
    </w:p>
    <w:p w14:paraId="713C7CF7" w14:textId="7146D135" w:rsidR="002F745C" w:rsidRPr="00F83C42" w:rsidRDefault="002F745C" w:rsidP="009C48F0">
      <w:pPr>
        <w:pStyle w:val="Heading2"/>
      </w:pPr>
      <w:bookmarkStart w:id="31" w:name="_Toc210700694"/>
      <w:r w:rsidRPr="00F83C42">
        <w:t>Role of Health and Social Care Professionals in Addressing Inequalities</w:t>
      </w:r>
      <w:bookmarkEnd w:id="31"/>
      <w:r w:rsidRPr="00F83C42">
        <w:t xml:space="preserve"> </w:t>
      </w:r>
    </w:p>
    <w:p w14:paraId="53117C3D" w14:textId="4D1D8480" w:rsidR="002E6B24" w:rsidRPr="00F83C42" w:rsidRDefault="00390504" w:rsidP="00390504">
      <w:pPr>
        <w:rPr>
          <w:rFonts w:cs="Arial"/>
        </w:rPr>
      </w:pPr>
      <w:r w:rsidRPr="00F83C42">
        <w:rPr>
          <w:rFonts w:cs="Arial"/>
        </w:rPr>
        <w:t>Health and social care professionals, such as community nurses, health visitors, social workers, are very essential in providing solutions to health disparity among low i</w:t>
      </w:r>
      <w:r w:rsidR="00612133">
        <w:rPr>
          <w:rFonts w:cs="Arial"/>
        </w:rPr>
        <w:t>n</w:t>
      </w:r>
      <w:r w:rsidR="00466A72">
        <w:rPr>
          <w:rFonts w:cs="Arial"/>
        </w:rPr>
        <w:t xml:space="preserve">come and marginalized groups, for example provides information about identifying people who smoke and offering brief advice, structure and process measures to ensure that people are asked if they smoke at every contact with a healthcare practitioner, and offered help if they </w:t>
      </w:r>
      <w:proofErr w:type="spellStart"/>
      <w:r w:rsidR="00466A72">
        <w:rPr>
          <w:rFonts w:cs="Arial"/>
        </w:rPr>
        <w:t>do.</w:t>
      </w:r>
      <w:r w:rsidRPr="00F83C42">
        <w:rPr>
          <w:rFonts w:cs="Arial"/>
        </w:rPr>
        <w:t>The</w:t>
      </w:r>
      <w:proofErr w:type="spellEnd"/>
      <w:r w:rsidRPr="00F83C42">
        <w:rPr>
          <w:rFonts w:cs="Arial"/>
        </w:rPr>
        <w:t xml:space="preserve"> professionals can also assess families that have been through deprivation, and thus, they are at the forefront of defining the social determinants of health, including poor housing, unemployment, and inadequate access to education, leading to health disparities (Marmot, 2020). Their work involves direct care, representation of their clients and connecting people to vital sources</w:t>
      </w:r>
      <w:r w:rsidR="002E6B24">
        <w:rPr>
          <w:rFonts w:cs="Arial"/>
        </w:rPr>
        <w:t xml:space="preserve"> (</w:t>
      </w:r>
      <w:proofErr w:type="spellStart"/>
      <w:r w:rsidR="002E6B24" w:rsidRPr="002E6B24">
        <w:rPr>
          <w:rFonts w:cs="Arial"/>
        </w:rPr>
        <w:t>Kirkbride</w:t>
      </w:r>
      <w:proofErr w:type="spellEnd"/>
      <w:r w:rsidR="002E6B24">
        <w:rPr>
          <w:rFonts w:cs="Arial"/>
        </w:rPr>
        <w:t xml:space="preserve"> et al., 2024)</w:t>
      </w:r>
      <w:r w:rsidRPr="00F83C42">
        <w:rPr>
          <w:rFonts w:cs="Arial"/>
        </w:rPr>
        <w:t>. As an illustration, social workers help families undergoing a crisis to get access to the housing, financial aid, and facilities of mental health care, as well as become acquainted with health services. Community nurses provide primary prevention, treat chronic cases and offer education on how to live healthy and in most instances visit homes to provide safety to the vulnerable individuals. Health visitors are concerned with early intervention, especially with children and their families, evaluating development and the need to live healthy lifestyles (Marmot, 2020).</w:t>
      </w:r>
    </w:p>
    <w:p w14:paraId="6D13BDD2" w14:textId="6A49562E" w:rsidR="00390504" w:rsidRPr="00F83C42" w:rsidRDefault="00390504" w:rsidP="00390504">
      <w:pPr>
        <w:rPr>
          <w:rFonts w:cs="Arial"/>
        </w:rPr>
      </w:pPr>
      <w:r w:rsidRPr="00F83C42">
        <w:rPr>
          <w:rFonts w:cs="Arial"/>
        </w:rPr>
        <w:t xml:space="preserve">Health education, social prescribing, and community outreach are some of the interventions that attempt to alleviate health disparity. Social prescribing involves referring patients to non-medical services which may include community groups and job programs and targets the social determinants that impact health. </w:t>
      </w:r>
      <w:proofErr w:type="spellStart"/>
      <w:r w:rsidRPr="00F83C42">
        <w:rPr>
          <w:rFonts w:cs="Arial"/>
        </w:rPr>
        <w:t>Neighborhood</w:t>
      </w:r>
      <w:proofErr w:type="spellEnd"/>
      <w:r w:rsidRPr="00F83C42">
        <w:rPr>
          <w:rFonts w:cs="Arial"/>
        </w:rPr>
        <w:t xml:space="preserve"> engagement increased knowledge and access to health care services, whereas health education gave people the strength to make well-informed decisions when it comes to nutrition, physical activity, and mental health (Marmot, 2020). Nevertheless, although these are crucial roles, healthcare providers are undergoing immense challenges, including financial, human, and availability of aid facilities to the community. Moreover, the failures to decrease the health inequalities rely on poor knowledge of the relationship between</w:t>
      </w:r>
      <w:r w:rsidR="003C4377" w:rsidRPr="00F83C42">
        <w:rPr>
          <w:rFonts w:cs="Arial"/>
        </w:rPr>
        <w:t xml:space="preserve"> </w:t>
      </w:r>
      <w:r w:rsidRPr="00F83C42">
        <w:rPr>
          <w:rFonts w:cs="Arial"/>
        </w:rPr>
        <w:t>the social determinants and the health and infrastructural barriers such as inaccessible transport networks, and long queues (</w:t>
      </w:r>
      <w:proofErr w:type="spellStart"/>
      <w:r w:rsidRPr="00F83C42">
        <w:rPr>
          <w:rFonts w:cs="Arial"/>
        </w:rPr>
        <w:t>Checkland</w:t>
      </w:r>
      <w:proofErr w:type="spellEnd"/>
      <w:r w:rsidRPr="00F83C42">
        <w:rPr>
          <w:rFonts w:cs="Arial"/>
        </w:rPr>
        <w:t xml:space="preserve"> et al., 2025).</w:t>
      </w:r>
    </w:p>
    <w:p w14:paraId="2E8FEB00" w14:textId="5A82A149" w:rsidR="007071C2" w:rsidRPr="00F83C42" w:rsidRDefault="00390504" w:rsidP="007071C2">
      <w:pPr>
        <w:rPr>
          <w:rFonts w:cs="Arial"/>
        </w:rPr>
      </w:pPr>
      <w:r w:rsidRPr="00F83C42">
        <w:rPr>
          <w:rFonts w:cs="Arial"/>
        </w:rPr>
        <w:lastRenderedPageBreak/>
        <w:t xml:space="preserve">Importantly, these professionals although being the key actors cannot always be well equipped and funded to counter structural inequalities. These systemic issues warrant thorough training and materials in accordance with the Public Health Skills and Knowledge Framework (UKPHR, 2012). Further, multi-agency </w:t>
      </w:r>
      <w:r w:rsidR="00D95E79" w:rsidRPr="00F83C42">
        <w:rPr>
          <w:rFonts w:cs="Arial"/>
        </w:rPr>
        <w:t>works</w:t>
      </w:r>
      <w:r w:rsidRPr="00F83C42">
        <w:rPr>
          <w:rFonts w:cs="Arial"/>
        </w:rPr>
        <w:t xml:space="preserve"> which is needed to deliver integrated care is commonly inhibited by the divided services, communication and organizational silos, which restrain the intervention effect in minimizing health gap.</w:t>
      </w:r>
    </w:p>
    <w:p w14:paraId="78E99C9F" w14:textId="75F0C008" w:rsidR="002F745C" w:rsidRPr="00F83C42" w:rsidRDefault="002F745C" w:rsidP="009C48F0">
      <w:pPr>
        <w:pStyle w:val="Heading2"/>
        <w:rPr>
          <w:b w:val="0"/>
        </w:rPr>
      </w:pPr>
      <w:bookmarkStart w:id="32" w:name="_Toc210700695"/>
      <w:r w:rsidRPr="00F83C42">
        <w:t>Policy and Institutional Responses</w:t>
      </w:r>
      <w:bookmarkEnd w:id="32"/>
      <w:r w:rsidRPr="00F83C42">
        <w:t xml:space="preserve"> </w:t>
      </w:r>
    </w:p>
    <w:p w14:paraId="18162ABF" w14:textId="3E8A36BE" w:rsidR="00024CEF" w:rsidRPr="00F83C42" w:rsidRDefault="00024CEF" w:rsidP="007212D2">
      <w:pPr>
        <w:pStyle w:val="Heading3"/>
        <w:rPr>
          <w:rFonts w:eastAsiaTheme="minorHAnsi"/>
        </w:rPr>
      </w:pPr>
      <w:bookmarkStart w:id="33" w:name="_Toc210700696"/>
      <w:r w:rsidRPr="00F83C42">
        <w:rPr>
          <w:rFonts w:eastAsiaTheme="minorHAnsi"/>
        </w:rPr>
        <w:t>National Policies</w:t>
      </w:r>
      <w:bookmarkEnd w:id="33"/>
    </w:p>
    <w:p w14:paraId="5C66D3B1" w14:textId="7DB14331" w:rsidR="00024CEF" w:rsidRPr="00466A72" w:rsidRDefault="00024CEF" w:rsidP="00C961CC">
      <w:pPr>
        <w:pStyle w:val="NormalWeb"/>
        <w:shd w:val="clear" w:color="auto" w:fill="FFFFFF"/>
        <w:spacing w:before="0" w:beforeAutospacing="0" w:after="225" w:afterAutospacing="0"/>
        <w:jc w:val="both"/>
        <w:textAlignment w:val="baseline"/>
        <w:rPr>
          <w:rFonts w:cs="Arial"/>
          <w:color w:val="202A30"/>
          <w:sz w:val="27"/>
          <w:szCs w:val="27"/>
          <w:lang w:eastAsia="en-GB"/>
          <w14:ligatures w14:val="none"/>
        </w:rPr>
      </w:pPr>
      <w:r w:rsidRPr="00F83C42">
        <w:rPr>
          <w:rFonts w:cs="Arial"/>
        </w:rPr>
        <w:t>There are various critical policies that the government of the UK has enacted to tackle the inequality-related health disparities, and two of the policies are the Equality Act 2010 and the Marmot Review (2020).</w:t>
      </w:r>
      <w:r w:rsidR="00C947B9" w:rsidRPr="00F83C42">
        <w:rPr>
          <w:rFonts w:cs="Arial"/>
        </w:rPr>
        <w:t xml:space="preserve"> </w:t>
      </w:r>
      <w:r w:rsidR="00466A72" w:rsidRPr="00466A72">
        <w:rPr>
          <w:rFonts w:cs="Arial"/>
          <w:color w:val="202A30"/>
          <w:szCs w:val="22"/>
          <w:lang w:eastAsia="en-GB"/>
          <w14:ligatures w14:val="none"/>
        </w:rPr>
        <w:t>The 10 Year Health Plan for England seizes the opportunities provided by new technologies, medicines, and innovations to deliver better care for all patients – wherever they live and whatever they earn –</w:t>
      </w:r>
      <w:r w:rsidR="00466A72">
        <w:rPr>
          <w:rFonts w:cs="Arial"/>
          <w:color w:val="202A30"/>
          <w:szCs w:val="22"/>
          <w:lang w:eastAsia="en-GB"/>
          <w14:ligatures w14:val="none"/>
        </w:rPr>
        <w:t xml:space="preserve"> and better value for taxpayers. </w:t>
      </w:r>
      <w:r w:rsidRPr="00F83C42">
        <w:rPr>
          <w:rFonts w:cs="Arial"/>
        </w:rPr>
        <w:t>The Equality Act 2010 is an historic bill that aims at reducing discrimination and promoting equality in different sectors such as health sector. The Act obligates that the work of the public services should take into consideration how their task could contribute to reducing disparity especially to the disadvantaged groups. The Marmot Review (2020) proposed a plan on how to decrease health disparities by targeting the social determinants of health. The Review commends action to intervene early to prevent the development of mental illnesses, ameliorating social and work conditions of people, and investing in community health promotions</w:t>
      </w:r>
      <w:r w:rsidR="00C947B9" w:rsidRPr="00F83C42">
        <w:rPr>
          <w:rFonts w:cs="Arial"/>
        </w:rPr>
        <w:t xml:space="preserve"> (UK Government, 2010)</w:t>
      </w:r>
      <w:r w:rsidRPr="00F83C42">
        <w:rPr>
          <w:rFonts w:cs="Arial"/>
        </w:rPr>
        <w:t>.</w:t>
      </w:r>
    </w:p>
    <w:p w14:paraId="6FD4118D" w14:textId="67886964" w:rsidR="00024CEF" w:rsidRPr="00F83C42" w:rsidRDefault="00024CEF" w:rsidP="007212D2">
      <w:pPr>
        <w:pStyle w:val="Heading3"/>
        <w:rPr>
          <w:rFonts w:eastAsiaTheme="minorHAnsi"/>
        </w:rPr>
      </w:pPr>
      <w:bookmarkStart w:id="34" w:name="_Toc210700697"/>
      <w:r w:rsidRPr="00F83C42">
        <w:t>Effectiveness</w:t>
      </w:r>
      <w:bookmarkEnd w:id="34"/>
    </w:p>
    <w:p w14:paraId="3FB4A6A4" w14:textId="26C3709E" w:rsidR="007071C2" w:rsidRPr="00F83C42" w:rsidRDefault="00024CEF" w:rsidP="007071C2">
      <w:pPr>
        <w:rPr>
          <w:rFonts w:cs="Arial"/>
        </w:rPr>
      </w:pPr>
      <w:r w:rsidRPr="00F83C42">
        <w:rPr>
          <w:rFonts w:cs="Arial"/>
        </w:rPr>
        <w:t>Such policies have been condemned because they do not reduce health inequalities. Although the Equality Act 2010 has helped eliminate some forms of discrimination, it has failed in people with regard to the causes of health disparities. Health inequities especially among low</w:t>
      </w:r>
      <w:r w:rsidR="00C23588" w:rsidRPr="00F83C42">
        <w:rPr>
          <w:rFonts w:cs="Arial"/>
        </w:rPr>
        <w:t>-</w:t>
      </w:r>
      <w:r w:rsidRPr="00F83C42">
        <w:rPr>
          <w:rFonts w:cs="Arial"/>
        </w:rPr>
        <w:t>income individuals continue to exist despite the protection by law that the Act offers.</w:t>
      </w:r>
      <w:r w:rsidR="00C947B9" w:rsidRPr="00F83C42">
        <w:rPr>
          <w:rFonts w:cs="Arial"/>
        </w:rPr>
        <w:t xml:space="preserve"> </w:t>
      </w:r>
      <w:r w:rsidRPr="00F83C42">
        <w:rPr>
          <w:rFonts w:cs="Arial"/>
        </w:rPr>
        <w:t>As listed by The Marmot Review (2020), there was improvement but also continued disparities in health outcomes in such areas as life expectancy, prevalence of chronic diseases, and opportunities to access healthcare</w:t>
      </w:r>
      <w:r w:rsidR="00C947B9" w:rsidRPr="00F83C42">
        <w:rPr>
          <w:rFonts w:cs="Arial"/>
        </w:rPr>
        <w:t xml:space="preserve">. </w:t>
      </w:r>
      <w:r w:rsidRPr="00F83C42">
        <w:rPr>
          <w:rFonts w:cs="Arial"/>
        </w:rPr>
        <w:t>Data provided by the Health Foundation (2020) shows that, although the national policies such as the Marmot Review have had some positive impacts, the situation with disparities in health, especially in the most-poor regions of the UK, remains quite serious.</w:t>
      </w:r>
    </w:p>
    <w:p w14:paraId="488859D9" w14:textId="40AC6037" w:rsidR="00D14FF0" w:rsidRPr="00F83C42" w:rsidRDefault="00D14FF0" w:rsidP="009C48F0">
      <w:pPr>
        <w:pStyle w:val="Heading2"/>
        <w:rPr>
          <w:b w:val="0"/>
        </w:rPr>
      </w:pPr>
      <w:bookmarkStart w:id="35" w:name="_Toc210700698"/>
      <w:r w:rsidRPr="00F83C42">
        <w:t>Research Gaps and Study Rationale</w:t>
      </w:r>
      <w:bookmarkEnd w:id="35"/>
      <w:r w:rsidRPr="00F83C42">
        <w:t xml:space="preserve"> </w:t>
      </w:r>
    </w:p>
    <w:p w14:paraId="161F94D0" w14:textId="5EE280EA" w:rsidR="009D2124" w:rsidRPr="00F83C42" w:rsidRDefault="00FF1242" w:rsidP="007071C2">
      <w:pPr>
        <w:rPr>
          <w:rFonts w:cs="Arial"/>
        </w:rPr>
      </w:pPr>
      <w:bookmarkStart w:id="36" w:name="_Toc203422453"/>
      <w:r w:rsidRPr="00FF1242">
        <w:rPr>
          <w:rFonts w:cs="Arial"/>
        </w:rPr>
        <w:t xml:space="preserve">Despite abundant literature on the social determinants of health and a broad sense of how poverty may influence health responses, the literature does not have much information on the role of </w:t>
      </w:r>
      <w:r w:rsidR="00035ED3" w:rsidRPr="00FF1242">
        <w:rPr>
          <w:rFonts w:cs="Arial"/>
        </w:rPr>
        <w:t>front-line</w:t>
      </w:r>
      <w:r w:rsidRPr="00FF1242">
        <w:rPr>
          <w:rFonts w:cs="Arial"/>
        </w:rPr>
        <w:t xml:space="preserve"> health and social care professionals in the implementation of health inequities. Considering the numerous research at macro-level policies and systemic barriers, there is significantly less </w:t>
      </w:r>
      <w:r w:rsidRPr="00FF1242">
        <w:rPr>
          <w:rFonts w:cs="Arial"/>
        </w:rPr>
        <w:lastRenderedPageBreak/>
        <w:t xml:space="preserve">empirical material on the day-to-day-interventions, which may be adopted by professionals such as social workers, community nurses and health visitors in curtailing health disparities among low-income families. The literature available is more inclined to deny the possibility of the approaches of these professionals to the social </w:t>
      </w:r>
      <w:r w:rsidR="005C3DC7" w:rsidRPr="00FF1242">
        <w:rPr>
          <w:rFonts w:cs="Arial"/>
        </w:rPr>
        <w:t>de</w:t>
      </w:r>
      <w:r w:rsidR="00A23B04">
        <w:rPr>
          <w:rFonts w:cs="Arial"/>
        </w:rPr>
        <w:t>t</w:t>
      </w:r>
      <w:r w:rsidR="005C3DC7" w:rsidRPr="00FF1242">
        <w:rPr>
          <w:rFonts w:cs="Arial"/>
        </w:rPr>
        <w:t>erminant’s</w:t>
      </w:r>
      <w:r w:rsidRPr="00FF1242">
        <w:rPr>
          <w:rFonts w:cs="Arial"/>
        </w:rPr>
        <w:t xml:space="preserve"> infusion and the way their activity is going to assist in reversing the health disparities at the grass-root scale (</w:t>
      </w:r>
      <w:proofErr w:type="spellStart"/>
      <w:r w:rsidRPr="00FF1242">
        <w:rPr>
          <w:rFonts w:cs="Arial"/>
        </w:rPr>
        <w:t>Checkland</w:t>
      </w:r>
      <w:proofErr w:type="spellEnd"/>
      <w:r w:rsidRPr="00FF1242">
        <w:rPr>
          <w:rFonts w:cs="Arial"/>
        </w:rPr>
        <w:t xml:space="preserve"> et al., 2025). The research will equally prove highly beneficial in terms of effectiveness of these strategies by taking note of the intervention targets they undertake such as social prescribing practi</w:t>
      </w:r>
      <w:r w:rsidR="00035ED3">
        <w:rPr>
          <w:rFonts w:cs="Arial"/>
        </w:rPr>
        <w:t>c</w:t>
      </w:r>
      <w:r w:rsidRPr="00FF1242">
        <w:rPr>
          <w:rFonts w:cs="Arial"/>
        </w:rPr>
        <w:t>e, community outreach intervention, health education among others.</w:t>
      </w:r>
      <w:r w:rsidR="00024CEF" w:rsidRPr="00F83C42">
        <w:rPr>
          <w:rFonts w:cs="Arial"/>
        </w:rPr>
        <w:t xml:space="preserve"> Furthermore, the study will establish the problem of professionals and provide evidence-based guidance on how to influence policy and practice, ultimately about how healthcare is delivered and how health disparities can be addressed with more efficiency</w:t>
      </w:r>
      <w:r w:rsidR="00035ED3">
        <w:rPr>
          <w:rFonts w:cs="Arial"/>
        </w:rPr>
        <w:t>.</w:t>
      </w:r>
    </w:p>
    <w:p w14:paraId="10606A6B" w14:textId="77777777" w:rsidR="009D2124" w:rsidRPr="00F83C42" w:rsidRDefault="009D2124">
      <w:pPr>
        <w:spacing w:line="278" w:lineRule="auto"/>
        <w:jc w:val="left"/>
        <w:rPr>
          <w:rFonts w:cs="Arial"/>
        </w:rPr>
      </w:pPr>
      <w:r w:rsidRPr="00F83C42">
        <w:rPr>
          <w:rFonts w:cs="Arial"/>
        </w:rPr>
        <w:br w:type="page"/>
      </w:r>
    </w:p>
    <w:p w14:paraId="0A59A5C1" w14:textId="53C9936F" w:rsidR="007071C2" w:rsidRPr="00F83C42" w:rsidRDefault="00090096" w:rsidP="009E11EA">
      <w:pPr>
        <w:pStyle w:val="Heading1"/>
      </w:pPr>
      <w:bookmarkStart w:id="37" w:name="_Toc210700699"/>
      <w:r w:rsidRPr="00CC1ED5">
        <w:lastRenderedPageBreak/>
        <w:t>CHAPTER THREE: METHODOLOGY</w:t>
      </w:r>
      <w:bookmarkEnd w:id="37"/>
    </w:p>
    <w:p w14:paraId="12545D9A" w14:textId="60D0B712" w:rsidR="004704C2" w:rsidRPr="00F83C42" w:rsidRDefault="0029416F" w:rsidP="004704C2">
      <w:pPr>
        <w:pStyle w:val="Heading2"/>
      </w:pPr>
      <w:bookmarkStart w:id="38" w:name="_Toc210700700"/>
      <w:r>
        <w:t>Chapter Overview</w:t>
      </w:r>
      <w:bookmarkEnd w:id="38"/>
    </w:p>
    <w:p w14:paraId="49978508" w14:textId="77777777" w:rsidR="004704C2" w:rsidRPr="00F83C42" w:rsidRDefault="004704C2" w:rsidP="004704C2">
      <w:r w:rsidRPr="00F83C42">
        <w:t>The chapter describes the methodological framework that was used to examine how frontline health and social care providers can help reduce health inequalities in low-income families in the UK. An adequate and potentially demanding examination of available evidence was necessary, so a qualitative secondary research design utilising a systematic literature review was selected (Cooper et al., 2018). This method is suitable when studying in depth social determinants of health since one can integrate a variety of findings when assessing different settings. The systematic review of peer-reviewed studies by its methodology makes the study transparent, replicable, and meaningful; that is, it directly addresses the key objective of the study to fill policy and practice gaps.</w:t>
      </w:r>
    </w:p>
    <w:p w14:paraId="54D76490" w14:textId="77777777" w:rsidR="004704C2" w:rsidRPr="00F83C42" w:rsidRDefault="004704C2" w:rsidP="004704C2">
      <w:pPr>
        <w:pStyle w:val="Heading2"/>
      </w:pPr>
      <w:bookmarkStart w:id="39" w:name="_Toc209488406"/>
      <w:bookmarkStart w:id="40" w:name="_Toc210700701"/>
      <w:r w:rsidRPr="00F83C42">
        <w:t>Search Strategy</w:t>
      </w:r>
      <w:bookmarkEnd w:id="39"/>
      <w:bookmarkEnd w:id="40"/>
    </w:p>
    <w:p w14:paraId="6639CE4A" w14:textId="77777777" w:rsidR="004704C2" w:rsidRPr="00F83C42" w:rsidRDefault="004704C2" w:rsidP="004704C2">
      <w:r w:rsidRPr="00F83C42">
        <w:t xml:space="preserve">The search plan was developed to provide a clear and thorough identification of relevant literature. To access numerous studies on health and social care research, three large databases were selected: PubMed, </w:t>
      </w:r>
      <w:proofErr w:type="spellStart"/>
      <w:r w:rsidRPr="00F83C42">
        <w:t>ProQuest</w:t>
      </w:r>
      <w:proofErr w:type="spellEnd"/>
      <w:r w:rsidRPr="00F83C42">
        <w:t xml:space="preserve">, and the Google Scholar. Advanced search functions and Boolean operators (AND, OR, NOT) were used to search and limit the results. The relevant keywords and controlled vocabulary were manipulated suitably in databases to maximise best retrieval. Each step of the search was tracked and recorded, starting with the initial results and filters used, to be replicated and hold accountability. Iterative searching was to be used to increase reliability by ensuring that newly published studies were observed. This procedure is also supported by the study of </w:t>
      </w:r>
      <w:proofErr w:type="spellStart"/>
      <w:r w:rsidRPr="00F83C42">
        <w:t>Gusenbauer</w:t>
      </w:r>
      <w:proofErr w:type="spellEnd"/>
      <w:r w:rsidRPr="00F83C42">
        <w:t xml:space="preserve"> and </w:t>
      </w:r>
      <w:proofErr w:type="spellStart"/>
      <w:r w:rsidRPr="00F83C42">
        <w:t>Haddaway</w:t>
      </w:r>
      <w:proofErr w:type="spellEnd"/>
      <w:r w:rsidRPr="00F83C42">
        <w:t xml:space="preserve"> (2020). This methodological procedure enabled getting in the interest of the most pertinent peer-reviewed materials to establish a solid base of information to be extracted and further analysed according to the themes.</w:t>
      </w:r>
    </w:p>
    <w:p w14:paraId="4FCE9FCC" w14:textId="77777777" w:rsidR="006A2053" w:rsidRPr="00CC1ED5" w:rsidRDefault="004704C2" w:rsidP="006A2053">
      <w:pPr>
        <w:keepNext/>
        <w:jc w:val="center"/>
        <w:rPr>
          <w:sz w:val="20"/>
          <w:szCs w:val="22"/>
        </w:rPr>
      </w:pPr>
      <w:r w:rsidRPr="00CC1ED5">
        <w:rPr>
          <w:noProof/>
          <w:sz w:val="20"/>
          <w:szCs w:val="22"/>
          <w:lang w:eastAsia="en-GB"/>
        </w:rPr>
        <w:lastRenderedPageBreak/>
        <w:drawing>
          <wp:inline distT="0" distB="0" distL="0" distR="0" wp14:anchorId="600D4C38" wp14:editId="7898EA01">
            <wp:extent cx="5600700" cy="2241550"/>
            <wp:effectExtent l="0" t="0" r="0" b="6350"/>
            <wp:docPr id="1054636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36355" name=""/>
                    <pic:cNvPicPr/>
                  </pic:nvPicPr>
                  <pic:blipFill rotWithShape="1">
                    <a:blip r:embed="rId19"/>
                    <a:srcRect l="2458" t="12137" b="-1"/>
                    <a:stretch>
                      <a:fillRect/>
                    </a:stretch>
                  </pic:blipFill>
                  <pic:spPr bwMode="auto">
                    <a:xfrm>
                      <a:off x="0" y="0"/>
                      <a:ext cx="5600700" cy="2241550"/>
                    </a:xfrm>
                    <a:prstGeom prst="rect">
                      <a:avLst/>
                    </a:prstGeom>
                    <a:ln>
                      <a:noFill/>
                    </a:ln>
                    <a:extLst>
                      <a:ext uri="{53640926-AAD7-44D8-BBD7-CCE9431645EC}">
                        <a14:shadowObscured xmlns:a14="http://schemas.microsoft.com/office/drawing/2010/main"/>
                      </a:ext>
                    </a:extLst>
                  </pic:spPr>
                </pic:pic>
              </a:graphicData>
            </a:graphic>
          </wp:inline>
        </w:drawing>
      </w:r>
    </w:p>
    <w:p w14:paraId="242CCAC9" w14:textId="2873E09C" w:rsidR="004704C2" w:rsidRPr="00CC1ED5" w:rsidRDefault="006A2053" w:rsidP="002F048C">
      <w:pPr>
        <w:pStyle w:val="Caption"/>
        <w:jc w:val="center"/>
        <w:rPr>
          <w:rFonts w:cs="Arial"/>
          <w:i w:val="0"/>
          <w:iCs w:val="0"/>
          <w:color w:val="auto"/>
          <w:sz w:val="22"/>
          <w:szCs w:val="22"/>
        </w:rPr>
      </w:pPr>
      <w:r w:rsidRPr="00CC1ED5">
        <w:rPr>
          <w:rFonts w:cs="Arial"/>
          <w:i w:val="0"/>
          <w:iCs w:val="0"/>
          <w:color w:val="auto"/>
          <w:sz w:val="22"/>
          <w:szCs w:val="22"/>
        </w:rPr>
        <w:t xml:space="preserve">Figure </w:t>
      </w:r>
      <w:r w:rsidRPr="00CC1ED5">
        <w:rPr>
          <w:rFonts w:cs="Arial"/>
          <w:i w:val="0"/>
          <w:iCs w:val="0"/>
          <w:color w:val="auto"/>
          <w:sz w:val="22"/>
          <w:szCs w:val="22"/>
        </w:rPr>
        <w:fldChar w:fldCharType="begin"/>
      </w:r>
      <w:r w:rsidRPr="00CC1ED5">
        <w:rPr>
          <w:rFonts w:cs="Arial"/>
          <w:i w:val="0"/>
          <w:iCs w:val="0"/>
          <w:color w:val="auto"/>
          <w:sz w:val="22"/>
          <w:szCs w:val="22"/>
        </w:rPr>
        <w:instrText xml:space="preserve"> SEQ Figure \* ARABIC </w:instrText>
      </w:r>
      <w:r w:rsidRPr="00CC1ED5">
        <w:rPr>
          <w:rFonts w:cs="Arial"/>
          <w:i w:val="0"/>
          <w:iCs w:val="0"/>
          <w:color w:val="auto"/>
          <w:sz w:val="22"/>
          <w:szCs w:val="22"/>
        </w:rPr>
        <w:fldChar w:fldCharType="separate"/>
      </w:r>
      <w:r w:rsidR="00B75D34">
        <w:rPr>
          <w:rFonts w:cs="Arial"/>
          <w:i w:val="0"/>
          <w:iCs w:val="0"/>
          <w:noProof/>
          <w:color w:val="auto"/>
          <w:sz w:val="22"/>
          <w:szCs w:val="22"/>
        </w:rPr>
        <w:t>7</w:t>
      </w:r>
      <w:r w:rsidRPr="00CC1ED5">
        <w:rPr>
          <w:rFonts w:cs="Arial"/>
          <w:i w:val="0"/>
          <w:iCs w:val="0"/>
          <w:color w:val="auto"/>
          <w:sz w:val="22"/>
          <w:szCs w:val="22"/>
        </w:rPr>
        <w:fldChar w:fldCharType="end"/>
      </w:r>
      <w:r w:rsidRPr="00CC1ED5">
        <w:rPr>
          <w:rFonts w:cs="Arial"/>
          <w:i w:val="0"/>
          <w:iCs w:val="0"/>
          <w:color w:val="auto"/>
          <w:sz w:val="22"/>
          <w:szCs w:val="22"/>
        </w:rPr>
        <w:t>: Use of Boolean Operators</w:t>
      </w:r>
    </w:p>
    <w:p w14:paraId="656C3F35" w14:textId="77777777" w:rsidR="004704C2" w:rsidRPr="00F83C42" w:rsidRDefault="004704C2" w:rsidP="004704C2">
      <w:pPr>
        <w:pStyle w:val="Heading2"/>
      </w:pPr>
      <w:bookmarkStart w:id="41" w:name="_Toc209488407"/>
      <w:bookmarkStart w:id="42" w:name="_Toc210700702"/>
      <w:r w:rsidRPr="00F83C42">
        <w:t>Inclusion and Exclusion Criteria</w:t>
      </w:r>
      <w:bookmarkEnd w:id="41"/>
      <w:bookmarkEnd w:id="42"/>
    </w:p>
    <w:p w14:paraId="04C1CB52" w14:textId="77777777" w:rsidR="004704C2" w:rsidRDefault="004704C2" w:rsidP="004704C2">
      <w:r w:rsidRPr="00F83C42">
        <w:t>To remain focused and ensure the quality of evidence is of good quality, certain inclusion and exclusion criteria were employed. These were the criteria used to screen the studies identified in databases and the credibility they conveyed to the review question were extraordinary then relevant, recent, peer-reviewed and contextually appropriate literature adequately warranted inclusion in the review, which increased the overall credibility, openness and academic honesty of the study.</w:t>
      </w:r>
    </w:p>
    <w:p w14:paraId="23E1919D" w14:textId="7EC0C200" w:rsidR="00B414B8" w:rsidRPr="00B414B8" w:rsidRDefault="00B414B8" w:rsidP="00B414B8">
      <w:pPr>
        <w:pStyle w:val="Caption"/>
        <w:spacing w:before="240" w:line="360" w:lineRule="auto"/>
        <w:jc w:val="center"/>
        <w:rPr>
          <w:i w:val="0"/>
          <w:iCs w:val="0"/>
          <w:color w:val="auto"/>
          <w:sz w:val="22"/>
          <w:szCs w:val="22"/>
        </w:rPr>
      </w:pPr>
      <w:r w:rsidRPr="00F83C42">
        <w:rPr>
          <w:i w:val="0"/>
          <w:iCs w:val="0"/>
          <w:color w:val="auto"/>
          <w:sz w:val="22"/>
          <w:szCs w:val="22"/>
        </w:rPr>
        <w:t xml:space="preserve">Table </w:t>
      </w:r>
      <w:r>
        <w:rPr>
          <w:i w:val="0"/>
          <w:iCs w:val="0"/>
          <w:color w:val="auto"/>
          <w:sz w:val="22"/>
          <w:szCs w:val="22"/>
        </w:rPr>
        <w:fldChar w:fldCharType="begin"/>
      </w:r>
      <w:r>
        <w:rPr>
          <w:i w:val="0"/>
          <w:iCs w:val="0"/>
          <w:color w:val="auto"/>
          <w:sz w:val="22"/>
          <w:szCs w:val="22"/>
        </w:rPr>
        <w:instrText xml:space="preserve"> SEQ Table \* ARABIC </w:instrText>
      </w:r>
      <w:r>
        <w:rPr>
          <w:i w:val="0"/>
          <w:iCs w:val="0"/>
          <w:color w:val="auto"/>
          <w:sz w:val="22"/>
          <w:szCs w:val="22"/>
        </w:rPr>
        <w:fldChar w:fldCharType="separate"/>
      </w:r>
      <w:r>
        <w:rPr>
          <w:i w:val="0"/>
          <w:iCs w:val="0"/>
          <w:noProof/>
          <w:color w:val="auto"/>
          <w:sz w:val="22"/>
          <w:szCs w:val="22"/>
        </w:rPr>
        <w:t>1</w:t>
      </w:r>
      <w:r>
        <w:rPr>
          <w:i w:val="0"/>
          <w:iCs w:val="0"/>
          <w:color w:val="auto"/>
          <w:sz w:val="22"/>
          <w:szCs w:val="22"/>
        </w:rPr>
        <w:fldChar w:fldCharType="end"/>
      </w:r>
      <w:r w:rsidRPr="00F83C42">
        <w:rPr>
          <w:i w:val="0"/>
          <w:iCs w:val="0"/>
          <w:color w:val="auto"/>
          <w:sz w:val="22"/>
          <w:szCs w:val="22"/>
        </w:rPr>
        <w:t>: Inclusion and Exclusion Criteria</w:t>
      </w:r>
    </w:p>
    <w:tbl>
      <w:tblPr>
        <w:tblStyle w:val="TableGrid"/>
        <w:tblW w:w="0" w:type="auto"/>
        <w:tblLook w:val="04A0" w:firstRow="1" w:lastRow="0" w:firstColumn="1" w:lastColumn="0" w:noHBand="0" w:noVBand="1"/>
      </w:tblPr>
      <w:tblGrid>
        <w:gridCol w:w="4654"/>
        <w:gridCol w:w="4696"/>
      </w:tblGrid>
      <w:tr w:rsidR="004704C2" w:rsidRPr="00F83C42" w14:paraId="62029125" w14:textId="77777777" w:rsidTr="00EB19BC">
        <w:tc>
          <w:tcPr>
            <w:tcW w:w="0" w:type="auto"/>
          </w:tcPr>
          <w:p w14:paraId="19A1ADF5" w14:textId="77777777" w:rsidR="004704C2" w:rsidRPr="00F83C42" w:rsidRDefault="004704C2" w:rsidP="00EB19BC">
            <w:pPr>
              <w:jc w:val="center"/>
            </w:pPr>
            <w:r w:rsidRPr="00F83C42">
              <w:rPr>
                <w:b/>
                <w:bCs/>
              </w:rPr>
              <w:t>Inclusion Criteria</w:t>
            </w:r>
          </w:p>
        </w:tc>
        <w:tc>
          <w:tcPr>
            <w:tcW w:w="0" w:type="auto"/>
          </w:tcPr>
          <w:p w14:paraId="6A9B4713" w14:textId="77777777" w:rsidR="004704C2" w:rsidRPr="00F83C42" w:rsidRDefault="004704C2" w:rsidP="00EB19BC">
            <w:pPr>
              <w:jc w:val="center"/>
            </w:pPr>
            <w:r w:rsidRPr="00F83C42">
              <w:rPr>
                <w:b/>
                <w:bCs/>
              </w:rPr>
              <w:t>Exclusion Criteria</w:t>
            </w:r>
          </w:p>
        </w:tc>
      </w:tr>
      <w:tr w:rsidR="004704C2" w:rsidRPr="00F83C42" w14:paraId="144544D5" w14:textId="77777777" w:rsidTr="00EB19BC">
        <w:tc>
          <w:tcPr>
            <w:tcW w:w="0" w:type="auto"/>
          </w:tcPr>
          <w:p w14:paraId="17873234" w14:textId="3C6173D2" w:rsidR="004704C2" w:rsidRPr="00F83C42" w:rsidRDefault="004704C2" w:rsidP="00EB19BC">
            <w:r w:rsidRPr="00F83C42">
              <w:t xml:space="preserve">Peer-reviewed journal articles published between 2015–2025 to ensure </w:t>
            </w:r>
            <w:r w:rsidR="00DD1469" w:rsidRPr="00F83C42">
              <w:t>regency</w:t>
            </w:r>
            <w:r w:rsidRPr="00F83C42">
              <w:t xml:space="preserve"> and relevance</w:t>
            </w:r>
          </w:p>
        </w:tc>
        <w:tc>
          <w:tcPr>
            <w:tcW w:w="0" w:type="auto"/>
          </w:tcPr>
          <w:p w14:paraId="389DAEBC" w14:textId="77777777" w:rsidR="004704C2" w:rsidRPr="00F83C42" w:rsidRDefault="004704C2" w:rsidP="00EB19BC">
            <w:r w:rsidRPr="00F83C42">
              <w:t>Articles published before 2015, as they may not reflect current policies or post-pandemic contexts</w:t>
            </w:r>
          </w:p>
        </w:tc>
      </w:tr>
      <w:tr w:rsidR="004704C2" w:rsidRPr="00F83C42" w14:paraId="05F017CF" w14:textId="77777777" w:rsidTr="00EB19BC">
        <w:tc>
          <w:tcPr>
            <w:tcW w:w="0" w:type="auto"/>
          </w:tcPr>
          <w:p w14:paraId="406E4D63" w14:textId="77777777" w:rsidR="004704C2" w:rsidRPr="00F83C42" w:rsidRDefault="004704C2" w:rsidP="00EB19BC">
            <w:r w:rsidRPr="00F83C42">
              <w:t>Studies written in English to ensure accuracy in interpretation and analysis</w:t>
            </w:r>
          </w:p>
        </w:tc>
        <w:tc>
          <w:tcPr>
            <w:tcW w:w="0" w:type="auto"/>
          </w:tcPr>
          <w:p w14:paraId="629B96AB" w14:textId="77777777" w:rsidR="004704C2" w:rsidRPr="00F83C42" w:rsidRDefault="004704C2" w:rsidP="00EB19BC">
            <w:r w:rsidRPr="00F83C42">
              <w:t>Non-English language publications due to resource limitations for translation</w:t>
            </w:r>
          </w:p>
        </w:tc>
      </w:tr>
      <w:tr w:rsidR="004704C2" w:rsidRPr="00F83C42" w14:paraId="4F086994" w14:textId="77777777" w:rsidTr="00EB19BC">
        <w:tc>
          <w:tcPr>
            <w:tcW w:w="0" w:type="auto"/>
          </w:tcPr>
          <w:p w14:paraId="66CE1313" w14:textId="77777777" w:rsidR="004704C2" w:rsidRPr="00F83C42" w:rsidRDefault="004704C2" w:rsidP="00EB19BC">
            <w:r w:rsidRPr="00F83C42">
              <w:t>Research focused on the UK, with particular attention to health and social care professionals</w:t>
            </w:r>
          </w:p>
        </w:tc>
        <w:tc>
          <w:tcPr>
            <w:tcW w:w="0" w:type="auto"/>
          </w:tcPr>
          <w:p w14:paraId="0ABEA68F" w14:textId="77777777" w:rsidR="004704C2" w:rsidRPr="00F83C42" w:rsidRDefault="004704C2" w:rsidP="00EB19BC">
            <w:r w:rsidRPr="00F83C42">
              <w:t>Global or comparative studies outside the UK context</w:t>
            </w:r>
          </w:p>
        </w:tc>
      </w:tr>
      <w:tr w:rsidR="004704C2" w:rsidRPr="00F83C42" w14:paraId="69FB20E9" w14:textId="77777777" w:rsidTr="00EB19BC">
        <w:tc>
          <w:tcPr>
            <w:tcW w:w="0" w:type="auto"/>
          </w:tcPr>
          <w:p w14:paraId="10C7445C" w14:textId="77777777" w:rsidR="004704C2" w:rsidRPr="00F83C42" w:rsidRDefault="004704C2" w:rsidP="00EB19BC">
            <w:r w:rsidRPr="00F83C42">
              <w:t>Articles addressing health inequalities and social determinants among low-income families</w:t>
            </w:r>
          </w:p>
        </w:tc>
        <w:tc>
          <w:tcPr>
            <w:tcW w:w="0" w:type="auto"/>
          </w:tcPr>
          <w:p w14:paraId="47963EFC" w14:textId="77777777" w:rsidR="004704C2" w:rsidRPr="00F83C42" w:rsidRDefault="004704C2" w:rsidP="00EB19BC">
            <w:pPr>
              <w:keepNext/>
            </w:pPr>
            <w:r w:rsidRPr="00F83C42">
              <w:t>Opinion pieces, editorials, and non-peer-reviewed sources lacking empirical evidence</w:t>
            </w:r>
          </w:p>
        </w:tc>
      </w:tr>
    </w:tbl>
    <w:p w14:paraId="13ECC637" w14:textId="77777777" w:rsidR="004704C2" w:rsidRPr="00F83C42" w:rsidRDefault="004704C2" w:rsidP="004704C2">
      <w:pPr>
        <w:pStyle w:val="Heading2"/>
      </w:pPr>
      <w:bookmarkStart w:id="43" w:name="_Toc209488408"/>
      <w:bookmarkStart w:id="44" w:name="_Toc210700703"/>
      <w:r w:rsidRPr="00F83C42">
        <w:lastRenderedPageBreak/>
        <w:t>Identifying Keywords</w:t>
      </w:r>
      <w:bookmarkEnd w:id="43"/>
      <w:bookmarkEnd w:id="44"/>
    </w:p>
    <w:p w14:paraId="7D7CEDD7" w14:textId="4A09BAB7" w:rsidR="004704C2" w:rsidRPr="00591053" w:rsidRDefault="004704C2" w:rsidP="004704C2">
      <w:pPr>
        <w:rPr>
          <w:rFonts w:cs="Arial"/>
          <w:szCs w:val="22"/>
        </w:rPr>
      </w:pPr>
      <w:r w:rsidRPr="00591053">
        <w:rPr>
          <w:rFonts w:cs="Arial"/>
          <w:szCs w:val="22"/>
        </w:rPr>
        <w:t>In search strategy, keyword identification was an important process that ensured that the search strategy managed to identify literature that was of interest to the study (</w:t>
      </w:r>
      <w:proofErr w:type="spellStart"/>
      <w:r w:rsidRPr="00591053">
        <w:rPr>
          <w:rFonts w:cs="Arial"/>
          <w:szCs w:val="22"/>
        </w:rPr>
        <w:t>Bramer</w:t>
      </w:r>
      <w:proofErr w:type="spellEnd"/>
      <w:r w:rsidRPr="00591053">
        <w:rPr>
          <w:rFonts w:cs="Arial"/>
          <w:szCs w:val="22"/>
        </w:rPr>
        <w:t xml:space="preserve"> et al., 2018). The key words were formulated with regard to the research objectives and addressed three main points: health inequalities, health determinants and the role of frontline health and social care professionals. The scope was enlarged with the use of synonyms and related words such as, “disparities”, “equity”, “community nurses”, “social workers”, and “health visitors”. Precision was achieved through controlled vocabulary, such as Medical Subject Headings (</w:t>
      </w:r>
      <w:proofErr w:type="spellStart"/>
      <w:r w:rsidRPr="00591053">
        <w:rPr>
          <w:rFonts w:cs="Arial"/>
          <w:szCs w:val="22"/>
        </w:rPr>
        <w:t>MeSH</w:t>
      </w:r>
      <w:proofErr w:type="spellEnd"/>
      <w:r w:rsidRPr="00591053">
        <w:rPr>
          <w:rFonts w:cs="Arial"/>
          <w:szCs w:val="22"/>
        </w:rPr>
        <w:t>) used in PubMed (</w:t>
      </w:r>
      <w:proofErr w:type="spellStart"/>
      <w:r w:rsidRPr="00591053">
        <w:rPr>
          <w:rFonts w:cs="Arial"/>
          <w:szCs w:val="22"/>
        </w:rPr>
        <w:t>DeMars</w:t>
      </w:r>
      <w:proofErr w:type="spellEnd"/>
      <w:r w:rsidRPr="00591053">
        <w:rPr>
          <w:rFonts w:cs="Arial"/>
          <w:szCs w:val="22"/>
        </w:rPr>
        <w:t xml:space="preserve"> and </w:t>
      </w:r>
      <w:proofErr w:type="spellStart"/>
      <w:r w:rsidRPr="00591053">
        <w:rPr>
          <w:rFonts w:cs="Arial"/>
          <w:szCs w:val="22"/>
        </w:rPr>
        <w:t>Perruso</w:t>
      </w:r>
      <w:proofErr w:type="spellEnd"/>
      <w:r w:rsidRPr="00591053">
        <w:rPr>
          <w:rFonts w:cs="Arial"/>
          <w:szCs w:val="22"/>
        </w:rPr>
        <w:t xml:space="preserve">, 2022). </w:t>
      </w:r>
      <w:r w:rsidR="006B0050">
        <w:t xml:space="preserve">A prime example of a </w:t>
      </w:r>
      <w:proofErr w:type="spellStart"/>
      <w:r w:rsidR="006B0050">
        <w:t>MeSH</w:t>
      </w:r>
      <w:proofErr w:type="spellEnd"/>
      <w:r w:rsidR="006B0050">
        <w:t xml:space="preserve"> term for health status disparities is “ health status disparities” often used with related terms like socioeconomic factors, poverty, social class or healthcare inequalities which index articles showing differences in health outcomes (like mortality, life expectancy, or disease burden) across different groups (race, income, location). These terms help researchers find studies on how social, economic and environmental disadvantages lead to unequal health experiences, such as higher rates of certain diseases or worse survival rates in marginal populations</w:t>
      </w:r>
      <w:r w:rsidR="006B0050">
        <w:rPr>
          <w:rFonts w:cs="Arial"/>
          <w:szCs w:val="22"/>
        </w:rPr>
        <w:t xml:space="preserve">. </w:t>
      </w:r>
      <w:r w:rsidRPr="00591053">
        <w:rPr>
          <w:rFonts w:cs="Arial"/>
          <w:szCs w:val="22"/>
        </w:rPr>
        <w:t>This methodical choice of words guaranteed that the research was extensive and met the objectives of the study.</w:t>
      </w:r>
    </w:p>
    <w:p w14:paraId="3CBD4459" w14:textId="77777777" w:rsidR="004704C2" w:rsidRPr="00F83C42" w:rsidRDefault="004704C2" w:rsidP="004704C2">
      <w:pPr>
        <w:pStyle w:val="Heading2"/>
      </w:pPr>
      <w:bookmarkStart w:id="45" w:name="_Toc209488409"/>
      <w:bookmarkStart w:id="46" w:name="_Toc210700704"/>
      <w:r w:rsidRPr="00F83C42">
        <w:t>Data Collection</w:t>
      </w:r>
      <w:bookmarkEnd w:id="45"/>
      <w:bookmarkEnd w:id="46"/>
    </w:p>
    <w:p w14:paraId="43F3CBE5" w14:textId="77777777" w:rsidR="004704C2" w:rsidRPr="00591053" w:rsidRDefault="004704C2" w:rsidP="004704C2">
      <w:pPr>
        <w:rPr>
          <w:rFonts w:cs="Arial"/>
          <w:szCs w:val="22"/>
        </w:rPr>
      </w:pPr>
      <w:r w:rsidRPr="00591053">
        <w:rPr>
          <w:rFonts w:cs="Arial"/>
          <w:szCs w:val="22"/>
        </w:rPr>
        <w:t xml:space="preserve">Data collection was systematically taken because it was considered important to include credible and relevant study. First, PubMed, </w:t>
      </w:r>
      <w:proofErr w:type="spellStart"/>
      <w:r w:rsidRPr="00591053">
        <w:rPr>
          <w:rFonts w:cs="Arial"/>
          <w:szCs w:val="22"/>
        </w:rPr>
        <w:t>ProQuest</w:t>
      </w:r>
      <w:proofErr w:type="spellEnd"/>
      <w:r w:rsidRPr="00591053">
        <w:rPr>
          <w:rFonts w:cs="Arial"/>
          <w:szCs w:val="22"/>
        </w:rPr>
        <w:t>, and Google Scholar recognised titles and abstracts were excluded or included based on the established inclusion and exclusion criteria. The articles which seemed applicable were then evaluated in terms of their full-text to confirm whether they were actually suitable or not. Each study underwent a critical appraisal to ensure methodological quality was achieved (Critical Appraisal Skills Programme) through the assessment of its clarity, validity, and relevance. The CASP tool is the most commonly used criteria-based tool for quality appraisal in health and social care-related qualitative evidence syntheses (Long et al., 2020). This review kept only the studies that had good design and reporting. At least 10 peer-reviewed journal articles were needed to obtain adequate depth of evidence and breadth of evidence. All conflicting issues about selection were discussed and resolved by repeated discussion and re-evaluation of the criteria. This comprehensive and open-ended process has effectively made the pool of data consistent and representative so that future thematic analysis would have a better ground.</w:t>
      </w:r>
    </w:p>
    <w:p w14:paraId="7AE1E78E" w14:textId="77777777" w:rsidR="004704C2" w:rsidRPr="00F83C42" w:rsidRDefault="004704C2" w:rsidP="004704C2">
      <w:pPr>
        <w:pStyle w:val="Heading2"/>
      </w:pPr>
      <w:bookmarkStart w:id="47" w:name="_Toc209488410"/>
      <w:bookmarkStart w:id="48" w:name="_Toc210700705"/>
      <w:r w:rsidRPr="00F83C42">
        <w:lastRenderedPageBreak/>
        <w:t>Data Analysis: Braun and Clarke Framework</w:t>
      </w:r>
      <w:bookmarkEnd w:id="47"/>
      <w:bookmarkEnd w:id="48"/>
    </w:p>
    <w:p w14:paraId="477D2AD9" w14:textId="2FB274DB" w:rsidR="004704C2" w:rsidRPr="00591053" w:rsidRDefault="004704C2" w:rsidP="004704C2">
      <w:pPr>
        <w:rPr>
          <w:rFonts w:cs="Arial"/>
          <w:szCs w:val="22"/>
        </w:rPr>
      </w:pPr>
      <w:r w:rsidRPr="00591053">
        <w:rPr>
          <w:rFonts w:cs="Arial"/>
          <w:szCs w:val="22"/>
        </w:rPr>
        <w:t>The analysis of gathered data included in the systematic literature review was performed through the six stages of thematic analysis pr</w:t>
      </w:r>
      <w:r w:rsidR="00DD1469">
        <w:rPr>
          <w:rFonts w:cs="Arial"/>
          <w:szCs w:val="22"/>
        </w:rPr>
        <w:t>oposed by Braun and Clarke (2006, 2019</w:t>
      </w:r>
      <w:r w:rsidRPr="00591053">
        <w:rPr>
          <w:rFonts w:cs="Arial"/>
          <w:szCs w:val="22"/>
        </w:rPr>
        <w:t>) to</w:t>
      </w:r>
      <w:r w:rsidR="006D3AE5">
        <w:rPr>
          <w:rFonts w:cs="Arial"/>
          <w:szCs w:val="22"/>
        </w:rPr>
        <w:t xml:space="preserve"> </w:t>
      </w:r>
      <w:r w:rsidRPr="00591053">
        <w:rPr>
          <w:rFonts w:cs="Arial"/>
          <w:szCs w:val="22"/>
        </w:rPr>
        <w:t>discover the essential patterns of health inequalities and frontline health and social care interventions. The reflexive approach to thematic analysis by Braun and Clarke highlights the researcher’s active role in knowledge production (Byrne, 2022). The studies were initially read to get familiarised with the content and significant sections coded based on the objectives of the research. Potential themes were reviewed and refined in accordance to codes related to them. The themes like the "Professional Interventions" or the "Socioeconomic Barriers" were well-defined and understood making it clear how healthcare and social care practitioners can sustain low-income families and ensure health equity in the UK.</w:t>
      </w:r>
    </w:p>
    <w:p w14:paraId="27E18ED7" w14:textId="77777777" w:rsidR="004704C2" w:rsidRPr="00F83C42" w:rsidRDefault="004704C2" w:rsidP="004704C2">
      <w:pPr>
        <w:keepNext/>
        <w:jc w:val="center"/>
      </w:pPr>
      <w:r w:rsidRPr="00F83C42">
        <w:rPr>
          <w:noProof/>
          <w:lang w:eastAsia="en-GB"/>
        </w:rPr>
        <w:drawing>
          <wp:inline distT="0" distB="0" distL="0" distR="0" wp14:anchorId="0D885554" wp14:editId="423E3661">
            <wp:extent cx="4025900" cy="3409950"/>
            <wp:effectExtent l="76200" t="76200" r="127000" b="133350"/>
            <wp:docPr id="461625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625341" name=""/>
                    <pic:cNvPicPr/>
                  </pic:nvPicPr>
                  <pic:blipFill>
                    <a:blip r:embed="rId20"/>
                    <a:stretch>
                      <a:fillRect/>
                    </a:stretch>
                  </pic:blipFill>
                  <pic:spPr>
                    <a:xfrm>
                      <a:off x="0" y="0"/>
                      <a:ext cx="4026108" cy="34101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3196F0" w14:textId="563F2E26" w:rsidR="004704C2" w:rsidRPr="00591053" w:rsidRDefault="004704C2" w:rsidP="004704C2">
      <w:pPr>
        <w:pStyle w:val="Caption"/>
        <w:jc w:val="center"/>
        <w:rPr>
          <w:rFonts w:cs="Arial"/>
          <w:i w:val="0"/>
          <w:iCs w:val="0"/>
          <w:color w:val="auto"/>
          <w:sz w:val="22"/>
          <w:szCs w:val="22"/>
        </w:rPr>
      </w:pPr>
      <w:r w:rsidRPr="00591053">
        <w:rPr>
          <w:rFonts w:cs="Arial"/>
          <w:i w:val="0"/>
          <w:iCs w:val="0"/>
          <w:color w:val="auto"/>
          <w:sz w:val="22"/>
          <w:szCs w:val="22"/>
        </w:rPr>
        <w:t xml:space="preserve">Figure </w:t>
      </w:r>
      <w:r w:rsidRPr="00591053">
        <w:rPr>
          <w:rFonts w:cs="Arial"/>
          <w:i w:val="0"/>
          <w:iCs w:val="0"/>
          <w:color w:val="auto"/>
          <w:sz w:val="22"/>
          <w:szCs w:val="22"/>
        </w:rPr>
        <w:fldChar w:fldCharType="begin"/>
      </w:r>
      <w:r w:rsidRPr="00591053">
        <w:rPr>
          <w:rFonts w:cs="Arial"/>
          <w:i w:val="0"/>
          <w:iCs w:val="0"/>
          <w:color w:val="auto"/>
          <w:sz w:val="22"/>
          <w:szCs w:val="22"/>
        </w:rPr>
        <w:instrText xml:space="preserve"> SEQ Figure \* ARABIC </w:instrText>
      </w:r>
      <w:r w:rsidRPr="00591053">
        <w:rPr>
          <w:rFonts w:cs="Arial"/>
          <w:i w:val="0"/>
          <w:iCs w:val="0"/>
          <w:color w:val="auto"/>
          <w:sz w:val="22"/>
          <w:szCs w:val="22"/>
        </w:rPr>
        <w:fldChar w:fldCharType="separate"/>
      </w:r>
      <w:r w:rsidR="00B75D34">
        <w:rPr>
          <w:rFonts w:cs="Arial"/>
          <w:i w:val="0"/>
          <w:iCs w:val="0"/>
          <w:noProof/>
          <w:color w:val="auto"/>
          <w:sz w:val="22"/>
          <w:szCs w:val="22"/>
        </w:rPr>
        <w:t>8</w:t>
      </w:r>
      <w:r w:rsidRPr="00591053">
        <w:rPr>
          <w:rFonts w:cs="Arial"/>
          <w:i w:val="0"/>
          <w:iCs w:val="0"/>
          <w:color w:val="auto"/>
          <w:sz w:val="22"/>
          <w:szCs w:val="22"/>
        </w:rPr>
        <w:fldChar w:fldCharType="end"/>
      </w:r>
      <w:r w:rsidRPr="00591053">
        <w:rPr>
          <w:rFonts w:cs="Arial"/>
          <w:i w:val="0"/>
          <w:iCs w:val="0"/>
          <w:color w:val="auto"/>
          <w:sz w:val="22"/>
          <w:szCs w:val="22"/>
        </w:rPr>
        <w:t>: Braun and Clarke Six-Step Thematic Analysis Framework</w:t>
      </w:r>
    </w:p>
    <w:p w14:paraId="70783DF1" w14:textId="77777777" w:rsidR="004704C2" w:rsidRDefault="004704C2" w:rsidP="004704C2">
      <w:pPr>
        <w:jc w:val="center"/>
        <w:rPr>
          <w:rFonts w:cs="Arial"/>
          <w:szCs w:val="22"/>
        </w:rPr>
      </w:pPr>
      <w:r w:rsidRPr="00591053">
        <w:rPr>
          <w:rFonts w:cs="Arial"/>
          <w:szCs w:val="22"/>
        </w:rPr>
        <w:t xml:space="preserve">Source: </w:t>
      </w:r>
      <w:proofErr w:type="spellStart"/>
      <w:r w:rsidRPr="00591053">
        <w:rPr>
          <w:rFonts w:cs="Arial"/>
          <w:szCs w:val="22"/>
        </w:rPr>
        <w:t>McInerney</w:t>
      </w:r>
      <w:proofErr w:type="spellEnd"/>
      <w:r w:rsidRPr="00591053">
        <w:rPr>
          <w:rFonts w:cs="Arial"/>
          <w:szCs w:val="22"/>
        </w:rPr>
        <w:t xml:space="preserve"> et al. (2022)</w:t>
      </w:r>
    </w:p>
    <w:p w14:paraId="6A082288" w14:textId="77777777" w:rsidR="00DD1469" w:rsidRDefault="00DD1469" w:rsidP="004704C2">
      <w:pPr>
        <w:jc w:val="center"/>
        <w:rPr>
          <w:rFonts w:cs="Arial"/>
          <w:szCs w:val="22"/>
        </w:rPr>
      </w:pPr>
    </w:p>
    <w:p w14:paraId="55219CAA" w14:textId="54CBF6C6" w:rsidR="00DD1469" w:rsidRDefault="00DD1469" w:rsidP="000965D1">
      <w:pPr>
        <w:rPr>
          <w:rFonts w:cs="Arial"/>
          <w:szCs w:val="22"/>
        </w:rPr>
      </w:pPr>
      <w:r>
        <w:rPr>
          <w:rFonts w:cs="Arial"/>
          <w:szCs w:val="22"/>
        </w:rPr>
        <w:lastRenderedPageBreak/>
        <w:t xml:space="preserve">Themes such as professional </w:t>
      </w:r>
      <w:r w:rsidR="000965D1">
        <w:rPr>
          <w:rFonts w:cs="Arial"/>
          <w:szCs w:val="22"/>
        </w:rPr>
        <w:t>interventions, socioeconomic</w:t>
      </w:r>
      <w:r>
        <w:rPr>
          <w:rFonts w:cs="Arial"/>
          <w:szCs w:val="22"/>
        </w:rPr>
        <w:t xml:space="preserve"> barriers were </w:t>
      </w:r>
      <w:r w:rsidR="000965D1">
        <w:rPr>
          <w:rFonts w:cs="Arial"/>
          <w:szCs w:val="22"/>
        </w:rPr>
        <w:t>well-defined</w:t>
      </w:r>
      <w:r>
        <w:rPr>
          <w:rFonts w:cs="Arial"/>
          <w:szCs w:val="22"/>
        </w:rPr>
        <w:t xml:space="preserve"> and related in a continuous way meaning that frontline health and social care professional can be coherently interpreted to assist the low-income families in the state and enhancing health equity.</w:t>
      </w:r>
    </w:p>
    <w:p w14:paraId="0E1BE916" w14:textId="134DBC50" w:rsidR="00DD1469" w:rsidRPr="00591053" w:rsidRDefault="00DD1469" w:rsidP="000965D1">
      <w:pPr>
        <w:rPr>
          <w:rFonts w:cs="Arial"/>
          <w:szCs w:val="22"/>
        </w:rPr>
      </w:pPr>
      <w:r>
        <w:rPr>
          <w:rFonts w:cs="Arial"/>
          <w:szCs w:val="22"/>
        </w:rPr>
        <w:t xml:space="preserve">The element of reflexivity was </w:t>
      </w:r>
      <w:r w:rsidR="000965D1">
        <w:rPr>
          <w:rFonts w:cs="Arial"/>
          <w:szCs w:val="22"/>
        </w:rPr>
        <w:t>upheld</w:t>
      </w:r>
      <w:r>
        <w:rPr>
          <w:rFonts w:cs="Arial"/>
          <w:szCs w:val="22"/>
        </w:rPr>
        <w:t xml:space="preserve"> during the analysis coping with the interpreting the codes and developing themes in the process of coding and theme development. Such systematic analytical procedure provided a clear cut and strict basis of report</w:t>
      </w:r>
      <w:r w:rsidR="000965D1">
        <w:rPr>
          <w:rFonts w:cs="Arial"/>
          <w:szCs w:val="22"/>
        </w:rPr>
        <w:t>ing the findings in the subsequent chapter.</w:t>
      </w:r>
    </w:p>
    <w:p w14:paraId="4FED2EB3" w14:textId="77777777" w:rsidR="004704C2" w:rsidRPr="00591053" w:rsidRDefault="004704C2" w:rsidP="004704C2">
      <w:pPr>
        <w:pStyle w:val="Heading2"/>
        <w:rPr>
          <w:rFonts w:cs="Arial"/>
        </w:rPr>
      </w:pPr>
      <w:bookmarkStart w:id="49" w:name="_Toc209488411"/>
      <w:bookmarkStart w:id="50" w:name="_Toc210700706"/>
      <w:r w:rsidRPr="00591053">
        <w:rPr>
          <w:rFonts w:cs="Arial"/>
        </w:rPr>
        <w:t>Ethical Considerations</w:t>
      </w:r>
      <w:bookmarkEnd w:id="49"/>
      <w:bookmarkEnd w:id="50"/>
    </w:p>
    <w:p w14:paraId="62B0BC49" w14:textId="07D788DF" w:rsidR="000B4557" w:rsidRDefault="004704C2" w:rsidP="004704C2">
      <w:pPr>
        <w:rPr>
          <w:rFonts w:cs="Arial"/>
          <w:szCs w:val="22"/>
        </w:rPr>
      </w:pPr>
      <w:r w:rsidRPr="00591053">
        <w:rPr>
          <w:rFonts w:cs="Arial"/>
          <w:szCs w:val="22"/>
        </w:rPr>
        <w:t xml:space="preserve">This research made use of secondary data only reducing possible risks of engaging in direct working with human subjects, but correspondingly still necessitating an implementation of ethical-research principles. All the reviewed articles were obtained in reliable databases and were critically appraised to make sure that they were credible and accurate. The process of the research was in line with the guidelines of the University </w:t>
      </w:r>
      <w:proofErr w:type="gramStart"/>
      <w:r w:rsidR="00674E4B" w:rsidRPr="00591053">
        <w:rPr>
          <w:rFonts w:cs="Arial"/>
          <w:szCs w:val="22"/>
        </w:rPr>
        <w:t>of</w:t>
      </w:r>
      <w:proofErr w:type="gramEnd"/>
      <w:r w:rsidRPr="00591053">
        <w:rPr>
          <w:rFonts w:cs="Arial"/>
          <w:szCs w:val="22"/>
        </w:rPr>
        <w:t xml:space="preserve"> Wales Trinity Saint David (UWTSD), who assert that all scholarly work must operate under the principles of beneficence, justice, autonomy, and transparency. Beneficence was supported through the fact that the results of the study add value to the health equity debate and justice was met by prioritising disad</w:t>
      </w:r>
      <w:r w:rsidR="000B4557">
        <w:rPr>
          <w:rFonts w:cs="Arial"/>
          <w:szCs w:val="22"/>
        </w:rPr>
        <w:t>vantaged population literature and only English publications.</w:t>
      </w:r>
    </w:p>
    <w:p w14:paraId="59257573" w14:textId="313431C9" w:rsidR="004704C2" w:rsidRDefault="004704C2" w:rsidP="004704C2">
      <w:pPr>
        <w:rPr>
          <w:rFonts w:cs="Arial"/>
          <w:szCs w:val="22"/>
        </w:rPr>
      </w:pPr>
      <w:r w:rsidRPr="00591053">
        <w:rPr>
          <w:rFonts w:cs="Arial"/>
          <w:szCs w:val="22"/>
        </w:rPr>
        <w:t>The high level of autonomy and transparency was ensured through precise reporting strategies and consideration of constraints. The main ethical disadvantage of secondary research is that it depends on the quality of the authors of primary sources but using peer-reviewed sources reduced this risk (</w:t>
      </w:r>
      <w:proofErr w:type="spellStart"/>
      <w:r w:rsidRPr="00591053">
        <w:rPr>
          <w:rFonts w:cs="Arial"/>
          <w:szCs w:val="22"/>
        </w:rPr>
        <w:t>Tamuhla</w:t>
      </w:r>
      <w:proofErr w:type="spellEnd"/>
      <w:r w:rsidRPr="00591053">
        <w:rPr>
          <w:rFonts w:cs="Arial"/>
          <w:szCs w:val="22"/>
        </w:rPr>
        <w:t xml:space="preserve"> et al., 2023). The study upheld the high standards of honesty, integrity and respect thereby ensuring that it met the expectations of professional standards of ethical scholarship.</w:t>
      </w:r>
    </w:p>
    <w:p w14:paraId="7A0D2EFD" w14:textId="77777777" w:rsidR="000B4557" w:rsidRDefault="000B4557" w:rsidP="004704C2">
      <w:pPr>
        <w:rPr>
          <w:rFonts w:cs="Arial"/>
          <w:szCs w:val="22"/>
        </w:rPr>
      </w:pPr>
    </w:p>
    <w:p w14:paraId="66D0A0EF" w14:textId="77777777" w:rsidR="000B4557" w:rsidRDefault="000B4557" w:rsidP="004704C2">
      <w:pPr>
        <w:rPr>
          <w:rFonts w:cs="Arial"/>
          <w:szCs w:val="22"/>
        </w:rPr>
      </w:pPr>
    </w:p>
    <w:p w14:paraId="2A124A54" w14:textId="77777777" w:rsidR="000B4557" w:rsidRDefault="000B4557" w:rsidP="004704C2">
      <w:pPr>
        <w:rPr>
          <w:rFonts w:cs="Arial"/>
          <w:szCs w:val="22"/>
        </w:rPr>
      </w:pPr>
    </w:p>
    <w:p w14:paraId="64A4A2FE" w14:textId="77777777" w:rsidR="000B4557" w:rsidRDefault="000B4557" w:rsidP="004704C2">
      <w:pPr>
        <w:rPr>
          <w:rFonts w:cs="Arial"/>
          <w:szCs w:val="22"/>
        </w:rPr>
      </w:pPr>
    </w:p>
    <w:p w14:paraId="5E61CFF8" w14:textId="77777777" w:rsidR="000B4557" w:rsidRPr="00591053" w:rsidRDefault="000B4557" w:rsidP="004704C2">
      <w:pPr>
        <w:rPr>
          <w:rFonts w:cs="Arial"/>
          <w:szCs w:val="22"/>
        </w:rPr>
      </w:pPr>
    </w:p>
    <w:p w14:paraId="0D179040" w14:textId="77777777" w:rsidR="004704C2" w:rsidRPr="00F83C42" w:rsidRDefault="004704C2" w:rsidP="004704C2">
      <w:pPr>
        <w:pStyle w:val="Heading2"/>
      </w:pPr>
      <w:bookmarkStart w:id="51" w:name="_Toc209488412"/>
      <w:bookmarkStart w:id="52" w:name="_Toc210700707"/>
      <w:r w:rsidRPr="00F83C42">
        <w:lastRenderedPageBreak/>
        <w:t>Conclusion</w:t>
      </w:r>
      <w:bookmarkEnd w:id="51"/>
      <w:bookmarkEnd w:id="52"/>
    </w:p>
    <w:p w14:paraId="57B08652" w14:textId="40D5A68A" w:rsidR="009C48F0" w:rsidRPr="00591053" w:rsidRDefault="004704C2" w:rsidP="004704C2">
      <w:pPr>
        <w:rPr>
          <w:rFonts w:cs="Arial"/>
          <w:szCs w:val="22"/>
        </w:rPr>
      </w:pPr>
      <w:r w:rsidRPr="00591053">
        <w:rPr>
          <w:rFonts w:cs="Arial"/>
          <w:szCs w:val="22"/>
        </w:rPr>
        <w:t>Overall, this chapter identified the methodology used to systematically explore how low-income families in the UK can be supported using health and social care professionals. The qualitative secondary research design was chosen and the systematic literature review and thematic analysis were utilised based on a framework by Braun and Clarke. Search strategy, inclusion and exclusion criteria as well as appraisal methods were consistent and credible and morality was maintained throughout. This conceptual framework provides clear grounding of the research study, and the following results section has been used to portray themes and patterns of how professionals navigate social factors and help to positively impact health equity through sustainable and long-term solutions.</w:t>
      </w:r>
      <w:r w:rsidRPr="00591053">
        <w:rPr>
          <w:rFonts w:cs="Arial"/>
          <w:szCs w:val="22"/>
        </w:rPr>
        <w:br w:type="page"/>
      </w:r>
    </w:p>
    <w:p w14:paraId="52ADDE68" w14:textId="43425EE0" w:rsidR="007C6FDA" w:rsidRPr="00CA2419" w:rsidRDefault="00EB6A16" w:rsidP="009E11EA">
      <w:pPr>
        <w:pStyle w:val="Heading1"/>
      </w:pPr>
      <w:bookmarkStart w:id="53" w:name="_Toc210700708"/>
      <w:r w:rsidRPr="00CA2419">
        <w:lastRenderedPageBreak/>
        <w:t>CHAPTER FOUR: RESULTS</w:t>
      </w:r>
      <w:r w:rsidR="004721F4" w:rsidRPr="00CA2419">
        <w:t xml:space="preserve"> AND DISCUSSION</w:t>
      </w:r>
      <w:bookmarkEnd w:id="53"/>
    </w:p>
    <w:p w14:paraId="11197453" w14:textId="32D5DED8" w:rsidR="007942B5" w:rsidRPr="00CA2419" w:rsidRDefault="007942B5" w:rsidP="007942B5">
      <w:pPr>
        <w:pStyle w:val="Heading2"/>
      </w:pPr>
      <w:bookmarkStart w:id="54" w:name="_Toc210700709"/>
      <w:bookmarkStart w:id="55" w:name="_Hlk211254468"/>
      <w:r w:rsidRPr="00CA2419">
        <w:t>Chapter</w:t>
      </w:r>
      <w:r w:rsidR="00742ECE">
        <w:t xml:space="preserve"> Overview</w:t>
      </w:r>
      <w:bookmarkEnd w:id="54"/>
    </w:p>
    <w:p w14:paraId="7F090660" w14:textId="77777777" w:rsidR="000B4557" w:rsidRDefault="007942B5" w:rsidP="007942B5">
      <w:pPr>
        <w:rPr>
          <w:rFonts w:cs="Arial"/>
        </w:rPr>
      </w:pPr>
      <w:r>
        <w:t>The chapter presents the results of the research and puts them in conversation with the broader body of knowledge. The general objective of this study was to investigate the way health and social care practitioners, in collaboration with communities, perceive and act upon health inequalities associated with social determinants of health. These aims were to determine the common trends among the selected studies, to discuss the challenges people have to undergo to seek health care, and to describe the strategies that have been proposed to minimise inequalities. The research question that informed this work related to how health inequalities are conceptualised on the ground and what strategies seem to be the mo</w:t>
      </w:r>
      <w:r w:rsidR="000B4557">
        <w:t>st effective in addressing them to “</w:t>
      </w:r>
      <w:r w:rsidR="000B4557" w:rsidRPr="009E11EA">
        <w:rPr>
          <w:rFonts w:cs="Arial"/>
          <w:i/>
        </w:rPr>
        <w:t>How do frontline health and social care professional contribute to reducing health inequalities among low-income families in the UK”?</w:t>
      </w:r>
      <w:r w:rsidR="000B4557">
        <w:rPr>
          <w:rFonts w:cs="Arial"/>
        </w:rPr>
        <w:t xml:space="preserve"> </w:t>
      </w:r>
    </w:p>
    <w:p w14:paraId="75F2B0CC" w14:textId="18468E88" w:rsidR="007942B5" w:rsidRPr="000B4557" w:rsidRDefault="007942B5" w:rsidP="007942B5">
      <w:pPr>
        <w:rPr>
          <w:rFonts w:cs="Arial"/>
        </w:rPr>
      </w:pPr>
      <w:r>
        <w:t>In order to achieve these aims, the present study employed the thematic analysis methodology by Braun and Clarke. This approach was selected as it offers an explicit means of establishing themes and extracting meaning across a group of studies, but it remains open to interpretation. Instead of merely summarising what each article is about, thematic analysis serves to make sense of recurring issues, areas of agreement, and points of difference. It is this</w:t>
      </w:r>
      <w:r w:rsidR="009F5FF6">
        <w:t xml:space="preserve"> is particularly useful</w:t>
      </w:r>
      <w:r>
        <w:t xml:space="preserve"> when deal</w:t>
      </w:r>
      <w:r w:rsidR="009F5FF6">
        <w:t>ing with complex, multi-layered issues</w:t>
      </w:r>
      <w:r>
        <w:t xml:space="preserve"> like health inequalities where there is a convergence of social, economic, and political factors.</w:t>
      </w:r>
      <w:r w:rsidR="009F5FF6">
        <w:t xml:space="preserve"> Overall, this chapter brings an answer to the research question through the demonstration of four themes, theme one: influence of social determinants on professional practice, theme two: barriers faced by health and social care professionals that coalesce to portray the perception and handling of health inequalities in the health and social care context, theme three: strategies and interventions by professionals and theme </w:t>
      </w:r>
      <w:r w:rsidR="003E264E">
        <w:t>four:</w:t>
      </w:r>
      <w:r w:rsidR="009F5FF6">
        <w:t xml:space="preserve"> role of policy and institutional frameworks.</w:t>
      </w:r>
    </w:p>
    <w:p w14:paraId="09E6DF4C" w14:textId="492D105D" w:rsidR="007942B5" w:rsidRPr="00484FF7" w:rsidRDefault="007942B5" w:rsidP="007942B5">
      <w:pPr>
        <w:pStyle w:val="Heading2"/>
      </w:pPr>
      <w:bookmarkStart w:id="56" w:name="_Toc210700710"/>
      <w:r w:rsidRPr="00484FF7">
        <w:t>Overview of Selected Studies</w:t>
      </w:r>
      <w:bookmarkEnd w:id="56"/>
    </w:p>
    <w:p w14:paraId="79111FC7" w14:textId="0B466F2E" w:rsidR="007942B5" w:rsidRDefault="007942B5" w:rsidP="007942B5">
      <w:r>
        <w:t xml:space="preserve">Studies used in this review were selected according to the inclusion and exclusion criteria highlighted in the methodology chapter. These were to identify peer-reviewed articles that explicitly examined health disparities, especially related to the social determinants of income, education, employment, and health care access. According to inclusion and exclusion criteria, only English published studies within the past 10 years and studies devoted to health and social </w:t>
      </w:r>
      <w:r>
        <w:lastRenderedPageBreak/>
        <w:t xml:space="preserve">care systems </w:t>
      </w:r>
      <w:r w:rsidR="00A43098">
        <w:t xml:space="preserve">in the UK </w:t>
      </w:r>
      <w:r>
        <w:t>were included. Qualitative and quantitative studies were included only when they offered some understanding of the professional or community opinions on inequality. Opinions and studies that do not have a clear relationship to healthcare practice were eliminated.</w:t>
      </w:r>
    </w:p>
    <w:p w14:paraId="20FD05D6" w14:textId="4D96C8D6" w:rsidR="007942B5" w:rsidRDefault="007942B5" w:rsidP="007942B5">
      <w:r>
        <w:t>The search created by the database initially returned a very large number of article pools. Following the removal of duplicates and a subsequent screening of the titles and abstracts, numerous papers were eliminated because they fell outside the boundaries of the research. Additional full text screening was done to determine relevance. In the end of this procedure, t</w:t>
      </w:r>
      <w:r w:rsidR="0045644F">
        <w:t>en</w:t>
      </w:r>
      <w:r>
        <w:t xml:space="preserve"> works were chosen to examine them</w:t>
      </w:r>
      <w:r w:rsidR="0045644F">
        <w:t xml:space="preserve">, </w:t>
      </w:r>
      <w:r>
        <w:t>as they provided useful information on the impact of policy and public opinion, reinforcing the thematic depth of the analysis</w:t>
      </w:r>
      <w:r w:rsidR="006E414F">
        <w:t>.</w:t>
      </w:r>
    </w:p>
    <w:p w14:paraId="406AA657" w14:textId="7D95B295" w:rsidR="009E2B08" w:rsidRDefault="007942B5" w:rsidP="007942B5">
      <w:r>
        <w:t>To explain this process further the PRISMA flow diagram has been incorporated. The diagram below follows the path of the number of records initially found in the database search, through the stages of screening and eligibility checks, to the eventual sample of te</w:t>
      </w:r>
      <w:r w:rsidR="0045644F">
        <w:t>n</w:t>
      </w:r>
      <w:r>
        <w:t xml:space="preserve"> papers. PRISMA does contribute to the transparency and indicates the reader that the study was conducted systematically and rigorously in order to ultimately reveal the </w:t>
      </w:r>
      <w:r w:rsidRPr="00AF24D4">
        <w:t>final articles</w:t>
      </w:r>
      <w:r w:rsidR="00AF24D4" w:rsidRPr="00AF24D4">
        <w:t xml:space="preserve"> (</w:t>
      </w:r>
      <w:r w:rsidR="00AF24D4" w:rsidRPr="00AF24D4">
        <w:rPr>
          <w:szCs w:val="22"/>
        </w:rPr>
        <w:t>Page et al., 2021)</w:t>
      </w:r>
      <w:r w:rsidRPr="00AF24D4">
        <w:t>.</w:t>
      </w:r>
      <w:r w:rsidR="003E264E">
        <w:t xml:space="preserve"> Focusing on English language UK literature may exclude migrant and non-English speaking community experiences.</w:t>
      </w:r>
    </w:p>
    <w:p w14:paraId="5E92009D" w14:textId="77777777" w:rsidR="009E2B08" w:rsidRDefault="009E2B08">
      <w:pPr>
        <w:spacing w:line="278" w:lineRule="auto"/>
        <w:jc w:val="left"/>
      </w:pPr>
      <w:r>
        <w:br w:type="page"/>
      </w:r>
    </w:p>
    <w:p w14:paraId="318BE739" w14:textId="6765CB85" w:rsidR="009E2B08" w:rsidRDefault="00A27D58" w:rsidP="009E2B08">
      <w:pPr>
        <w:spacing w:line="278" w:lineRule="auto"/>
        <w:jc w:val="left"/>
      </w:pPr>
      <w:r>
        <w:rPr>
          <w:noProof/>
          <w:lang w:eastAsia="en-GB"/>
        </w:rPr>
        <w:lastRenderedPageBreak/>
        <mc:AlternateContent>
          <mc:Choice Requires="wps">
            <w:drawing>
              <wp:anchor distT="0" distB="0" distL="114300" distR="114300" simplePos="0" relativeHeight="251660288" behindDoc="0" locked="0" layoutInCell="1" allowOverlap="1" wp14:anchorId="376A7597" wp14:editId="473D9564">
                <wp:simplePos x="0" y="0"/>
                <wp:positionH relativeFrom="margin">
                  <wp:align>center</wp:align>
                </wp:positionH>
                <wp:positionV relativeFrom="paragraph">
                  <wp:posOffset>6280150</wp:posOffset>
                </wp:positionV>
                <wp:extent cx="5708650" cy="635"/>
                <wp:effectExtent l="0" t="0" r="6350" b="0"/>
                <wp:wrapNone/>
                <wp:docPr id="1857482818" name="Text Box 1"/>
                <wp:cNvGraphicFramePr/>
                <a:graphic xmlns:a="http://schemas.openxmlformats.org/drawingml/2006/main">
                  <a:graphicData uri="http://schemas.microsoft.com/office/word/2010/wordprocessingShape">
                    <wps:wsp>
                      <wps:cNvSpPr txBox="1"/>
                      <wps:spPr>
                        <a:xfrm>
                          <a:off x="0" y="0"/>
                          <a:ext cx="5708650" cy="635"/>
                        </a:xfrm>
                        <a:prstGeom prst="rect">
                          <a:avLst/>
                        </a:prstGeom>
                        <a:solidFill>
                          <a:prstClr val="white"/>
                        </a:solidFill>
                        <a:ln>
                          <a:noFill/>
                        </a:ln>
                      </wps:spPr>
                      <wps:txbx>
                        <w:txbxContent>
                          <w:p w14:paraId="4FCBE649" w14:textId="19568DF0" w:rsidR="0012651E" w:rsidRPr="00B75D34" w:rsidRDefault="0012651E" w:rsidP="00B75D34">
                            <w:pPr>
                              <w:pStyle w:val="Caption"/>
                              <w:jc w:val="center"/>
                              <w:rPr>
                                <w:i w:val="0"/>
                                <w:iCs w:val="0"/>
                                <w:noProof/>
                                <w:color w:val="auto"/>
                                <w:sz w:val="28"/>
                                <w:szCs w:val="22"/>
                              </w:rPr>
                            </w:pPr>
                            <w:r w:rsidRPr="00B75D34">
                              <w:rPr>
                                <w:i w:val="0"/>
                                <w:iCs w:val="0"/>
                                <w:color w:val="auto"/>
                                <w:sz w:val="22"/>
                                <w:szCs w:val="22"/>
                              </w:rPr>
                              <w:t xml:space="preserve">Figure </w:t>
                            </w:r>
                            <w:r w:rsidRPr="00B75D34">
                              <w:rPr>
                                <w:i w:val="0"/>
                                <w:iCs w:val="0"/>
                                <w:color w:val="auto"/>
                                <w:sz w:val="22"/>
                                <w:szCs w:val="22"/>
                              </w:rPr>
                              <w:fldChar w:fldCharType="begin"/>
                            </w:r>
                            <w:r w:rsidRPr="00B75D34">
                              <w:rPr>
                                <w:i w:val="0"/>
                                <w:iCs w:val="0"/>
                                <w:color w:val="auto"/>
                                <w:sz w:val="22"/>
                                <w:szCs w:val="22"/>
                              </w:rPr>
                              <w:instrText xml:space="preserve"> SEQ Figure \* ARABIC </w:instrText>
                            </w:r>
                            <w:r w:rsidRPr="00B75D34">
                              <w:rPr>
                                <w:i w:val="0"/>
                                <w:iCs w:val="0"/>
                                <w:color w:val="auto"/>
                                <w:sz w:val="22"/>
                                <w:szCs w:val="22"/>
                              </w:rPr>
                              <w:fldChar w:fldCharType="separate"/>
                            </w:r>
                            <w:r w:rsidRPr="00B75D34">
                              <w:rPr>
                                <w:i w:val="0"/>
                                <w:iCs w:val="0"/>
                                <w:noProof/>
                                <w:color w:val="auto"/>
                                <w:sz w:val="22"/>
                                <w:szCs w:val="22"/>
                              </w:rPr>
                              <w:t>9</w:t>
                            </w:r>
                            <w:r w:rsidRPr="00B75D34">
                              <w:rPr>
                                <w:i w:val="0"/>
                                <w:iCs w:val="0"/>
                                <w:color w:val="auto"/>
                                <w:sz w:val="22"/>
                                <w:szCs w:val="22"/>
                              </w:rPr>
                              <w:fldChar w:fldCharType="end"/>
                            </w:r>
                            <w:r w:rsidRPr="00B75D34">
                              <w:rPr>
                                <w:i w:val="0"/>
                                <w:iCs w:val="0"/>
                                <w:color w:val="auto"/>
                                <w:sz w:val="22"/>
                                <w:szCs w:val="22"/>
                              </w:rPr>
                              <w:t xml:space="preserve">: Process of </w:t>
                            </w:r>
                            <w:r>
                              <w:rPr>
                                <w:i w:val="0"/>
                                <w:iCs w:val="0"/>
                                <w:color w:val="auto"/>
                                <w:sz w:val="22"/>
                                <w:szCs w:val="22"/>
                              </w:rPr>
                              <w:t>S</w:t>
                            </w:r>
                            <w:r w:rsidRPr="00B75D34">
                              <w:rPr>
                                <w:i w:val="0"/>
                                <w:iCs w:val="0"/>
                                <w:color w:val="auto"/>
                                <w:sz w:val="22"/>
                                <w:szCs w:val="22"/>
                              </w:rPr>
                              <w:t xml:space="preserve">election of </w:t>
                            </w:r>
                            <w:r>
                              <w:rPr>
                                <w:i w:val="0"/>
                                <w:iCs w:val="0"/>
                                <w:color w:val="auto"/>
                                <w:sz w:val="22"/>
                                <w:szCs w:val="22"/>
                              </w:rPr>
                              <w:t>S</w:t>
                            </w:r>
                            <w:r w:rsidRPr="00B75D34">
                              <w:rPr>
                                <w:i w:val="0"/>
                                <w:iCs w:val="0"/>
                                <w:color w:val="auto"/>
                                <w:sz w:val="22"/>
                                <w:szCs w:val="22"/>
                              </w:rPr>
                              <w:t xml:space="preserve">tudies </w:t>
                            </w:r>
                            <w:r>
                              <w:rPr>
                                <w:i w:val="0"/>
                                <w:iCs w:val="0"/>
                                <w:color w:val="auto"/>
                                <w:sz w:val="22"/>
                                <w:szCs w:val="22"/>
                              </w:rPr>
                              <w:t>U</w:t>
                            </w:r>
                            <w:r w:rsidRPr="00B75D34">
                              <w:rPr>
                                <w:i w:val="0"/>
                                <w:iCs w:val="0"/>
                                <w:color w:val="auto"/>
                                <w:sz w:val="22"/>
                                <w:szCs w:val="22"/>
                              </w:rPr>
                              <w:t>sing PRISMA Fra</w:t>
                            </w:r>
                            <w:r>
                              <w:rPr>
                                <w:i w:val="0"/>
                                <w:iCs w:val="0"/>
                                <w:color w:val="auto"/>
                                <w:sz w:val="22"/>
                                <w:szCs w:val="22"/>
                              </w:rPr>
                              <w:t>m</w:t>
                            </w:r>
                            <w:r w:rsidRPr="00B75D34">
                              <w:rPr>
                                <w:i w:val="0"/>
                                <w:iCs w:val="0"/>
                                <w:color w:val="auto"/>
                                <w:sz w:val="22"/>
                                <w:szCs w:val="22"/>
                              </w:rPr>
                              <w:t>ework</w:t>
                            </w:r>
                            <w:r>
                              <w:rPr>
                                <w:i w:val="0"/>
                                <w:iCs w:val="0"/>
                                <w:color w:val="auto"/>
                                <w:sz w:val="22"/>
                                <w:szCs w:val="22"/>
                              </w:rPr>
                              <w:t xml:space="preserv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6A7597" id="_x0000_t202" coordsize="21600,21600" o:spt="202" path="m,l,21600r21600,l21600,xe">
                <v:stroke joinstyle="miter"/>
                <v:path gradientshapeok="t" o:connecttype="rect"/>
              </v:shapetype>
              <v:shape id="Text Box 1" o:spid="_x0000_s1026" type="#_x0000_t202" style="position:absolute;margin-left:0;margin-top:494.5pt;width:449.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" stroked="f">
                <v:textbox style="mso-fit-shape-to-text:t" inset="0,0,0,0">
                  <w:txbxContent>
                    <w:p w14:paraId="4FCBE649" w14:textId="19568DF0" w:rsidR="0012651E" w:rsidRPr="00B75D34" w:rsidRDefault="0012651E" w:rsidP="00B75D34">
                      <w:pPr>
                        <w:pStyle w:val="Caption"/>
                        <w:jc w:val="center"/>
                        <w:rPr>
                          <w:i w:val="0"/>
                          <w:iCs w:val="0"/>
                          <w:noProof/>
                          <w:color w:val="auto"/>
                          <w:sz w:val="28"/>
                          <w:szCs w:val="22"/>
                        </w:rPr>
                      </w:pPr>
                      <w:r w:rsidRPr="00B75D34">
                        <w:rPr>
                          <w:i w:val="0"/>
                          <w:iCs w:val="0"/>
                          <w:color w:val="auto"/>
                          <w:sz w:val="22"/>
                          <w:szCs w:val="22"/>
                        </w:rPr>
                        <w:t xml:space="preserve">Figure </w:t>
                      </w:r>
                      <w:r w:rsidRPr="00B75D34">
                        <w:rPr>
                          <w:i w:val="0"/>
                          <w:iCs w:val="0"/>
                          <w:color w:val="auto"/>
                          <w:sz w:val="22"/>
                          <w:szCs w:val="22"/>
                        </w:rPr>
                        <w:fldChar w:fldCharType="begin"/>
                      </w:r>
                      <w:r w:rsidRPr="00B75D34">
                        <w:rPr>
                          <w:i w:val="0"/>
                          <w:iCs w:val="0"/>
                          <w:color w:val="auto"/>
                          <w:sz w:val="22"/>
                          <w:szCs w:val="22"/>
                        </w:rPr>
                        <w:instrText xml:space="preserve"> SEQ Figure \* ARABIC </w:instrText>
                      </w:r>
                      <w:r w:rsidRPr="00B75D34">
                        <w:rPr>
                          <w:i w:val="0"/>
                          <w:iCs w:val="0"/>
                          <w:color w:val="auto"/>
                          <w:sz w:val="22"/>
                          <w:szCs w:val="22"/>
                        </w:rPr>
                        <w:fldChar w:fldCharType="separate"/>
                      </w:r>
                      <w:r w:rsidRPr="00B75D34">
                        <w:rPr>
                          <w:i w:val="0"/>
                          <w:iCs w:val="0"/>
                          <w:noProof/>
                          <w:color w:val="auto"/>
                          <w:sz w:val="22"/>
                          <w:szCs w:val="22"/>
                        </w:rPr>
                        <w:t>9</w:t>
                      </w:r>
                      <w:r w:rsidRPr="00B75D34">
                        <w:rPr>
                          <w:i w:val="0"/>
                          <w:iCs w:val="0"/>
                          <w:color w:val="auto"/>
                          <w:sz w:val="22"/>
                          <w:szCs w:val="22"/>
                        </w:rPr>
                        <w:fldChar w:fldCharType="end"/>
                      </w:r>
                      <w:r w:rsidRPr="00B75D34">
                        <w:rPr>
                          <w:i w:val="0"/>
                          <w:iCs w:val="0"/>
                          <w:color w:val="auto"/>
                          <w:sz w:val="22"/>
                          <w:szCs w:val="22"/>
                        </w:rPr>
                        <w:t xml:space="preserve">: Process of </w:t>
                      </w:r>
                      <w:r>
                        <w:rPr>
                          <w:i w:val="0"/>
                          <w:iCs w:val="0"/>
                          <w:color w:val="auto"/>
                          <w:sz w:val="22"/>
                          <w:szCs w:val="22"/>
                        </w:rPr>
                        <w:t>S</w:t>
                      </w:r>
                      <w:r w:rsidRPr="00B75D34">
                        <w:rPr>
                          <w:i w:val="0"/>
                          <w:iCs w:val="0"/>
                          <w:color w:val="auto"/>
                          <w:sz w:val="22"/>
                          <w:szCs w:val="22"/>
                        </w:rPr>
                        <w:t xml:space="preserve">election of </w:t>
                      </w:r>
                      <w:r>
                        <w:rPr>
                          <w:i w:val="0"/>
                          <w:iCs w:val="0"/>
                          <w:color w:val="auto"/>
                          <w:sz w:val="22"/>
                          <w:szCs w:val="22"/>
                        </w:rPr>
                        <w:t>S</w:t>
                      </w:r>
                      <w:r w:rsidRPr="00B75D34">
                        <w:rPr>
                          <w:i w:val="0"/>
                          <w:iCs w:val="0"/>
                          <w:color w:val="auto"/>
                          <w:sz w:val="22"/>
                          <w:szCs w:val="22"/>
                        </w:rPr>
                        <w:t xml:space="preserve">tudies </w:t>
                      </w:r>
                      <w:r>
                        <w:rPr>
                          <w:i w:val="0"/>
                          <w:iCs w:val="0"/>
                          <w:color w:val="auto"/>
                          <w:sz w:val="22"/>
                          <w:szCs w:val="22"/>
                        </w:rPr>
                        <w:t>U</w:t>
                      </w:r>
                      <w:r w:rsidRPr="00B75D34">
                        <w:rPr>
                          <w:i w:val="0"/>
                          <w:iCs w:val="0"/>
                          <w:color w:val="auto"/>
                          <w:sz w:val="22"/>
                          <w:szCs w:val="22"/>
                        </w:rPr>
                        <w:t>sing PRISMA Fra</w:t>
                      </w:r>
                      <w:r>
                        <w:rPr>
                          <w:i w:val="0"/>
                          <w:iCs w:val="0"/>
                          <w:color w:val="auto"/>
                          <w:sz w:val="22"/>
                          <w:szCs w:val="22"/>
                        </w:rPr>
                        <w:t>m</w:t>
                      </w:r>
                      <w:r w:rsidRPr="00B75D34">
                        <w:rPr>
                          <w:i w:val="0"/>
                          <w:iCs w:val="0"/>
                          <w:color w:val="auto"/>
                          <w:sz w:val="22"/>
                          <w:szCs w:val="22"/>
                        </w:rPr>
                        <w:t>ework</w:t>
                      </w:r>
                      <w:r>
                        <w:rPr>
                          <w:i w:val="0"/>
                          <w:iCs w:val="0"/>
                          <w:color w:val="auto"/>
                          <w:sz w:val="22"/>
                          <w:szCs w:val="22"/>
                        </w:rPr>
                        <w:t xml:space="preserve"> (2020)</w:t>
                      </w:r>
                    </w:p>
                  </w:txbxContent>
                </v:textbox>
                <w10:wrap anchorx="margin"/>
              </v:shape>
            </w:pict>
          </mc:Fallback>
        </mc:AlternateContent>
      </w:r>
      <w:r>
        <w:rPr>
          <w:noProof/>
          <w:lang w:eastAsia="en-GB"/>
        </w:rPr>
        <mc:AlternateContent>
          <mc:Choice Requires="wpg">
            <w:drawing>
              <wp:anchor distT="0" distB="0" distL="114300" distR="114300" simplePos="0" relativeHeight="251663360" behindDoc="0" locked="0" layoutInCell="1" allowOverlap="1" wp14:anchorId="72CCC389" wp14:editId="3B1A25BD">
                <wp:simplePos x="0" y="0"/>
                <wp:positionH relativeFrom="column">
                  <wp:posOffset>2741762</wp:posOffset>
                </wp:positionH>
                <wp:positionV relativeFrom="paragraph">
                  <wp:posOffset>1460659</wp:posOffset>
                </wp:positionV>
                <wp:extent cx="1339850" cy="647700"/>
                <wp:effectExtent l="38100" t="0" r="31750" b="95250"/>
                <wp:wrapNone/>
                <wp:docPr id="992990719" name="Group 4"/>
                <wp:cNvGraphicFramePr/>
                <a:graphic xmlns:a="http://schemas.openxmlformats.org/drawingml/2006/main">
                  <a:graphicData uri="http://schemas.microsoft.com/office/word/2010/wordprocessingGroup">
                    <wpg:wgp>
                      <wpg:cNvGrpSpPr/>
                      <wpg:grpSpPr>
                        <a:xfrm>
                          <a:off x="0" y="0"/>
                          <a:ext cx="1339850" cy="647700"/>
                          <a:chOff x="0" y="0"/>
                          <a:chExt cx="1339850" cy="647700"/>
                        </a:xfrm>
                      </wpg:grpSpPr>
                      <wps:wsp>
                        <wps:cNvPr id="1604285093" name="Straight Connector 2"/>
                        <wps:cNvCnPr/>
                        <wps:spPr>
                          <a:xfrm>
                            <a:off x="1333500" y="0"/>
                            <a:ext cx="6350" cy="647700"/>
                          </a:xfrm>
                          <a:prstGeom prst="line">
                            <a:avLst/>
                          </a:prstGeom>
                        </wps:spPr>
                        <wps:style>
                          <a:lnRef idx="1">
                            <a:schemeClr val="dk1"/>
                          </a:lnRef>
                          <a:fillRef idx="0">
                            <a:schemeClr val="dk1"/>
                          </a:fillRef>
                          <a:effectRef idx="0">
                            <a:schemeClr val="dk1"/>
                          </a:effectRef>
                          <a:fontRef idx="minor">
                            <a:schemeClr val="tx1"/>
                          </a:fontRef>
                        </wps:style>
                        <wps:bodyPr/>
                      </wps:wsp>
                      <wps:wsp>
                        <wps:cNvPr id="1372563390" name="Straight Arrow Connector 3"/>
                        <wps:cNvCnPr/>
                        <wps:spPr>
                          <a:xfrm flipH="1" flipV="1">
                            <a:off x="0" y="641350"/>
                            <a:ext cx="13398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62187531" id="Group 4" o:spid="_x0000_s1026" style="position:absolute;margin-left:215.9pt;margin-top:115pt;width:105.5pt;height:51pt;z-index:251663360" coordsize="13398,6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">
                <v:line id="Straight Connector 2" o:spid="_x0000_s1027" style="position:absolute;visibility:visible;mso-wrap-style:square" from="13335,0" to="13398,64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" strokecolor="black [3200]" strokeweight=".5pt">
                  <v:stroke joinstyle="miter"/>
                </v:line>
                <v:shapetype id="_x0000_t32" coordsize="21600,21600" o:spt="32" o:oned="t" path="m,l21600,21600e" filled="f">
                  <v:path arrowok="t" fillok="f" o:connecttype="none"/>
                  <o:lock v:ext="edit" shapetype="t"/>
                </v:shapetype>
                <v:shape id="Straight Arrow Connector 3" o:spid="_x0000_s1028" type="#_x0000_t32" style="position:absolute;top:6413;width:13398;height:6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" strokecolor="black [3200]" strokeweight=".5pt">
                  <v:stroke endarrow="block" joinstyle="miter"/>
                </v:shape>
              </v:group>
            </w:pict>
          </mc:Fallback>
        </mc:AlternateContent>
      </w:r>
      <w:r w:rsidR="00B46007">
        <w:rPr>
          <w:noProof/>
          <w:lang w:eastAsia="en-GB"/>
        </w:rPr>
        <mc:AlternateContent>
          <mc:Choice Requires="wpg">
            <w:drawing>
              <wp:anchor distT="0" distB="0" distL="114300" distR="114300" simplePos="0" relativeHeight="251658240" behindDoc="0" locked="0" layoutInCell="1" allowOverlap="1" wp14:anchorId="0C105C31" wp14:editId="5A6FB50C">
                <wp:simplePos x="0" y="0"/>
                <wp:positionH relativeFrom="margin">
                  <wp:posOffset>101600</wp:posOffset>
                </wp:positionH>
                <wp:positionV relativeFrom="paragraph">
                  <wp:posOffset>552450</wp:posOffset>
                </wp:positionV>
                <wp:extent cx="5105400" cy="5111751"/>
                <wp:effectExtent l="0" t="0" r="19050" b="12700"/>
                <wp:wrapNone/>
                <wp:docPr id="1992784037" name="Group 17"/>
                <wp:cNvGraphicFramePr/>
                <a:graphic xmlns:a="http://schemas.openxmlformats.org/drawingml/2006/main">
                  <a:graphicData uri="http://schemas.microsoft.com/office/word/2010/wordprocessingGroup">
                    <wpg:wgp>
                      <wpg:cNvGrpSpPr/>
                      <wpg:grpSpPr>
                        <a:xfrm>
                          <a:off x="0" y="0"/>
                          <a:ext cx="5105400" cy="5111751"/>
                          <a:chOff x="0" y="0"/>
                          <a:chExt cx="5600700" cy="6522970"/>
                        </a:xfrm>
                      </wpg:grpSpPr>
                      <wps:wsp>
                        <wps:cNvPr id="932762029" name="Text Box 1"/>
                        <wps:cNvSpPr txBox="1"/>
                        <wps:spPr>
                          <a:xfrm>
                            <a:off x="0" y="0"/>
                            <a:ext cx="2946400" cy="1155700"/>
                          </a:xfrm>
                          <a:prstGeom prst="rect">
                            <a:avLst/>
                          </a:prstGeom>
                          <a:solidFill>
                            <a:schemeClr val="accent2">
                              <a:lumMod val="20000"/>
                              <a:lumOff val="80000"/>
                            </a:schemeClr>
                          </a:solidFill>
                          <a:ln w="6350">
                            <a:solidFill>
                              <a:prstClr val="black"/>
                            </a:solidFill>
                          </a:ln>
                        </wps:spPr>
                        <wps:txbx>
                          <w:txbxContent>
                            <w:p w14:paraId="2442CC27" w14:textId="77777777" w:rsidR="0012651E" w:rsidRPr="00B46007" w:rsidRDefault="0012651E" w:rsidP="009E2B08">
                              <w:pPr>
                                <w:spacing w:after="0"/>
                                <w:jc w:val="center"/>
                                <w:rPr>
                                  <w:sz w:val="18"/>
                                  <w:szCs w:val="18"/>
                                </w:rPr>
                              </w:pPr>
                              <w:r w:rsidRPr="00B46007">
                                <w:rPr>
                                  <w:sz w:val="18"/>
                                  <w:szCs w:val="18"/>
                                </w:rPr>
                                <w:t xml:space="preserve">Records identified through database searching - PubMed, Google Scholar, Web of Science, </w:t>
                              </w:r>
                              <w:proofErr w:type="spellStart"/>
                              <w:r w:rsidRPr="00B46007">
                                <w:rPr>
                                  <w:sz w:val="18"/>
                                  <w:szCs w:val="18"/>
                                </w:rPr>
                                <w:t>ProQuest</w:t>
                              </w:r>
                              <w:proofErr w:type="spellEnd"/>
                              <w:r w:rsidRPr="00B46007">
                                <w:rPr>
                                  <w:sz w:val="18"/>
                                  <w:szCs w:val="18"/>
                                </w:rPr>
                                <w:t xml:space="preserve">, Science Direct </w:t>
                              </w:r>
                            </w:p>
                            <w:p w14:paraId="319EA985" w14:textId="77777777" w:rsidR="0012651E" w:rsidRPr="00B46007" w:rsidRDefault="0012651E" w:rsidP="009E2B08">
                              <w:pPr>
                                <w:spacing w:after="0"/>
                                <w:jc w:val="center"/>
                                <w:rPr>
                                  <w:b/>
                                  <w:bCs/>
                                  <w:sz w:val="18"/>
                                  <w:szCs w:val="18"/>
                                </w:rPr>
                              </w:pPr>
                              <w:r w:rsidRPr="00B46007">
                                <w:rPr>
                                  <w:b/>
                                  <w:bCs/>
                                  <w:sz w:val="18"/>
                                  <w:szCs w:val="18"/>
                                </w:rPr>
                                <w:t>(n = 450)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62348166" name="Text Box 2"/>
                        <wps:cNvSpPr txBox="1"/>
                        <wps:spPr>
                          <a:xfrm>
                            <a:off x="3136900" y="298450"/>
                            <a:ext cx="2178050" cy="850900"/>
                          </a:xfrm>
                          <a:prstGeom prst="rect">
                            <a:avLst/>
                          </a:prstGeom>
                          <a:solidFill>
                            <a:schemeClr val="accent2">
                              <a:lumMod val="20000"/>
                              <a:lumOff val="80000"/>
                            </a:schemeClr>
                          </a:solidFill>
                          <a:ln w="6350">
                            <a:solidFill>
                              <a:prstClr val="black"/>
                            </a:solidFill>
                          </a:ln>
                        </wps:spPr>
                        <wps:txbx>
                          <w:txbxContent>
                            <w:p w14:paraId="2EDA1362" w14:textId="77777777" w:rsidR="0012651E" w:rsidRPr="00B46007" w:rsidRDefault="0012651E" w:rsidP="009E2B08">
                              <w:pPr>
                                <w:spacing w:after="0"/>
                                <w:jc w:val="center"/>
                                <w:rPr>
                                  <w:sz w:val="18"/>
                                  <w:szCs w:val="20"/>
                                </w:rPr>
                              </w:pPr>
                              <w:r w:rsidRPr="00B46007">
                                <w:rPr>
                                  <w:sz w:val="18"/>
                                  <w:szCs w:val="20"/>
                                </w:rPr>
                                <w:t>Additional records identified through other sources</w:t>
                              </w:r>
                            </w:p>
                            <w:p w14:paraId="7F2655B0" w14:textId="77777777" w:rsidR="0012651E" w:rsidRPr="00B46007" w:rsidRDefault="0012651E" w:rsidP="009E2B08">
                              <w:pPr>
                                <w:spacing w:after="0"/>
                                <w:jc w:val="center"/>
                                <w:rPr>
                                  <w:b/>
                                  <w:bCs/>
                                  <w:sz w:val="18"/>
                                  <w:szCs w:val="20"/>
                                </w:rPr>
                              </w:pPr>
                              <w:r w:rsidRPr="00B46007">
                                <w:rPr>
                                  <w:b/>
                                  <w:bCs/>
                                  <w:sz w:val="18"/>
                                  <w:szCs w:val="20"/>
                                </w:rPr>
                                <w:t>(n =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63307864" name="Text Box 3"/>
                        <wps:cNvSpPr txBox="1"/>
                        <wps:spPr>
                          <a:xfrm>
                            <a:off x="12700" y="1492250"/>
                            <a:ext cx="2882900" cy="654050"/>
                          </a:xfrm>
                          <a:prstGeom prst="rect">
                            <a:avLst/>
                          </a:prstGeom>
                          <a:solidFill>
                            <a:schemeClr val="accent6">
                              <a:lumMod val="20000"/>
                              <a:lumOff val="80000"/>
                            </a:schemeClr>
                          </a:solidFill>
                          <a:ln w="6350">
                            <a:solidFill>
                              <a:prstClr val="black"/>
                            </a:solidFill>
                          </a:ln>
                        </wps:spPr>
                        <wps:txbx>
                          <w:txbxContent>
                            <w:p w14:paraId="7CB23EE3" w14:textId="77777777" w:rsidR="0012651E" w:rsidRPr="00B46007" w:rsidRDefault="0012651E" w:rsidP="00B46007">
                              <w:pPr>
                                <w:spacing w:after="0"/>
                                <w:jc w:val="center"/>
                                <w:rPr>
                                  <w:sz w:val="18"/>
                                  <w:szCs w:val="20"/>
                                </w:rPr>
                              </w:pPr>
                              <w:r w:rsidRPr="00B46007">
                                <w:rPr>
                                  <w:sz w:val="18"/>
                                  <w:szCs w:val="20"/>
                                </w:rPr>
                                <w:t>Total records identified</w:t>
                              </w:r>
                            </w:p>
                            <w:p w14:paraId="5D2397B4" w14:textId="77777777" w:rsidR="0012651E" w:rsidRPr="00B46007" w:rsidRDefault="0012651E" w:rsidP="00B46007">
                              <w:pPr>
                                <w:spacing w:after="0"/>
                                <w:jc w:val="center"/>
                                <w:rPr>
                                  <w:b/>
                                  <w:bCs/>
                                  <w:sz w:val="18"/>
                                  <w:szCs w:val="20"/>
                                </w:rPr>
                              </w:pPr>
                              <w:r w:rsidRPr="00B46007">
                                <w:rPr>
                                  <w:b/>
                                  <w:bCs/>
                                  <w:sz w:val="18"/>
                                  <w:szCs w:val="20"/>
                                </w:rPr>
                                <w:t>(n = 453)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4717324" name="Text Box 3"/>
                        <wps:cNvSpPr txBox="1"/>
                        <wps:spPr>
                          <a:xfrm>
                            <a:off x="12700" y="2413000"/>
                            <a:ext cx="2882900" cy="654050"/>
                          </a:xfrm>
                          <a:prstGeom prst="rect">
                            <a:avLst/>
                          </a:prstGeom>
                          <a:solidFill>
                            <a:schemeClr val="accent6">
                              <a:lumMod val="20000"/>
                              <a:lumOff val="80000"/>
                            </a:schemeClr>
                          </a:solidFill>
                          <a:ln w="6350">
                            <a:solidFill>
                              <a:prstClr val="black"/>
                            </a:solidFill>
                          </a:ln>
                        </wps:spPr>
                        <wps:txbx>
                          <w:txbxContent>
                            <w:p w14:paraId="397FBD5E" w14:textId="77777777" w:rsidR="0012651E" w:rsidRPr="00B46007" w:rsidRDefault="0012651E" w:rsidP="00B46007">
                              <w:pPr>
                                <w:spacing w:after="0"/>
                                <w:jc w:val="center"/>
                                <w:rPr>
                                  <w:sz w:val="18"/>
                                  <w:szCs w:val="20"/>
                                </w:rPr>
                              </w:pPr>
                              <w:r w:rsidRPr="00B46007">
                                <w:rPr>
                                  <w:sz w:val="18"/>
                                  <w:szCs w:val="20"/>
                                </w:rPr>
                                <w:t xml:space="preserve">Records after duplicates removed </w:t>
                              </w:r>
                            </w:p>
                            <w:p w14:paraId="749084FB" w14:textId="77777777" w:rsidR="0012651E" w:rsidRPr="00B46007" w:rsidRDefault="0012651E" w:rsidP="00B46007">
                              <w:pPr>
                                <w:spacing w:after="0"/>
                                <w:jc w:val="center"/>
                                <w:rPr>
                                  <w:b/>
                                  <w:bCs/>
                                  <w:sz w:val="18"/>
                                  <w:szCs w:val="20"/>
                                </w:rPr>
                              </w:pPr>
                              <w:r w:rsidRPr="00B46007">
                                <w:rPr>
                                  <w:b/>
                                  <w:bCs/>
                                  <w:sz w:val="18"/>
                                  <w:szCs w:val="20"/>
                                </w:rPr>
                                <w:t>(n = 180)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8491561" name="Text Box 2"/>
                        <wps:cNvSpPr txBox="1"/>
                        <wps:spPr>
                          <a:xfrm>
                            <a:off x="3422650" y="3092450"/>
                            <a:ext cx="2178050" cy="850900"/>
                          </a:xfrm>
                          <a:prstGeom prst="rect">
                            <a:avLst/>
                          </a:prstGeom>
                          <a:solidFill>
                            <a:schemeClr val="accent2">
                              <a:lumMod val="20000"/>
                              <a:lumOff val="80000"/>
                            </a:schemeClr>
                          </a:solidFill>
                          <a:ln w="6350">
                            <a:solidFill>
                              <a:prstClr val="black"/>
                            </a:solidFill>
                          </a:ln>
                        </wps:spPr>
                        <wps:txbx>
                          <w:txbxContent>
                            <w:p w14:paraId="674A761C" w14:textId="77777777" w:rsidR="0012651E" w:rsidRPr="00B46007" w:rsidRDefault="0012651E" w:rsidP="009E2B08">
                              <w:pPr>
                                <w:spacing w:after="0"/>
                                <w:jc w:val="center"/>
                                <w:rPr>
                                  <w:sz w:val="18"/>
                                  <w:szCs w:val="20"/>
                                </w:rPr>
                              </w:pPr>
                              <w:r w:rsidRPr="00B46007">
                                <w:rPr>
                                  <w:sz w:val="18"/>
                                  <w:szCs w:val="20"/>
                                </w:rPr>
                                <w:t>Excluded records as per the selection criteria</w:t>
                              </w:r>
                            </w:p>
                            <w:p w14:paraId="2EA203CA" w14:textId="77777777" w:rsidR="0012651E" w:rsidRPr="00B46007" w:rsidRDefault="0012651E" w:rsidP="009E2B08">
                              <w:pPr>
                                <w:spacing w:after="0"/>
                                <w:jc w:val="center"/>
                                <w:rPr>
                                  <w:b/>
                                  <w:bCs/>
                                  <w:sz w:val="18"/>
                                  <w:szCs w:val="20"/>
                                </w:rPr>
                              </w:pPr>
                              <w:r w:rsidRPr="00B46007">
                                <w:rPr>
                                  <w:b/>
                                  <w:bCs/>
                                  <w:sz w:val="18"/>
                                  <w:szCs w:val="20"/>
                                </w:rPr>
                                <w:t>(n = 120)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00179706" name="Text Box 3"/>
                        <wps:cNvSpPr txBox="1"/>
                        <wps:spPr>
                          <a:xfrm>
                            <a:off x="12700" y="3333750"/>
                            <a:ext cx="2882900" cy="654050"/>
                          </a:xfrm>
                          <a:prstGeom prst="rect">
                            <a:avLst/>
                          </a:prstGeom>
                          <a:solidFill>
                            <a:schemeClr val="accent6">
                              <a:lumMod val="20000"/>
                              <a:lumOff val="80000"/>
                            </a:schemeClr>
                          </a:solidFill>
                          <a:ln w="6350">
                            <a:solidFill>
                              <a:prstClr val="black"/>
                            </a:solidFill>
                          </a:ln>
                        </wps:spPr>
                        <wps:txbx>
                          <w:txbxContent>
                            <w:p w14:paraId="18781A47" w14:textId="77777777" w:rsidR="0012651E" w:rsidRPr="00B46007" w:rsidRDefault="0012651E" w:rsidP="00B46007">
                              <w:pPr>
                                <w:spacing w:after="0"/>
                                <w:jc w:val="center"/>
                                <w:rPr>
                                  <w:sz w:val="18"/>
                                  <w:szCs w:val="20"/>
                                </w:rPr>
                              </w:pPr>
                              <w:r w:rsidRPr="00B46007">
                                <w:rPr>
                                  <w:sz w:val="18"/>
                                  <w:szCs w:val="20"/>
                                </w:rPr>
                                <w:t xml:space="preserve">Records screened </w:t>
                              </w:r>
                            </w:p>
                            <w:p w14:paraId="5294CA9E" w14:textId="77777777" w:rsidR="0012651E" w:rsidRPr="00B46007" w:rsidRDefault="0012651E" w:rsidP="00B46007">
                              <w:pPr>
                                <w:spacing w:after="0"/>
                                <w:jc w:val="center"/>
                                <w:rPr>
                                  <w:b/>
                                  <w:bCs/>
                                  <w:sz w:val="18"/>
                                  <w:szCs w:val="20"/>
                                </w:rPr>
                              </w:pPr>
                              <w:r w:rsidRPr="00B46007">
                                <w:rPr>
                                  <w:b/>
                                  <w:bCs/>
                                  <w:sz w:val="18"/>
                                  <w:szCs w:val="20"/>
                                </w:rPr>
                                <w:t>(n = 180)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39484221" name="Text Box 3"/>
                        <wps:cNvSpPr txBox="1"/>
                        <wps:spPr>
                          <a:xfrm>
                            <a:off x="12700" y="4152900"/>
                            <a:ext cx="2882900" cy="654050"/>
                          </a:xfrm>
                          <a:prstGeom prst="rect">
                            <a:avLst/>
                          </a:prstGeom>
                          <a:solidFill>
                            <a:schemeClr val="accent6">
                              <a:lumMod val="20000"/>
                              <a:lumOff val="80000"/>
                            </a:schemeClr>
                          </a:solidFill>
                          <a:ln w="6350">
                            <a:solidFill>
                              <a:prstClr val="black"/>
                            </a:solidFill>
                          </a:ln>
                        </wps:spPr>
                        <wps:txbx>
                          <w:txbxContent>
                            <w:p w14:paraId="312DEB69" w14:textId="77777777" w:rsidR="0012651E" w:rsidRPr="00B46007" w:rsidRDefault="0012651E" w:rsidP="00B46007">
                              <w:pPr>
                                <w:spacing w:after="0"/>
                                <w:jc w:val="center"/>
                                <w:rPr>
                                  <w:sz w:val="18"/>
                                  <w:szCs w:val="20"/>
                                </w:rPr>
                              </w:pPr>
                              <w:r w:rsidRPr="00B46007">
                                <w:rPr>
                                  <w:sz w:val="18"/>
                                  <w:szCs w:val="20"/>
                                </w:rPr>
                                <w:t>Full-text articles assessed for eligibility</w:t>
                              </w:r>
                            </w:p>
                            <w:p w14:paraId="49ACF715" w14:textId="77777777" w:rsidR="0012651E" w:rsidRPr="00B46007" w:rsidRDefault="0012651E" w:rsidP="00B46007">
                              <w:pPr>
                                <w:spacing w:after="0"/>
                                <w:jc w:val="center"/>
                                <w:rPr>
                                  <w:b/>
                                  <w:bCs/>
                                  <w:sz w:val="18"/>
                                  <w:szCs w:val="20"/>
                                </w:rPr>
                              </w:pPr>
                              <w:r w:rsidRPr="00B46007">
                                <w:rPr>
                                  <w:b/>
                                  <w:bCs/>
                                  <w:sz w:val="18"/>
                                  <w:szCs w:val="20"/>
                                </w:rPr>
                                <w:t>(n = 60)</w:t>
                              </w:r>
                            </w:p>
                            <w:p w14:paraId="0B8FB59A" w14:textId="77777777" w:rsidR="0012651E" w:rsidRDefault="0012651E" w:rsidP="009E2B08">
                              <w:pPr>
                                <w:jc w:val="center"/>
                              </w:pPr>
                            </w:p>
                            <w:p w14:paraId="233687AD" w14:textId="77777777" w:rsidR="0012651E" w:rsidRPr="00F14EAF" w:rsidRDefault="0012651E" w:rsidP="009E2B08">
                              <w:pPr>
                                <w:jc w:val="center"/>
                                <w:rPr>
                                  <w:b/>
                                  <w:bCs/>
                                </w:rPr>
                              </w:pPr>
                              <w:r w:rsidRPr="00F14EAF">
                                <w:rPr>
                                  <w:b/>
                                  <w:bCs/>
                                </w:rPr>
                                <w:t xml:space="preserve">(n = </w:t>
                              </w:r>
                              <w:r>
                                <w:rPr>
                                  <w:b/>
                                  <w:bCs/>
                                </w:rPr>
                                <w:t>180</w:t>
                              </w:r>
                              <w:r w:rsidRPr="00F14EAF">
                                <w:rPr>
                                  <w:b/>
                                  <w:b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72607368" name="Text Box 2"/>
                        <wps:cNvSpPr txBox="1"/>
                        <wps:spPr>
                          <a:xfrm>
                            <a:off x="3416300" y="4114797"/>
                            <a:ext cx="2178050" cy="1160299"/>
                          </a:xfrm>
                          <a:prstGeom prst="rect">
                            <a:avLst/>
                          </a:prstGeom>
                          <a:solidFill>
                            <a:schemeClr val="accent2">
                              <a:lumMod val="20000"/>
                              <a:lumOff val="80000"/>
                            </a:schemeClr>
                          </a:solidFill>
                          <a:ln w="6350">
                            <a:solidFill>
                              <a:prstClr val="black"/>
                            </a:solidFill>
                          </a:ln>
                        </wps:spPr>
                        <wps:txbx>
                          <w:txbxContent>
                            <w:p w14:paraId="7DFFAA32" w14:textId="77777777" w:rsidR="0012651E" w:rsidRPr="00B46007" w:rsidRDefault="0012651E" w:rsidP="009E2B08">
                              <w:pPr>
                                <w:spacing w:after="0"/>
                                <w:jc w:val="center"/>
                                <w:rPr>
                                  <w:sz w:val="18"/>
                                  <w:szCs w:val="20"/>
                                </w:rPr>
                              </w:pPr>
                              <w:r w:rsidRPr="00B46007">
                                <w:rPr>
                                  <w:sz w:val="18"/>
                                  <w:szCs w:val="20"/>
                                </w:rPr>
                                <w:t>Full-text articles excluded due to lack of relevancy with methodology or did not match specific aspects</w:t>
                              </w:r>
                            </w:p>
                            <w:p w14:paraId="00DB23C3" w14:textId="1CD46414" w:rsidR="0012651E" w:rsidRPr="00B46007" w:rsidRDefault="0012651E" w:rsidP="00B46007">
                              <w:pPr>
                                <w:spacing w:after="0"/>
                                <w:jc w:val="center"/>
                                <w:rPr>
                                  <w:b/>
                                  <w:bCs/>
                                  <w:sz w:val="18"/>
                                  <w:szCs w:val="20"/>
                                </w:rPr>
                              </w:pPr>
                              <w:r w:rsidRPr="00B46007">
                                <w:rPr>
                                  <w:b/>
                                  <w:bCs/>
                                  <w:sz w:val="18"/>
                                  <w:szCs w:val="20"/>
                                </w:rPr>
                                <w:t xml:space="preserve">(n = </w:t>
                              </w:r>
                              <w:r>
                                <w:rPr>
                                  <w:b/>
                                  <w:bCs/>
                                  <w:sz w:val="18"/>
                                  <w:szCs w:val="20"/>
                                </w:rPr>
                                <w:t>50</w:t>
                              </w:r>
                              <w:r w:rsidRPr="00B46007">
                                <w:rPr>
                                  <w:b/>
                                  <w:bCs/>
                                  <w:sz w:val="18"/>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9759430" name="Text Box 3"/>
                        <wps:cNvSpPr txBox="1"/>
                        <wps:spPr>
                          <a:xfrm>
                            <a:off x="12700" y="5613401"/>
                            <a:ext cx="2882900" cy="909569"/>
                          </a:xfrm>
                          <a:prstGeom prst="rect">
                            <a:avLst/>
                          </a:prstGeom>
                          <a:solidFill>
                            <a:schemeClr val="accent6">
                              <a:lumMod val="20000"/>
                              <a:lumOff val="80000"/>
                            </a:schemeClr>
                          </a:solidFill>
                          <a:ln w="6350">
                            <a:solidFill>
                              <a:prstClr val="black"/>
                            </a:solidFill>
                          </a:ln>
                        </wps:spPr>
                        <wps:txbx>
                          <w:txbxContent>
                            <w:p w14:paraId="71F7990C" w14:textId="77777777" w:rsidR="0012651E" w:rsidRPr="00B46007" w:rsidRDefault="0012651E" w:rsidP="00B46007">
                              <w:pPr>
                                <w:spacing w:after="0"/>
                                <w:jc w:val="center"/>
                                <w:rPr>
                                  <w:sz w:val="18"/>
                                  <w:szCs w:val="20"/>
                                </w:rPr>
                              </w:pPr>
                              <w:r w:rsidRPr="00B46007">
                                <w:rPr>
                                  <w:sz w:val="18"/>
                                  <w:szCs w:val="20"/>
                                </w:rPr>
                                <w:t>Total no. of Studies included in qualitative analysis</w:t>
                              </w:r>
                            </w:p>
                            <w:p w14:paraId="31651654" w14:textId="52DC41CE" w:rsidR="0012651E" w:rsidRPr="00B46007" w:rsidRDefault="0012651E" w:rsidP="00B46007">
                              <w:pPr>
                                <w:spacing w:after="0"/>
                                <w:jc w:val="center"/>
                                <w:rPr>
                                  <w:b/>
                                  <w:bCs/>
                                  <w:sz w:val="18"/>
                                  <w:szCs w:val="20"/>
                                </w:rPr>
                              </w:pPr>
                              <w:r w:rsidRPr="00B46007">
                                <w:rPr>
                                  <w:b/>
                                  <w:bCs/>
                                  <w:sz w:val="18"/>
                                  <w:szCs w:val="20"/>
                                </w:rPr>
                                <w:t>(n = 1</w:t>
                              </w:r>
                              <w:r>
                                <w:rPr>
                                  <w:b/>
                                  <w:bCs/>
                                  <w:sz w:val="18"/>
                                  <w:szCs w:val="20"/>
                                </w:rPr>
                                <w:t>0</w:t>
                              </w:r>
                              <w:r w:rsidRPr="00B46007">
                                <w:rPr>
                                  <w:b/>
                                  <w:bCs/>
                                  <w:sz w:val="18"/>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6352595" name="Straight Arrow Connector 4"/>
                        <wps:cNvCnPr/>
                        <wps:spPr>
                          <a:xfrm>
                            <a:off x="1435100" y="1143000"/>
                            <a:ext cx="0" cy="368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2625121" name="Straight Arrow Connector 11"/>
                        <wps:cNvCnPr/>
                        <wps:spPr>
                          <a:xfrm>
                            <a:off x="1409700" y="2139950"/>
                            <a:ext cx="0" cy="292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11829371" name="Straight Arrow Connector 12"/>
                        <wps:cNvCnPr/>
                        <wps:spPr>
                          <a:xfrm>
                            <a:off x="1409700" y="3048000"/>
                            <a:ext cx="1270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238736938" name="Straight Arrow Connector 13"/>
                        <wps:cNvCnPr/>
                        <wps:spPr>
                          <a:xfrm>
                            <a:off x="1428750" y="3987800"/>
                            <a:ext cx="635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687284066" name="Straight Arrow Connector 14"/>
                        <wps:cNvCnPr/>
                        <wps:spPr>
                          <a:xfrm flipV="1">
                            <a:off x="2882900" y="3663950"/>
                            <a:ext cx="5461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44983419" name="Straight Arrow Connector 15"/>
                        <wps:cNvCnPr/>
                        <wps:spPr>
                          <a:xfrm flipV="1">
                            <a:off x="2908300" y="4483100"/>
                            <a:ext cx="50165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567526544" name="Straight Arrow Connector 16"/>
                        <wps:cNvCnPr/>
                        <wps:spPr>
                          <a:xfrm>
                            <a:off x="1390650" y="4794250"/>
                            <a:ext cx="12700" cy="831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C105C31" id="Group 17" o:spid="_x0000_s1027" style="position:absolute;margin-left:8pt;margin-top:43.5pt;width:402pt;height:402.5pt;z-index:251658240;mso-position-horizontal-relative:margin;mso-width-relative:margin;mso-height-relative:margin" coordsize="56007,652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">
                <v:shape id="_x0000_s1028" type="#_x0000_t202" style="position:absolute;width:29464;height:115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" fillcolor="#fbe4d5 [661]" strokeweight=".5pt">
                  <v:textbox>
                    <w:txbxContent>
                      <w:p w14:paraId="2442CC27" w14:textId="77777777" w:rsidR="0012651E" w:rsidRPr="00B46007" w:rsidRDefault="0012651E" w:rsidP="009E2B08">
                        <w:pPr>
                          <w:spacing w:after="0"/>
                          <w:jc w:val="center"/>
                          <w:rPr>
                            <w:sz w:val="18"/>
                            <w:szCs w:val="18"/>
                          </w:rPr>
                        </w:pPr>
                        <w:r w:rsidRPr="00B46007">
                          <w:rPr>
                            <w:sz w:val="18"/>
                            <w:szCs w:val="18"/>
                          </w:rPr>
                          <w:t xml:space="preserve">Records identified through database searching - PubMed, Google Scholar, Web of Science, </w:t>
                        </w:r>
                        <w:proofErr w:type="spellStart"/>
                        <w:r w:rsidRPr="00B46007">
                          <w:rPr>
                            <w:sz w:val="18"/>
                            <w:szCs w:val="18"/>
                          </w:rPr>
                          <w:t>ProQuest</w:t>
                        </w:r>
                        <w:proofErr w:type="spellEnd"/>
                        <w:r w:rsidRPr="00B46007">
                          <w:rPr>
                            <w:sz w:val="18"/>
                            <w:szCs w:val="18"/>
                          </w:rPr>
                          <w:t xml:space="preserve">, Science Direct </w:t>
                        </w:r>
                      </w:p>
                      <w:p w14:paraId="319EA985" w14:textId="77777777" w:rsidR="0012651E" w:rsidRPr="00B46007" w:rsidRDefault="0012651E" w:rsidP="009E2B08">
                        <w:pPr>
                          <w:spacing w:after="0"/>
                          <w:jc w:val="center"/>
                          <w:rPr>
                            <w:b/>
                            <w:bCs/>
                            <w:sz w:val="18"/>
                            <w:szCs w:val="18"/>
                          </w:rPr>
                        </w:pPr>
                        <w:r w:rsidRPr="00B46007">
                          <w:rPr>
                            <w:b/>
                            <w:bCs/>
                            <w:sz w:val="18"/>
                            <w:szCs w:val="18"/>
                          </w:rPr>
                          <w:t>(n = 450)</w:t>
                        </w:r>
                      </w:p>
                    </w:txbxContent>
                  </v:textbox>
                </v:shape>
                <v:shape id="Text Box 2" o:spid="_x0000_s1029" type="#_x0000_t202" style="position:absolute;left:31369;top:2984;width:21780;height:85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DZowcgA&#10;AADjAAAADwAAAGRycy9kb3ducmV2LnhtbERPzWrCQBC+F/oOyxR6q5vYskh0lWIRxZuxPfQ2Zsck&#10;bXY2ZNcY+/SuIPQ43//MFoNtRE+drx1rSEcJCOLCmZpLDZ/71csEhA/IBhvHpOFCHhbzx4cZZsad&#10;eUd9HkoRQ9hnqKEKoc2k9EVFFv3ItcSRO7rOYohnV0rT4TmG20aOk0RJizXHhgpbWlZU/OYnq2GT&#10;r93XId+ujur7st2ny58Pav+0fn4a3qcgAg3hX3x3b0ycn6rx69skVQpuP0UA5PwK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0NmjByAAAAOMAAAAPAAAAAAAAAAAAAAAAAJgCAABk&#10;cnMvZG93bnJldi54bWxQSwUGAAAAAAQABAD1AAAAjQMAAAAA&#10;" fillcolor="#fbe4d5 [661]" strokeweight=".5pt">
                  <v:textbox>
                    <w:txbxContent>
                      <w:p w14:paraId="2EDA1362" w14:textId="77777777" w:rsidR="0012651E" w:rsidRPr="00B46007" w:rsidRDefault="0012651E" w:rsidP="009E2B08">
                        <w:pPr>
                          <w:spacing w:after="0"/>
                          <w:jc w:val="center"/>
                          <w:rPr>
                            <w:sz w:val="18"/>
                            <w:szCs w:val="20"/>
                          </w:rPr>
                        </w:pPr>
                        <w:r w:rsidRPr="00B46007">
                          <w:rPr>
                            <w:sz w:val="18"/>
                            <w:szCs w:val="20"/>
                          </w:rPr>
                          <w:t>Additional records identified through other sources</w:t>
                        </w:r>
                      </w:p>
                      <w:p w14:paraId="7F2655B0" w14:textId="77777777" w:rsidR="0012651E" w:rsidRPr="00B46007" w:rsidRDefault="0012651E" w:rsidP="009E2B08">
                        <w:pPr>
                          <w:spacing w:after="0"/>
                          <w:jc w:val="center"/>
                          <w:rPr>
                            <w:b/>
                            <w:bCs/>
                            <w:sz w:val="18"/>
                            <w:szCs w:val="20"/>
                          </w:rPr>
                        </w:pPr>
                        <w:r w:rsidRPr="00B46007">
                          <w:rPr>
                            <w:b/>
                            <w:bCs/>
                            <w:sz w:val="18"/>
                            <w:szCs w:val="20"/>
                          </w:rPr>
                          <w:t>(n = 3)</w:t>
                        </w:r>
                      </w:p>
                    </w:txbxContent>
                  </v:textbox>
                </v:shape>
                <v:shape id="Text Box 3" o:spid="_x0000_s1030" type="#_x0000_t202" style="position:absolute;left:127;top:14922;width:28829;height:65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KxN8sA&#10;AADiAAAADwAAAGRycy9kb3ducmV2LnhtbESPUUvDMBSF3wX/Q7iCL+KSOe1KXTZ0WHDgi91+wF1z&#10;bcuam5LEtfrrjSD4eDjnfIez2ky2F2fyoXOsYT5TIIhrZzpuNBz25W0OIkRkg71j0vBFATbry4sV&#10;FsaN/E7nKjYiQTgUqKGNcSikDHVLFsPMDcTJ+3DeYkzSN9J4HBPc9vJOqUxa7DgttDjQtqX6VH1a&#10;DWX+fdPhttqp8nRcjs+Tf3uZH7W+vpqeHkFEmuJ/+K/9ajQ8ZIuFWubZPfxeSndArn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UwrE3ywAAAOIAAAAPAAAAAAAAAAAAAAAAAJgC&#10;AABkcnMvZG93bnJldi54bWxQSwUGAAAAAAQABAD1AAAAkAMAAAAA&#10;" fillcolor="#e2efd9 [665]" strokeweight=".5pt">
                  <v:textbox>
                    <w:txbxContent>
                      <w:p w14:paraId="7CB23EE3" w14:textId="77777777" w:rsidR="0012651E" w:rsidRPr="00B46007" w:rsidRDefault="0012651E" w:rsidP="00B46007">
                        <w:pPr>
                          <w:spacing w:after="0"/>
                          <w:jc w:val="center"/>
                          <w:rPr>
                            <w:sz w:val="18"/>
                            <w:szCs w:val="20"/>
                          </w:rPr>
                        </w:pPr>
                        <w:r w:rsidRPr="00B46007">
                          <w:rPr>
                            <w:sz w:val="18"/>
                            <w:szCs w:val="20"/>
                          </w:rPr>
                          <w:t>Total records identified</w:t>
                        </w:r>
                      </w:p>
                      <w:p w14:paraId="5D2397B4" w14:textId="77777777" w:rsidR="0012651E" w:rsidRPr="00B46007" w:rsidRDefault="0012651E" w:rsidP="00B46007">
                        <w:pPr>
                          <w:spacing w:after="0"/>
                          <w:jc w:val="center"/>
                          <w:rPr>
                            <w:b/>
                            <w:bCs/>
                            <w:sz w:val="18"/>
                            <w:szCs w:val="20"/>
                          </w:rPr>
                        </w:pPr>
                        <w:r w:rsidRPr="00B46007">
                          <w:rPr>
                            <w:b/>
                            <w:bCs/>
                            <w:sz w:val="18"/>
                            <w:szCs w:val="20"/>
                          </w:rPr>
                          <w:t>(n = 453)</w:t>
                        </w:r>
                      </w:p>
                    </w:txbxContent>
                  </v:textbox>
                </v:shape>
                <v:shape id="Text Box 3" o:spid="_x0000_s1031" type="#_x0000_t202" style="position:absolute;left:127;top:24130;width:28829;height:6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QLo8wA&#10;AADiAAAADwAAAGRycy9kb3ducmV2LnhtbESP0UrDQBRE3wv9h+UWfBG7SVtNid2WthhQ8MXoB9xm&#10;r0lo9m7YXZvo17uC0MdhZs4wm91oOnEh51vLCtJ5AoK4srrlWsHHe3G3BuEDssbOMin4Jg+77XSy&#10;wVzbgd/oUoZaRAj7HBU0IfS5lL5qyKCf2544ep/WGQxRulpqh0OEm04ukuRBGmw5LjTY07Gh6lx+&#10;GQXF+ue2xWP5khTnUzYcRvf6lJ6UupmN+0cQgcZwDf+3n7WC5f0qS7PlYgV/l+IdkNtf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qTQLo8wAAADiAAAADwAAAAAAAAAAAAAAAACY&#10;AgAAZHJzL2Rvd25yZXYueG1sUEsFBgAAAAAEAAQA9QAAAJEDAAAAAA==&#10;" fillcolor="#e2efd9 [665]" strokeweight=".5pt">
                  <v:textbox>
                    <w:txbxContent>
                      <w:p w14:paraId="397FBD5E" w14:textId="77777777" w:rsidR="0012651E" w:rsidRPr="00B46007" w:rsidRDefault="0012651E" w:rsidP="00B46007">
                        <w:pPr>
                          <w:spacing w:after="0"/>
                          <w:jc w:val="center"/>
                          <w:rPr>
                            <w:sz w:val="18"/>
                            <w:szCs w:val="20"/>
                          </w:rPr>
                        </w:pPr>
                        <w:r w:rsidRPr="00B46007">
                          <w:rPr>
                            <w:sz w:val="18"/>
                            <w:szCs w:val="20"/>
                          </w:rPr>
                          <w:t xml:space="preserve">Records after duplicates removed </w:t>
                        </w:r>
                      </w:p>
                      <w:p w14:paraId="749084FB" w14:textId="77777777" w:rsidR="0012651E" w:rsidRPr="00B46007" w:rsidRDefault="0012651E" w:rsidP="00B46007">
                        <w:pPr>
                          <w:spacing w:after="0"/>
                          <w:jc w:val="center"/>
                          <w:rPr>
                            <w:b/>
                            <w:bCs/>
                            <w:sz w:val="18"/>
                            <w:szCs w:val="20"/>
                          </w:rPr>
                        </w:pPr>
                        <w:r w:rsidRPr="00B46007">
                          <w:rPr>
                            <w:b/>
                            <w:bCs/>
                            <w:sz w:val="18"/>
                            <w:szCs w:val="20"/>
                          </w:rPr>
                          <w:t>(n = 180)</w:t>
                        </w:r>
                      </w:p>
                    </w:txbxContent>
                  </v:textbox>
                </v:shape>
                <v:shape id="Text Box 2" o:spid="_x0000_s1032" type="#_x0000_t202" style="position:absolute;left:34226;top:30924;width:21781;height:850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mFeMsA&#10;AADiAAAADwAAAGRycy9kb3ducmV2LnhtbESPQWvCQBSE74X+h+UVvNVNRKONrlIUUbw12kNvr9ln&#10;Ept9G7KrRn99Vyj0OMzMN8xs0ZlaXKh1lWUFcT8CQZxbXXGh4LBfv05AOI+ssbZMCm7kYDF/fpph&#10;qu2VP+iS+UIECLsUFZTeN6mULi/JoOvbhjh4R9sa9EG2hdQtXgPc1HIQRYk0WHFYKLGhZUn5T3Y2&#10;CrbZxn5+Z7v1Mfm67fbx8rSi5q5U76V7n4Lw1Pn/8F97qxWMR5PhWzxKYnhcCndAzn8B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C2CYV4ywAAAOIAAAAPAAAAAAAAAAAAAAAAAJgC&#10;AABkcnMvZG93bnJldi54bWxQSwUGAAAAAAQABAD1AAAAkAMAAAAA&#10;" fillcolor="#fbe4d5 [661]" strokeweight=".5pt">
                  <v:textbox>
                    <w:txbxContent>
                      <w:p w14:paraId="674A761C" w14:textId="77777777" w:rsidR="0012651E" w:rsidRPr="00B46007" w:rsidRDefault="0012651E" w:rsidP="009E2B08">
                        <w:pPr>
                          <w:spacing w:after="0"/>
                          <w:jc w:val="center"/>
                          <w:rPr>
                            <w:sz w:val="18"/>
                            <w:szCs w:val="20"/>
                          </w:rPr>
                        </w:pPr>
                        <w:r w:rsidRPr="00B46007">
                          <w:rPr>
                            <w:sz w:val="18"/>
                            <w:szCs w:val="20"/>
                          </w:rPr>
                          <w:t>Excluded records as per the selection criteria</w:t>
                        </w:r>
                      </w:p>
                      <w:p w14:paraId="2EA203CA" w14:textId="77777777" w:rsidR="0012651E" w:rsidRPr="00B46007" w:rsidRDefault="0012651E" w:rsidP="009E2B08">
                        <w:pPr>
                          <w:spacing w:after="0"/>
                          <w:jc w:val="center"/>
                          <w:rPr>
                            <w:b/>
                            <w:bCs/>
                            <w:sz w:val="18"/>
                            <w:szCs w:val="20"/>
                          </w:rPr>
                        </w:pPr>
                        <w:r w:rsidRPr="00B46007">
                          <w:rPr>
                            <w:b/>
                            <w:bCs/>
                            <w:sz w:val="18"/>
                            <w:szCs w:val="20"/>
                          </w:rPr>
                          <w:t>(n = 120)</w:t>
                        </w:r>
                      </w:p>
                    </w:txbxContent>
                  </v:textbox>
                </v:shape>
                <v:shape id="Text Box 3" o:spid="_x0000_s1033" type="#_x0000_t202" style="position:absolute;left:127;top:33337;width:28829;height:654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" fillcolor="#e2efd9 [665]" strokeweight=".5pt">
                  <v:textbox>
                    <w:txbxContent>
                      <w:p w14:paraId="18781A47" w14:textId="77777777" w:rsidR="0012651E" w:rsidRPr="00B46007" w:rsidRDefault="0012651E" w:rsidP="00B46007">
                        <w:pPr>
                          <w:spacing w:after="0"/>
                          <w:jc w:val="center"/>
                          <w:rPr>
                            <w:sz w:val="18"/>
                            <w:szCs w:val="20"/>
                          </w:rPr>
                        </w:pPr>
                        <w:r w:rsidRPr="00B46007">
                          <w:rPr>
                            <w:sz w:val="18"/>
                            <w:szCs w:val="20"/>
                          </w:rPr>
                          <w:t xml:space="preserve">Records screened </w:t>
                        </w:r>
                      </w:p>
                      <w:p w14:paraId="5294CA9E" w14:textId="77777777" w:rsidR="0012651E" w:rsidRPr="00B46007" w:rsidRDefault="0012651E" w:rsidP="00B46007">
                        <w:pPr>
                          <w:spacing w:after="0"/>
                          <w:jc w:val="center"/>
                          <w:rPr>
                            <w:b/>
                            <w:bCs/>
                            <w:sz w:val="18"/>
                            <w:szCs w:val="20"/>
                          </w:rPr>
                        </w:pPr>
                        <w:r w:rsidRPr="00B46007">
                          <w:rPr>
                            <w:b/>
                            <w:bCs/>
                            <w:sz w:val="18"/>
                            <w:szCs w:val="20"/>
                          </w:rPr>
                          <w:t>(n = 180)</w:t>
                        </w:r>
                      </w:p>
                    </w:txbxContent>
                  </v:textbox>
                </v:shape>
                <v:shape id="Text Box 3" o:spid="_x0000_s1034" type="#_x0000_t202" style="position:absolute;left:127;top:41529;width:28829;height:6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ytDskA&#10;AADjAAAADwAAAGRycy9kb3ducmV2LnhtbERPX0vDMBB/F/Ydwgm+iEtbx6x12ZjDgoIv6/YBbs3Z&#10;ljWXksS1+umNIPh4v/+32kymFxdyvrOsIJ0nIIhrqztuFBwP5V0Owgdkjb1lUvBFHjbr2dUKC21H&#10;3tOlCo2IIewLVNCGMBRS+rolg35uB+LIfVhnMMTTNVI7HGO46WWWJEtpsOPY0OJAu5bqc/VpFJT5&#10;922Hu+otKc+nh/F5cu8v6Umpm+tp+wQi0BT+xX/uVx3np/ePi3yRZSn8/hQBkOsf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M+ytDskAAADjAAAADwAAAAAAAAAAAAAAAACYAgAA&#10;ZHJzL2Rvd25yZXYueG1sUEsFBgAAAAAEAAQA9QAAAI4DAAAAAA==&#10;" fillcolor="#e2efd9 [665]" strokeweight=".5pt">
                  <v:textbox>
                    <w:txbxContent>
                      <w:p w14:paraId="312DEB69" w14:textId="77777777" w:rsidR="0012651E" w:rsidRPr="00B46007" w:rsidRDefault="0012651E" w:rsidP="00B46007">
                        <w:pPr>
                          <w:spacing w:after="0"/>
                          <w:jc w:val="center"/>
                          <w:rPr>
                            <w:sz w:val="18"/>
                            <w:szCs w:val="20"/>
                          </w:rPr>
                        </w:pPr>
                        <w:r w:rsidRPr="00B46007">
                          <w:rPr>
                            <w:sz w:val="18"/>
                            <w:szCs w:val="20"/>
                          </w:rPr>
                          <w:t>Full-text articles assessed for eligibility</w:t>
                        </w:r>
                      </w:p>
                      <w:p w14:paraId="49ACF715" w14:textId="77777777" w:rsidR="0012651E" w:rsidRPr="00B46007" w:rsidRDefault="0012651E" w:rsidP="00B46007">
                        <w:pPr>
                          <w:spacing w:after="0"/>
                          <w:jc w:val="center"/>
                          <w:rPr>
                            <w:b/>
                            <w:bCs/>
                            <w:sz w:val="18"/>
                            <w:szCs w:val="20"/>
                          </w:rPr>
                        </w:pPr>
                        <w:r w:rsidRPr="00B46007">
                          <w:rPr>
                            <w:b/>
                            <w:bCs/>
                            <w:sz w:val="18"/>
                            <w:szCs w:val="20"/>
                          </w:rPr>
                          <w:t>(n = 60)</w:t>
                        </w:r>
                      </w:p>
                      <w:p w14:paraId="0B8FB59A" w14:textId="77777777" w:rsidR="0012651E" w:rsidRDefault="0012651E" w:rsidP="009E2B08">
                        <w:pPr>
                          <w:jc w:val="center"/>
                        </w:pPr>
                      </w:p>
                      <w:p w14:paraId="233687AD" w14:textId="77777777" w:rsidR="0012651E" w:rsidRPr="00F14EAF" w:rsidRDefault="0012651E" w:rsidP="009E2B08">
                        <w:pPr>
                          <w:jc w:val="center"/>
                          <w:rPr>
                            <w:b/>
                            <w:bCs/>
                          </w:rPr>
                        </w:pPr>
                        <w:r w:rsidRPr="00F14EAF">
                          <w:rPr>
                            <w:b/>
                            <w:bCs/>
                          </w:rPr>
                          <w:t xml:space="preserve">(n = </w:t>
                        </w:r>
                        <w:r>
                          <w:rPr>
                            <w:b/>
                            <w:bCs/>
                          </w:rPr>
                          <w:t>180</w:t>
                        </w:r>
                        <w:r w:rsidRPr="00F14EAF">
                          <w:rPr>
                            <w:b/>
                            <w:bCs/>
                          </w:rPr>
                          <w:t>)</w:t>
                        </w:r>
                      </w:p>
                    </w:txbxContent>
                  </v:textbox>
                </v:shape>
                <v:shape id="Text Box 2" o:spid="_x0000_s1035" type="#_x0000_t202" style="position:absolute;left:34163;top:41147;width:21780;height:116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" fillcolor="#fbe4d5 [661]" strokeweight=".5pt">
                  <v:textbox>
                    <w:txbxContent>
                      <w:p w14:paraId="7DFFAA32" w14:textId="77777777" w:rsidR="0012651E" w:rsidRPr="00B46007" w:rsidRDefault="0012651E" w:rsidP="009E2B08">
                        <w:pPr>
                          <w:spacing w:after="0"/>
                          <w:jc w:val="center"/>
                          <w:rPr>
                            <w:sz w:val="18"/>
                            <w:szCs w:val="20"/>
                          </w:rPr>
                        </w:pPr>
                        <w:r w:rsidRPr="00B46007">
                          <w:rPr>
                            <w:sz w:val="18"/>
                            <w:szCs w:val="20"/>
                          </w:rPr>
                          <w:t>Full-text articles excluded due to lack of relevancy with methodology or did not match specific aspects</w:t>
                        </w:r>
                      </w:p>
                      <w:p w14:paraId="00DB23C3" w14:textId="1CD46414" w:rsidR="0012651E" w:rsidRPr="00B46007" w:rsidRDefault="0012651E" w:rsidP="00B46007">
                        <w:pPr>
                          <w:spacing w:after="0"/>
                          <w:jc w:val="center"/>
                          <w:rPr>
                            <w:b/>
                            <w:bCs/>
                            <w:sz w:val="18"/>
                            <w:szCs w:val="20"/>
                          </w:rPr>
                        </w:pPr>
                        <w:r w:rsidRPr="00B46007">
                          <w:rPr>
                            <w:b/>
                            <w:bCs/>
                            <w:sz w:val="18"/>
                            <w:szCs w:val="20"/>
                          </w:rPr>
                          <w:t xml:space="preserve">(n = </w:t>
                        </w:r>
                        <w:r>
                          <w:rPr>
                            <w:b/>
                            <w:bCs/>
                            <w:sz w:val="18"/>
                            <w:szCs w:val="20"/>
                          </w:rPr>
                          <w:t>50</w:t>
                        </w:r>
                        <w:r w:rsidRPr="00B46007">
                          <w:rPr>
                            <w:b/>
                            <w:bCs/>
                            <w:sz w:val="18"/>
                            <w:szCs w:val="20"/>
                          </w:rPr>
                          <w:t>)</w:t>
                        </w:r>
                      </w:p>
                    </w:txbxContent>
                  </v:textbox>
                </v:shape>
                <v:shape id="Text Box 3" o:spid="_x0000_s1036" type="#_x0000_t202" style="position:absolute;left:127;top:56134;width:28829;height:909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" fillcolor="#e2efd9 [665]" strokeweight=".5pt">
                  <v:textbox>
                    <w:txbxContent>
                      <w:p w14:paraId="71F7990C" w14:textId="77777777" w:rsidR="0012651E" w:rsidRPr="00B46007" w:rsidRDefault="0012651E" w:rsidP="00B46007">
                        <w:pPr>
                          <w:spacing w:after="0"/>
                          <w:jc w:val="center"/>
                          <w:rPr>
                            <w:sz w:val="18"/>
                            <w:szCs w:val="20"/>
                          </w:rPr>
                        </w:pPr>
                        <w:r w:rsidRPr="00B46007">
                          <w:rPr>
                            <w:sz w:val="18"/>
                            <w:szCs w:val="20"/>
                          </w:rPr>
                          <w:t>Total no. of Studies included in qualitative analysis</w:t>
                        </w:r>
                      </w:p>
                      <w:p w14:paraId="31651654" w14:textId="52DC41CE" w:rsidR="0012651E" w:rsidRPr="00B46007" w:rsidRDefault="0012651E" w:rsidP="00B46007">
                        <w:pPr>
                          <w:spacing w:after="0"/>
                          <w:jc w:val="center"/>
                          <w:rPr>
                            <w:b/>
                            <w:bCs/>
                            <w:sz w:val="18"/>
                            <w:szCs w:val="20"/>
                          </w:rPr>
                        </w:pPr>
                        <w:r w:rsidRPr="00B46007">
                          <w:rPr>
                            <w:b/>
                            <w:bCs/>
                            <w:sz w:val="18"/>
                            <w:szCs w:val="20"/>
                          </w:rPr>
                          <w:t>(n = 1</w:t>
                        </w:r>
                        <w:r>
                          <w:rPr>
                            <w:b/>
                            <w:bCs/>
                            <w:sz w:val="18"/>
                            <w:szCs w:val="20"/>
                          </w:rPr>
                          <w:t>0</w:t>
                        </w:r>
                        <w:r w:rsidRPr="00B46007">
                          <w:rPr>
                            <w:b/>
                            <w:bCs/>
                            <w:sz w:val="18"/>
                            <w:szCs w:val="20"/>
                          </w:rPr>
                          <w:t>)</w:t>
                        </w:r>
                      </w:p>
                    </w:txbxContent>
                  </v:textbox>
                </v:shape>
                <v:shapetype id="_x0000_t32" coordsize="21600,21600" o:spt="32" o:oned="t" path="m,l21600,21600e" filled="f">
                  <v:path arrowok="t" fillok="f" o:connecttype="none"/>
                  <o:lock v:ext="edit" shapetype="t"/>
                </v:shapetype>
                <v:shape id="Straight Arrow Connector 4" o:spid="_x0000_s1037" type="#_x0000_t32" style="position:absolute;left:14351;top:11430;width:0;height:368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NcIJ4bJAAAA4gAAAA8AAAAA&#10;AAAAAAAAAAAAoQIAAGRycy9kb3ducmV2LnhtbFBLBQYAAAAABAAEAPkAAACXAwAAAAA=&#10;" strokecolor="black [3200]" strokeweight=".5pt">
                  <v:stroke endarrow="block" joinstyle="miter"/>
                </v:shape>
                <v:shape id="Straight Arrow Connector 11" o:spid="_x0000_s1038" type="#_x0000_t32" style="position:absolute;left:14097;top:21399;width:0;height:292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vIJqcUAAADiAAAADwAAAGRycy9kb3ducmV2LnhtbERPW2vCMBR+F/YfwhH2pmkDFtcZRR2C&#10;25sX9nxoztpic1KbaLt/vwwEHz+++2I12EbcqfO1Yw3pNAFBXDhTc6nhfNpN5iB8QDbYOCYNv+Rh&#10;tXwZLTA3rucD3Y+hFDGEfY4aqhDaXEpfVGTRT11LHLkf11kMEXalNB32Mdw2UiVJJi3WHBsqbGlb&#10;UXE53qyGHsP322ZdXrebj8/9MGuu2en8pfXreFi/gwg0hKf44d6bOF+pTM1SlcL/pYhBLv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vIJqcUAAADiAAAADwAAAAAAAAAA&#10;AAAAAAChAgAAZHJzL2Rvd25yZXYueG1sUEsFBgAAAAAEAAQA+QAAAJMDAAAAAA==&#10;" strokecolor="black [3200]" strokeweight=".5pt">
                  <v:stroke endarrow="block" joinstyle="miter"/>
                </v:shape>
                <v:shape id="Straight Arrow Connector 12" o:spid="_x0000_s1039" type="#_x0000_t32" style="position:absolute;left:14097;top:30480;width:127;height:298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" strokecolor="black [3200]" strokeweight=".5pt">
                  <v:stroke endarrow="block" joinstyle="miter"/>
                </v:shape>
                <v:shape id="Straight Arrow Connector 13" o:spid="_x0000_s1040" type="#_x0000_t32" style="position:absolute;left:14287;top:39878;width:64;height:17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jcSiMYAAADiAAAADwAAAGRycy9kb3ducmV2LnhtbERPy4rCMBTdD/gP4QruxlTLVK1G8YHg&#10;zG5UXF+aa1tsbmoTbefvzUKY5eG8F6vOVOJJjSstKxgNIxDEmdUl5wrOp/3nFITzyBory6Tgjxys&#10;lr2PBabatvxLz6PPRQhhl6KCwvs6ldJlBRl0Q1sTB+5qG4M+wCaXusE2hJtKjqMokQZLDg0F1rQt&#10;KLsdH0ZBi/4y26zz+3az+z50X9U9OZ1/lBr0u/UchKfO/4vf7oNWMI6nkziZxWFzuBTugFy+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43EojGAAAA4gAAAA8AAAAAAAAA&#10;AAAAAAAAoQIAAGRycy9kb3ducmV2LnhtbFBLBQYAAAAABAAEAPkAAACUAwAAAAA=&#10;" strokecolor="black [3200]" strokeweight=".5pt">
                  <v:stroke endarrow="block" joinstyle="miter"/>
                </v:shape>
                <v:shape id="Straight Arrow Connector 14" o:spid="_x0000_s1041" type="#_x0000_t32" style="position:absolute;left:28829;top:36639;width:5461;height:64;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PJak8cAAADjAAAADwAAAGRycy9kb3ducmV2LnhtbERPzUrDQBC+C32HZQQvYjcmIQ2x21IU&#10;sddGEb2N2TEJZmdDZm3j23cFweN8/7Pezm5QR5qk92zgdpmAIm687bk18PL8eFOCkoBscfBMBn5I&#10;YLtZXKyxsv7EBzrWoVUxhKVCA10IY6W1NB05lKUfiSP36SeHIZ5Tq+2EpxjuBp0mSaEd9hwbOhzp&#10;vqPmq/52BrKQS3rI31ZSv7cf1/Yhy+T1yZiry3l3ByrQHP7Ff+69jfOLcpWWeVIU8PtTBEBvzg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Ac8lqTxwAAAOMAAAAPAAAAAAAA&#10;AAAAAAAAAKECAABkcnMvZG93bnJldi54bWxQSwUGAAAAAAQABAD5AAAAlQMAAAAA&#10;" strokecolor="black [3200]" strokeweight=".5pt">
                  <v:stroke endarrow="block" joinstyle="miter"/>
                </v:shape>
                <v:shape id="Straight Arrow Connector 15" o:spid="_x0000_s1042" type="#_x0000_t32" style="position:absolute;left:29083;top:44831;width:5016;height:6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JSRQMcAAADjAAAADwAAAGRycy9kb3ducmV2LnhtbERPzUrDQBC+C77DMoIXaTdpFtvGboso&#10;otdGEb2N2TEJZmdDZm3j27tCweN8/7PZTb5XBxqlC2whn2egiOvgOm4svDw/zFagJCI77AOThR8S&#10;2G3PzzZYunDkPR2q2KgUwlKihTbGodRa6pY8yjwMxIn7DKPHmM6x0W7EYwr3vV5k2bX22HFqaHGg&#10;u5bqr+rbWyiikcXevC2lem8+rtx9Ucjro7WXF9PtDahIU/wXn9xPLs3PjVmvCpOv4e+nBIDe/gI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4lJFAxwAAAOMAAAAPAAAAAAAA&#10;AAAAAAAAAKECAABkcnMvZG93bnJldi54bWxQSwUGAAAAAAQABAD5AAAAlQMAAAAA&#10;" strokecolor="black [3200]" strokeweight=".5pt">
                  <v:stroke endarrow="block" joinstyle="miter"/>
                </v:shape>
                <v:shape id="Straight Arrow Connector 16" o:spid="_x0000_s1043" type="#_x0000_t32" style="position:absolute;left:13906;top:47942;width:127;height:831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41rzscAAADjAAAADwAAAGRycy9kb3ducmV2LnhtbERPzWrCQBC+C77DMoI33VRM2kZXUUvB&#10;ejNKz0N2TEKzszG7mvTtuwXB43z/s1z3phZ3al1lWcHLNAJBnFtdcaHgfPqcvIFwHlljbZkU/JKD&#10;9Wo4WGKqbcdHume+ECGEXYoKSu+bVEqXl2TQTW1DHLiLbQ36cLaF1C12IdzUchZFiTRYcWgosaFd&#10;SflPdjMKOvTf79tNcd1tP772fVxfk9P5oNR41G8WIDz1/il+uPc6zI+T13iWxPM5/P8UAJCrP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DXjWvOxwAAAOMAAAAPAAAAAAAA&#10;AAAAAAAAAKECAABkcnMvZG93bnJldi54bWxQSwUGAAAAAAQABAD5AAAAlQMAAAAA&#10;" strokecolor="black [3200]" strokeweight=".5pt">
                  <v:stroke endarrow="block" joinstyle="miter"/>
                </v:shape>
                <w10:wrap anchorx="margin"/>
              </v:group>
            </w:pict>
          </mc:Fallback>
        </mc:AlternateContent>
      </w:r>
      <w:r w:rsidR="009E2B08">
        <w:br w:type="page"/>
      </w:r>
    </w:p>
    <w:p w14:paraId="12B37D2F" w14:textId="77777777" w:rsidR="007942B5" w:rsidRDefault="007942B5" w:rsidP="007212D2">
      <w:pPr>
        <w:pStyle w:val="Heading3"/>
      </w:pPr>
      <w:bookmarkStart w:id="57" w:name="_Toc210700711"/>
      <w:r w:rsidRPr="005D5180">
        <w:lastRenderedPageBreak/>
        <w:t>Summary of Selected Studies</w:t>
      </w:r>
      <w:bookmarkEnd w:id="57"/>
    </w:p>
    <w:p w14:paraId="0AD6387D" w14:textId="283691F4" w:rsidR="007942B5" w:rsidRDefault="007942B5" w:rsidP="007942B5">
      <w:r w:rsidRPr="00BD0C06">
        <w:t>The following table summa</w:t>
      </w:r>
      <w:r w:rsidR="006A1696">
        <w:t>rises the key features of ten</w:t>
      </w:r>
      <w:r w:rsidRPr="00BD0C06">
        <w:t xml:space="preserve"> articles used in the review. It states the author and year of study, country of study, the intention, methodology used, sample size, and main findings.</w:t>
      </w:r>
    </w:p>
    <w:p w14:paraId="259372B7" w14:textId="5A71B788" w:rsidR="00484FF7" w:rsidRPr="00484FF7" w:rsidRDefault="00484FF7" w:rsidP="00484FF7">
      <w:pPr>
        <w:pStyle w:val="Caption"/>
        <w:jc w:val="center"/>
        <w:rPr>
          <w:i w:val="0"/>
          <w:iCs w:val="0"/>
          <w:color w:val="auto"/>
          <w:sz w:val="22"/>
          <w:szCs w:val="22"/>
        </w:rPr>
      </w:pPr>
      <w:r w:rsidRPr="00484FF7">
        <w:rPr>
          <w:i w:val="0"/>
          <w:iCs w:val="0"/>
          <w:color w:val="auto"/>
          <w:sz w:val="22"/>
          <w:szCs w:val="22"/>
        </w:rPr>
        <w:t xml:space="preserve">Table </w:t>
      </w:r>
      <w:r w:rsidR="005F6949">
        <w:rPr>
          <w:i w:val="0"/>
          <w:iCs w:val="0"/>
          <w:color w:val="auto"/>
          <w:sz w:val="22"/>
          <w:szCs w:val="22"/>
        </w:rPr>
        <w:fldChar w:fldCharType="begin"/>
      </w:r>
      <w:r w:rsidR="005F6949">
        <w:rPr>
          <w:i w:val="0"/>
          <w:iCs w:val="0"/>
          <w:color w:val="auto"/>
          <w:sz w:val="22"/>
          <w:szCs w:val="22"/>
        </w:rPr>
        <w:instrText xml:space="preserve"> SEQ Table \* ARABIC </w:instrText>
      </w:r>
      <w:r w:rsidR="005F6949">
        <w:rPr>
          <w:i w:val="0"/>
          <w:iCs w:val="0"/>
          <w:color w:val="auto"/>
          <w:sz w:val="22"/>
          <w:szCs w:val="22"/>
        </w:rPr>
        <w:fldChar w:fldCharType="separate"/>
      </w:r>
      <w:r w:rsidR="005F6949">
        <w:rPr>
          <w:i w:val="0"/>
          <w:iCs w:val="0"/>
          <w:noProof/>
          <w:color w:val="auto"/>
          <w:sz w:val="22"/>
          <w:szCs w:val="22"/>
        </w:rPr>
        <w:t>2</w:t>
      </w:r>
      <w:r w:rsidR="005F6949">
        <w:rPr>
          <w:i w:val="0"/>
          <w:iCs w:val="0"/>
          <w:color w:val="auto"/>
          <w:sz w:val="22"/>
          <w:szCs w:val="22"/>
        </w:rPr>
        <w:fldChar w:fldCharType="end"/>
      </w:r>
      <w:r w:rsidRPr="00484FF7">
        <w:rPr>
          <w:i w:val="0"/>
          <w:iCs w:val="0"/>
          <w:color w:val="auto"/>
          <w:sz w:val="22"/>
          <w:szCs w:val="22"/>
        </w:rPr>
        <w:t>: Summary of Selected Studies</w:t>
      </w:r>
    </w:p>
    <w:tbl>
      <w:tblPr>
        <w:tblStyle w:val="TableGrid"/>
        <w:tblW w:w="0" w:type="auto"/>
        <w:tblLook w:val="04A0" w:firstRow="1" w:lastRow="0" w:firstColumn="1" w:lastColumn="0" w:noHBand="0" w:noVBand="1"/>
      </w:tblPr>
      <w:tblGrid>
        <w:gridCol w:w="1118"/>
        <w:gridCol w:w="1190"/>
        <w:gridCol w:w="1451"/>
        <w:gridCol w:w="1974"/>
        <w:gridCol w:w="1642"/>
        <w:gridCol w:w="1975"/>
      </w:tblGrid>
      <w:tr w:rsidR="007942B5" w:rsidRPr="00484FF7" w14:paraId="6155E15A" w14:textId="77777777" w:rsidTr="004A6C93">
        <w:tc>
          <w:tcPr>
            <w:tcW w:w="0" w:type="auto"/>
            <w:vAlign w:val="center"/>
          </w:tcPr>
          <w:p w14:paraId="5741C0AA" w14:textId="77777777" w:rsidR="007942B5" w:rsidRPr="00484FF7" w:rsidRDefault="007942B5" w:rsidP="00484FF7">
            <w:pPr>
              <w:jc w:val="center"/>
              <w:rPr>
                <w:rFonts w:cs="Arial"/>
                <w:szCs w:val="22"/>
              </w:rPr>
            </w:pPr>
            <w:r w:rsidRPr="00484FF7">
              <w:rPr>
                <w:rFonts w:cs="Arial"/>
                <w:b/>
                <w:bCs/>
                <w:szCs w:val="22"/>
                <w:lang w:val="en-US"/>
              </w:rPr>
              <w:t>Author and Year</w:t>
            </w:r>
          </w:p>
        </w:tc>
        <w:tc>
          <w:tcPr>
            <w:tcW w:w="1199" w:type="dxa"/>
            <w:vAlign w:val="center"/>
          </w:tcPr>
          <w:p w14:paraId="10892EE0" w14:textId="77777777" w:rsidR="007942B5" w:rsidRPr="00484FF7" w:rsidRDefault="007942B5" w:rsidP="00484FF7">
            <w:pPr>
              <w:jc w:val="center"/>
              <w:rPr>
                <w:rFonts w:cs="Arial"/>
                <w:szCs w:val="22"/>
              </w:rPr>
            </w:pPr>
            <w:r w:rsidRPr="00484FF7">
              <w:rPr>
                <w:rFonts w:cs="Arial"/>
                <w:b/>
                <w:bCs/>
                <w:szCs w:val="22"/>
                <w:lang w:val="en-US"/>
              </w:rPr>
              <w:t>Country</w:t>
            </w:r>
          </w:p>
        </w:tc>
        <w:tc>
          <w:tcPr>
            <w:tcW w:w="1450" w:type="dxa"/>
            <w:vAlign w:val="center"/>
          </w:tcPr>
          <w:p w14:paraId="79D7F72D" w14:textId="77777777" w:rsidR="007942B5" w:rsidRPr="00484FF7" w:rsidRDefault="007942B5" w:rsidP="00484FF7">
            <w:pPr>
              <w:jc w:val="center"/>
              <w:rPr>
                <w:rFonts w:cs="Arial"/>
                <w:szCs w:val="22"/>
              </w:rPr>
            </w:pPr>
            <w:r w:rsidRPr="00484FF7">
              <w:rPr>
                <w:rFonts w:cs="Arial"/>
                <w:b/>
                <w:bCs/>
                <w:szCs w:val="22"/>
                <w:lang w:val="en-US"/>
              </w:rPr>
              <w:t>Aim</w:t>
            </w:r>
          </w:p>
        </w:tc>
        <w:tc>
          <w:tcPr>
            <w:tcW w:w="1989" w:type="dxa"/>
            <w:vAlign w:val="center"/>
          </w:tcPr>
          <w:p w14:paraId="6D327534" w14:textId="77777777" w:rsidR="007942B5" w:rsidRPr="00484FF7" w:rsidRDefault="007942B5" w:rsidP="00484FF7">
            <w:pPr>
              <w:jc w:val="center"/>
              <w:rPr>
                <w:rFonts w:cs="Arial"/>
                <w:szCs w:val="22"/>
              </w:rPr>
            </w:pPr>
            <w:r w:rsidRPr="00484FF7">
              <w:rPr>
                <w:rFonts w:cs="Arial"/>
                <w:b/>
                <w:bCs/>
                <w:szCs w:val="22"/>
                <w:lang w:val="en-US"/>
              </w:rPr>
              <w:t>Methodology</w:t>
            </w:r>
          </w:p>
        </w:tc>
        <w:tc>
          <w:tcPr>
            <w:tcW w:w="0" w:type="auto"/>
            <w:vAlign w:val="center"/>
          </w:tcPr>
          <w:p w14:paraId="43C72F78" w14:textId="77777777" w:rsidR="007942B5" w:rsidRPr="00484FF7" w:rsidRDefault="007942B5" w:rsidP="00484FF7">
            <w:pPr>
              <w:jc w:val="center"/>
              <w:rPr>
                <w:rFonts w:cs="Arial"/>
                <w:szCs w:val="22"/>
              </w:rPr>
            </w:pPr>
            <w:r w:rsidRPr="00484FF7">
              <w:rPr>
                <w:rFonts w:cs="Arial"/>
                <w:b/>
                <w:bCs/>
                <w:szCs w:val="22"/>
                <w:lang w:val="en-US"/>
              </w:rPr>
              <w:t>Sample</w:t>
            </w:r>
          </w:p>
        </w:tc>
        <w:tc>
          <w:tcPr>
            <w:tcW w:w="0" w:type="auto"/>
            <w:vAlign w:val="center"/>
          </w:tcPr>
          <w:p w14:paraId="4B74F7DE" w14:textId="77777777" w:rsidR="007942B5" w:rsidRPr="00484FF7" w:rsidRDefault="007942B5" w:rsidP="00484FF7">
            <w:pPr>
              <w:jc w:val="center"/>
              <w:rPr>
                <w:rFonts w:cs="Arial"/>
                <w:szCs w:val="22"/>
              </w:rPr>
            </w:pPr>
            <w:r w:rsidRPr="00484FF7">
              <w:rPr>
                <w:rFonts w:cs="Arial"/>
                <w:b/>
                <w:bCs/>
                <w:szCs w:val="22"/>
                <w:lang w:val="en-US"/>
              </w:rPr>
              <w:t>Key Findings</w:t>
            </w:r>
          </w:p>
        </w:tc>
      </w:tr>
      <w:tr w:rsidR="007942B5" w:rsidRPr="00484FF7" w14:paraId="715C3CE9" w14:textId="77777777" w:rsidTr="004A6C93">
        <w:tc>
          <w:tcPr>
            <w:tcW w:w="0" w:type="auto"/>
            <w:vAlign w:val="center"/>
          </w:tcPr>
          <w:p w14:paraId="6C5D127B" w14:textId="77777777" w:rsidR="007942B5" w:rsidRPr="00484FF7" w:rsidRDefault="007942B5" w:rsidP="00484FF7">
            <w:pPr>
              <w:rPr>
                <w:rFonts w:cs="Arial"/>
                <w:szCs w:val="22"/>
              </w:rPr>
            </w:pPr>
            <w:proofErr w:type="spellStart"/>
            <w:r w:rsidRPr="00484FF7">
              <w:rPr>
                <w:rFonts w:cs="Arial"/>
                <w:szCs w:val="22"/>
                <w:lang w:val="en-US"/>
              </w:rPr>
              <w:t>Bidmead</w:t>
            </w:r>
            <w:proofErr w:type="spellEnd"/>
            <w:r w:rsidRPr="00484FF7">
              <w:rPr>
                <w:rFonts w:cs="Arial"/>
                <w:szCs w:val="22"/>
                <w:lang w:val="en-US"/>
              </w:rPr>
              <w:t xml:space="preserve"> et al. (2024)</w:t>
            </w:r>
          </w:p>
        </w:tc>
        <w:tc>
          <w:tcPr>
            <w:tcW w:w="1199" w:type="dxa"/>
            <w:vAlign w:val="center"/>
          </w:tcPr>
          <w:p w14:paraId="499ADD89" w14:textId="77777777" w:rsidR="007942B5" w:rsidRPr="00484FF7" w:rsidRDefault="007942B5" w:rsidP="00484FF7">
            <w:pPr>
              <w:rPr>
                <w:rFonts w:cs="Arial"/>
                <w:szCs w:val="22"/>
              </w:rPr>
            </w:pPr>
            <w:r w:rsidRPr="00484FF7">
              <w:rPr>
                <w:rFonts w:cs="Arial"/>
                <w:szCs w:val="22"/>
                <w:lang w:val="en-US"/>
              </w:rPr>
              <w:t>UK</w:t>
            </w:r>
          </w:p>
        </w:tc>
        <w:tc>
          <w:tcPr>
            <w:tcW w:w="1450" w:type="dxa"/>
            <w:vAlign w:val="center"/>
          </w:tcPr>
          <w:p w14:paraId="5531BD7D" w14:textId="77777777" w:rsidR="007942B5" w:rsidRPr="00484FF7" w:rsidRDefault="007942B5" w:rsidP="00484FF7">
            <w:pPr>
              <w:rPr>
                <w:rFonts w:cs="Arial"/>
                <w:szCs w:val="22"/>
              </w:rPr>
            </w:pPr>
            <w:r w:rsidRPr="00484FF7">
              <w:rPr>
                <w:rFonts w:cs="Arial"/>
                <w:szCs w:val="22"/>
                <w:lang w:val="en-US"/>
              </w:rPr>
              <w:t>To identify barriers to healthcare for low-income families with children</w:t>
            </w:r>
          </w:p>
        </w:tc>
        <w:tc>
          <w:tcPr>
            <w:tcW w:w="1989" w:type="dxa"/>
            <w:vAlign w:val="center"/>
          </w:tcPr>
          <w:p w14:paraId="703F53C0" w14:textId="77777777" w:rsidR="007942B5" w:rsidRPr="00484FF7" w:rsidRDefault="007942B5" w:rsidP="00484FF7">
            <w:pPr>
              <w:rPr>
                <w:rFonts w:cs="Arial"/>
                <w:szCs w:val="22"/>
              </w:rPr>
            </w:pPr>
            <w:r w:rsidRPr="00484FF7">
              <w:rPr>
                <w:rFonts w:cs="Arial"/>
                <w:szCs w:val="22"/>
                <w:lang w:val="en-US"/>
              </w:rPr>
              <w:t>Qualitative, interviews and focus groups</w:t>
            </w:r>
          </w:p>
        </w:tc>
        <w:tc>
          <w:tcPr>
            <w:tcW w:w="0" w:type="auto"/>
            <w:vAlign w:val="center"/>
          </w:tcPr>
          <w:p w14:paraId="487CE9CE" w14:textId="77777777" w:rsidR="007942B5" w:rsidRPr="00484FF7" w:rsidRDefault="007942B5" w:rsidP="00484FF7">
            <w:pPr>
              <w:rPr>
                <w:rFonts w:cs="Arial"/>
                <w:szCs w:val="22"/>
              </w:rPr>
            </w:pPr>
            <w:r w:rsidRPr="00484FF7">
              <w:rPr>
                <w:rFonts w:cs="Arial"/>
                <w:szCs w:val="22"/>
                <w:lang w:val="en-US"/>
              </w:rPr>
              <w:t>24 parents, 8 VCSE staff</w:t>
            </w:r>
          </w:p>
        </w:tc>
        <w:tc>
          <w:tcPr>
            <w:tcW w:w="0" w:type="auto"/>
            <w:vAlign w:val="center"/>
          </w:tcPr>
          <w:p w14:paraId="7B2263D1" w14:textId="77777777" w:rsidR="007942B5" w:rsidRPr="00484FF7" w:rsidRDefault="007942B5" w:rsidP="00484FF7">
            <w:pPr>
              <w:rPr>
                <w:rFonts w:cs="Arial"/>
                <w:szCs w:val="22"/>
              </w:rPr>
            </w:pPr>
            <w:r w:rsidRPr="00484FF7">
              <w:rPr>
                <w:rFonts w:cs="Arial"/>
                <w:szCs w:val="22"/>
                <w:lang w:val="en-US"/>
              </w:rPr>
              <w:t>Barriers included hidden costs, difficulties securing appointments, and strained provider relationships</w:t>
            </w:r>
          </w:p>
        </w:tc>
      </w:tr>
      <w:tr w:rsidR="007942B5" w:rsidRPr="00484FF7" w14:paraId="01EBAC21" w14:textId="77777777" w:rsidTr="004A6C93">
        <w:tc>
          <w:tcPr>
            <w:tcW w:w="0" w:type="auto"/>
            <w:vAlign w:val="center"/>
          </w:tcPr>
          <w:p w14:paraId="7A99BDBD" w14:textId="77777777" w:rsidR="007942B5" w:rsidRPr="00484FF7" w:rsidRDefault="007942B5" w:rsidP="00484FF7">
            <w:pPr>
              <w:rPr>
                <w:rFonts w:cs="Arial"/>
                <w:szCs w:val="22"/>
              </w:rPr>
            </w:pPr>
            <w:r w:rsidRPr="00484FF7">
              <w:rPr>
                <w:rFonts w:cs="Arial"/>
                <w:szCs w:val="22"/>
                <w:lang w:val="en-US"/>
              </w:rPr>
              <w:t>Cookson et al. (2016)</w:t>
            </w:r>
          </w:p>
        </w:tc>
        <w:tc>
          <w:tcPr>
            <w:tcW w:w="1199" w:type="dxa"/>
            <w:vAlign w:val="center"/>
          </w:tcPr>
          <w:p w14:paraId="7710E8AE" w14:textId="77777777" w:rsidR="007942B5" w:rsidRPr="00484FF7" w:rsidRDefault="007942B5" w:rsidP="00484FF7">
            <w:pPr>
              <w:rPr>
                <w:rFonts w:cs="Arial"/>
                <w:szCs w:val="22"/>
              </w:rPr>
            </w:pPr>
            <w:r w:rsidRPr="00484FF7">
              <w:rPr>
                <w:rFonts w:cs="Arial"/>
                <w:szCs w:val="22"/>
                <w:lang w:val="en-US"/>
              </w:rPr>
              <w:t>England</w:t>
            </w:r>
          </w:p>
        </w:tc>
        <w:tc>
          <w:tcPr>
            <w:tcW w:w="1450" w:type="dxa"/>
            <w:vAlign w:val="center"/>
          </w:tcPr>
          <w:p w14:paraId="5EBB4023" w14:textId="77777777" w:rsidR="007942B5" w:rsidRPr="00484FF7" w:rsidRDefault="007942B5" w:rsidP="00484FF7">
            <w:pPr>
              <w:rPr>
                <w:rFonts w:cs="Arial"/>
                <w:szCs w:val="22"/>
              </w:rPr>
            </w:pPr>
            <w:r w:rsidRPr="00484FF7">
              <w:rPr>
                <w:rFonts w:cs="Arial"/>
                <w:szCs w:val="22"/>
                <w:lang w:val="en-US"/>
              </w:rPr>
              <w:t>To review socio-economic inequalities in healthcare</w:t>
            </w:r>
          </w:p>
        </w:tc>
        <w:tc>
          <w:tcPr>
            <w:tcW w:w="1989" w:type="dxa"/>
            <w:vAlign w:val="center"/>
          </w:tcPr>
          <w:p w14:paraId="50987254" w14:textId="77777777" w:rsidR="007942B5" w:rsidRPr="00484FF7" w:rsidRDefault="007942B5" w:rsidP="00484FF7">
            <w:pPr>
              <w:rPr>
                <w:rFonts w:cs="Arial"/>
                <w:szCs w:val="22"/>
              </w:rPr>
            </w:pPr>
            <w:r w:rsidRPr="00484FF7">
              <w:rPr>
                <w:rFonts w:cs="Arial"/>
                <w:szCs w:val="22"/>
                <w:lang w:val="en-US"/>
              </w:rPr>
              <w:t>Review/analysis</w:t>
            </w:r>
          </w:p>
        </w:tc>
        <w:tc>
          <w:tcPr>
            <w:tcW w:w="0" w:type="auto"/>
            <w:vAlign w:val="center"/>
          </w:tcPr>
          <w:p w14:paraId="0366E4C6" w14:textId="77777777" w:rsidR="007942B5" w:rsidRPr="00484FF7" w:rsidRDefault="007942B5" w:rsidP="00484FF7">
            <w:pPr>
              <w:rPr>
                <w:rFonts w:cs="Arial"/>
                <w:szCs w:val="22"/>
              </w:rPr>
            </w:pPr>
            <w:r w:rsidRPr="00484FF7">
              <w:rPr>
                <w:rFonts w:cs="Arial"/>
                <w:szCs w:val="22"/>
                <w:lang w:val="en-US"/>
              </w:rPr>
              <w:t>Population-level data</w:t>
            </w:r>
          </w:p>
        </w:tc>
        <w:tc>
          <w:tcPr>
            <w:tcW w:w="0" w:type="auto"/>
            <w:vAlign w:val="center"/>
          </w:tcPr>
          <w:p w14:paraId="1D6334C2" w14:textId="77777777" w:rsidR="007942B5" w:rsidRPr="00484FF7" w:rsidRDefault="007942B5" w:rsidP="00484FF7">
            <w:pPr>
              <w:rPr>
                <w:rFonts w:cs="Arial"/>
                <w:szCs w:val="22"/>
              </w:rPr>
            </w:pPr>
            <w:r w:rsidRPr="00484FF7">
              <w:rPr>
                <w:rFonts w:cs="Arial"/>
                <w:szCs w:val="22"/>
                <w:lang w:val="en-US"/>
              </w:rPr>
              <w:t>Substantial pro-rich inequalities in preventive care and outcomes, despite higher service use among poorer groups</w:t>
            </w:r>
          </w:p>
        </w:tc>
      </w:tr>
      <w:tr w:rsidR="004A6C93" w:rsidRPr="00484FF7" w14:paraId="52B9C928" w14:textId="77777777" w:rsidTr="004A6C93">
        <w:tc>
          <w:tcPr>
            <w:tcW w:w="0" w:type="auto"/>
            <w:vAlign w:val="center"/>
          </w:tcPr>
          <w:p w14:paraId="4F829D37" w14:textId="37F4EBD8" w:rsidR="004A6C93" w:rsidRPr="00484FF7" w:rsidRDefault="004A6C93" w:rsidP="00484FF7">
            <w:pPr>
              <w:rPr>
                <w:rFonts w:cs="Arial"/>
                <w:szCs w:val="22"/>
                <w:lang w:val="en-US"/>
              </w:rPr>
            </w:pPr>
            <w:proofErr w:type="spellStart"/>
            <w:r w:rsidRPr="004A6C93">
              <w:rPr>
                <w:rFonts w:cs="Arial"/>
                <w:szCs w:val="22"/>
              </w:rPr>
              <w:t>Jessiman</w:t>
            </w:r>
            <w:proofErr w:type="spellEnd"/>
            <w:r>
              <w:rPr>
                <w:rFonts w:cs="Arial"/>
                <w:szCs w:val="22"/>
              </w:rPr>
              <w:t xml:space="preserve"> et al. (2021)</w:t>
            </w:r>
          </w:p>
        </w:tc>
        <w:tc>
          <w:tcPr>
            <w:tcW w:w="1199" w:type="dxa"/>
            <w:vAlign w:val="center"/>
          </w:tcPr>
          <w:p w14:paraId="60D62F81" w14:textId="474ED01A" w:rsidR="004A6C93" w:rsidRPr="00484FF7" w:rsidRDefault="00E159AC" w:rsidP="00484FF7">
            <w:pPr>
              <w:rPr>
                <w:rFonts w:cs="Arial"/>
                <w:szCs w:val="22"/>
                <w:lang w:val="en-US"/>
              </w:rPr>
            </w:pPr>
            <w:r>
              <w:rPr>
                <w:rFonts w:cs="Arial"/>
                <w:szCs w:val="22"/>
                <w:lang w:val="en-US"/>
              </w:rPr>
              <w:t>England, UK</w:t>
            </w:r>
          </w:p>
        </w:tc>
        <w:tc>
          <w:tcPr>
            <w:tcW w:w="1450" w:type="dxa"/>
            <w:vAlign w:val="center"/>
          </w:tcPr>
          <w:p w14:paraId="13E9509E" w14:textId="4B3F1BAD" w:rsidR="004A6C93" w:rsidRPr="00484FF7" w:rsidRDefault="00E159AC" w:rsidP="00484FF7">
            <w:pPr>
              <w:rPr>
                <w:rFonts w:cs="Arial"/>
                <w:szCs w:val="22"/>
                <w:lang w:val="en-US"/>
              </w:rPr>
            </w:pPr>
            <w:r w:rsidRPr="00E159AC">
              <w:rPr>
                <w:rFonts w:cs="Arial"/>
                <w:szCs w:val="22"/>
              </w:rPr>
              <w:t xml:space="preserve">To develop a systems map identifying the determinants of child health inequalities </w:t>
            </w:r>
            <w:r w:rsidRPr="00E159AC">
              <w:rPr>
                <w:rFonts w:cs="Arial"/>
                <w:szCs w:val="22"/>
              </w:rPr>
              <w:lastRenderedPageBreak/>
              <w:t>at the local level in England for children and young people aged 0–25</w:t>
            </w:r>
          </w:p>
        </w:tc>
        <w:tc>
          <w:tcPr>
            <w:tcW w:w="1989" w:type="dxa"/>
            <w:vAlign w:val="center"/>
          </w:tcPr>
          <w:p w14:paraId="78C66E53" w14:textId="46D90FFF" w:rsidR="004A6C93" w:rsidRPr="00E159AC" w:rsidRDefault="00E159AC" w:rsidP="00484FF7">
            <w:pPr>
              <w:rPr>
                <w:rFonts w:cs="Arial"/>
                <w:szCs w:val="22"/>
                <w:lang w:val="en-US"/>
              </w:rPr>
            </w:pPr>
            <w:r w:rsidRPr="00E159AC">
              <w:rPr>
                <w:rFonts w:cs="Arial"/>
                <w:szCs w:val="22"/>
              </w:rPr>
              <w:lastRenderedPageBreak/>
              <w:t xml:space="preserve">Qualitative systems approach using group concept mapping workshops, qualitative interviews, and </w:t>
            </w:r>
            <w:r w:rsidRPr="00E159AC">
              <w:rPr>
                <w:rFonts w:cs="Arial"/>
                <w:szCs w:val="22"/>
              </w:rPr>
              <w:lastRenderedPageBreak/>
              <w:t xml:space="preserve">expert validation surveys </w:t>
            </w:r>
          </w:p>
        </w:tc>
        <w:tc>
          <w:tcPr>
            <w:tcW w:w="0" w:type="auto"/>
            <w:vAlign w:val="center"/>
          </w:tcPr>
          <w:p w14:paraId="6F835771" w14:textId="1D80A807" w:rsidR="004A6C93" w:rsidRPr="00484FF7" w:rsidRDefault="00987048" w:rsidP="00484FF7">
            <w:pPr>
              <w:rPr>
                <w:rFonts w:cs="Arial"/>
                <w:szCs w:val="22"/>
                <w:lang w:val="en-US"/>
              </w:rPr>
            </w:pPr>
            <w:r w:rsidRPr="00987048">
              <w:rPr>
                <w:rFonts w:cs="Arial"/>
                <w:szCs w:val="22"/>
              </w:rPr>
              <w:lastRenderedPageBreak/>
              <w:t xml:space="preserve">Professionals (N=35), Children and young people (N=33), Carers (N=5), Additional professional interviews </w:t>
            </w:r>
            <w:r w:rsidRPr="00987048">
              <w:rPr>
                <w:rFonts w:cs="Arial"/>
                <w:szCs w:val="22"/>
              </w:rPr>
              <w:lastRenderedPageBreak/>
              <w:t>(N=16), Expert stakeholders (N=9; N=35), and Online survey experts (N=21; N=8)</w:t>
            </w:r>
          </w:p>
        </w:tc>
        <w:tc>
          <w:tcPr>
            <w:tcW w:w="0" w:type="auto"/>
            <w:vAlign w:val="center"/>
          </w:tcPr>
          <w:p w14:paraId="1CBE7C78" w14:textId="6E5EBDA7" w:rsidR="004A6C93" w:rsidRPr="00E14F31" w:rsidRDefault="00E14F31" w:rsidP="00484FF7">
            <w:pPr>
              <w:rPr>
                <w:rFonts w:cs="Arial"/>
                <w:szCs w:val="22"/>
                <w:lang w:val="en-US"/>
              </w:rPr>
            </w:pPr>
            <w:r w:rsidRPr="00E14F31">
              <w:rPr>
                <w:rFonts w:cs="Arial"/>
                <w:szCs w:val="22"/>
              </w:rPr>
              <w:lastRenderedPageBreak/>
              <w:t xml:space="preserve">The study developed a comprehensive systems map of over 150 interrelated factors influencing child health inequalities </w:t>
            </w:r>
            <w:r w:rsidRPr="00E14F31">
              <w:rPr>
                <w:rFonts w:cs="Arial"/>
                <w:szCs w:val="22"/>
              </w:rPr>
              <w:lastRenderedPageBreak/>
              <w:t>across six domains: physical environment, governance, economic, social, service, and personal. It demonstrated how systems thinking and group concept mapping can help identify complex, interlinked determinants and guide local policy interventions to reduce inequalities.</w:t>
            </w:r>
          </w:p>
        </w:tc>
      </w:tr>
      <w:tr w:rsidR="007942B5" w:rsidRPr="00484FF7" w14:paraId="3D604779" w14:textId="77777777" w:rsidTr="004A6C93">
        <w:tc>
          <w:tcPr>
            <w:tcW w:w="0" w:type="auto"/>
            <w:vAlign w:val="center"/>
          </w:tcPr>
          <w:p w14:paraId="49372390" w14:textId="77777777" w:rsidR="007942B5" w:rsidRPr="00484FF7" w:rsidRDefault="007942B5" w:rsidP="00484FF7">
            <w:pPr>
              <w:rPr>
                <w:rFonts w:cs="Arial"/>
                <w:szCs w:val="22"/>
              </w:rPr>
            </w:pPr>
            <w:r w:rsidRPr="00484FF7">
              <w:rPr>
                <w:rFonts w:cs="Arial"/>
                <w:szCs w:val="22"/>
                <w:lang w:val="en-US"/>
              </w:rPr>
              <w:lastRenderedPageBreak/>
              <w:t>Mishra et al. (2021)</w:t>
            </w:r>
          </w:p>
        </w:tc>
        <w:tc>
          <w:tcPr>
            <w:tcW w:w="1199" w:type="dxa"/>
            <w:vAlign w:val="center"/>
          </w:tcPr>
          <w:p w14:paraId="635C2048" w14:textId="77777777" w:rsidR="007942B5" w:rsidRPr="00484FF7" w:rsidRDefault="007942B5" w:rsidP="00484FF7">
            <w:pPr>
              <w:rPr>
                <w:rFonts w:cs="Arial"/>
                <w:szCs w:val="22"/>
              </w:rPr>
            </w:pPr>
            <w:r w:rsidRPr="00484FF7">
              <w:rPr>
                <w:rFonts w:cs="Arial"/>
                <w:szCs w:val="22"/>
                <w:lang w:val="en-US"/>
              </w:rPr>
              <w:t>UK (COVID-19 context)</w:t>
            </w:r>
          </w:p>
        </w:tc>
        <w:tc>
          <w:tcPr>
            <w:tcW w:w="1450" w:type="dxa"/>
            <w:vAlign w:val="center"/>
          </w:tcPr>
          <w:p w14:paraId="604F5A3F" w14:textId="77777777" w:rsidR="007942B5" w:rsidRPr="00484FF7" w:rsidRDefault="007942B5" w:rsidP="00484FF7">
            <w:pPr>
              <w:rPr>
                <w:rFonts w:cs="Arial"/>
                <w:szCs w:val="22"/>
              </w:rPr>
            </w:pPr>
            <w:r w:rsidRPr="00484FF7">
              <w:rPr>
                <w:rFonts w:cs="Arial"/>
                <w:szCs w:val="22"/>
                <w:lang w:val="en-US"/>
              </w:rPr>
              <w:t>To assess health inequalities during the pandemic</w:t>
            </w:r>
          </w:p>
        </w:tc>
        <w:tc>
          <w:tcPr>
            <w:tcW w:w="1989" w:type="dxa"/>
            <w:vAlign w:val="center"/>
          </w:tcPr>
          <w:p w14:paraId="5F4618E6" w14:textId="77777777" w:rsidR="007942B5" w:rsidRPr="00484FF7" w:rsidRDefault="007942B5" w:rsidP="00484FF7">
            <w:pPr>
              <w:rPr>
                <w:rFonts w:cs="Arial"/>
                <w:szCs w:val="22"/>
              </w:rPr>
            </w:pPr>
            <w:r w:rsidRPr="00484FF7">
              <w:rPr>
                <w:rFonts w:cs="Arial"/>
                <w:szCs w:val="22"/>
                <w:lang w:val="en-US"/>
              </w:rPr>
              <w:t>Review</w:t>
            </w:r>
          </w:p>
        </w:tc>
        <w:tc>
          <w:tcPr>
            <w:tcW w:w="0" w:type="auto"/>
            <w:vAlign w:val="center"/>
          </w:tcPr>
          <w:p w14:paraId="1F360C9E" w14:textId="77777777" w:rsidR="007942B5" w:rsidRPr="00484FF7" w:rsidRDefault="007942B5" w:rsidP="00484FF7">
            <w:pPr>
              <w:rPr>
                <w:rFonts w:cs="Arial"/>
                <w:szCs w:val="22"/>
              </w:rPr>
            </w:pPr>
            <w:r w:rsidRPr="00484FF7">
              <w:rPr>
                <w:rFonts w:cs="Arial"/>
                <w:szCs w:val="22"/>
                <w:lang w:val="en-US"/>
              </w:rPr>
              <w:t>Literature synthesis</w:t>
            </w:r>
          </w:p>
        </w:tc>
        <w:tc>
          <w:tcPr>
            <w:tcW w:w="0" w:type="auto"/>
            <w:vAlign w:val="center"/>
          </w:tcPr>
          <w:p w14:paraId="778ED3CD" w14:textId="77777777" w:rsidR="007942B5" w:rsidRPr="00484FF7" w:rsidRDefault="007942B5" w:rsidP="00484FF7">
            <w:pPr>
              <w:rPr>
                <w:rFonts w:cs="Arial"/>
                <w:szCs w:val="22"/>
              </w:rPr>
            </w:pPr>
            <w:r w:rsidRPr="00484FF7">
              <w:rPr>
                <w:rFonts w:cs="Arial"/>
                <w:szCs w:val="22"/>
                <w:lang w:val="en-US"/>
              </w:rPr>
              <w:t>Disadvantaged groups suffered disproportionately, especially minority ethnic and low-income populations</w:t>
            </w:r>
          </w:p>
        </w:tc>
      </w:tr>
      <w:tr w:rsidR="007942B5" w:rsidRPr="00484FF7" w14:paraId="77173B6F" w14:textId="77777777" w:rsidTr="004A6C93">
        <w:tc>
          <w:tcPr>
            <w:tcW w:w="0" w:type="auto"/>
            <w:vAlign w:val="center"/>
          </w:tcPr>
          <w:p w14:paraId="31A2CB4B" w14:textId="77777777" w:rsidR="007942B5" w:rsidRPr="00484FF7" w:rsidRDefault="007942B5" w:rsidP="00484FF7">
            <w:pPr>
              <w:rPr>
                <w:rFonts w:cs="Arial"/>
                <w:szCs w:val="22"/>
              </w:rPr>
            </w:pPr>
            <w:r w:rsidRPr="00484FF7">
              <w:rPr>
                <w:rFonts w:cs="Arial"/>
                <w:szCs w:val="22"/>
                <w:lang w:val="en-US"/>
              </w:rPr>
              <w:t>Spencer et al. (2019)</w:t>
            </w:r>
          </w:p>
        </w:tc>
        <w:tc>
          <w:tcPr>
            <w:tcW w:w="1199" w:type="dxa"/>
            <w:vAlign w:val="center"/>
          </w:tcPr>
          <w:p w14:paraId="4D5DCA05" w14:textId="21ECA979" w:rsidR="007942B5" w:rsidRPr="00484FF7" w:rsidRDefault="00080B9E" w:rsidP="00484FF7">
            <w:pPr>
              <w:rPr>
                <w:rFonts w:cs="Arial"/>
                <w:szCs w:val="22"/>
              </w:rPr>
            </w:pPr>
            <w:r>
              <w:rPr>
                <w:rFonts w:cs="Arial"/>
                <w:szCs w:val="22"/>
              </w:rPr>
              <w:t>UK</w:t>
            </w:r>
          </w:p>
        </w:tc>
        <w:tc>
          <w:tcPr>
            <w:tcW w:w="1450" w:type="dxa"/>
            <w:vAlign w:val="center"/>
          </w:tcPr>
          <w:p w14:paraId="221C107D" w14:textId="77777777" w:rsidR="007942B5" w:rsidRPr="00484FF7" w:rsidRDefault="007942B5" w:rsidP="00484FF7">
            <w:pPr>
              <w:rPr>
                <w:rFonts w:cs="Arial"/>
                <w:szCs w:val="22"/>
              </w:rPr>
            </w:pPr>
            <w:r w:rsidRPr="00484FF7">
              <w:rPr>
                <w:rFonts w:cs="Arial"/>
                <w:szCs w:val="22"/>
                <w:lang w:val="en-US"/>
              </w:rPr>
              <w:t>To highlight inequities in child health and development</w:t>
            </w:r>
          </w:p>
        </w:tc>
        <w:tc>
          <w:tcPr>
            <w:tcW w:w="1989" w:type="dxa"/>
            <w:vAlign w:val="center"/>
          </w:tcPr>
          <w:p w14:paraId="29B149C1" w14:textId="6B5F82B2" w:rsidR="007942B5" w:rsidRPr="00484FF7" w:rsidRDefault="007942B5" w:rsidP="00484FF7">
            <w:pPr>
              <w:rPr>
                <w:rFonts w:cs="Arial"/>
                <w:szCs w:val="22"/>
              </w:rPr>
            </w:pPr>
            <w:r w:rsidRPr="00484FF7">
              <w:rPr>
                <w:rFonts w:cs="Arial"/>
                <w:szCs w:val="22"/>
                <w:lang w:val="en-US"/>
              </w:rPr>
              <w:t>Review and advocacy pa</w:t>
            </w:r>
            <w:r w:rsidR="0073161D">
              <w:rPr>
                <w:rFonts w:cs="Arial"/>
                <w:szCs w:val="22"/>
                <w:lang w:val="en-US"/>
              </w:rPr>
              <w:t>p</w:t>
            </w:r>
            <w:r w:rsidRPr="00484FF7">
              <w:rPr>
                <w:rFonts w:cs="Arial"/>
                <w:szCs w:val="22"/>
                <w:lang w:val="en-US"/>
              </w:rPr>
              <w:t>er</w:t>
            </w:r>
          </w:p>
        </w:tc>
        <w:tc>
          <w:tcPr>
            <w:tcW w:w="0" w:type="auto"/>
            <w:vAlign w:val="center"/>
          </w:tcPr>
          <w:p w14:paraId="11672963" w14:textId="2C7889A5" w:rsidR="007942B5" w:rsidRPr="00484FF7" w:rsidRDefault="00080B9E" w:rsidP="00484FF7">
            <w:pPr>
              <w:rPr>
                <w:rFonts w:cs="Arial"/>
                <w:szCs w:val="22"/>
              </w:rPr>
            </w:pPr>
            <w:r>
              <w:rPr>
                <w:rFonts w:cs="Arial"/>
                <w:szCs w:val="22"/>
                <w:lang w:val="en-US"/>
              </w:rPr>
              <w:t>Evidence-based study</w:t>
            </w:r>
          </w:p>
        </w:tc>
        <w:tc>
          <w:tcPr>
            <w:tcW w:w="0" w:type="auto"/>
            <w:vAlign w:val="center"/>
          </w:tcPr>
          <w:p w14:paraId="3DAB7E40" w14:textId="77777777" w:rsidR="007942B5" w:rsidRPr="00484FF7" w:rsidRDefault="007942B5" w:rsidP="00484FF7">
            <w:pPr>
              <w:rPr>
                <w:rFonts w:cs="Arial"/>
                <w:szCs w:val="22"/>
              </w:rPr>
            </w:pPr>
            <w:r w:rsidRPr="00484FF7">
              <w:rPr>
                <w:rFonts w:cs="Arial"/>
                <w:szCs w:val="22"/>
                <w:lang w:val="en-US"/>
              </w:rPr>
              <w:t>Inequities affect child health worldwide; calls for government and professional action</w:t>
            </w:r>
          </w:p>
        </w:tc>
      </w:tr>
      <w:tr w:rsidR="007942B5" w:rsidRPr="00484FF7" w14:paraId="04E4F8D6" w14:textId="77777777" w:rsidTr="004A6C93">
        <w:tc>
          <w:tcPr>
            <w:tcW w:w="0" w:type="auto"/>
            <w:vAlign w:val="center"/>
          </w:tcPr>
          <w:p w14:paraId="514FF787" w14:textId="77777777" w:rsidR="007942B5" w:rsidRPr="00484FF7" w:rsidRDefault="007942B5" w:rsidP="00484FF7">
            <w:pPr>
              <w:rPr>
                <w:rFonts w:cs="Arial"/>
                <w:szCs w:val="22"/>
              </w:rPr>
            </w:pPr>
            <w:r w:rsidRPr="00484FF7">
              <w:rPr>
                <w:rFonts w:cs="Arial"/>
                <w:szCs w:val="22"/>
                <w:lang w:val="en-US"/>
              </w:rPr>
              <w:lastRenderedPageBreak/>
              <w:t>McHugh et al. (2024)</w:t>
            </w:r>
          </w:p>
        </w:tc>
        <w:tc>
          <w:tcPr>
            <w:tcW w:w="1199" w:type="dxa"/>
            <w:vAlign w:val="center"/>
          </w:tcPr>
          <w:p w14:paraId="03D7C698" w14:textId="77777777" w:rsidR="007942B5" w:rsidRPr="00484FF7" w:rsidRDefault="007942B5" w:rsidP="00484FF7">
            <w:pPr>
              <w:rPr>
                <w:rFonts w:cs="Arial"/>
                <w:szCs w:val="22"/>
              </w:rPr>
            </w:pPr>
            <w:r w:rsidRPr="00484FF7">
              <w:rPr>
                <w:rFonts w:cs="Arial"/>
                <w:szCs w:val="22"/>
                <w:lang w:val="en-US"/>
              </w:rPr>
              <w:t>UK (London)</w:t>
            </w:r>
          </w:p>
        </w:tc>
        <w:tc>
          <w:tcPr>
            <w:tcW w:w="1450" w:type="dxa"/>
            <w:vAlign w:val="center"/>
          </w:tcPr>
          <w:p w14:paraId="07EA72D0" w14:textId="77777777" w:rsidR="007942B5" w:rsidRPr="00484FF7" w:rsidRDefault="007942B5" w:rsidP="00484FF7">
            <w:pPr>
              <w:rPr>
                <w:rFonts w:cs="Arial"/>
                <w:szCs w:val="22"/>
              </w:rPr>
            </w:pPr>
            <w:r w:rsidRPr="00484FF7">
              <w:rPr>
                <w:rFonts w:cs="Arial"/>
                <w:szCs w:val="22"/>
                <w:lang w:val="en-US"/>
              </w:rPr>
              <w:t>To compare professional and community perspectives on health inequalities</w:t>
            </w:r>
          </w:p>
        </w:tc>
        <w:tc>
          <w:tcPr>
            <w:tcW w:w="1989" w:type="dxa"/>
            <w:vAlign w:val="center"/>
          </w:tcPr>
          <w:p w14:paraId="484354E0" w14:textId="77777777" w:rsidR="007942B5" w:rsidRPr="00484FF7" w:rsidRDefault="007942B5" w:rsidP="00484FF7">
            <w:pPr>
              <w:rPr>
                <w:rFonts w:cs="Arial"/>
                <w:szCs w:val="22"/>
              </w:rPr>
            </w:pPr>
            <w:r w:rsidRPr="00484FF7">
              <w:rPr>
                <w:rFonts w:cs="Arial"/>
                <w:szCs w:val="22"/>
                <w:lang w:val="en-US"/>
              </w:rPr>
              <w:t>Q-methodology</w:t>
            </w:r>
          </w:p>
        </w:tc>
        <w:tc>
          <w:tcPr>
            <w:tcW w:w="0" w:type="auto"/>
            <w:vAlign w:val="center"/>
          </w:tcPr>
          <w:p w14:paraId="5A1C01DF" w14:textId="77777777" w:rsidR="007942B5" w:rsidRPr="00484FF7" w:rsidRDefault="007942B5" w:rsidP="00484FF7">
            <w:pPr>
              <w:rPr>
                <w:rFonts w:cs="Arial"/>
                <w:szCs w:val="22"/>
              </w:rPr>
            </w:pPr>
            <w:r w:rsidRPr="00484FF7">
              <w:rPr>
                <w:rFonts w:cs="Arial"/>
                <w:szCs w:val="22"/>
                <w:lang w:val="en-US"/>
              </w:rPr>
              <w:t>20 professionals, 20 community members</w:t>
            </w:r>
          </w:p>
        </w:tc>
        <w:tc>
          <w:tcPr>
            <w:tcW w:w="0" w:type="auto"/>
            <w:vAlign w:val="center"/>
          </w:tcPr>
          <w:p w14:paraId="7F80A272" w14:textId="77777777" w:rsidR="007942B5" w:rsidRPr="00484FF7" w:rsidRDefault="007942B5" w:rsidP="00484FF7">
            <w:pPr>
              <w:rPr>
                <w:rFonts w:cs="Arial"/>
                <w:szCs w:val="22"/>
              </w:rPr>
            </w:pPr>
            <w:r w:rsidRPr="00484FF7">
              <w:rPr>
                <w:rFonts w:cs="Arial"/>
                <w:szCs w:val="22"/>
                <w:lang w:val="en-US"/>
              </w:rPr>
              <w:t>Causes identified as poverty, systemic inequality, and chronic stress; solutions focused on meeting basic needs and empowerment</w:t>
            </w:r>
          </w:p>
        </w:tc>
      </w:tr>
      <w:tr w:rsidR="007942B5" w:rsidRPr="00484FF7" w14:paraId="0A5B2D39" w14:textId="77777777" w:rsidTr="004A6C93">
        <w:tc>
          <w:tcPr>
            <w:tcW w:w="0" w:type="auto"/>
            <w:vAlign w:val="center"/>
          </w:tcPr>
          <w:p w14:paraId="5F2AE250" w14:textId="77777777" w:rsidR="007942B5" w:rsidRPr="00484FF7" w:rsidRDefault="007942B5" w:rsidP="00484FF7">
            <w:pPr>
              <w:rPr>
                <w:rFonts w:cs="Arial"/>
                <w:szCs w:val="22"/>
              </w:rPr>
            </w:pPr>
            <w:proofErr w:type="spellStart"/>
            <w:r w:rsidRPr="00484FF7">
              <w:rPr>
                <w:rFonts w:cs="Arial"/>
                <w:szCs w:val="22"/>
                <w:lang w:val="en-US"/>
              </w:rPr>
              <w:t>Fergie</w:t>
            </w:r>
            <w:proofErr w:type="spellEnd"/>
            <w:r w:rsidRPr="00484FF7">
              <w:rPr>
                <w:rFonts w:cs="Arial"/>
                <w:szCs w:val="22"/>
                <w:lang w:val="en-US"/>
              </w:rPr>
              <w:t xml:space="preserve"> et al. (2023)</w:t>
            </w:r>
          </w:p>
        </w:tc>
        <w:tc>
          <w:tcPr>
            <w:tcW w:w="1199" w:type="dxa"/>
            <w:vAlign w:val="center"/>
          </w:tcPr>
          <w:p w14:paraId="0B38F63A" w14:textId="77777777" w:rsidR="007942B5" w:rsidRPr="00484FF7" w:rsidRDefault="007942B5" w:rsidP="00484FF7">
            <w:pPr>
              <w:rPr>
                <w:rFonts w:cs="Arial"/>
                <w:szCs w:val="22"/>
              </w:rPr>
            </w:pPr>
            <w:r w:rsidRPr="00484FF7">
              <w:rPr>
                <w:rFonts w:cs="Arial"/>
                <w:szCs w:val="22"/>
                <w:lang w:val="en-US"/>
              </w:rPr>
              <w:t>UK (Glasgow and Leeds)</w:t>
            </w:r>
          </w:p>
        </w:tc>
        <w:tc>
          <w:tcPr>
            <w:tcW w:w="1450" w:type="dxa"/>
            <w:vAlign w:val="center"/>
          </w:tcPr>
          <w:p w14:paraId="234AB669" w14:textId="77777777" w:rsidR="007942B5" w:rsidRPr="00484FF7" w:rsidRDefault="007942B5" w:rsidP="00484FF7">
            <w:pPr>
              <w:rPr>
                <w:rFonts w:cs="Arial"/>
                <w:szCs w:val="22"/>
              </w:rPr>
            </w:pPr>
            <w:r w:rsidRPr="00484FF7">
              <w:rPr>
                <w:rFonts w:cs="Arial"/>
                <w:szCs w:val="22"/>
                <w:lang w:val="en-US"/>
              </w:rPr>
              <w:t>To explore young people’s perspectives on health inequalities</w:t>
            </w:r>
          </w:p>
        </w:tc>
        <w:tc>
          <w:tcPr>
            <w:tcW w:w="1989" w:type="dxa"/>
            <w:vAlign w:val="center"/>
          </w:tcPr>
          <w:p w14:paraId="04449B7C" w14:textId="77777777" w:rsidR="007942B5" w:rsidRPr="00484FF7" w:rsidRDefault="007942B5" w:rsidP="00484FF7">
            <w:pPr>
              <w:rPr>
                <w:rFonts w:cs="Arial"/>
                <w:szCs w:val="22"/>
              </w:rPr>
            </w:pPr>
            <w:r w:rsidRPr="00484FF7">
              <w:rPr>
                <w:rFonts w:cs="Arial"/>
                <w:szCs w:val="22"/>
                <w:lang w:val="en-US"/>
              </w:rPr>
              <w:t>Workshops and creative methods</w:t>
            </w:r>
          </w:p>
        </w:tc>
        <w:tc>
          <w:tcPr>
            <w:tcW w:w="0" w:type="auto"/>
            <w:vAlign w:val="center"/>
          </w:tcPr>
          <w:p w14:paraId="570DA682" w14:textId="77777777" w:rsidR="007942B5" w:rsidRPr="00484FF7" w:rsidRDefault="007942B5" w:rsidP="00484FF7">
            <w:pPr>
              <w:rPr>
                <w:rFonts w:cs="Arial"/>
                <w:szCs w:val="22"/>
              </w:rPr>
            </w:pPr>
            <w:r w:rsidRPr="00484FF7">
              <w:rPr>
                <w:rFonts w:cs="Arial"/>
                <w:szCs w:val="22"/>
                <w:lang w:val="en-US"/>
              </w:rPr>
              <w:t>39 young people</w:t>
            </w:r>
          </w:p>
        </w:tc>
        <w:tc>
          <w:tcPr>
            <w:tcW w:w="0" w:type="auto"/>
            <w:vAlign w:val="center"/>
          </w:tcPr>
          <w:p w14:paraId="41B9A77D" w14:textId="77777777" w:rsidR="007942B5" w:rsidRPr="00484FF7" w:rsidRDefault="007942B5" w:rsidP="00484FF7">
            <w:pPr>
              <w:rPr>
                <w:rFonts w:cs="Arial"/>
                <w:szCs w:val="22"/>
              </w:rPr>
            </w:pPr>
            <w:r w:rsidRPr="00484FF7">
              <w:rPr>
                <w:rFonts w:cs="Arial"/>
                <w:szCs w:val="22"/>
                <w:lang w:val="en-US"/>
              </w:rPr>
              <w:t xml:space="preserve">Young people </w:t>
            </w:r>
            <w:proofErr w:type="spellStart"/>
            <w:r w:rsidRPr="00484FF7">
              <w:rPr>
                <w:rFonts w:cs="Arial"/>
                <w:szCs w:val="22"/>
                <w:lang w:val="en-US"/>
              </w:rPr>
              <w:t>emphasised</w:t>
            </w:r>
            <w:proofErr w:type="spellEnd"/>
            <w:r w:rsidRPr="00484FF7">
              <w:rPr>
                <w:rFonts w:cs="Arial"/>
                <w:szCs w:val="22"/>
                <w:lang w:val="en-US"/>
              </w:rPr>
              <w:t xml:space="preserve"> poverty reduction, inclusivity, and sustainable governance</w:t>
            </w:r>
          </w:p>
        </w:tc>
      </w:tr>
      <w:tr w:rsidR="007942B5" w:rsidRPr="00484FF7" w14:paraId="4625187C" w14:textId="77777777" w:rsidTr="004A6C93">
        <w:tc>
          <w:tcPr>
            <w:tcW w:w="0" w:type="auto"/>
            <w:vAlign w:val="center"/>
          </w:tcPr>
          <w:p w14:paraId="66E289C5" w14:textId="77777777" w:rsidR="007942B5" w:rsidRPr="00484FF7" w:rsidRDefault="007942B5" w:rsidP="00484FF7">
            <w:pPr>
              <w:rPr>
                <w:rFonts w:cs="Arial"/>
                <w:szCs w:val="22"/>
              </w:rPr>
            </w:pPr>
            <w:r w:rsidRPr="00484FF7">
              <w:rPr>
                <w:rFonts w:cs="Arial"/>
                <w:szCs w:val="22"/>
                <w:lang w:val="en-US"/>
              </w:rPr>
              <w:t>Smith and Stewart (2024)</w:t>
            </w:r>
          </w:p>
        </w:tc>
        <w:tc>
          <w:tcPr>
            <w:tcW w:w="1199" w:type="dxa"/>
            <w:vAlign w:val="center"/>
          </w:tcPr>
          <w:p w14:paraId="3F8F3981" w14:textId="2A872841" w:rsidR="001C7E9E" w:rsidRDefault="001C7E9E" w:rsidP="00484FF7">
            <w:pPr>
              <w:rPr>
                <w:rFonts w:cs="Arial"/>
                <w:szCs w:val="22"/>
                <w:lang w:val="en-US"/>
              </w:rPr>
            </w:pPr>
            <w:r>
              <w:rPr>
                <w:rFonts w:cs="Arial"/>
                <w:szCs w:val="22"/>
                <w:lang w:val="en-US"/>
              </w:rPr>
              <w:t>UK</w:t>
            </w:r>
          </w:p>
          <w:p w14:paraId="1BCC2EE6" w14:textId="653B8455" w:rsidR="007942B5" w:rsidRPr="00484FF7" w:rsidRDefault="001C7E9E" w:rsidP="00484FF7">
            <w:pPr>
              <w:rPr>
                <w:rFonts w:cs="Arial"/>
                <w:szCs w:val="22"/>
              </w:rPr>
            </w:pPr>
            <w:r>
              <w:rPr>
                <w:rFonts w:cs="Arial"/>
                <w:szCs w:val="22"/>
                <w:lang w:val="en-US"/>
              </w:rPr>
              <w:t>(</w:t>
            </w:r>
            <w:r w:rsidR="007942B5" w:rsidRPr="00484FF7">
              <w:rPr>
                <w:rFonts w:cs="Arial"/>
                <w:szCs w:val="22"/>
                <w:lang w:val="en-US"/>
              </w:rPr>
              <w:t>Scotland</w:t>
            </w:r>
            <w:r>
              <w:rPr>
                <w:rFonts w:cs="Arial"/>
                <w:szCs w:val="22"/>
                <w:lang w:val="en-US"/>
              </w:rPr>
              <w:t>)</w:t>
            </w:r>
          </w:p>
        </w:tc>
        <w:tc>
          <w:tcPr>
            <w:tcW w:w="1450" w:type="dxa"/>
            <w:vAlign w:val="center"/>
          </w:tcPr>
          <w:p w14:paraId="032FE95A" w14:textId="77777777" w:rsidR="007942B5" w:rsidRPr="00484FF7" w:rsidRDefault="007942B5" w:rsidP="00484FF7">
            <w:pPr>
              <w:rPr>
                <w:rFonts w:cs="Arial"/>
                <w:szCs w:val="22"/>
              </w:rPr>
            </w:pPr>
            <w:r w:rsidRPr="00484FF7">
              <w:rPr>
                <w:rFonts w:cs="Arial"/>
                <w:szCs w:val="22"/>
                <w:lang w:val="en-US"/>
              </w:rPr>
              <w:t>To examine lay perspectives on health inequalities</w:t>
            </w:r>
          </w:p>
        </w:tc>
        <w:tc>
          <w:tcPr>
            <w:tcW w:w="1989" w:type="dxa"/>
            <w:vAlign w:val="center"/>
          </w:tcPr>
          <w:p w14:paraId="6017D339" w14:textId="77777777" w:rsidR="007942B5" w:rsidRPr="00484FF7" w:rsidRDefault="007942B5" w:rsidP="00484FF7">
            <w:pPr>
              <w:rPr>
                <w:rFonts w:cs="Arial"/>
                <w:szCs w:val="22"/>
              </w:rPr>
            </w:pPr>
            <w:r w:rsidRPr="00484FF7">
              <w:rPr>
                <w:rFonts w:cs="Arial"/>
                <w:szCs w:val="22"/>
                <w:lang w:val="en-US"/>
              </w:rPr>
              <w:t>Systematic review of 48 studies</w:t>
            </w:r>
          </w:p>
        </w:tc>
        <w:tc>
          <w:tcPr>
            <w:tcW w:w="0" w:type="auto"/>
            <w:vAlign w:val="center"/>
          </w:tcPr>
          <w:p w14:paraId="0D0F0E06" w14:textId="77777777" w:rsidR="007942B5" w:rsidRPr="00484FF7" w:rsidRDefault="007942B5" w:rsidP="00484FF7">
            <w:pPr>
              <w:rPr>
                <w:rFonts w:cs="Arial"/>
                <w:szCs w:val="22"/>
              </w:rPr>
            </w:pPr>
            <w:r w:rsidRPr="00484FF7">
              <w:rPr>
                <w:rFonts w:cs="Arial"/>
                <w:szCs w:val="22"/>
                <w:lang w:val="en-US"/>
              </w:rPr>
              <w:t>Disadvantaged communities in Scotland</w:t>
            </w:r>
          </w:p>
        </w:tc>
        <w:tc>
          <w:tcPr>
            <w:tcW w:w="0" w:type="auto"/>
            <w:vAlign w:val="center"/>
          </w:tcPr>
          <w:p w14:paraId="1599BE45" w14:textId="77777777" w:rsidR="007942B5" w:rsidRPr="00484FF7" w:rsidRDefault="007942B5" w:rsidP="00484FF7">
            <w:pPr>
              <w:rPr>
                <w:rFonts w:cs="Arial"/>
                <w:szCs w:val="22"/>
              </w:rPr>
            </w:pPr>
            <w:r w:rsidRPr="00484FF7">
              <w:rPr>
                <w:rFonts w:cs="Arial"/>
                <w:szCs w:val="22"/>
                <w:lang w:val="en-US"/>
              </w:rPr>
              <w:t>Communities linked health inequalities to poverty, poor housing, disadvantageous policies, and structural violence</w:t>
            </w:r>
          </w:p>
        </w:tc>
      </w:tr>
      <w:tr w:rsidR="007942B5" w:rsidRPr="00484FF7" w14:paraId="2EB167CE" w14:textId="77777777" w:rsidTr="004A6C93">
        <w:tc>
          <w:tcPr>
            <w:tcW w:w="0" w:type="auto"/>
            <w:vAlign w:val="center"/>
          </w:tcPr>
          <w:p w14:paraId="18292876" w14:textId="77777777" w:rsidR="007942B5" w:rsidRPr="00484FF7" w:rsidRDefault="007942B5" w:rsidP="00484FF7">
            <w:pPr>
              <w:rPr>
                <w:rFonts w:cs="Arial"/>
                <w:szCs w:val="22"/>
              </w:rPr>
            </w:pPr>
            <w:proofErr w:type="spellStart"/>
            <w:r w:rsidRPr="00484FF7">
              <w:rPr>
                <w:rFonts w:cs="Arial"/>
                <w:szCs w:val="22"/>
                <w:lang w:val="en-US"/>
              </w:rPr>
              <w:t>Heaslip</w:t>
            </w:r>
            <w:proofErr w:type="spellEnd"/>
            <w:r w:rsidRPr="00484FF7">
              <w:rPr>
                <w:rFonts w:cs="Arial"/>
                <w:szCs w:val="22"/>
                <w:lang w:val="en-US"/>
              </w:rPr>
              <w:t xml:space="preserve"> et al. (2022)</w:t>
            </w:r>
          </w:p>
        </w:tc>
        <w:tc>
          <w:tcPr>
            <w:tcW w:w="1199" w:type="dxa"/>
            <w:vAlign w:val="center"/>
          </w:tcPr>
          <w:p w14:paraId="7E02016B" w14:textId="77777777" w:rsidR="007942B5" w:rsidRPr="00484FF7" w:rsidRDefault="007942B5" w:rsidP="00484FF7">
            <w:pPr>
              <w:rPr>
                <w:rFonts w:cs="Arial"/>
                <w:szCs w:val="22"/>
              </w:rPr>
            </w:pPr>
            <w:r w:rsidRPr="00484FF7">
              <w:rPr>
                <w:rFonts w:cs="Arial"/>
                <w:szCs w:val="22"/>
                <w:lang w:val="en-US"/>
              </w:rPr>
              <w:t>UK</w:t>
            </w:r>
          </w:p>
        </w:tc>
        <w:tc>
          <w:tcPr>
            <w:tcW w:w="1450" w:type="dxa"/>
            <w:vAlign w:val="center"/>
          </w:tcPr>
          <w:p w14:paraId="2DFD5BCF" w14:textId="77777777" w:rsidR="007942B5" w:rsidRPr="00484FF7" w:rsidRDefault="007942B5" w:rsidP="00484FF7">
            <w:pPr>
              <w:rPr>
                <w:rFonts w:cs="Arial"/>
                <w:szCs w:val="22"/>
              </w:rPr>
            </w:pPr>
            <w:r w:rsidRPr="00484FF7">
              <w:rPr>
                <w:rFonts w:cs="Arial"/>
                <w:szCs w:val="22"/>
                <w:lang w:val="en-US"/>
              </w:rPr>
              <w:t>To explore concepts of health inequality and inequity</w:t>
            </w:r>
          </w:p>
        </w:tc>
        <w:tc>
          <w:tcPr>
            <w:tcW w:w="1989" w:type="dxa"/>
            <w:vAlign w:val="center"/>
          </w:tcPr>
          <w:p w14:paraId="6BB7EA70" w14:textId="77777777" w:rsidR="007942B5" w:rsidRPr="00484FF7" w:rsidRDefault="007942B5" w:rsidP="00484FF7">
            <w:pPr>
              <w:rPr>
                <w:rFonts w:cs="Arial"/>
                <w:szCs w:val="22"/>
              </w:rPr>
            </w:pPr>
            <w:r w:rsidRPr="00484FF7">
              <w:rPr>
                <w:rFonts w:cs="Arial"/>
                <w:szCs w:val="22"/>
                <w:lang w:val="en-US"/>
              </w:rPr>
              <w:t>Review/discussion paper</w:t>
            </w:r>
          </w:p>
        </w:tc>
        <w:tc>
          <w:tcPr>
            <w:tcW w:w="0" w:type="auto"/>
            <w:vAlign w:val="center"/>
          </w:tcPr>
          <w:p w14:paraId="09A9CD84" w14:textId="77777777" w:rsidR="007942B5" w:rsidRPr="00484FF7" w:rsidRDefault="007942B5" w:rsidP="00484FF7">
            <w:pPr>
              <w:rPr>
                <w:rFonts w:cs="Arial"/>
                <w:szCs w:val="22"/>
              </w:rPr>
            </w:pPr>
            <w:r w:rsidRPr="00484FF7">
              <w:rPr>
                <w:rFonts w:cs="Arial"/>
                <w:szCs w:val="22"/>
                <w:lang w:val="en-US"/>
              </w:rPr>
              <w:t>Nursing practice context</w:t>
            </w:r>
          </w:p>
        </w:tc>
        <w:tc>
          <w:tcPr>
            <w:tcW w:w="0" w:type="auto"/>
            <w:vAlign w:val="center"/>
          </w:tcPr>
          <w:p w14:paraId="523DFA1F" w14:textId="77777777" w:rsidR="007942B5" w:rsidRPr="00484FF7" w:rsidRDefault="007942B5" w:rsidP="00484FF7">
            <w:pPr>
              <w:rPr>
                <w:rFonts w:cs="Arial"/>
                <w:szCs w:val="22"/>
              </w:rPr>
            </w:pPr>
            <w:r w:rsidRPr="00484FF7">
              <w:rPr>
                <w:rFonts w:cs="Arial"/>
                <w:szCs w:val="22"/>
                <w:lang w:val="en-US"/>
              </w:rPr>
              <w:t>Highlighted role of nurses in tackling inequities and supporting excluded groups</w:t>
            </w:r>
          </w:p>
        </w:tc>
      </w:tr>
      <w:tr w:rsidR="007942B5" w:rsidRPr="00484FF7" w14:paraId="785CD670" w14:textId="77777777" w:rsidTr="004A6C93">
        <w:tc>
          <w:tcPr>
            <w:tcW w:w="0" w:type="auto"/>
            <w:vAlign w:val="center"/>
          </w:tcPr>
          <w:p w14:paraId="66E81CEE" w14:textId="77777777" w:rsidR="007942B5" w:rsidRPr="00484FF7" w:rsidRDefault="007942B5" w:rsidP="00484FF7">
            <w:pPr>
              <w:rPr>
                <w:rFonts w:cs="Arial"/>
                <w:szCs w:val="22"/>
              </w:rPr>
            </w:pPr>
            <w:proofErr w:type="spellStart"/>
            <w:r w:rsidRPr="00484FF7">
              <w:rPr>
                <w:rFonts w:cs="Arial"/>
                <w:szCs w:val="22"/>
                <w:lang w:val="en-US"/>
              </w:rPr>
              <w:t>Olivera</w:t>
            </w:r>
            <w:proofErr w:type="spellEnd"/>
            <w:r w:rsidRPr="00484FF7">
              <w:rPr>
                <w:rFonts w:cs="Arial"/>
                <w:szCs w:val="22"/>
                <w:lang w:val="en-US"/>
              </w:rPr>
              <w:t xml:space="preserve"> et al. (2022)</w:t>
            </w:r>
          </w:p>
        </w:tc>
        <w:tc>
          <w:tcPr>
            <w:tcW w:w="1199" w:type="dxa"/>
            <w:vAlign w:val="center"/>
          </w:tcPr>
          <w:p w14:paraId="71AAC128" w14:textId="77777777" w:rsidR="007942B5" w:rsidRPr="00484FF7" w:rsidRDefault="007942B5" w:rsidP="00484FF7">
            <w:pPr>
              <w:rPr>
                <w:rFonts w:cs="Arial"/>
                <w:szCs w:val="22"/>
              </w:rPr>
            </w:pPr>
            <w:r w:rsidRPr="00484FF7">
              <w:rPr>
                <w:rFonts w:cs="Arial"/>
                <w:szCs w:val="22"/>
                <w:lang w:val="en-US"/>
              </w:rPr>
              <w:t>England</w:t>
            </w:r>
          </w:p>
        </w:tc>
        <w:tc>
          <w:tcPr>
            <w:tcW w:w="1450" w:type="dxa"/>
            <w:vAlign w:val="center"/>
          </w:tcPr>
          <w:p w14:paraId="3EC10E8C" w14:textId="77777777" w:rsidR="007942B5" w:rsidRPr="00484FF7" w:rsidRDefault="007942B5" w:rsidP="00484FF7">
            <w:pPr>
              <w:rPr>
                <w:rFonts w:cs="Arial"/>
                <w:szCs w:val="22"/>
              </w:rPr>
            </w:pPr>
            <w:r w:rsidRPr="00484FF7">
              <w:rPr>
                <w:rFonts w:cs="Arial"/>
                <w:szCs w:val="22"/>
                <w:lang w:val="en-US"/>
              </w:rPr>
              <w:t xml:space="preserve">To </w:t>
            </w:r>
            <w:proofErr w:type="spellStart"/>
            <w:r w:rsidRPr="00484FF7">
              <w:rPr>
                <w:rFonts w:cs="Arial"/>
                <w:szCs w:val="22"/>
                <w:lang w:val="en-US"/>
              </w:rPr>
              <w:t>analyse</w:t>
            </w:r>
            <w:proofErr w:type="spellEnd"/>
            <w:r w:rsidRPr="00484FF7">
              <w:rPr>
                <w:rFonts w:cs="Arial"/>
                <w:szCs w:val="22"/>
                <w:lang w:val="en-US"/>
              </w:rPr>
              <w:t xml:space="preserve"> local healthcare plans </w:t>
            </w:r>
            <w:r w:rsidRPr="00484FF7">
              <w:rPr>
                <w:rFonts w:cs="Arial"/>
                <w:szCs w:val="22"/>
                <w:lang w:val="en-US"/>
              </w:rPr>
              <w:lastRenderedPageBreak/>
              <w:t>addressing inequalities</w:t>
            </w:r>
          </w:p>
        </w:tc>
        <w:tc>
          <w:tcPr>
            <w:tcW w:w="1989" w:type="dxa"/>
            <w:vAlign w:val="center"/>
          </w:tcPr>
          <w:p w14:paraId="0F57E3CF" w14:textId="77777777" w:rsidR="007942B5" w:rsidRPr="00484FF7" w:rsidRDefault="007942B5" w:rsidP="00484FF7">
            <w:pPr>
              <w:rPr>
                <w:rFonts w:cs="Arial"/>
                <w:szCs w:val="22"/>
              </w:rPr>
            </w:pPr>
            <w:r w:rsidRPr="00484FF7">
              <w:rPr>
                <w:rFonts w:cs="Arial"/>
                <w:szCs w:val="22"/>
                <w:lang w:val="en-US"/>
              </w:rPr>
              <w:lastRenderedPageBreak/>
              <w:t>Document analysis</w:t>
            </w:r>
          </w:p>
        </w:tc>
        <w:tc>
          <w:tcPr>
            <w:tcW w:w="0" w:type="auto"/>
            <w:vAlign w:val="center"/>
          </w:tcPr>
          <w:p w14:paraId="39CB3299" w14:textId="77777777" w:rsidR="007942B5" w:rsidRPr="00484FF7" w:rsidRDefault="007942B5" w:rsidP="00484FF7">
            <w:pPr>
              <w:rPr>
                <w:rFonts w:cs="Arial"/>
                <w:szCs w:val="22"/>
              </w:rPr>
            </w:pPr>
            <w:r w:rsidRPr="00484FF7">
              <w:rPr>
                <w:rFonts w:cs="Arial"/>
                <w:szCs w:val="22"/>
                <w:lang w:val="en-US"/>
              </w:rPr>
              <w:t>13 local NHS plans</w:t>
            </w:r>
          </w:p>
        </w:tc>
        <w:tc>
          <w:tcPr>
            <w:tcW w:w="0" w:type="auto"/>
            <w:vAlign w:val="center"/>
          </w:tcPr>
          <w:p w14:paraId="4360EC7A" w14:textId="77777777" w:rsidR="007942B5" w:rsidRPr="00484FF7" w:rsidRDefault="007942B5" w:rsidP="00484FF7">
            <w:pPr>
              <w:rPr>
                <w:rFonts w:cs="Arial"/>
                <w:szCs w:val="22"/>
              </w:rPr>
            </w:pPr>
            <w:r w:rsidRPr="00484FF7">
              <w:rPr>
                <w:rFonts w:cs="Arial"/>
                <w:szCs w:val="22"/>
                <w:lang w:val="en-US"/>
              </w:rPr>
              <w:t xml:space="preserve">Found vague and inconsistent </w:t>
            </w:r>
            <w:proofErr w:type="spellStart"/>
            <w:r w:rsidRPr="00484FF7">
              <w:rPr>
                <w:rFonts w:cs="Arial"/>
                <w:szCs w:val="22"/>
                <w:lang w:val="en-US"/>
              </w:rPr>
              <w:t>conceptualisations</w:t>
            </w:r>
            <w:proofErr w:type="spellEnd"/>
            <w:r w:rsidRPr="00484FF7">
              <w:rPr>
                <w:rFonts w:cs="Arial"/>
                <w:szCs w:val="22"/>
                <w:lang w:val="en-US"/>
              </w:rPr>
              <w:t xml:space="preserve"> of inequalities, with limited </w:t>
            </w:r>
            <w:r w:rsidRPr="00484FF7">
              <w:rPr>
                <w:rFonts w:cs="Arial"/>
                <w:szCs w:val="22"/>
                <w:lang w:val="en-US"/>
              </w:rPr>
              <w:lastRenderedPageBreak/>
              <w:t>commitment to action</w:t>
            </w:r>
          </w:p>
        </w:tc>
      </w:tr>
    </w:tbl>
    <w:p w14:paraId="599BE566" w14:textId="77777777" w:rsidR="00BF4560" w:rsidRDefault="00BF4560" w:rsidP="007942B5">
      <w:pPr>
        <w:rPr>
          <w:b/>
          <w:bCs/>
          <w:sz w:val="24"/>
          <w:szCs w:val="28"/>
        </w:rPr>
      </w:pPr>
    </w:p>
    <w:p w14:paraId="3F0C2E8E" w14:textId="50054ECA" w:rsidR="00484FF7" w:rsidRDefault="007942B5" w:rsidP="007212D2">
      <w:pPr>
        <w:pStyle w:val="Heading3"/>
      </w:pPr>
      <w:bookmarkStart w:id="58" w:name="_Toc210700712"/>
      <w:r w:rsidRPr="00CE2AD4">
        <w:t>Narrative Synthesis</w:t>
      </w:r>
      <w:bookmarkEnd w:id="58"/>
    </w:p>
    <w:p w14:paraId="0F1ACF6F" w14:textId="73F7F136" w:rsidR="007942B5" w:rsidRPr="00CD3559" w:rsidRDefault="007942B5" w:rsidP="007942B5">
      <w:r w:rsidRPr="00CD3559">
        <w:t>The g</w:t>
      </w:r>
      <w:r w:rsidR="006A1696">
        <w:t>eographical spread of the ten</w:t>
      </w:r>
      <w:r w:rsidRPr="00CD3559">
        <w:t xml:space="preserve"> studies is broad, but most are anchored in the UK setting, as health inequalities relates to NHS and social care policy. A total of four papers were carried out in England </w:t>
      </w:r>
      <w:r w:rsidR="000B4557">
        <w:t xml:space="preserve">in particular. </w:t>
      </w:r>
      <w:r w:rsidRPr="0026546F">
        <w:t xml:space="preserve">In regard to the date of publication of the studies, the majority of them are not more than five years old, and it is </w:t>
      </w:r>
      <w:r>
        <w:t xml:space="preserve">the </w:t>
      </w:r>
      <w:r w:rsidRPr="0026546F">
        <w:t>evidence that health inequalities have been under high-level concern during the last few years, particularly after the COVID-19 pandemic. Older literature such as Cookson et al. (2016) would be ideal ba</w:t>
      </w:r>
      <w:r w:rsidR="00FA2BC8">
        <w:t>c</w:t>
      </w:r>
      <w:r w:rsidRPr="0026546F">
        <w:t xml:space="preserve">kground research as </w:t>
      </w:r>
      <w:r w:rsidR="005E15C3">
        <w:t>it</w:t>
      </w:r>
      <w:r w:rsidRPr="0026546F">
        <w:t xml:space="preserve"> discuss</w:t>
      </w:r>
      <w:r w:rsidR="005E15C3">
        <w:t>ed</w:t>
      </w:r>
      <w:r w:rsidRPr="0026546F">
        <w:t xml:space="preserve"> the policy context and structural injustices. </w:t>
      </w:r>
      <w:proofErr w:type="spellStart"/>
      <w:r w:rsidRPr="0026546F">
        <w:t>Bidmead</w:t>
      </w:r>
      <w:proofErr w:type="spellEnd"/>
      <w:r w:rsidRPr="0026546F">
        <w:t xml:space="preserve"> et al. (2024), McHugh et al. (2024), and Smith and Stewart (2024) provide the latest evidence of barriers, lived experience, and voice of communities.</w:t>
      </w:r>
    </w:p>
    <w:p w14:paraId="7614A775" w14:textId="559B420D" w:rsidR="006A1696" w:rsidRDefault="006A1696" w:rsidP="006A1696">
      <w:r>
        <w:t xml:space="preserve">Among The research designs presented, the most common ones </w:t>
      </w:r>
      <w:r w:rsidRPr="009F3802">
        <w:t>are</w:t>
      </w:r>
      <w:r w:rsidR="007942B5" w:rsidRPr="009F3802">
        <w:t xml:space="preserve"> qualitative, quantitative and mixed methods</w:t>
      </w:r>
      <w:r>
        <w:t xml:space="preserve"> studies</w:t>
      </w:r>
      <w:r w:rsidR="007942B5" w:rsidRPr="009F3802">
        <w:t xml:space="preserve"> and document analyses. </w:t>
      </w:r>
      <w:r>
        <w:t xml:space="preserve">Each of them plays a role in a different way: Qualitative studies </w:t>
      </w:r>
      <w:proofErr w:type="spellStart"/>
      <w:r>
        <w:t>reveral</w:t>
      </w:r>
      <w:proofErr w:type="spellEnd"/>
      <w:r>
        <w:t xml:space="preserve"> lived experiences and system level barriers from the viewpoints of both service users and practitioners, while policy review or advocacy papers identify the structural gaps in the NHS and social care system</w:t>
      </w:r>
      <w:r w:rsidR="007942B5" w:rsidRPr="009F3802">
        <w:t xml:space="preserve">. </w:t>
      </w:r>
      <w:bookmarkStart w:id="59" w:name="_Toc210700713"/>
      <w:r>
        <w:t>The methods diversity reinforces the thematic analysis since it enables triangulation combining the numerical patterns of inequality, policy level analysis, and the rich narrative accounts of everyday experience. Nonetheless, the difference in methods, contexts, and analytical foci makes it difficult to compare the results directly, which has to be taken into account when discussing the findings.</w:t>
      </w:r>
    </w:p>
    <w:p w14:paraId="35968997" w14:textId="690798B1" w:rsidR="006A1696" w:rsidRPr="006A1696" w:rsidRDefault="006A1696" w:rsidP="006A1696">
      <w:pPr>
        <w:rPr>
          <w:b/>
        </w:rPr>
      </w:pPr>
      <w:r w:rsidRPr="006A1696">
        <w:rPr>
          <w:b/>
        </w:rPr>
        <w:t>The Thematic Analysis Findings</w:t>
      </w:r>
    </w:p>
    <w:bookmarkEnd w:id="59"/>
    <w:p w14:paraId="080FECFB" w14:textId="54754404" w:rsidR="006A1696" w:rsidRDefault="007942B5" w:rsidP="006A1696">
      <w:r w:rsidRPr="003457DA">
        <w:t xml:space="preserve">Thematic analysis followed the six steps of the proposed methodology by Brown and </w:t>
      </w:r>
      <w:r w:rsidR="006A1696" w:rsidRPr="003457DA">
        <w:t>Clarke</w:t>
      </w:r>
      <w:r w:rsidR="006A1696">
        <w:t xml:space="preserve"> (2006)</w:t>
      </w:r>
      <w:bookmarkStart w:id="60" w:name="_Toc210700714"/>
      <w:r w:rsidR="006A1696">
        <w:t xml:space="preserve"> proposed, getting acquainted with the data , making the firs codes, searching themes, reviewing themes, defining and naming themes , and producing the report. Four important themes have emerged after the systematic coding of the selected ten studies, and they cover not just the everyday experiences of health inequalities but also the responses from professionals and policymakers. The richness and trustworthiness of the findings were guaranteed through the process of constant comparison across different sources, namely, practitioner accounts, policy documents, and community viewpoints, which useful to avoid over-representation of any one particular stakeholder group. The four themes are interlinked, they together reveal that social determinants are at the root of inequalities, that professionals find ways around the practice </w:t>
      </w:r>
      <w:r w:rsidR="006A1696">
        <w:lastRenderedPageBreak/>
        <w:t>obstacles, that interventions are context-dependent, and that the policy frameworks are the ones that ultimately allow or prevent fair care.</w:t>
      </w:r>
    </w:p>
    <w:p w14:paraId="64BA63E1" w14:textId="6602FDF9" w:rsidR="007942B5" w:rsidRPr="006A1696" w:rsidRDefault="007942B5" w:rsidP="006A1696">
      <w:pPr>
        <w:rPr>
          <w:b/>
          <w:szCs w:val="32"/>
        </w:rPr>
      </w:pPr>
      <w:r w:rsidRPr="006A1696">
        <w:rPr>
          <w:b/>
          <w:szCs w:val="32"/>
        </w:rPr>
        <w:t>Theme 1: Influence of Social Determinants on Professional Practice</w:t>
      </w:r>
      <w:bookmarkEnd w:id="60"/>
    </w:p>
    <w:p w14:paraId="5D9699F6" w14:textId="0C9D7D92" w:rsidR="007942B5" w:rsidRDefault="00BE0EBD" w:rsidP="007942B5">
      <w:r>
        <w:t xml:space="preserve">The analysis brought to light </w:t>
      </w:r>
      <w:r w:rsidR="000D3807" w:rsidRPr="00933D41">
        <w:t>one</w:t>
      </w:r>
      <w:r w:rsidR="007942B5" w:rsidRPr="00933D41">
        <w:t xml:space="preserve"> of the main themes that was found to be influential within the analysis was the manner in which the social determinants of health have an enormously impactful effect on professional practice and patient experience.</w:t>
      </w:r>
      <w:r>
        <w:t xml:space="preserve"> The studies indicated that </w:t>
      </w:r>
      <w:r w:rsidR="007942B5" w:rsidRPr="00933D41">
        <w:t xml:space="preserve"> Clinical care in the reviews was shown not to affect health outcome but, instead, closely correlate to total social and economic context, like accommoda</w:t>
      </w:r>
      <w:r>
        <w:t>tion, education, income and employment and observation that is very much in line with the argument of the Marmot Review that health is a social matter in its very essence (Marmot, 2020). Housing</w:t>
      </w:r>
      <w:r w:rsidR="007942B5" w:rsidRPr="00933D41">
        <w:t xml:space="preserve"> insecurity was of particular concern in impoverished neighbo</w:t>
      </w:r>
      <w:r w:rsidR="007942B5">
        <w:t>u</w:t>
      </w:r>
      <w:r w:rsidR="007942B5" w:rsidRPr="00933D41">
        <w:t>rhoods since Smith and Stewart (2024) demonstrated how bad housing and unsympathetic owners resulted in long-term health complications and even a perception of structural victimi</w:t>
      </w:r>
      <w:r w:rsidR="007942B5">
        <w:t>s</w:t>
      </w:r>
      <w:r w:rsidR="007942B5" w:rsidRPr="00933D41">
        <w:t>ation.</w:t>
      </w:r>
      <w:r w:rsidR="007942B5">
        <w:t xml:space="preserve"> </w:t>
      </w:r>
    </w:p>
    <w:p w14:paraId="759D496E" w14:textId="1534672C" w:rsidR="007942B5" w:rsidRDefault="007942B5" w:rsidP="007942B5">
      <w:r w:rsidRPr="00FE5261">
        <w:t>Of similar significance, Spencer et al. (2019) confirmed that children who experienced unsafely housing or bad standards in childhood were exposed to impact their development across life course, therefore, professionals mainly had to work around issues beyond their level of practice. Education was also emphasized as a strong determinant, especially where low levels of education lowered health literacy.</w:t>
      </w:r>
      <w:r>
        <w:t xml:space="preserve"> </w:t>
      </w:r>
      <w:r w:rsidR="00AB2E67">
        <w:t>Mishra et al. (2021) believe that, e</w:t>
      </w:r>
      <w:r>
        <w:t xml:space="preserve">ven with the policy driven by healthcare only, the strong investment in education was needed, whereas </w:t>
      </w:r>
      <w:r w:rsidR="00E85AF0">
        <w:t>Cookson</w:t>
      </w:r>
      <w:r>
        <w:t xml:space="preserve"> et al. (201</w:t>
      </w:r>
      <w:r w:rsidR="00E85AF0">
        <w:t>6</w:t>
      </w:r>
      <w:r>
        <w:t xml:space="preserve">) demonstrated poor communication with the provider and low satisfaction levels among patients with less education level. </w:t>
      </w:r>
      <w:r w:rsidRPr="00540FDB">
        <w:t xml:space="preserve">Income inequality was the most consistent predictor across the studies. </w:t>
      </w:r>
      <w:r w:rsidR="00AB2E67">
        <w:t xml:space="preserve">The findings of the studies </w:t>
      </w:r>
      <w:r w:rsidRPr="00540FDB">
        <w:t>confirmed the hypothesis that poorer patients were having issues with obtaining care, poor provider-patient relationships, and lower levels of satisfaction, and established that economic disadvantage exacerbated mental illness issues and placed families at risk for indirect costs of nominally free care like transportation and opportunity cost.</w:t>
      </w:r>
      <w:r>
        <w:t xml:space="preserve"> </w:t>
      </w:r>
      <w:r w:rsidR="008D1887">
        <w:t>One example of a hidden cost of care is the loss of income or career opportunities for families’ members who become informal caregivers. This can include reducing work hours, passing up promotions, poor leaving employment entirely to provide unpaid care. Others common examples is cost of transportation for frequent trips to medical appointments, which involve fuel, vehicle maintenance, and potentially high hospital parking fees.</w:t>
      </w:r>
    </w:p>
    <w:p w14:paraId="06C300EC" w14:textId="77777777" w:rsidR="008D1887" w:rsidRDefault="008D1887" w:rsidP="007942B5"/>
    <w:p w14:paraId="38935710" w14:textId="77777777" w:rsidR="008D1887" w:rsidRDefault="008D1887" w:rsidP="007942B5"/>
    <w:p w14:paraId="4C51D57F" w14:textId="0F036B7A" w:rsidR="00C55E3C" w:rsidRDefault="007942B5" w:rsidP="007942B5">
      <w:r w:rsidRPr="005014D2">
        <w:lastRenderedPageBreak/>
        <w:t xml:space="preserve">It was also attractive to notice that work status and conditions of work entered the picture here when McHugh et al. (2024) found that precarious work was more likely to be linked with chronic illness and chronic stress, and Mishra et al. (2021) found that precarious or low-paying work was likely to put people at risk of COVID-19 infection and death. The general results of these demonstrate that the staff are often compelled to deal with the impact of the social </w:t>
      </w:r>
      <w:r w:rsidR="00BE0EBD" w:rsidRPr="005014D2">
        <w:t>underprivileged</w:t>
      </w:r>
      <w:r w:rsidRPr="005014D2">
        <w:t xml:space="preserve"> as well as their role as the carers for the healthcare.</w:t>
      </w:r>
      <w:r w:rsidRPr="00AF6E94">
        <w:t xml:space="preserve"> These articles suggest that the realities of housing, education, income and employment routinely impact on patient need and place additional demands on health and social care services, a reality revealing the unambiguous interdependence of social context and medical practice.</w:t>
      </w:r>
    </w:p>
    <w:p w14:paraId="3814E157" w14:textId="7AB21D3D" w:rsidR="008F0A4F" w:rsidRPr="008F0A4F" w:rsidRDefault="008F0A4F" w:rsidP="008F0A4F">
      <w:pPr>
        <w:pStyle w:val="Caption"/>
        <w:spacing w:before="240" w:line="360" w:lineRule="auto"/>
        <w:jc w:val="center"/>
        <w:rPr>
          <w:i w:val="0"/>
          <w:iCs w:val="0"/>
          <w:color w:val="auto"/>
          <w:sz w:val="22"/>
          <w:szCs w:val="22"/>
        </w:rPr>
      </w:pPr>
      <w:r w:rsidRPr="000A3F7F">
        <w:rPr>
          <w:i w:val="0"/>
          <w:iCs w:val="0"/>
          <w:color w:val="auto"/>
          <w:sz w:val="22"/>
          <w:szCs w:val="22"/>
        </w:rPr>
        <w:t xml:space="preserve">Table </w:t>
      </w:r>
      <w:r w:rsidR="005F6949">
        <w:rPr>
          <w:i w:val="0"/>
          <w:iCs w:val="0"/>
          <w:color w:val="auto"/>
          <w:sz w:val="22"/>
          <w:szCs w:val="22"/>
        </w:rPr>
        <w:fldChar w:fldCharType="begin"/>
      </w:r>
      <w:r w:rsidR="005F6949">
        <w:rPr>
          <w:i w:val="0"/>
          <w:iCs w:val="0"/>
          <w:color w:val="auto"/>
          <w:sz w:val="22"/>
          <w:szCs w:val="22"/>
        </w:rPr>
        <w:instrText xml:space="preserve"> SEQ Table \* ARABIC </w:instrText>
      </w:r>
      <w:r w:rsidR="005F6949">
        <w:rPr>
          <w:i w:val="0"/>
          <w:iCs w:val="0"/>
          <w:color w:val="auto"/>
          <w:sz w:val="22"/>
          <w:szCs w:val="22"/>
        </w:rPr>
        <w:fldChar w:fldCharType="separate"/>
      </w:r>
      <w:r w:rsidR="005F6949">
        <w:rPr>
          <w:i w:val="0"/>
          <w:iCs w:val="0"/>
          <w:noProof/>
          <w:color w:val="auto"/>
          <w:sz w:val="22"/>
          <w:szCs w:val="22"/>
        </w:rPr>
        <w:t>3</w:t>
      </w:r>
      <w:r w:rsidR="005F6949">
        <w:rPr>
          <w:i w:val="0"/>
          <w:iCs w:val="0"/>
          <w:color w:val="auto"/>
          <w:sz w:val="22"/>
          <w:szCs w:val="22"/>
        </w:rPr>
        <w:fldChar w:fldCharType="end"/>
      </w:r>
      <w:r w:rsidRPr="000A3F7F">
        <w:rPr>
          <w:i w:val="0"/>
          <w:iCs w:val="0"/>
          <w:color w:val="auto"/>
          <w:sz w:val="22"/>
          <w:szCs w:val="22"/>
        </w:rPr>
        <w:t>: Theme 1 - Influence of Social Determinants on Professional Practice</w:t>
      </w:r>
    </w:p>
    <w:tbl>
      <w:tblPr>
        <w:tblStyle w:val="TableGrid"/>
        <w:tblW w:w="0" w:type="auto"/>
        <w:tblLook w:val="04A0" w:firstRow="1" w:lastRow="0" w:firstColumn="1" w:lastColumn="0" w:noHBand="0" w:noVBand="1"/>
      </w:tblPr>
      <w:tblGrid>
        <w:gridCol w:w="1605"/>
        <w:gridCol w:w="2379"/>
        <w:gridCol w:w="5366"/>
      </w:tblGrid>
      <w:tr w:rsidR="007942B5" w14:paraId="117D12BD" w14:textId="77777777" w:rsidTr="000A3F7F">
        <w:tc>
          <w:tcPr>
            <w:tcW w:w="0" w:type="auto"/>
            <w:vAlign w:val="center"/>
          </w:tcPr>
          <w:p w14:paraId="43F6359C" w14:textId="77777777" w:rsidR="007942B5" w:rsidRDefault="007942B5" w:rsidP="00EB19BC">
            <w:r w:rsidRPr="00924BC3">
              <w:rPr>
                <w:b/>
                <w:bCs/>
                <w:lang w:val="en-US"/>
              </w:rPr>
              <w:t>Subtheme</w:t>
            </w:r>
          </w:p>
        </w:tc>
        <w:tc>
          <w:tcPr>
            <w:tcW w:w="0" w:type="auto"/>
            <w:vAlign w:val="center"/>
          </w:tcPr>
          <w:p w14:paraId="57736901" w14:textId="77777777" w:rsidR="007942B5" w:rsidRDefault="007942B5" w:rsidP="00EB19BC">
            <w:r w:rsidRPr="00924BC3">
              <w:rPr>
                <w:b/>
                <w:bCs/>
                <w:lang w:val="en-US"/>
              </w:rPr>
              <w:t>Supporting Studies</w:t>
            </w:r>
          </w:p>
        </w:tc>
        <w:tc>
          <w:tcPr>
            <w:tcW w:w="0" w:type="auto"/>
            <w:vAlign w:val="center"/>
          </w:tcPr>
          <w:p w14:paraId="01902236" w14:textId="77777777" w:rsidR="007942B5" w:rsidRDefault="007942B5" w:rsidP="00EB19BC">
            <w:r w:rsidRPr="00924BC3">
              <w:rPr>
                <w:b/>
                <w:bCs/>
                <w:lang w:val="en-US"/>
              </w:rPr>
              <w:t>Key Insights</w:t>
            </w:r>
          </w:p>
        </w:tc>
      </w:tr>
      <w:tr w:rsidR="007942B5" w14:paraId="77B6A01A" w14:textId="77777777" w:rsidTr="000A3F7F">
        <w:tc>
          <w:tcPr>
            <w:tcW w:w="0" w:type="auto"/>
            <w:vAlign w:val="center"/>
          </w:tcPr>
          <w:p w14:paraId="06449B15" w14:textId="77777777" w:rsidR="007942B5" w:rsidRDefault="007942B5" w:rsidP="00EB19BC">
            <w:r w:rsidRPr="00924BC3">
              <w:rPr>
                <w:lang w:val="en-US"/>
              </w:rPr>
              <w:t>Housing Insecurity</w:t>
            </w:r>
          </w:p>
        </w:tc>
        <w:tc>
          <w:tcPr>
            <w:tcW w:w="0" w:type="auto"/>
            <w:vAlign w:val="center"/>
          </w:tcPr>
          <w:p w14:paraId="10FE1903" w14:textId="77777777" w:rsidR="007942B5" w:rsidRDefault="007942B5" w:rsidP="00EB19BC">
            <w:r w:rsidRPr="00924BC3">
              <w:rPr>
                <w:lang w:val="en-US"/>
              </w:rPr>
              <w:t xml:space="preserve">Smith </w:t>
            </w:r>
            <w:r>
              <w:rPr>
                <w:lang w:val="en-US"/>
              </w:rPr>
              <w:t>and</w:t>
            </w:r>
            <w:r w:rsidRPr="00924BC3">
              <w:rPr>
                <w:lang w:val="en-US"/>
              </w:rPr>
              <w:t xml:space="preserve"> Stewart (2024); Spencer et al. (2019)</w:t>
            </w:r>
          </w:p>
        </w:tc>
        <w:tc>
          <w:tcPr>
            <w:tcW w:w="0" w:type="auto"/>
            <w:vAlign w:val="center"/>
          </w:tcPr>
          <w:p w14:paraId="7F122F89" w14:textId="77777777" w:rsidR="007942B5" w:rsidRDefault="007942B5" w:rsidP="00EB19BC">
            <w:r w:rsidRPr="00924BC3">
              <w:rPr>
                <w:lang w:val="en-US"/>
              </w:rPr>
              <w:t>Poor housing worsens health outcomes; children face long-term disadvantages; professionals encounter structural barriers outside clinical practice.</w:t>
            </w:r>
          </w:p>
        </w:tc>
      </w:tr>
      <w:tr w:rsidR="007942B5" w14:paraId="7E5935BF" w14:textId="77777777" w:rsidTr="000A3F7F">
        <w:tc>
          <w:tcPr>
            <w:tcW w:w="0" w:type="auto"/>
            <w:vAlign w:val="center"/>
          </w:tcPr>
          <w:p w14:paraId="3428FB4F" w14:textId="77777777" w:rsidR="007942B5" w:rsidRDefault="007942B5" w:rsidP="00EB19BC">
            <w:r w:rsidRPr="00924BC3">
              <w:rPr>
                <w:lang w:val="en-US"/>
              </w:rPr>
              <w:t>Education</w:t>
            </w:r>
          </w:p>
        </w:tc>
        <w:tc>
          <w:tcPr>
            <w:tcW w:w="0" w:type="auto"/>
            <w:vAlign w:val="center"/>
          </w:tcPr>
          <w:p w14:paraId="233DD4E7" w14:textId="005A9133" w:rsidR="007942B5" w:rsidRDefault="00AB2E67" w:rsidP="00EB19BC">
            <w:r>
              <w:rPr>
                <w:lang w:val="en-US"/>
              </w:rPr>
              <w:t xml:space="preserve">Cookson et al. </w:t>
            </w:r>
            <w:r w:rsidR="00237474">
              <w:rPr>
                <w:lang w:val="en-US"/>
              </w:rPr>
              <w:t>(</w:t>
            </w:r>
            <w:r>
              <w:rPr>
                <w:lang w:val="en-US"/>
              </w:rPr>
              <w:t>2016)</w:t>
            </w:r>
          </w:p>
        </w:tc>
        <w:tc>
          <w:tcPr>
            <w:tcW w:w="0" w:type="auto"/>
            <w:vAlign w:val="center"/>
          </w:tcPr>
          <w:p w14:paraId="161D552C" w14:textId="77777777" w:rsidR="007942B5" w:rsidRDefault="007942B5" w:rsidP="00EB19BC">
            <w:r w:rsidRPr="00924BC3">
              <w:rPr>
                <w:lang w:val="en-US"/>
              </w:rPr>
              <w:t>Educational disadvantage limits health literacy and patient engagement; professionals must adjust communication.</w:t>
            </w:r>
          </w:p>
        </w:tc>
      </w:tr>
      <w:tr w:rsidR="007942B5" w14:paraId="143A3A93" w14:textId="77777777" w:rsidTr="000A3F7F">
        <w:tc>
          <w:tcPr>
            <w:tcW w:w="0" w:type="auto"/>
            <w:vAlign w:val="center"/>
          </w:tcPr>
          <w:p w14:paraId="3F6FEC81" w14:textId="77777777" w:rsidR="007942B5" w:rsidRDefault="007942B5" w:rsidP="00EB19BC">
            <w:r w:rsidRPr="00924BC3">
              <w:rPr>
                <w:lang w:val="en-US"/>
              </w:rPr>
              <w:t>Income</w:t>
            </w:r>
          </w:p>
        </w:tc>
        <w:tc>
          <w:tcPr>
            <w:tcW w:w="0" w:type="auto"/>
            <w:vAlign w:val="center"/>
          </w:tcPr>
          <w:p w14:paraId="43D0DE1D" w14:textId="05C707F5" w:rsidR="007942B5" w:rsidRDefault="007942B5" w:rsidP="00EB19BC">
            <w:proofErr w:type="spellStart"/>
            <w:r w:rsidRPr="00924BC3">
              <w:rPr>
                <w:lang w:val="en-US"/>
              </w:rPr>
              <w:t>Bidmead</w:t>
            </w:r>
            <w:proofErr w:type="spellEnd"/>
            <w:r w:rsidRPr="00924BC3">
              <w:rPr>
                <w:lang w:val="en-US"/>
              </w:rPr>
              <w:t xml:space="preserve"> et al. (2024)</w:t>
            </w:r>
          </w:p>
        </w:tc>
        <w:tc>
          <w:tcPr>
            <w:tcW w:w="0" w:type="auto"/>
            <w:vAlign w:val="center"/>
          </w:tcPr>
          <w:p w14:paraId="3EE5E2CA" w14:textId="77777777" w:rsidR="007942B5" w:rsidRDefault="007942B5" w:rsidP="00EB19BC">
            <w:r w:rsidRPr="00924BC3">
              <w:rPr>
                <w:lang w:val="en-US"/>
              </w:rPr>
              <w:t>Lower income consistently linked to poorer experiences, mental health risks, hidden costs in accessing care.</w:t>
            </w:r>
          </w:p>
        </w:tc>
      </w:tr>
      <w:tr w:rsidR="007942B5" w14:paraId="23D219E0" w14:textId="77777777" w:rsidTr="000A3F7F">
        <w:tc>
          <w:tcPr>
            <w:tcW w:w="0" w:type="auto"/>
            <w:vAlign w:val="center"/>
          </w:tcPr>
          <w:p w14:paraId="18E5CF0E" w14:textId="77777777" w:rsidR="007942B5" w:rsidRDefault="007942B5" w:rsidP="00EB19BC">
            <w:r w:rsidRPr="00924BC3">
              <w:rPr>
                <w:lang w:val="en-US"/>
              </w:rPr>
              <w:t>Employment</w:t>
            </w:r>
          </w:p>
        </w:tc>
        <w:tc>
          <w:tcPr>
            <w:tcW w:w="0" w:type="auto"/>
            <w:vAlign w:val="center"/>
          </w:tcPr>
          <w:p w14:paraId="434501A9" w14:textId="77777777" w:rsidR="007942B5" w:rsidRDefault="007942B5" w:rsidP="00EB19BC">
            <w:r w:rsidRPr="00924BC3">
              <w:rPr>
                <w:lang w:val="en-US"/>
              </w:rPr>
              <w:t>McHugh et al. (2024); Mishra et al. (2021)</w:t>
            </w:r>
          </w:p>
        </w:tc>
        <w:tc>
          <w:tcPr>
            <w:tcW w:w="0" w:type="auto"/>
            <w:vAlign w:val="center"/>
          </w:tcPr>
          <w:p w14:paraId="495D855D" w14:textId="77777777" w:rsidR="007942B5" w:rsidRDefault="007942B5" w:rsidP="000A3F7F">
            <w:pPr>
              <w:keepNext/>
            </w:pPr>
            <w:r w:rsidRPr="00924BC3">
              <w:rPr>
                <w:lang w:val="en-US"/>
              </w:rPr>
              <w:t>Precarious jobs and chronic stress fuel inequalities; COVID-19 worsened risks for low-paid workers.</w:t>
            </w:r>
          </w:p>
        </w:tc>
      </w:tr>
    </w:tbl>
    <w:p w14:paraId="4E377F17" w14:textId="00624A11" w:rsidR="007942B5" w:rsidRDefault="007942B5" w:rsidP="007212D2">
      <w:pPr>
        <w:pStyle w:val="Heading3"/>
      </w:pPr>
      <w:bookmarkStart w:id="61" w:name="_Toc210700715"/>
      <w:r w:rsidRPr="009074FA">
        <w:t>Theme 2: Barriers Faced by Health and Social Care Professionals</w:t>
      </w:r>
      <w:bookmarkEnd w:id="61"/>
    </w:p>
    <w:p w14:paraId="42137198" w14:textId="23F60335" w:rsidR="007942B5" w:rsidRDefault="007942B5" w:rsidP="007942B5">
      <w:r w:rsidRPr="00205413">
        <w:t xml:space="preserve">The constraints in interventions of the health and social care professionals aimed at reducing health inequalities were also observed to exist in the analysis. These were conditioned by both the patients' status and by the systems within which the professionals work and the systems serve as the constraining factors to the disadvantage. There was always apprehension of structural and systematic issues. </w:t>
      </w:r>
      <w:proofErr w:type="spellStart"/>
      <w:r w:rsidRPr="00205413">
        <w:t>Bidmead</w:t>
      </w:r>
      <w:proofErr w:type="spellEnd"/>
      <w:r w:rsidRPr="00205413">
        <w:t xml:space="preserve"> et al. (2024) further contributed that poor groups in north England experienced low-grade hidden costs and booking issues, placing additional burdens on the professionals who were unable to undo these system failures. </w:t>
      </w:r>
      <w:r>
        <w:t>These obstacles reveal the reification of inequality even through the organisation of medical systems.</w:t>
      </w:r>
    </w:p>
    <w:p w14:paraId="7EF99EB2" w14:textId="0F52EF9B" w:rsidR="007942B5" w:rsidRDefault="007942B5" w:rsidP="007942B5">
      <w:r>
        <w:lastRenderedPageBreak/>
        <w:t xml:space="preserve">Limitation of resources also prevailed. Cookson et al. (2016) found that even the worse-off population tended to receive more healthcare because they were more prone to illness, but preventive and high-quality services were still skewed towards the richer population segments. Mishra et al. also found that in the context of COVID-19, limited protective equipment and caseload burdens exacerbated </w:t>
      </w:r>
      <w:r w:rsidR="00BE0EBD">
        <w:t>pre-existing</w:t>
      </w:r>
      <w:r>
        <w:t xml:space="preserve"> pressure, resulting in difficulties in providing equitable care by professionals (2021).</w:t>
      </w:r>
    </w:p>
    <w:p w14:paraId="494A01A2" w14:textId="7D829C20" w:rsidR="007942B5" w:rsidRDefault="007942B5" w:rsidP="007942B5">
      <w:r>
        <w:t xml:space="preserve">These problems were compounded by policy gaps. Olivera et al. (2022) observed that the local NHS plans were addressing health inequalities in abstract terms and provided limited actionable advice, whereas McHugh et al. (2024) identified differences the professional views and the community experiences were disparate. </w:t>
      </w:r>
      <w:r w:rsidR="00FB0F76">
        <w:t xml:space="preserve"> Promising strategies are described in some studies, among them social prescribing, community outreach, and collaborative engagement. Framed within already established methods like Asset Based Community Development (ABCD) or strengths- based practice, these interventions provide insight into how practitioners strategically prefer to use community asset rather than mere deficit compensation. Their impact in the long run, however, will be dependent on structural support rather than individual goodwill. Most of these interventions continue to be locally determined and to rely on short term funding, voluntary efforts, or the availability of staff, which restricts theirs ability to scale up and hence diminishes their potential to eliminate inequalities in a sustainable manner.</w:t>
      </w:r>
    </w:p>
    <w:p w14:paraId="40F24B69" w14:textId="4106D099" w:rsidR="00FB0F76" w:rsidRDefault="00FB0F76" w:rsidP="007942B5">
      <w:r>
        <w:t>In general, the proof of the matter is that even the most diligent and talent workers are still subjected to the difficult of the structure, shortage of resources, and unclear policies situations that prevent them being able to provide the required help to the underprivileged communities whence the practitioners are fully aware and committed.</w:t>
      </w:r>
    </w:p>
    <w:p w14:paraId="7A9C9A4E" w14:textId="1DF19DAC" w:rsidR="00C362E0" w:rsidRPr="00C362E0" w:rsidRDefault="00C362E0" w:rsidP="00C55E3C">
      <w:pPr>
        <w:jc w:val="center"/>
      </w:pPr>
      <w:r w:rsidRPr="00C362E0">
        <w:rPr>
          <w:szCs w:val="22"/>
        </w:rPr>
        <w:t xml:space="preserve">Table </w:t>
      </w:r>
      <w:r w:rsidR="005F6949">
        <w:rPr>
          <w:szCs w:val="22"/>
        </w:rPr>
        <w:fldChar w:fldCharType="begin"/>
      </w:r>
      <w:r w:rsidR="005F6949">
        <w:rPr>
          <w:szCs w:val="22"/>
        </w:rPr>
        <w:instrText xml:space="preserve"> SEQ Table \* ARABIC </w:instrText>
      </w:r>
      <w:r w:rsidR="005F6949">
        <w:rPr>
          <w:szCs w:val="22"/>
        </w:rPr>
        <w:fldChar w:fldCharType="separate"/>
      </w:r>
      <w:r w:rsidR="005F6949">
        <w:rPr>
          <w:noProof/>
          <w:szCs w:val="22"/>
        </w:rPr>
        <w:t>4</w:t>
      </w:r>
      <w:r w:rsidR="005F6949">
        <w:rPr>
          <w:szCs w:val="22"/>
        </w:rPr>
        <w:fldChar w:fldCharType="end"/>
      </w:r>
      <w:r w:rsidRPr="00C362E0">
        <w:rPr>
          <w:szCs w:val="22"/>
        </w:rPr>
        <w:t>: Barriers Faced by Health and Social Care Professionals</w:t>
      </w:r>
    </w:p>
    <w:tbl>
      <w:tblPr>
        <w:tblStyle w:val="TableGrid"/>
        <w:tblW w:w="0" w:type="auto"/>
        <w:tblLook w:val="04A0" w:firstRow="1" w:lastRow="0" w:firstColumn="1" w:lastColumn="0" w:noHBand="0" w:noVBand="1"/>
      </w:tblPr>
      <w:tblGrid>
        <w:gridCol w:w="2436"/>
        <w:gridCol w:w="2543"/>
        <w:gridCol w:w="4371"/>
      </w:tblGrid>
      <w:tr w:rsidR="007942B5" w14:paraId="6CEFD945" w14:textId="77777777" w:rsidTr="00CC5EA5">
        <w:tc>
          <w:tcPr>
            <w:tcW w:w="0" w:type="auto"/>
            <w:vAlign w:val="center"/>
          </w:tcPr>
          <w:p w14:paraId="372D7E24" w14:textId="77777777" w:rsidR="007942B5" w:rsidRDefault="007942B5" w:rsidP="00EB19BC">
            <w:r w:rsidRPr="00C32958">
              <w:rPr>
                <w:b/>
                <w:bCs/>
                <w:lang w:val="en-US"/>
              </w:rPr>
              <w:t>Subtheme</w:t>
            </w:r>
          </w:p>
        </w:tc>
        <w:tc>
          <w:tcPr>
            <w:tcW w:w="0" w:type="auto"/>
            <w:vAlign w:val="center"/>
          </w:tcPr>
          <w:p w14:paraId="674D0032" w14:textId="77777777" w:rsidR="007942B5" w:rsidRDefault="007942B5" w:rsidP="00EB19BC">
            <w:r w:rsidRPr="00C32958">
              <w:rPr>
                <w:b/>
                <w:bCs/>
                <w:lang w:val="en-US"/>
              </w:rPr>
              <w:t>Supporting Studies</w:t>
            </w:r>
          </w:p>
        </w:tc>
        <w:tc>
          <w:tcPr>
            <w:tcW w:w="0" w:type="auto"/>
            <w:vAlign w:val="center"/>
          </w:tcPr>
          <w:p w14:paraId="100D6532" w14:textId="77777777" w:rsidR="007942B5" w:rsidRDefault="007942B5" w:rsidP="00EB19BC">
            <w:r w:rsidRPr="00C32958">
              <w:rPr>
                <w:b/>
                <w:bCs/>
                <w:lang w:val="en-US"/>
              </w:rPr>
              <w:t>Key Insights</w:t>
            </w:r>
          </w:p>
        </w:tc>
      </w:tr>
      <w:tr w:rsidR="007942B5" w14:paraId="4C99935B" w14:textId="77777777" w:rsidTr="00CC5EA5">
        <w:tc>
          <w:tcPr>
            <w:tcW w:w="0" w:type="auto"/>
            <w:vAlign w:val="center"/>
          </w:tcPr>
          <w:p w14:paraId="486F2F6A" w14:textId="77777777" w:rsidR="007942B5" w:rsidRDefault="007942B5" w:rsidP="00EB19BC">
            <w:r w:rsidRPr="00C32958">
              <w:rPr>
                <w:lang w:val="en-US"/>
              </w:rPr>
              <w:t>Structural/Systemic Barriers</w:t>
            </w:r>
          </w:p>
        </w:tc>
        <w:tc>
          <w:tcPr>
            <w:tcW w:w="0" w:type="auto"/>
            <w:vAlign w:val="center"/>
          </w:tcPr>
          <w:p w14:paraId="6C7ADF61" w14:textId="66E8FAB7" w:rsidR="007942B5" w:rsidRDefault="007942B5" w:rsidP="00EB19BC">
            <w:proofErr w:type="spellStart"/>
            <w:r w:rsidRPr="00C32958">
              <w:rPr>
                <w:lang w:val="en-US"/>
              </w:rPr>
              <w:t>Bidmead</w:t>
            </w:r>
            <w:proofErr w:type="spellEnd"/>
            <w:r w:rsidRPr="00C32958">
              <w:rPr>
                <w:lang w:val="en-US"/>
              </w:rPr>
              <w:t xml:space="preserve"> et al. (2024) </w:t>
            </w:r>
          </w:p>
        </w:tc>
        <w:tc>
          <w:tcPr>
            <w:tcW w:w="0" w:type="auto"/>
            <w:vAlign w:val="center"/>
          </w:tcPr>
          <w:p w14:paraId="40D87F54" w14:textId="77777777" w:rsidR="007942B5" w:rsidRDefault="007942B5" w:rsidP="00EB19BC">
            <w:r w:rsidRPr="00C32958">
              <w:rPr>
                <w:lang w:val="en-US"/>
              </w:rPr>
              <w:t xml:space="preserve">Hidden costs, rural access problems, </w:t>
            </w:r>
            <w:proofErr w:type="gramStart"/>
            <w:r w:rsidRPr="00C32958">
              <w:rPr>
                <w:lang w:val="en-US"/>
              </w:rPr>
              <w:t>systemic</w:t>
            </w:r>
            <w:proofErr w:type="gramEnd"/>
            <w:r w:rsidRPr="00C32958">
              <w:rPr>
                <w:lang w:val="en-US"/>
              </w:rPr>
              <w:t xml:space="preserve"> disadvantages limit professional action.</w:t>
            </w:r>
          </w:p>
        </w:tc>
      </w:tr>
      <w:tr w:rsidR="007942B5" w14:paraId="14DF38FE" w14:textId="77777777" w:rsidTr="00CC5EA5">
        <w:tc>
          <w:tcPr>
            <w:tcW w:w="0" w:type="auto"/>
            <w:vAlign w:val="center"/>
          </w:tcPr>
          <w:p w14:paraId="3AB6DBBB" w14:textId="77777777" w:rsidR="007942B5" w:rsidRDefault="007942B5" w:rsidP="00EB19BC">
            <w:r w:rsidRPr="00C32958">
              <w:rPr>
                <w:lang w:val="en-US"/>
              </w:rPr>
              <w:t>Limited Resources</w:t>
            </w:r>
          </w:p>
        </w:tc>
        <w:tc>
          <w:tcPr>
            <w:tcW w:w="0" w:type="auto"/>
            <w:vAlign w:val="center"/>
          </w:tcPr>
          <w:p w14:paraId="14186E53" w14:textId="77777777" w:rsidR="007942B5" w:rsidRDefault="007942B5" w:rsidP="00EB19BC">
            <w:r w:rsidRPr="00C32958">
              <w:rPr>
                <w:lang w:val="en-US"/>
              </w:rPr>
              <w:t>Cookson et al. (2016); Mishra et al. (2021)</w:t>
            </w:r>
          </w:p>
        </w:tc>
        <w:tc>
          <w:tcPr>
            <w:tcW w:w="0" w:type="auto"/>
            <w:vAlign w:val="center"/>
          </w:tcPr>
          <w:p w14:paraId="084D3462" w14:textId="77777777" w:rsidR="007942B5" w:rsidRDefault="007942B5" w:rsidP="00EB19BC">
            <w:r w:rsidRPr="00C32958">
              <w:rPr>
                <w:lang w:val="en-US"/>
              </w:rPr>
              <w:t>Preventive care skewed to affluent groups; COVID-19 worsened shortages and strain.</w:t>
            </w:r>
          </w:p>
        </w:tc>
      </w:tr>
      <w:tr w:rsidR="007942B5" w14:paraId="6E9838A7" w14:textId="77777777" w:rsidTr="00CC5EA5">
        <w:tc>
          <w:tcPr>
            <w:tcW w:w="0" w:type="auto"/>
            <w:vAlign w:val="center"/>
          </w:tcPr>
          <w:p w14:paraId="529A3440" w14:textId="77777777" w:rsidR="007942B5" w:rsidRDefault="007942B5" w:rsidP="00EB19BC">
            <w:r w:rsidRPr="00C32958">
              <w:rPr>
                <w:lang w:val="en-US"/>
              </w:rPr>
              <w:t>Policy Gaps</w:t>
            </w:r>
          </w:p>
        </w:tc>
        <w:tc>
          <w:tcPr>
            <w:tcW w:w="0" w:type="auto"/>
            <w:vAlign w:val="center"/>
          </w:tcPr>
          <w:p w14:paraId="00D35C23" w14:textId="77777777" w:rsidR="007942B5" w:rsidRDefault="007942B5" w:rsidP="00EB19BC">
            <w:proofErr w:type="spellStart"/>
            <w:r w:rsidRPr="00C32958">
              <w:rPr>
                <w:lang w:val="en-US"/>
              </w:rPr>
              <w:t>Olivera</w:t>
            </w:r>
            <w:proofErr w:type="spellEnd"/>
            <w:r w:rsidRPr="00C32958">
              <w:rPr>
                <w:lang w:val="en-US"/>
              </w:rPr>
              <w:t xml:space="preserve"> et al. (2022); McHugh et al. (2024)</w:t>
            </w:r>
          </w:p>
        </w:tc>
        <w:tc>
          <w:tcPr>
            <w:tcW w:w="0" w:type="auto"/>
            <w:vAlign w:val="center"/>
          </w:tcPr>
          <w:p w14:paraId="478258DF" w14:textId="77777777" w:rsidR="007942B5" w:rsidRDefault="007942B5" w:rsidP="00CC5EA5">
            <w:pPr>
              <w:keepNext/>
            </w:pPr>
            <w:r w:rsidRPr="00C32958">
              <w:rPr>
                <w:lang w:val="en-US"/>
              </w:rPr>
              <w:t>NHS plans vague; disconnect between professional and community perspectives.</w:t>
            </w:r>
          </w:p>
        </w:tc>
      </w:tr>
    </w:tbl>
    <w:p w14:paraId="4DCD8453" w14:textId="77777777" w:rsidR="00A341A2" w:rsidRDefault="00A341A2" w:rsidP="00A341A2"/>
    <w:p w14:paraId="1B3FE874" w14:textId="1EBCD895" w:rsidR="007942B5" w:rsidRDefault="007942B5" w:rsidP="007212D2">
      <w:pPr>
        <w:pStyle w:val="Heading3"/>
      </w:pPr>
      <w:bookmarkStart w:id="62" w:name="_Toc210700716"/>
      <w:r w:rsidRPr="00E205CB">
        <w:lastRenderedPageBreak/>
        <w:t>Theme 3: Strategies and Interventions by Professionals</w:t>
      </w:r>
      <w:bookmarkEnd w:id="62"/>
    </w:p>
    <w:p w14:paraId="78D1D7E6" w14:textId="76C9FFFD" w:rsidR="00BE0EBD" w:rsidRDefault="007942B5" w:rsidP="007942B5">
      <w:pPr>
        <w:rPr>
          <w:rFonts w:cs="Arial"/>
          <w:color w:val="FF0000"/>
          <w:sz w:val="24"/>
        </w:rPr>
      </w:pPr>
      <w:r>
        <w:t>The third theme</w:t>
      </w:r>
      <w:r w:rsidR="00FB0F76">
        <w:t xml:space="preserve"> highlights different</w:t>
      </w:r>
      <w:r>
        <w:t xml:space="preserve"> strategies and interventions by health and social care providers to decrease the disparity in health, with the aim of addressing marginalised populations in practise contrary to the structural and systemic influences. The use of social prescribing is one such strategy in which patients are connected to non-clinical services and community resources to overcome the social determinants of health. The study show that related to low income, inadequate housing, and social isolation, linking family to housing services, financial counselling, and neighbourhood mental health, easing stress factor contributes to the physical and mental health of their findings when compared to controls (Spencer et al., 2019; McHugh et al., 2024).</w:t>
      </w:r>
      <w:r w:rsidR="00BE0EBD" w:rsidRPr="00BE0EBD">
        <w:rPr>
          <w:rFonts w:cs="Arial"/>
          <w:color w:val="FF0000"/>
          <w:sz w:val="24"/>
        </w:rPr>
        <w:t xml:space="preserve"> </w:t>
      </w:r>
    </w:p>
    <w:p w14:paraId="595D9DE4" w14:textId="77777777" w:rsidR="009E11EA" w:rsidRDefault="00BE0EBD" w:rsidP="009E11EA">
      <w:pPr>
        <w:rPr>
          <w:rFonts w:cs="Arial"/>
          <w:szCs w:val="22"/>
        </w:rPr>
      </w:pPr>
      <w:r>
        <w:rPr>
          <w:rFonts w:cs="Arial"/>
          <w:color w:val="000000"/>
          <w:sz w:val="24"/>
        </w:rPr>
        <w:t>However,</w:t>
      </w:r>
      <w:r w:rsidR="006E3344" w:rsidRPr="006E3344">
        <w:rPr>
          <w:rFonts w:cs="Arial"/>
          <w:szCs w:val="22"/>
        </w:rPr>
        <w:t xml:space="preserve"> </w:t>
      </w:r>
      <w:r w:rsidR="006E3344" w:rsidRPr="008C0169">
        <w:rPr>
          <w:rFonts w:cs="Arial"/>
          <w:szCs w:val="22"/>
        </w:rPr>
        <w:t>social prescribing is in coherence with Asset-Based Community Development (ABCD) and strengths-based practice where professionals' work focuses on community resources and individual capacities rather than deficits this is what helps to place the strategy as theoretically grounded rather than merely an innovative idea.</w:t>
      </w:r>
    </w:p>
    <w:p w14:paraId="3471E52B" w14:textId="214991B6" w:rsidR="006E3344" w:rsidRPr="008D1887" w:rsidRDefault="006E3344" w:rsidP="009E11EA">
      <w:r>
        <w:rPr>
          <w:rFonts w:cs="Arial"/>
          <w:color w:val="000000"/>
          <w:sz w:val="24"/>
        </w:rPr>
        <w:t xml:space="preserve"> </w:t>
      </w:r>
      <w:r w:rsidRPr="008C0169">
        <w:rPr>
          <w:rFonts w:cs="Arial"/>
          <w:szCs w:val="22"/>
        </w:rPr>
        <w:t>Outreach was also an important practitioner strategy</w:t>
      </w:r>
      <w:r>
        <w:t xml:space="preserve">. By means of </w:t>
      </w:r>
      <w:r w:rsidRPr="00EC591F">
        <w:t>home</w:t>
      </w:r>
      <w:r w:rsidR="007942B5" w:rsidRPr="00EC591F">
        <w:t xml:space="preserve"> visits, local workshops and health fairs, professionals and organizations actively engage with communities and it specifically follows up socioeconomically disadvantaged or rural groups. </w:t>
      </w:r>
      <w:proofErr w:type="spellStart"/>
      <w:r w:rsidR="007942B5" w:rsidRPr="00EC591F">
        <w:t>Bidmead</w:t>
      </w:r>
      <w:proofErr w:type="spellEnd"/>
      <w:r w:rsidR="007942B5" w:rsidRPr="00EC591F">
        <w:t xml:space="preserve"> et al. (2024) and </w:t>
      </w:r>
      <w:proofErr w:type="spellStart"/>
      <w:r w:rsidR="007942B5" w:rsidRPr="00EC591F">
        <w:t>Fergie</w:t>
      </w:r>
      <w:proofErr w:type="spellEnd"/>
      <w:r w:rsidR="007942B5" w:rsidRPr="00EC591F">
        <w:t xml:space="preserve"> et al. (2023)</w:t>
      </w:r>
      <w:r>
        <w:t xml:space="preserve"> </w:t>
      </w:r>
      <w:r w:rsidRPr="008C0169">
        <w:rPr>
          <w:rFonts w:cs="Arial"/>
          <w:szCs w:val="22"/>
        </w:rPr>
        <w:t>claim that outreach improves service reach, trust is created, relationships are reinforced and interventions can be adjusted according to local needs. Viewing this through community-engagement models like ABCD emphasizes that outreach is not simply an operational activity but rather a structured, participatory method where communities are viewed as partners in the fight against inequities.</w:t>
      </w:r>
    </w:p>
    <w:p w14:paraId="1071623D" w14:textId="77777777" w:rsidR="006E3344" w:rsidRPr="008C0169" w:rsidRDefault="006E3344" w:rsidP="006E3344">
      <w:pPr>
        <w:rPr>
          <w:rFonts w:cs="Arial"/>
          <w:szCs w:val="22"/>
        </w:rPr>
      </w:pPr>
      <w:r w:rsidRPr="008C0169">
        <w:rPr>
          <w:rFonts w:cs="Arial"/>
          <w:szCs w:val="22"/>
        </w:rPr>
        <w:t>Health education significantly supports these activities through raising population health literacy and allowing individuals to take active roles in health management. Nevertheless, a careful analysis of the data reveals different levels of sustainability: for instance, social prescribing can become a regular practice if integrated into the service pathways, whereas other interventions especially those that require considerable staff time are often dependent on the commitment of individual staff members whose efforts surpass the norm, thus posing the question of long-term viability. In addition, the majority of such interventions are still mainly locally oriented, dependent on short-term funding and staff availability, thus limiting the potential for scaling up and reinforcing the discrepancy in support distribution across different areas. This indicates that professional approaches provide significant advantages but their effect is still limited by the wider structural conditions.</w:t>
      </w:r>
    </w:p>
    <w:p w14:paraId="04477526" w14:textId="7BA9997A" w:rsidR="006E3344" w:rsidRDefault="006E3344" w:rsidP="007942B5"/>
    <w:p w14:paraId="7306E7EC" w14:textId="3A03DE3A" w:rsidR="00F22FEF" w:rsidRPr="00F22FEF" w:rsidRDefault="00F22FEF" w:rsidP="00F22FEF">
      <w:pPr>
        <w:pStyle w:val="Caption"/>
        <w:jc w:val="center"/>
        <w:rPr>
          <w:i w:val="0"/>
          <w:iCs w:val="0"/>
          <w:color w:val="auto"/>
          <w:sz w:val="22"/>
          <w:szCs w:val="22"/>
        </w:rPr>
      </w:pPr>
      <w:r w:rsidRPr="00F22FEF">
        <w:rPr>
          <w:i w:val="0"/>
          <w:iCs w:val="0"/>
          <w:color w:val="auto"/>
          <w:sz w:val="22"/>
          <w:szCs w:val="22"/>
        </w:rPr>
        <w:t xml:space="preserve">Table </w:t>
      </w:r>
      <w:r w:rsidR="005F6949">
        <w:rPr>
          <w:i w:val="0"/>
          <w:iCs w:val="0"/>
          <w:color w:val="auto"/>
          <w:sz w:val="22"/>
          <w:szCs w:val="22"/>
        </w:rPr>
        <w:fldChar w:fldCharType="begin"/>
      </w:r>
      <w:r w:rsidR="005F6949">
        <w:rPr>
          <w:i w:val="0"/>
          <w:iCs w:val="0"/>
          <w:color w:val="auto"/>
          <w:sz w:val="22"/>
          <w:szCs w:val="22"/>
        </w:rPr>
        <w:instrText xml:space="preserve"> SEQ Table \* ARABIC </w:instrText>
      </w:r>
      <w:r w:rsidR="005F6949">
        <w:rPr>
          <w:i w:val="0"/>
          <w:iCs w:val="0"/>
          <w:color w:val="auto"/>
          <w:sz w:val="22"/>
          <w:szCs w:val="22"/>
        </w:rPr>
        <w:fldChar w:fldCharType="separate"/>
      </w:r>
      <w:r w:rsidR="005F6949">
        <w:rPr>
          <w:i w:val="0"/>
          <w:iCs w:val="0"/>
          <w:noProof/>
          <w:color w:val="auto"/>
          <w:sz w:val="22"/>
          <w:szCs w:val="22"/>
        </w:rPr>
        <w:t>5</w:t>
      </w:r>
      <w:r w:rsidR="005F6949">
        <w:rPr>
          <w:i w:val="0"/>
          <w:iCs w:val="0"/>
          <w:color w:val="auto"/>
          <w:sz w:val="22"/>
          <w:szCs w:val="22"/>
        </w:rPr>
        <w:fldChar w:fldCharType="end"/>
      </w:r>
      <w:r w:rsidRPr="00F22FEF">
        <w:rPr>
          <w:i w:val="0"/>
          <w:iCs w:val="0"/>
          <w:color w:val="auto"/>
          <w:sz w:val="22"/>
          <w:szCs w:val="22"/>
        </w:rPr>
        <w:t>: Strategies and Interventions by Professionals</w:t>
      </w:r>
    </w:p>
    <w:tbl>
      <w:tblPr>
        <w:tblStyle w:val="TableGrid"/>
        <w:tblW w:w="0" w:type="auto"/>
        <w:tblLook w:val="04A0" w:firstRow="1" w:lastRow="0" w:firstColumn="1" w:lastColumn="0" w:noHBand="0" w:noVBand="1"/>
      </w:tblPr>
      <w:tblGrid>
        <w:gridCol w:w="3116"/>
        <w:gridCol w:w="3117"/>
        <w:gridCol w:w="3117"/>
      </w:tblGrid>
      <w:tr w:rsidR="007942B5" w14:paraId="6E2C1359" w14:textId="77777777" w:rsidTr="00EB19BC">
        <w:tc>
          <w:tcPr>
            <w:tcW w:w="3116" w:type="dxa"/>
            <w:vAlign w:val="center"/>
          </w:tcPr>
          <w:p w14:paraId="18DA2207" w14:textId="77777777" w:rsidR="007942B5" w:rsidRDefault="007942B5" w:rsidP="00EB19BC">
            <w:r w:rsidRPr="00D01DA7">
              <w:rPr>
                <w:b/>
                <w:bCs/>
                <w:lang w:val="en-US"/>
              </w:rPr>
              <w:t>Subtheme</w:t>
            </w:r>
          </w:p>
        </w:tc>
        <w:tc>
          <w:tcPr>
            <w:tcW w:w="3117" w:type="dxa"/>
            <w:vAlign w:val="center"/>
          </w:tcPr>
          <w:p w14:paraId="03581E72" w14:textId="77777777" w:rsidR="007942B5" w:rsidRDefault="007942B5" w:rsidP="00EB19BC">
            <w:r w:rsidRPr="00D01DA7">
              <w:rPr>
                <w:b/>
                <w:bCs/>
                <w:lang w:val="en-US"/>
              </w:rPr>
              <w:t>Supporting Studies</w:t>
            </w:r>
          </w:p>
        </w:tc>
        <w:tc>
          <w:tcPr>
            <w:tcW w:w="3117" w:type="dxa"/>
            <w:vAlign w:val="center"/>
          </w:tcPr>
          <w:p w14:paraId="66949BDB" w14:textId="77777777" w:rsidR="007942B5" w:rsidRDefault="007942B5" w:rsidP="00EB19BC">
            <w:r w:rsidRPr="00D01DA7">
              <w:rPr>
                <w:b/>
                <w:bCs/>
                <w:lang w:val="en-US"/>
              </w:rPr>
              <w:t>Key Insights</w:t>
            </w:r>
          </w:p>
        </w:tc>
      </w:tr>
      <w:tr w:rsidR="007942B5" w14:paraId="613955BC" w14:textId="77777777" w:rsidTr="00EB19BC">
        <w:tc>
          <w:tcPr>
            <w:tcW w:w="3116" w:type="dxa"/>
            <w:vAlign w:val="center"/>
          </w:tcPr>
          <w:p w14:paraId="2BEF21AA" w14:textId="77777777" w:rsidR="007942B5" w:rsidRDefault="007942B5" w:rsidP="00EB19BC">
            <w:r w:rsidRPr="00D01DA7">
              <w:rPr>
                <w:lang w:val="en-US"/>
              </w:rPr>
              <w:t>Social Prescribing</w:t>
            </w:r>
          </w:p>
        </w:tc>
        <w:tc>
          <w:tcPr>
            <w:tcW w:w="3117" w:type="dxa"/>
            <w:vAlign w:val="center"/>
          </w:tcPr>
          <w:p w14:paraId="0FEB32A1" w14:textId="77777777" w:rsidR="007942B5" w:rsidRDefault="007942B5" w:rsidP="00EB19BC">
            <w:r w:rsidRPr="00D01DA7">
              <w:rPr>
                <w:lang w:val="en-US"/>
              </w:rPr>
              <w:t>Spencer et al. (2019); McHugh et al. (2024)</w:t>
            </w:r>
          </w:p>
        </w:tc>
        <w:tc>
          <w:tcPr>
            <w:tcW w:w="3117" w:type="dxa"/>
            <w:vAlign w:val="center"/>
          </w:tcPr>
          <w:p w14:paraId="4D0202FC" w14:textId="77777777" w:rsidR="007942B5" w:rsidRDefault="007942B5" w:rsidP="00EB19BC">
            <w:r w:rsidRPr="00D01DA7">
              <w:rPr>
                <w:lang w:val="en-US"/>
              </w:rPr>
              <w:t>Links patients to community resources, improving physical and mental health.</w:t>
            </w:r>
          </w:p>
        </w:tc>
      </w:tr>
      <w:tr w:rsidR="007942B5" w14:paraId="665DD946" w14:textId="77777777" w:rsidTr="00EB19BC">
        <w:tc>
          <w:tcPr>
            <w:tcW w:w="3116" w:type="dxa"/>
            <w:vAlign w:val="center"/>
          </w:tcPr>
          <w:p w14:paraId="6F9B057B" w14:textId="77777777" w:rsidR="007942B5" w:rsidRDefault="007942B5" w:rsidP="00EB19BC">
            <w:r w:rsidRPr="00D01DA7">
              <w:rPr>
                <w:lang w:val="en-US"/>
              </w:rPr>
              <w:t>Community Outreach</w:t>
            </w:r>
          </w:p>
        </w:tc>
        <w:tc>
          <w:tcPr>
            <w:tcW w:w="3117" w:type="dxa"/>
            <w:vAlign w:val="center"/>
          </w:tcPr>
          <w:p w14:paraId="292E2703" w14:textId="77777777" w:rsidR="007942B5" w:rsidRDefault="007942B5" w:rsidP="00EB19BC">
            <w:proofErr w:type="spellStart"/>
            <w:r w:rsidRPr="00D01DA7">
              <w:rPr>
                <w:lang w:val="en-US"/>
              </w:rPr>
              <w:t>Bidmead</w:t>
            </w:r>
            <w:proofErr w:type="spellEnd"/>
            <w:r w:rsidRPr="00D01DA7">
              <w:rPr>
                <w:lang w:val="en-US"/>
              </w:rPr>
              <w:t xml:space="preserve"> et al. (2024); </w:t>
            </w:r>
            <w:proofErr w:type="spellStart"/>
            <w:r w:rsidRPr="00D01DA7">
              <w:rPr>
                <w:lang w:val="en-US"/>
              </w:rPr>
              <w:t>Fergie</w:t>
            </w:r>
            <w:proofErr w:type="spellEnd"/>
            <w:r w:rsidRPr="00D01DA7">
              <w:rPr>
                <w:lang w:val="en-US"/>
              </w:rPr>
              <w:t xml:space="preserve"> et al. (2023)</w:t>
            </w:r>
          </w:p>
        </w:tc>
        <w:tc>
          <w:tcPr>
            <w:tcW w:w="3117" w:type="dxa"/>
            <w:vAlign w:val="center"/>
          </w:tcPr>
          <w:p w14:paraId="6A9B6425" w14:textId="77777777" w:rsidR="007942B5" w:rsidRDefault="007942B5" w:rsidP="00EB19BC">
            <w:r w:rsidRPr="00D01DA7">
              <w:rPr>
                <w:lang w:val="en-US"/>
              </w:rPr>
              <w:t>Builds trust, strengthens access, and tailors services to community needs.</w:t>
            </w:r>
          </w:p>
        </w:tc>
      </w:tr>
      <w:tr w:rsidR="007942B5" w14:paraId="03ABC51F" w14:textId="77777777" w:rsidTr="00EB19BC">
        <w:tc>
          <w:tcPr>
            <w:tcW w:w="3116" w:type="dxa"/>
            <w:vAlign w:val="center"/>
          </w:tcPr>
          <w:p w14:paraId="3965399B" w14:textId="77777777" w:rsidR="007942B5" w:rsidRDefault="007942B5" w:rsidP="00EB19BC">
            <w:r w:rsidRPr="00D01DA7">
              <w:rPr>
                <w:lang w:val="en-US"/>
              </w:rPr>
              <w:t>Health Education</w:t>
            </w:r>
          </w:p>
        </w:tc>
        <w:tc>
          <w:tcPr>
            <w:tcW w:w="3117" w:type="dxa"/>
            <w:vAlign w:val="center"/>
          </w:tcPr>
          <w:p w14:paraId="7B5FCDB7" w14:textId="7562DF3B" w:rsidR="007942B5" w:rsidRDefault="00AC7C97" w:rsidP="00EB19BC">
            <w:r>
              <w:t>Mishra et al. (2021)</w:t>
            </w:r>
          </w:p>
        </w:tc>
        <w:tc>
          <w:tcPr>
            <w:tcW w:w="3117" w:type="dxa"/>
            <w:vAlign w:val="center"/>
          </w:tcPr>
          <w:p w14:paraId="2563E097" w14:textId="77777777" w:rsidR="007942B5" w:rsidRDefault="007942B5" w:rsidP="00F22FEF">
            <w:pPr>
              <w:keepNext/>
            </w:pPr>
            <w:r w:rsidRPr="00D01DA7">
              <w:rPr>
                <w:lang w:val="en-US"/>
              </w:rPr>
              <w:t>Enhances health literacy, self-management, and preventive care uptake.</w:t>
            </w:r>
          </w:p>
        </w:tc>
      </w:tr>
    </w:tbl>
    <w:p w14:paraId="2DCF8C1F" w14:textId="552BD0A5" w:rsidR="007942B5" w:rsidRDefault="007942B5" w:rsidP="007212D2">
      <w:pPr>
        <w:pStyle w:val="Heading3"/>
      </w:pPr>
      <w:bookmarkStart w:id="63" w:name="_Toc210700717"/>
      <w:r w:rsidRPr="00F12F6E">
        <w:t>Theme 4: Role of Policy and Institutional Frameworks</w:t>
      </w:r>
      <w:bookmarkEnd w:id="63"/>
    </w:p>
    <w:p w14:paraId="0E3F56C2" w14:textId="63004B5F" w:rsidR="007942B5" w:rsidRDefault="007942B5" w:rsidP="007942B5">
      <w:r w:rsidRPr="00177A69">
        <w:t xml:space="preserve">The fourth </w:t>
      </w:r>
      <w:r>
        <w:t xml:space="preserve">theme is about </w:t>
      </w:r>
      <w:r w:rsidRPr="00177A69">
        <w:t>policy and institutional environment shaping health inequality and the intervention that health and social care professionals can make within the context</w:t>
      </w:r>
      <w:r w:rsidR="008D1887">
        <w:t xml:space="preserve"> (Marmot, 2020)</w:t>
      </w:r>
      <w:r w:rsidRPr="00177A69">
        <w:t>. Policies indeed have a potential to play a big role in shaping the allocation of resources, services provision and allocation to the disadvantaged. Olivera et al. (2022) also found English local NHS plans were more likely to describe health inequalities in general and broad terms and to offer little meaningful practical advice to practitioners. That vagueness restricts the potential for professionals to respond to institutionali</w:t>
      </w:r>
      <w:r>
        <w:t>s</w:t>
      </w:r>
      <w:r w:rsidRPr="00177A69">
        <w:t>ation differences and is the policy text-practice gap.</w:t>
      </w:r>
    </w:p>
    <w:p w14:paraId="67869BAC" w14:textId="291BE487" w:rsidR="00674E4B" w:rsidRDefault="007942B5" w:rsidP="007942B5">
      <w:r>
        <w:t>According to the study of Cookson et al. (2016), even with increased healthcare utilisation rates in poorer communities, preventive and</w:t>
      </w:r>
      <w:r w:rsidR="006E3344">
        <w:t xml:space="preserve"> high</w:t>
      </w:r>
      <w:r>
        <w:t xml:space="preserve"> quality services were directed towards more financially strong groups, which is indicative of structural uncertainties in the </w:t>
      </w:r>
      <w:r w:rsidR="00674E4B">
        <w:t xml:space="preserve">system </w:t>
      </w:r>
      <w:r w:rsidR="00674E4B" w:rsidRPr="00F83C42">
        <w:rPr>
          <w:rFonts w:cs="Arial"/>
        </w:rPr>
        <w:t>Equality Act 2010 and the Marmot Review (2020).</w:t>
      </w:r>
    </w:p>
    <w:p w14:paraId="2EF00D9F" w14:textId="320EFB63" w:rsidR="007942B5" w:rsidRDefault="006E3344" w:rsidP="007942B5">
      <w:r>
        <w:t xml:space="preserve"> Moreover Mishra</w:t>
      </w:r>
      <w:r w:rsidR="007942B5">
        <w:t xml:space="preserve"> et al. (2021) demonstrated that low-income and vulnerable populations faced additional disproportionate impacts due to institutional failures in the COVID-19 pandemic, including lack of personal protection supplies and crippled services. These results suggest that policies cannot work without proper resources, working instructions, and control tools.</w:t>
      </w:r>
    </w:p>
    <w:p w14:paraId="3DEA24BC" w14:textId="77777777" w:rsidR="00F63BB9" w:rsidRPr="008C0169" w:rsidRDefault="00F63BB9" w:rsidP="00F63BB9">
      <w:pPr>
        <w:rPr>
          <w:rFonts w:cs="Arial"/>
          <w:szCs w:val="22"/>
        </w:rPr>
      </w:pPr>
      <w:r w:rsidRPr="008C0169">
        <w:rPr>
          <w:rFonts w:cs="Arial"/>
          <w:szCs w:val="22"/>
        </w:rPr>
        <w:t xml:space="preserve">The discordance among the main priorities of health professionals and the expectations of the community increases the difficulties already encountered. McHugh and colleagues (2024) pointed out that while the professionals emphasize on service delivery, the communities regard the health </w:t>
      </w:r>
      <w:r w:rsidRPr="008C0169">
        <w:rPr>
          <w:rFonts w:cs="Arial"/>
          <w:szCs w:val="22"/>
        </w:rPr>
        <w:lastRenderedPageBreak/>
        <w:t xml:space="preserve">disparities as a result of the social issues such as poverty, housing, and employment. Laws and regulations that do not consider these issues or that do not involve the community voice can unintentionally maintain the imbalances. Policies that explicitly incorporate social determinants and foster cross-sector collaborations are more likely to lead to significant decreases in health disparities, as shown by </w:t>
      </w:r>
      <w:proofErr w:type="spellStart"/>
      <w:r w:rsidRPr="008C0169">
        <w:rPr>
          <w:rFonts w:cs="Arial"/>
          <w:szCs w:val="22"/>
        </w:rPr>
        <w:t>Jessiman</w:t>
      </w:r>
      <w:proofErr w:type="spellEnd"/>
      <w:r w:rsidRPr="008C0169">
        <w:rPr>
          <w:rFonts w:cs="Arial"/>
          <w:szCs w:val="22"/>
        </w:rPr>
        <w:t xml:space="preserve"> et al. (2021) who identified more than 150 interlinked factors affecting children's healthcare outcomes.</w:t>
      </w:r>
    </w:p>
    <w:p w14:paraId="5A9012B7" w14:textId="77777777" w:rsidR="00F63BB9" w:rsidRPr="008C0169" w:rsidRDefault="00F63BB9" w:rsidP="00F63BB9">
      <w:pPr>
        <w:rPr>
          <w:rFonts w:cs="Arial"/>
          <w:szCs w:val="22"/>
        </w:rPr>
      </w:pPr>
      <w:r w:rsidRPr="008C0169">
        <w:rPr>
          <w:rFonts w:cs="Arial"/>
          <w:szCs w:val="22"/>
        </w:rPr>
        <w:t>Then applying that framework makes it clear that institutional and governance factors contoured at the level of the frontline actors and the community contexts whether or not the policies are going to be translated into meaningful practice. In other words, the inequality is rhetorically acknowledged but not operationally activated.</w:t>
      </w:r>
    </w:p>
    <w:p w14:paraId="642AEF30" w14:textId="77777777" w:rsidR="00F63BB9" w:rsidRPr="008C0169" w:rsidRDefault="00F63BB9" w:rsidP="00F63BB9">
      <w:pPr>
        <w:rPr>
          <w:rFonts w:cs="Arial"/>
          <w:szCs w:val="22"/>
        </w:rPr>
      </w:pPr>
      <w:r w:rsidRPr="008C0169">
        <w:rPr>
          <w:rFonts w:cs="Arial"/>
          <w:szCs w:val="22"/>
        </w:rPr>
        <w:t>Policy-making must, therefore, be a process where policies are first designed in such a way that they are actionable, contextually sensitive, and adequately resourced through the granting of funding for them. If such actions are not taken, then the interventions of professionals (Theme 2) will have to rely on improvisation of local solutions (Theme 3) thus leaving the phenomenon of health inequalities persistent even when the so-called local and national initiatives have been launched.</w:t>
      </w:r>
    </w:p>
    <w:p w14:paraId="6D836E6C" w14:textId="77777777" w:rsidR="00F63BB9" w:rsidRDefault="00F63BB9" w:rsidP="007942B5"/>
    <w:p w14:paraId="47CAB4EE" w14:textId="56269FCF" w:rsidR="005F6949" w:rsidRPr="005F6949" w:rsidRDefault="005F6949" w:rsidP="005F6949">
      <w:pPr>
        <w:pStyle w:val="Caption"/>
        <w:keepNext/>
        <w:jc w:val="center"/>
        <w:rPr>
          <w:i w:val="0"/>
          <w:iCs w:val="0"/>
          <w:color w:val="auto"/>
          <w:sz w:val="22"/>
          <w:szCs w:val="22"/>
        </w:rPr>
      </w:pPr>
      <w:r w:rsidRPr="005F6949">
        <w:rPr>
          <w:i w:val="0"/>
          <w:iCs w:val="0"/>
          <w:color w:val="auto"/>
          <w:sz w:val="22"/>
          <w:szCs w:val="22"/>
        </w:rPr>
        <w:t xml:space="preserve">Table </w:t>
      </w:r>
      <w:r w:rsidRPr="005F6949">
        <w:rPr>
          <w:i w:val="0"/>
          <w:iCs w:val="0"/>
          <w:color w:val="auto"/>
          <w:sz w:val="22"/>
          <w:szCs w:val="22"/>
        </w:rPr>
        <w:fldChar w:fldCharType="begin"/>
      </w:r>
      <w:r w:rsidRPr="005F6949">
        <w:rPr>
          <w:i w:val="0"/>
          <w:iCs w:val="0"/>
          <w:color w:val="auto"/>
          <w:sz w:val="22"/>
          <w:szCs w:val="22"/>
        </w:rPr>
        <w:instrText xml:space="preserve"> SEQ Table \* ARABIC </w:instrText>
      </w:r>
      <w:r w:rsidRPr="005F6949">
        <w:rPr>
          <w:i w:val="0"/>
          <w:iCs w:val="0"/>
          <w:color w:val="auto"/>
          <w:sz w:val="22"/>
          <w:szCs w:val="22"/>
        </w:rPr>
        <w:fldChar w:fldCharType="separate"/>
      </w:r>
      <w:r w:rsidRPr="005F6949">
        <w:rPr>
          <w:i w:val="0"/>
          <w:iCs w:val="0"/>
          <w:noProof/>
          <w:color w:val="auto"/>
          <w:sz w:val="22"/>
          <w:szCs w:val="22"/>
        </w:rPr>
        <w:t>6</w:t>
      </w:r>
      <w:r w:rsidRPr="005F6949">
        <w:rPr>
          <w:i w:val="0"/>
          <w:iCs w:val="0"/>
          <w:color w:val="auto"/>
          <w:sz w:val="22"/>
          <w:szCs w:val="22"/>
        </w:rPr>
        <w:fldChar w:fldCharType="end"/>
      </w:r>
      <w:r w:rsidRPr="005F6949">
        <w:rPr>
          <w:i w:val="0"/>
          <w:iCs w:val="0"/>
          <w:color w:val="auto"/>
          <w:sz w:val="22"/>
          <w:szCs w:val="22"/>
        </w:rPr>
        <w:t>: Role of Policy and Institutional Frameworks</w:t>
      </w:r>
    </w:p>
    <w:tbl>
      <w:tblPr>
        <w:tblStyle w:val="TableGrid"/>
        <w:tblW w:w="0" w:type="auto"/>
        <w:tblLook w:val="04A0" w:firstRow="1" w:lastRow="0" w:firstColumn="1" w:lastColumn="0" w:noHBand="0" w:noVBand="1"/>
      </w:tblPr>
      <w:tblGrid>
        <w:gridCol w:w="2388"/>
        <w:gridCol w:w="2256"/>
        <w:gridCol w:w="4706"/>
      </w:tblGrid>
      <w:tr w:rsidR="007942B5" w14:paraId="33D684D4" w14:textId="77777777" w:rsidTr="005F6949">
        <w:tc>
          <w:tcPr>
            <w:tcW w:w="0" w:type="auto"/>
            <w:vAlign w:val="center"/>
          </w:tcPr>
          <w:p w14:paraId="2BBA2759" w14:textId="77777777" w:rsidR="007942B5" w:rsidRDefault="007942B5" w:rsidP="00EB19BC">
            <w:r w:rsidRPr="00E80F3F">
              <w:rPr>
                <w:b/>
                <w:bCs/>
                <w:lang w:val="en-US"/>
              </w:rPr>
              <w:t>Subtheme</w:t>
            </w:r>
          </w:p>
        </w:tc>
        <w:tc>
          <w:tcPr>
            <w:tcW w:w="0" w:type="auto"/>
            <w:vAlign w:val="center"/>
          </w:tcPr>
          <w:p w14:paraId="1F845986" w14:textId="77777777" w:rsidR="007942B5" w:rsidRDefault="007942B5" w:rsidP="00EB19BC">
            <w:r w:rsidRPr="00E80F3F">
              <w:rPr>
                <w:b/>
                <w:bCs/>
                <w:lang w:val="en-US"/>
              </w:rPr>
              <w:t>Supporting Studies</w:t>
            </w:r>
          </w:p>
        </w:tc>
        <w:tc>
          <w:tcPr>
            <w:tcW w:w="0" w:type="auto"/>
            <w:vAlign w:val="center"/>
          </w:tcPr>
          <w:p w14:paraId="336B3B81" w14:textId="77777777" w:rsidR="007942B5" w:rsidRDefault="007942B5" w:rsidP="00EB19BC">
            <w:r w:rsidRPr="00E80F3F">
              <w:rPr>
                <w:b/>
                <w:bCs/>
                <w:lang w:val="en-US"/>
              </w:rPr>
              <w:t>Key Insights</w:t>
            </w:r>
          </w:p>
        </w:tc>
      </w:tr>
      <w:tr w:rsidR="007942B5" w14:paraId="23E72C25" w14:textId="77777777" w:rsidTr="005F6949">
        <w:tc>
          <w:tcPr>
            <w:tcW w:w="0" w:type="auto"/>
            <w:vAlign w:val="center"/>
          </w:tcPr>
          <w:p w14:paraId="47B27F00" w14:textId="77777777" w:rsidR="007942B5" w:rsidRDefault="007942B5" w:rsidP="00EB19BC">
            <w:r w:rsidRPr="00E80F3F">
              <w:rPr>
                <w:lang w:val="en-US"/>
              </w:rPr>
              <w:t>Policy Clarity</w:t>
            </w:r>
          </w:p>
        </w:tc>
        <w:tc>
          <w:tcPr>
            <w:tcW w:w="0" w:type="auto"/>
            <w:vAlign w:val="center"/>
          </w:tcPr>
          <w:p w14:paraId="25BEEF81" w14:textId="77777777" w:rsidR="007942B5" w:rsidRDefault="007942B5" w:rsidP="00EB19BC">
            <w:proofErr w:type="spellStart"/>
            <w:r w:rsidRPr="00E80F3F">
              <w:rPr>
                <w:lang w:val="en-US"/>
              </w:rPr>
              <w:t>Olivera</w:t>
            </w:r>
            <w:proofErr w:type="spellEnd"/>
            <w:r w:rsidRPr="00E80F3F">
              <w:rPr>
                <w:lang w:val="en-US"/>
              </w:rPr>
              <w:t xml:space="preserve"> et al. (2022); </w:t>
            </w:r>
            <w:proofErr w:type="spellStart"/>
            <w:r w:rsidRPr="00E80F3F">
              <w:rPr>
                <w:lang w:val="en-US"/>
              </w:rPr>
              <w:t>Heaslip</w:t>
            </w:r>
            <w:proofErr w:type="spellEnd"/>
            <w:r w:rsidRPr="00E80F3F">
              <w:rPr>
                <w:lang w:val="en-US"/>
              </w:rPr>
              <w:t xml:space="preserve"> et al. (2022)</w:t>
            </w:r>
          </w:p>
        </w:tc>
        <w:tc>
          <w:tcPr>
            <w:tcW w:w="0" w:type="auto"/>
            <w:vAlign w:val="center"/>
          </w:tcPr>
          <w:p w14:paraId="28F6ECCD" w14:textId="77777777" w:rsidR="007942B5" w:rsidRDefault="007942B5" w:rsidP="00EB19BC">
            <w:r w:rsidRPr="00E80F3F">
              <w:rPr>
                <w:lang w:val="en-US"/>
              </w:rPr>
              <w:t>Vague plans limit professional action; clear policies needed for targeted interventions.</w:t>
            </w:r>
          </w:p>
        </w:tc>
      </w:tr>
      <w:tr w:rsidR="007942B5" w14:paraId="2430AD9F" w14:textId="77777777" w:rsidTr="005F6949">
        <w:tc>
          <w:tcPr>
            <w:tcW w:w="0" w:type="auto"/>
            <w:vAlign w:val="center"/>
          </w:tcPr>
          <w:p w14:paraId="76955FB4" w14:textId="77777777" w:rsidR="007942B5" w:rsidRDefault="007942B5" w:rsidP="00EB19BC">
            <w:r w:rsidRPr="00E80F3F">
              <w:rPr>
                <w:lang w:val="en-US"/>
              </w:rPr>
              <w:t>Institutional Resources</w:t>
            </w:r>
          </w:p>
        </w:tc>
        <w:tc>
          <w:tcPr>
            <w:tcW w:w="0" w:type="auto"/>
            <w:vAlign w:val="center"/>
          </w:tcPr>
          <w:p w14:paraId="5B857B8B" w14:textId="77777777" w:rsidR="007942B5" w:rsidRDefault="007942B5" w:rsidP="00EB19BC">
            <w:r w:rsidRPr="00E80F3F">
              <w:rPr>
                <w:lang w:val="en-US"/>
              </w:rPr>
              <w:t>Cookson et al. (2016); Mishra et al. (2021)</w:t>
            </w:r>
          </w:p>
        </w:tc>
        <w:tc>
          <w:tcPr>
            <w:tcW w:w="0" w:type="auto"/>
            <w:vAlign w:val="center"/>
          </w:tcPr>
          <w:p w14:paraId="2AE166C7" w14:textId="77777777" w:rsidR="007942B5" w:rsidRDefault="007942B5" w:rsidP="00EB19BC">
            <w:r w:rsidRPr="00E80F3F">
              <w:rPr>
                <w:lang w:val="en-US"/>
              </w:rPr>
              <w:t>Adequate staffing, equipment, and infrastructure are necessary to reduce disparities.</w:t>
            </w:r>
          </w:p>
        </w:tc>
      </w:tr>
      <w:tr w:rsidR="007942B5" w14:paraId="79593392" w14:textId="77777777" w:rsidTr="005F6949">
        <w:tc>
          <w:tcPr>
            <w:tcW w:w="0" w:type="auto"/>
            <w:vAlign w:val="center"/>
          </w:tcPr>
          <w:p w14:paraId="7A81719E" w14:textId="77777777" w:rsidR="007942B5" w:rsidRDefault="007942B5" w:rsidP="00EB19BC">
            <w:r w:rsidRPr="00E80F3F">
              <w:rPr>
                <w:lang w:val="en-US"/>
              </w:rPr>
              <w:t>Alignment with Social Determinants</w:t>
            </w:r>
          </w:p>
        </w:tc>
        <w:tc>
          <w:tcPr>
            <w:tcW w:w="0" w:type="auto"/>
            <w:vAlign w:val="center"/>
          </w:tcPr>
          <w:p w14:paraId="52F0B7D4" w14:textId="62B2A9C4" w:rsidR="007942B5" w:rsidRDefault="007942B5" w:rsidP="00EB19BC">
            <w:r w:rsidRPr="00E80F3F">
              <w:rPr>
                <w:lang w:val="en-US"/>
              </w:rPr>
              <w:t>McHugh et al. (2024)</w:t>
            </w:r>
          </w:p>
        </w:tc>
        <w:tc>
          <w:tcPr>
            <w:tcW w:w="0" w:type="auto"/>
            <w:vAlign w:val="center"/>
          </w:tcPr>
          <w:p w14:paraId="77C91C8D" w14:textId="77777777" w:rsidR="007942B5" w:rsidRDefault="007942B5" w:rsidP="00EB19BC">
            <w:r w:rsidRPr="00E80F3F">
              <w:rPr>
                <w:lang w:val="en-US"/>
              </w:rPr>
              <w:t>Policies must incorporate poverty, housing, and employment factors to be effective.</w:t>
            </w:r>
          </w:p>
        </w:tc>
      </w:tr>
      <w:tr w:rsidR="00D4400D" w14:paraId="4C3E8B72" w14:textId="77777777" w:rsidTr="005F6949">
        <w:tc>
          <w:tcPr>
            <w:tcW w:w="0" w:type="auto"/>
            <w:vAlign w:val="center"/>
          </w:tcPr>
          <w:p w14:paraId="73E6CDC8" w14:textId="265D304B" w:rsidR="00D4400D" w:rsidRPr="00E80F3F" w:rsidRDefault="00D4400D" w:rsidP="00EB19BC">
            <w:pPr>
              <w:rPr>
                <w:lang w:val="en-US"/>
              </w:rPr>
            </w:pPr>
            <w:r>
              <w:rPr>
                <w:lang w:val="en-US"/>
              </w:rPr>
              <w:t>System-Level Approaches and Governance</w:t>
            </w:r>
          </w:p>
        </w:tc>
        <w:tc>
          <w:tcPr>
            <w:tcW w:w="0" w:type="auto"/>
            <w:vAlign w:val="center"/>
          </w:tcPr>
          <w:p w14:paraId="787155D5" w14:textId="4EEEE609" w:rsidR="00D4400D" w:rsidRPr="00E80F3F" w:rsidRDefault="00D4400D" w:rsidP="00EB19BC">
            <w:pPr>
              <w:rPr>
                <w:lang w:val="en-US"/>
              </w:rPr>
            </w:pPr>
            <w:proofErr w:type="spellStart"/>
            <w:r>
              <w:rPr>
                <w:lang w:val="en-US"/>
              </w:rPr>
              <w:t>Jessiman</w:t>
            </w:r>
            <w:proofErr w:type="spellEnd"/>
            <w:r>
              <w:rPr>
                <w:lang w:val="en-US"/>
              </w:rPr>
              <w:t xml:space="preserve"> et al. (2021)</w:t>
            </w:r>
          </w:p>
        </w:tc>
        <w:tc>
          <w:tcPr>
            <w:tcW w:w="0" w:type="auto"/>
            <w:vAlign w:val="center"/>
          </w:tcPr>
          <w:p w14:paraId="2EF6C70A" w14:textId="30223109" w:rsidR="00D4400D" w:rsidRPr="00E80F3F" w:rsidRDefault="00740442" w:rsidP="00EB19BC">
            <w:pPr>
              <w:rPr>
                <w:lang w:val="en-US"/>
              </w:rPr>
            </w:pPr>
            <w:r w:rsidRPr="00E14F31">
              <w:rPr>
                <w:rFonts w:cs="Arial"/>
                <w:szCs w:val="22"/>
              </w:rPr>
              <w:t>The study developed a comprehensive systems map of over 150 interrelated factors influencing child health inequalities</w:t>
            </w:r>
            <w:r w:rsidR="000868F8">
              <w:rPr>
                <w:rFonts w:cs="Arial"/>
                <w:szCs w:val="22"/>
              </w:rPr>
              <w:t>.</w:t>
            </w:r>
          </w:p>
        </w:tc>
      </w:tr>
    </w:tbl>
    <w:p w14:paraId="6E1C6D09" w14:textId="77777777" w:rsidR="007942B5" w:rsidRDefault="007942B5" w:rsidP="007942B5"/>
    <w:p w14:paraId="538FDBFE" w14:textId="03BFE4F1" w:rsidR="007942B5" w:rsidRDefault="007942B5" w:rsidP="007942B5">
      <w:pPr>
        <w:pStyle w:val="Heading2"/>
      </w:pPr>
      <w:bookmarkStart w:id="64" w:name="_Toc210700718"/>
      <w:r>
        <w:lastRenderedPageBreak/>
        <w:t>Discussion</w:t>
      </w:r>
      <w:bookmarkEnd w:id="64"/>
    </w:p>
    <w:p w14:paraId="50F78480" w14:textId="5000487D" w:rsidR="007942B5" w:rsidRPr="00F80452" w:rsidRDefault="007942B5" w:rsidP="007212D2">
      <w:pPr>
        <w:pStyle w:val="Heading3"/>
      </w:pPr>
      <w:bookmarkStart w:id="65" w:name="_Toc210700719"/>
      <w:r w:rsidRPr="00F80452">
        <w:t>Principal Findings</w:t>
      </w:r>
      <w:bookmarkEnd w:id="65"/>
    </w:p>
    <w:p w14:paraId="42A30B8D" w14:textId="7EC51133" w:rsidR="007942B5" w:rsidRDefault="007942B5" w:rsidP="007942B5">
      <w:r w:rsidRPr="0047033A">
        <w:t>The s</w:t>
      </w:r>
      <w:r>
        <w:t>tudy</w:t>
      </w:r>
      <w:r w:rsidRPr="0047033A">
        <w:t xml:space="preserve"> found that health visitors and social workers and community nurses are front-line health and social care professionals who have an ability to alleviate health inequalities for low-income families in the UK. The main findings indicate that such professionals are at the forefront in addressing social determinants of health (poor housing, low income, limit</w:t>
      </w:r>
      <w:r w:rsidR="001C75AB">
        <w:t>e</w:t>
      </w:r>
      <w:r w:rsidRPr="0047033A">
        <w:t xml:space="preserve">d education, and poor access to healthcare) with a combination of specific interventions, such as health education, outreach to communities, and social prescribing. </w:t>
      </w:r>
      <w:r w:rsidRPr="00AF6828">
        <w:t>It also said that interventions are constrained by structural factors that comprise irregular resources, structural fractures, and underserved services. One must show a need to state that the pandemic of the COVID-19 virus increased the already disproportionate allocation to such an extent that the necessity of professional mobili</w:t>
      </w:r>
      <w:r>
        <w:t>s</w:t>
      </w:r>
      <w:r w:rsidRPr="00AF6828">
        <w:t>ation, particularly in the above-named regions, became most essential in an effort to control the threats of population density living, access to the virtual space, and the spread of chronic diseases</w:t>
      </w:r>
      <w:r>
        <w:t>.</w:t>
      </w:r>
    </w:p>
    <w:p w14:paraId="03FEED07" w14:textId="77777777" w:rsidR="007942B5" w:rsidRDefault="007942B5" w:rsidP="007942B5">
      <w:r>
        <w:t xml:space="preserve">The study is an </w:t>
      </w:r>
      <w:r w:rsidRPr="00E16CE2">
        <w:t>inductive analysis since it links macro-level policy structures (the Marmot Review</w:t>
      </w:r>
      <w:r>
        <w:t>, 2020;</w:t>
      </w:r>
      <w:r w:rsidRPr="00E16CE2">
        <w:t xml:space="preserve"> the Equality Act</w:t>
      </w:r>
      <w:r>
        <w:t>,</w:t>
      </w:r>
      <w:r w:rsidRPr="00E16CE2">
        <w:t xml:space="preserve"> 2010) to micro-professional practice and explores empirically the effect of routine practice on health equity.</w:t>
      </w:r>
      <w:r>
        <w:t xml:space="preserve"> The research is valuable because it captures the achievements and difficulties practitioners have encountered, enriching the knowledge base of how frontline professionals reduce disparities to support vulnerable families better.</w:t>
      </w:r>
    </w:p>
    <w:p w14:paraId="65D7DFFC" w14:textId="4888EA79" w:rsidR="007942B5" w:rsidRPr="007212D2" w:rsidRDefault="007942B5" w:rsidP="007212D2">
      <w:pPr>
        <w:pStyle w:val="Heading3"/>
        <w:rPr>
          <w:rStyle w:val="Heading3Char"/>
          <w:b/>
        </w:rPr>
      </w:pPr>
      <w:bookmarkStart w:id="66" w:name="_Toc210700720"/>
      <w:r w:rsidRPr="007212D2">
        <w:rPr>
          <w:rStyle w:val="Heading3Char"/>
          <w:b/>
        </w:rPr>
        <w:t>Comparison with Existing Literature</w:t>
      </w:r>
      <w:bookmarkEnd w:id="66"/>
    </w:p>
    <w:p w14:paraId="25B8BA76" w14:textId="77777777" w:rsidR="007942B5" w:rsidRPr="007A4663" w:rsidRDefault="007942B5" w:rsidP="007942B5">
      <w:r>
        <w:t xml:space="preserve">The results are mostly in line with other published viewpoints on the role played by social determinants in health. According to the literature review, low-income households have a higher rate of chronic illness, mental health problem, and reduced life expectancy because of other factors such as housing, education, and unstable employment (Marmot, 2020; Swain et al., 2014; </w:t>
      </w:r>
      <w:proofErr w:type="spellStart"/>
      <w:r>
        <w:t>Bambra</w:t>
      </w:r>
      <w:proofErr w:type="spellEnd"/>
      <w:r>
        <w:t xml:space="preserve"> et al., 2010). The paper supports earlier research by </w:t>
      </w:r>
      <w:proofErr w:type="spellStart"/>
      <w:r>
        <w:t>Checkland</w:t>
      </w:r>
      <w:proofErr w:type="spellEnd"/>
      <w:r>
        <w:t xml:space="preserve"> et al. (2025) and </w:t>
      </w:r>
      <w:proofErr w:type="spellStart"/>
      <w:r>
        <w:t>Greenhalgh</w:t>
      </w:r>
      <w:proofErr w:type="spellEnd"/>
      <w:r>
        <w:t xml:space="preserve"> et al. (2016) confirming that professional interventions, including home visits, health education, and social prescribing, effectively address such determinants.</w:t>
      </w:r>
    </w:p>
    <w:p w14:paraId="3AD61AA2" w14:textId="77777777" w:rsidR="007942B5" w:rsidRDefault="007942B5" w:rsidP="007942B5">
      <w:r>
        <w:t xml:space="preserve">Also, the study advances the current body of knowledge by highlighting the compounding impact of the COVID-19 pandemic, especially on populations with low income and ethnically diverse backgrounds, which is consistent with the findings offered by </w:t>
      </w:r>
      <w:proofErr w:type="spellStart"/>
      <w:r>
        <w:t>Belot</w:t>
      </w:r>
      <w:proofErr w:type="spellEnd"/>
      <w:r>
        <w:t xml:space="preserve"> and </w:t>
      </w:r>
      <w:proofErr w:type="spellStart"/>
      <w:r>
        <w:t>Lenhart</w:t>
      </w:r>
      <w:proofErr w:type="spellEnd"/>
      <w:r>
        <w:t xml:space="preserve"> (2021) regarding the increased vulnerability due to overcrowding and lack of access to computers and related </w:t>
      </w:r>
      <w:r>
        <w:lastRenderedPageBreak/>
        <w:t>technologies. Although legislations including the Equality Act 2010 and Marmot Review are designed to combat disparities, the results indicate minimal practical influence of these legislations in the absence of supportive initiatives on the front line, which are common within the literature on policy-practice gaps (Health Foundation, 2020). There are contradictions in the scope of reported effectiveness; one study proposed that social prescribing and community interactions always resulted in positive effects, but the present study showed the uncertainty based on the availability of resources and systematic support. On the whole, the study adds to the literature on stressing the critical importance of social determinate in health outcomes formation and offers detailed understanding of professional interventions that reduce disparities even in low-income UK families.</w:t>
      </w:r>
    </w:p>
    <w:p w14:paraId="42C8838E" w14:textId="3A47E43D" w:rsidR="007942B5" w:rsidRPr="000E04A7" w:rsidRDefault="007942B5" w:rsidP="007212D2">
      <w:pPr>
        <w:pStyle w:val="Heading3"/>
      </w:pPr>
      <w:bookmarkStart w:id="67" w:name="_Toc210700721"/>
      <w:r w:rsidRPr="000E04A7">
        <w:t>Strengths and Weaknesses of Included Studies and Current Study</w:t>
      </w:r>
      <w:bookmarkEnd w:id="67"/>
    </w:p>
    <w:p w14:paraId="216BBC19" w14:textId="7465A0C4" w:rsidR="007942B5" w:rsidRDefault="007942B5" w:rsidP="007942B5">
      <w:r>
        <w:t xml:space="preserve">The strengths of the studies reviewed are the rigour of data collection, explicit attention to social determinants, and context-accessible analysis in the UK, which contributes to their credibility. Research on health disparities and professional role including Marmot (2020) and </w:t>
      </w:r>
      <w:r w:rsidR="00F63BB9">
        <w:t>Check land</w:t>
      </w:r>
      <w:r>
        <w:t xml:space="preserve"> (2025) and individual case studies including hands-on data on interventions presented a complete PFI evaluation of the intervention. Some disadvantages were, however, observed such as excessive reliance on the cross-sectional data, poor longitudinal analysis, lack of sufficient representativeness of ethnic minorities and the rural population reducing the </w:t>
      </w:r>
      <w:r w:rsidR="00F63BB9">
        <w:t>generalizability</w:t>
      </w:r>
      <w:r>
        <w:t>. It is also possible that in some studies, there was a forgetting of all the social determinants on each other, therefore this can underestimate the overall health</w:t>
      </w:r>
      <w:r w:rsidR="002035B4">
        <w:t xml:space="preserve"> outcome on cumulative effects, failure to account for cumulative and intersecting disadvantages.</w:t>
      </w:r>
    </w:p>
    <w:p w14:paraId="3D1BD8EF" w14:textId="67901FCD" w:rsidR="007942B5" w:rsidRDefault="007942B5" w:rsidP="007942B5">
      <w:r>
        <w:t xml:space="preserve">Concerning the present research, its advantages are in systematic approach as the literature review, openness of the inclusion and exclusion criteria, and application of the thematic analysis framework suggested by Braun and Clarke which delivered systematised discerning of the themes and patterns. It is vulnerable to limitations such as utilising a smaller sample of studies that are specific to the UK, non-English research, and lack of primary data which could limit its </w:t>
      </w:r>
      <w:r w:rsidR="00F63BB9">
        <w:t>generalizability</w:t>
      </w:r>
      <w:r>
        <w:t>.</w:t>
      </w:r>
      <w:r w:rsidR="00F63BB9">
        <w:t xml:space="preserve"> </w:t>
      </w:r>
      <w:r w:rsidR="00F63BB9" w:rsidRPr="008C0169">
        <w:rPr>
          <w:rFonts w:cs="Arial"/>
          <w:szCs w:val="22"/>
        </w:rPr>
        <w:t>Moreover, the included studies frequently concentrated on high-need or previously engaged communities, hence the most excluded voices for instance, undocumented migrants or seniors without digital access may still not be heard. Reflexivity must also be considered: the interpretation of themes is a reflection of the secondary data synthesis and it may be affected by the researcher’s viewpoint</w:t>
      </w:r>
      <w:r w:rsidR="00F63BB9">
        <w:rPr>
          <w:rFonts w:cs="Arial"/>
          <w:szCs w:val="22"/>
        </w:rPr>
        <w:t xml:space="preserve">. </w:t>
      </w:r>
      <w:r>
        <w:t xml:space="preserve"> Nevertheless, the study presents a logical synthesis of evidence between frontline professional interventions and health equity outcomes, which is a </w:t>
      </w:r>
      <w:r>
        <w:lastRenderedPageBreak/>
        <w:t>significant gap in understanding empirical results related to micro-level practices within established policy frameworks.</w:t>
      </w:r>
    </w:p>
    <w:p w14:paraId="705E1819" w14:textId="6632ABE0" w:rsidR="007942B5" w:rsidRPr="002C17B0" w:rsidRDefault="007942B5" w:rsidP="007212D2">
      <w:pPr>
        <w:pStyle w:val="Heading3"/>
      </w:pPr>
      <w:bookmarkStart w:id="68" w:name="_Toc210700722"/>
      <w:r w:rsidRPr="002C17B0">
        <w:t>Implications for Practice and Policy</w:t>
      </w:r>
      <w:bookmarkEnd w:id="68"/>
    </w:p>
    <w:p w14:paraId="15E1EB2E" w14:textId="77777777" w:rsidR="007212D2" w:rsidRPr="008C0169" w:rsidRDefault="007212D2" w:rsidP="007212D2">
      <w:pPr>
        <w:rPr>
          <w:rFonts w:cs="Arial"/>
          <w:szCs w:val="22"/>
        </w:rPr>
      </w:pPr>
      <w:r w:rsidRPr="008C0169">
        <w:rPr>
          <w:rFonts w:cs="Arial"/>
          <w:szCs w:val="22"/>
        </w:rPr>
        <w:t>The findings highlight the vital requirement of a better support system for health and social care workers at the frontline. It should be a priority to support the workforce through training on social factors affecting health and the ethical and emotional aspects of the job management so that the staff can work efficiently without putting too much strain on their roles. Besides, resourcing for community engagement and interventions like social prescribing, home visits, and digital inclusion projects is also very important in order to help overcome structural inequalities and make sure that the most disadvantaged families receive the benefits from the interventions.</w:t>
      </w:r>
    </w:p>
    <w:p w14:paraId="5C162F78" w14:textId="60511B8D" w:rsidR="007212D2" w:rsidRPr="007212D2" w:rsidRDefault="007212D2" w:rsidP="007942B5">
      <w:pPr>
        <w:rPr>
          <w:rFonts w:cs="Arial"/>
          <w:szCs w:val="22"/>
        </w:rPr>
      </w:pPr>
      <w:r w:rsidRPr="008C0169">
        <w:rPr>
          <w:rFonts w:cs="Arial"/>
          <w:szCs w:val="22"/>
        </w:rPr>
        <w:t>The above-mentioned practical measures must be coherent with the existing policy frames. To illustrate, the principles of proportionate universalism, which are supported by the Marmot Review (2020), point to the provision of universal services with varying intensities according to the necessity, thus helping to decide which areas in low-income communities should receive the interventions first. Likewise, Integrated Care Systems (ICS) are providing a governance structure for different agencies to work together which in turn will lead to more coordinated health services, social care, and community services.</w:t>
      </w:r>
      <w:r w:rsidR="000D3807">
        <w:rPr>
          <w:rFonts w:cs="Arial"/>
          <w:szCs w:val="22"/>
        </w:rPr>
        <w:t xml:space="preserve"> </w:t>
      </w:r>
      <w:r w:rsidR="000D3807">
        <w:t>Frontline professionals can influence Integrated Care Systems (ICS) agendas by providing experience based insights into service delivery challenges, which leadership can use to co-create solutions and inform strategic planning. Their direct experience is crucial for designing person-centred and effective service. </w:t>
      </w:r>
    </w:p>
    <w:p w14:paraId="5A27EA3B" w14:textId="77777777" w:rsidR="007212D2" w:rsidRDefault="007212D2" w:rsidP="007942B5"/>
    <w:p w14:paraId="0162F3D9" w14:textId="18248C6F" w:rsidR="007942B5" w:rsidRPr="00CD112C" w:rsidRDefault="007942B5" w:rsidP="007212D2">
      <w:pPr>
        <w:pStyle w:val="Heading3"/>
      </w:pPr>
      <w:bookmarkStart w:id="69" w:name="_Toc210700723"/>
      <w:r w:rsidRPr="00CD112C">
        <w:t>Future Research Directions</w:t>
      </w:r>
      <w:bookmarkEnd w:id="69"/>
    </w:p>
    <w:p w14:paraId="4C316C33" w14:textId="234B04BA" w:rsidR="007942B5" w:rsidRPr="007212D2" w:rsidRDefault="007942B5" w:rsidP="007942B5">
      <w:pPr>
        <w:rPr>
          <w:color w:val="000000" w:themeColor="text1"/>
        </w:rPr>
      </w:pPr>
      <w:r>
        <w:t>Future research must investigate the longitudinal effects of frontline interventions on health equity, to allow changes to be captured across time, and assessment of whether long-term effects are sustainable. Comparison of cross-cultural and regional variations in the UK in professional practise and health outcomes might be insightful. Studies concentrating on online health interventions and reducing digital gaps would address emerging challenges that have been identified during the COVID-19 outbreak. Moreover, research that uses secondary information about specific peoples and cultures such as ethnic minorities and the rural population would deepen the insights into context-specific barriers. These investigations would also help enrich-evidence-based approaches, service, and professional area training to enhance the provision of equitable health services.</w:t>
      </w:r>
      <w:r w:rsidR="007212D2">
        <w:t xml:space="preserve"> </w:t>
      </w:r>
      <w:r w:rsidR="007212D2">
        <w:rPr>
          <w:rFonts w:cs="Arial"/>
          <w:sz w:val="24"/>
        </w:rPr>
        <w:t xml:space="preserve">Research should also assess whether system level policy </w:t>
      </w:r>
      <w:r w:rsidR="007212D2">
        <w:rPr>
          <w:rFonts w:cs="Arial"/>
          <w:sz w:val="24"/>
        </w:rPr>
        <w:lastRenderedPageBreak/>
        <w:t xml:space="preserve">changes (e.g. integrated commissioning, cross-sector housing health partnerships) actually reduce inequalities </w:t>
      </w:r>
      <w:r w:rsidR="007212D2" w:rsidRPr="007212D2">
        <w:rPr>
          <w:rFonts w:cs="Arial"/>
          <w:color w:val="000000" w:themeColor="text1"/>
          <w:sz w:val="24"/>
        </w:rPr>
        <w:t>digitally excluded older adults; families witch no recourse to public funds</w:t>
      </w:r>
      <w:r w:rsidR="007212D2">
        <w:rPr>
          <w:rFonts w:cs="Arial"/>
          <w:color w:val="000000" w:themeColor="text1"/>
          <w:sz w:val="24"/>
        </w:rPr>
        <w:t>.</w:t>
      </w:r>
    </w:p>
    <w:p w14:paraId="1F10CC5A" w14:textId="4610426C" w:rsidR="007942B5" w:rsidRDefault="007942B5" w:rsidP="007942B5">
      <w:pPr>
        <w:pStyle w:val="Heading2"/>
      </w:pPr>
      <w:bookmarkStart w:id="70" w:name="_Toc210700724"/>
      <w:r w:rsidRPr="00F61568">
        <w:t>Chapter Summary</w:t>
      </w:r>
      <w:bookmarkEnd w:id="70"/>
    </w:p>
    <w:p w14:paraId="20E914DE" w14:textId="26645E74" w:rsidR="0077507C" w:rsidRDefault="007942B5" w:rsidP="0077507C">
      <w:r w:rsidRPr="00477855">
        <w:t>This chapter introduced the results of te</w:t>
      </w:r>
      <w:r w:rsidR="00E355CE">
        <w:t>n</w:t>
      </w:r>
      <w:r w:rsidRPr="00477855">
        <w:t xml:space="preserve"> study reviews and debated their relevance to health and social care practise in the UK. The four fundamental themes recognised in the analysis included the impact of social determinants on practise, the difficulties </w:t>
      </w:r>
      <w:r w:rsidR="007212D2" w:rsidRPr="00477855">
        <w:t>practitioners’</w:t>
      </w:r>
      <w:r w:rsidRPr="00477855">
        <w:t xml:space="preserve"> experience, actions and interventions in use, and the role of policy frameworks. Results indicated engaged professionals reduce the impact of inequalities with an active mitigation appro</w:t>
      </w:r>
      <w:r>
        <w:t>a</w:t>
      </w:r>
      <w:r w:rsidRPr="00477855">
        <w:t xml:space="preserve">ch that includes outreach and engagement, health education and social prescribing, </w:t>
      </w:r>
      <w:r>
        <w:t>bu</w:t>
      </w:r>
      <w:r w:rsidRPr="00477855">
        <w:t>t constrained by limited resources and imprecise policies. The centrality of social determinants was compared with the literature and revealed missing policy-practi</w:t>
      </w:r>
      <w:r>
        <w:t>c</w:t>
      </w:r>
      <w:r w:rsidRPr="00477855">
        <w:t>e gaps</w:t>
      </w:r>
      <w:r w:rsidR="0077507C">
        <w:t>.</w:t>
      </w:r>
      <w:r w:rsidR="0077507C">
        <w:rPr>
          <w:rFonts w:cs="Arial"/>
          <w:color w:val="FF0000"/>
          <w:sz w:val="24"/>
        </w:rPr>
        <w:t xml:space="preserve"> </w:t>
      </w:r>
      <w:r w:rsidR="009E11EA">
        <w:rPr>
          <w:rFonts w:cs="Arial"/>
          <w:color w:val="000000"/>
          <w:sz w:val="24"/>
        </w:rPr>
        <w:t>Overall,</w:t>
      </w:r>
      <w:r w:rsidR="0077507C">
        <w:rPr>
          <w:rFonts w:cs="Arial"/>
          <w:color w:val="000000"/>
          <w:sz w:val="24"/>
        </w:rPr>
        <w:t xml:space="preserve"> the findings point to a structural mismatch between the scale of social need and the resources made available to address it, which has direct implications for policy, commissioning and workforce wellbeing.</w:t>
      </w:r>
    </w:p>
    <w:p w14:paraId="0B80E02D" w14:textId="4D513700" w:rsidR="007071C2" w:rsidRPr="000B0B1C" w:rsidRDefault="007C6FDA" w:rsidP="007071C2">
      <w:r>
        <w:br w:type="page"/>
      </w:r>
    </w:p>
    <w:p w14:paraId="4D2F02CA" w14:textId="03AFCB14" w:rsidR="007071C2" w:rsidRPr="00EB6A16" w:rsidRDefault="00EB6A16" w:rsidP="009E11EA">
      <w:pPr>
        <w:pStyle w:val="Heading1"/>
      </w:pPr>
      <w:bookmarkStart w:id="71" w:name="_Toc210700725"/>
      <w:r w:rsidRPr="00EB6A16">
        <w:lastRenderedPageBreak/>
        <w:t xml:space="preserve">CHAPTER </w:t>
      </w:r>
      <w:r w:rsidR="00DB0FEF">
        <w:t>FIVE</w:t>
      </w:r>
      <w:r w:rsidRPr="00EB6A16">
        <w:t xml:space="preserve">: </w:t>
      </w:r>
      <w:r w:rsidRPr="009028C9">
        <w:t>CONCLUSIONS</w:t>
      </w:r>
      <w:r w:rsidRPr="00EB6A16">
        <w:t xml:space="preserve"> AND RECOMMENDATIONS</w:t>
      </w:r>
      <w:bookmarkEnd w:id="71"/>
    </w:p>
    <w:p w14:paraId="0437995D" w14:textId="23511E6F" w:rsidR="009028C9" w:rsidRDefault="009028C9" w:rsidP="009028C9">
      <w:pPr>
        <w:pStyle w:val="Heading2"/>
      </w:pPr>
      <w:bookmarkStart w:id="72" w:name="_Toc210700726"/>
      <w:bookmarkEnd w:id="36"/>
      <w:r>
        <w:t>Summary</w:t>
      </w:r>
      <w:bookmarkEnd w:id="72"/>
    </w:p>
    <w:p w14:paraId="36D13B38" w14:textId="504F170D" w:rsidR="009028C9" w:rsidRDefault="000F1456" w:rsidP="000F1456">
      <w:r w:rsidRPr="000F1456">
        <w:t>This work has demonstrated that frontline health and social care workers have a critical role in meeting human formations that make health inequalities in the UK. Focusing on the experiences of practitioners in addressing the challenges of poverty, housing insecurity, food access and digital exclusion, the research notes that professional action at the community level can be quantified in terms of decreasing disparities. Nevertheless, the results also show that this influence is limited by broader systemic/policy constraints, in the first place, the lack of resources, the disjointing service delivery, and t</w:t>
      </w:r>
      <w:r w:rsidR="000D3807">
        <w:t xml:space="preserve">he burden of increasing demand. Workforce shortages for example, the UK`s National Health Service(NHS) and social care sectors experience persistent staff shortages, with </w:t>
      </w:r>
      <w:proofErr w:type="spellStart"/>
      <w:r w:rsidR="000D3807">
        <w:t>ten</w:t>
      </w:r>
      <w:proofErr w:type="spellEnd"/>
      <w:r w:rsidR="000D3807">
        <w:t xml:space="preserve"> of thousands of vacant post for nurses, doctors, and care workers. This can lead to increased workloads and burnout for existing staff, longer patient waiting times, and a reliance on expensive agency staff </w:t>
      </w:r>
      <w:r w:rsidR="004A54E5">
        <w:t xml:space="preserve">to fill gaps in the short term. </w:t>
      </w:r>
      <w:r w:rsidRPr="000F1456">
        <w:t>The COVID-19 pandemic increased these vulnerabilities further and compounded the necessity and the difficulties in providing care equitably. Combined with findings reported in other studies, this study highlights that to achieve better health equity, two strategies are required: empowerment of frontline personnel with tools and support, and alignment of national policy, commissioning and inter-agency coordination to maintain change over the long run.</w:t>
      </w:r>
    </w:p>
    <w:p w14:paraId="5E51BD3E" w14:textId="5AAFE995" w:rsidR="00752706" w:rsidRDefault="00752706" w:rsidP="00752706">
      <w:pPr>
        <w:pStyle w:val="Heading2"/>
      </w:pPr>
      <w:bookmarkStart w:id="73" w:name="_Toc210700727"/>
      <w:bookmarkStart w:id="74" w:name="_Hlk211254724"/>
      <w:r w:rsidRPr="00752706">
        <w:t>Synthesis of Principal Findings</w:t>
      </w:r>
      <w:bookmarkEnd w:id="73"/>
    </w:p>
    <w:p w14:paraId="453C9159" w14:textId="77777777" w:rsidR="00793B3B" w:rsidRDefault="00C82240" w:rsidP="00C82240">
      <w:r>
        <w:t>The main objective of the study was to investigate the role of frontline health and social care professionals in addressing the level of health inequalities among low</w:t>
      </w:r>
      <w:r w:rsidR="00E50A2D">
        <w:t>-</w:t>
      </w:r>
      <w:r>
        <w:t xml:space="preserve">income families in the UK. The reviewed evidence confirms that the health professional is not the only one who undertakes much more than the professionally </w:t>
      </w:r>
      <w:bookmarkEnd w:id="55"/>
      <w:r>
        <w:t>accepted clinical roles by cutting across to the broader social determinants of health i.e. health visitors, community nurses, social workers and general practitioners. What they did was to offer health education, to access welfare advice, to coordinate welfare with housing and food services and to utili</w:t>
      </w:r>
      <w:r w:rsidR="00E50A2D">
        <w:t>s</w:t>
      </w:r>
      <w:r>
        <w:t>e social prescribing programs to refer families to community resources. These measures proved useful in trust establishment and better access to care, but the scope was narrowed by the unalterable barriers of resource and staff burdens, as well as local variations in commissioning plans (Olivera et al., 2022).</w:t>
      </w:r>
      <w:r w:rsidR="00793B3B">
        <w:t xml:space="preserve"> </w:t>
      </w:r>
    </w:p>
    <w:p w14:paraId="52FDCE54" w14:textId="41CA183A" w:rsidR="004A54E5" w:rsidRDefault="00C82240" w:rsidP="00C82240">
      <w:r>
        <w:lastRenderedPageBreak/>
        <w:t>The issues posed by contextual difficulties</w:t>
      </w:r>
      <w:r w:rsidR="004A54E5">
        <w:t xml:space="preserve"> means for example is a low-income family sharing one old laptop, preventing homework and skill development, while housing providers communicate crucial support (vouchers, funds) primarily online, excluding those without access, notes studies by Resolve Poverty, Financial disadvantage ( poverty premium) without online access, people struggle to find cheaper deals, paying more for essentials and missing out on financial benefits, as highlighted by citizens advice,</w:t>
      </w:r>
      <w:r>
        <w:t xml:space="preserve"> also had a substantial effect as noted in the review. </w:t>
      </w:r>
    </w:p>
    <w:p w14:paraId="4D8481E8" w14:textId="6DE14142" w:rsidR="00C82240" w:rsidRDefault="00C82240" w:rsidP="00C82240">
      <w:r>
        <w:t>The COVID-19 virus increased the inequality existing before the pandemic, where underprivileged families were facing more disruption of service access and increased stress and insecurity (Mishra et al., 2021). Simultaneously, the pandemic has shown the strength and flexibility of frontline employees, who quickly modified services to sustain the necessary communication with vulnerable families. In general, the results affirm that inequality can be alleviated through practitioner-led interventions, but structural reform is only supported long-term by system-outcomes.</w:t>
      </w:r>
      <w:r w:rsidR="004A54E5">
        <w:t xml:space="preserve"> Durable progress depends on system-level reforms and outcome focused policy change.</w:t>
      </w:r>
    </w:p>
    <w:p w14:paraId="4AB7915B" w14:textId="2DFD7D8E" w:rsidR="00E103DD" w:rsidRDefault="005C49C8" w:rsidP="005C49C8">
      <w:pPr>
        <w:pStyle w:val="Heading2"/>
      </w:pPr>
      <w:bookmarkStart w:id="75" w:name="_Toc210700728"/>
      <w:r w:rsidRPr="005C49C8">
        <w:t>Recommendations for Practice</w:t>
      </w:r>
      <w:bookmarkEnd w:id="75"/>
    </w:p>
    <w:p w14:paraId="72B8BA9A" w14:textId="2CE2875D" w:rsidR="001D5A70" w:rsidRDefault="001D5A70" w:rsidP="001D5A70">
      <w:r>
        <w:t>This research suggests that frontline services must be complemented with better structure, resources, and partnership advances to lessen health inequality and do so efficiently. At the community level, Integrated Care Boards (ICBs) and NHS England should review community resources to fund primary care networks and GP practises to carry out proactive outreach, such as home visit and follow-ups with low-income families</w:t>
      </w:r>
      <w:r w:rsidR="006A6F5D">
        <w:t xml:space="preserve"> </w:t>
      </w:r>
      <w:r w:rsidR="006A6F5D" w:rsidRPr="006A6F5D">
        <w:t>(</w:t>
      </w:r>
      <w:proofErr w:type="spellStart"/>
      <w:r w:rsidR="006A6F5D" w:rsidRPr="006A6F5D">
        <w:t>Bidmead</w:t>
      </w:r>
      <w:proofErr w:type="spellEnd"/>
      <w:r w:rsidR="006A6F5D" w:rsidRPr="006A6F5D">
        <w:t xml:space="preserve"> et al., 2024)</w:t>
      </w:r>
      <w:r>
        <w:t>. The services of health visiting and community nurses should also be developed with secure time and funding to determine social needs especially in families that have young kids</w:t>
      </w:r>
      <w:r w:rsidR="006A6F5D">
        <w:t xml:space="preserve"> </w:t>
      </w:r>
      <w:r w:rsidR="006A6F5D" w:rsidRPr="006A6F5D">
        <w:t>(McHugh et al., 2024)</w:t>
      </w:r>
      <w:r>
        <w:t>.</w:t>
      </w:r>
    </w:p>
    <w:p w14:paraId="24D38382" w14:textId="25BFC498" w:rsidR="005C49C8" w:rsidRDefault="001D5A70" w:rsidP="001D5A70">
      <w:r>
        <w:t>Social prescribing, that already provides concrete route to engaging individuals with community and voluntary resources, should be fixed and instituted more frequently into practises and link workers be granted long-term contracts and paid posts. Local authorities should formalise partnerships with voluntary, community and soc</w:t>
      </w:r>
      <w:r w:rsidR="00EB7FE8">
        <w:t>i</w:t>
      </w:r>
      <w:r>
        <w:t>al enterprise (VCSE) organisations (e.g. Citizens Advice, food banks, housing support charities, etc.) so that families get coordinated and timely support. Accurate documentation of social determinants in patient records would also enable practitioners to identify endangered households and provide relevant support</w:t>
      </w:r>
      <w:r w:rsidR="006D7D7B">
        <w:t xml:space="preserve"> </w:t>
      </w:r>
      <w:r w:rsidR="006D7D7B" w:rsidRPr="006D7D7B">
        <w:t>(Olivera et al., 2022)</w:t>
      </w:r>
      <w:r>
        <w:t>. Frontline services can transition to more proactive strategies that directly address causes of inequality by resourcing and integrating activities that are reactive to the problem instead of more proactive and sustainable.</w:t>
      </w:r>
    </w:p>
    <w:p w14:paraId="58EA1CFD" w14:textId="57E6ECCC" w:rsidR="00705741" w:rsidRDefault="00705741" w:rsidP="00705741">
      <w:pPr>
        <w:pStyle w:val="Heading2"/>
      </w:pPr>
      <w:bookmarkStart w:id="76" w:name="_Toc210700729"/>
      <w:r w:rsidRPr="00705741">
        <w:lastRenderedPageBreak/>
        <w:t>Policy Recommendations</w:t>
      </w:r>
      <w:bookmarkEnd w:id="76"/>
    </w:p>
    <w:p w14:paraId="60FC21D9" w14:textId="3DA7DB19" w:rsidR="002C787E" w:rsidRDefault="002C787E" w:rsidP="002C787E">
      <w:r>
        <w:t>At the national responsibility, effective leadership and better accountability are required to convert promises to certain remedies to inequality. This requires the Department of Health and Social Care (DHSC) and NHS England to entrench explicit health equity goals into commissioning designs of the Integrated Care Boards (ICBs), and evaluate resulting progress in outcome indicators to measure socioeconomic disparities (Cookson et al., 2016). These should be linked to funding provisions to ensure that ICBs are motivated to make tangible difference in marginalised communities.</w:t>
      </w:r>
    </w:p>
    <w:p w14:paraId="237D9DE7" w14:textId="3BC0CDAF" w:rsidR="002C787E" w:rsidRDefault="002C787E" w:rsidP="002C787E">
      <w:r>
        <w:t>Office for Health Improvement and Disparities (OHID) must liaise with local councils to involve housing and welfare and employment assistance into the planning of the wider social determinants of health understanding that health outcomes cannot be disaggregated (Smith and Stewart, 2024). Local health inequality strategies should actively incorporate agencies whose effort will deliver stable support to the benefits and housing intervention (Department for Work and Pensions effective halls, 2019</w:t>
      </w:r>
      <w:r w:rsidR="005C79C5">
        <w:t>)</w:t>
      </w:r>
      <w:r>
        <w:t>.</w:t>
      </w:r>
    </w:p>
    <w:p w14:paraId="1AD2F156" w14:textId="0CA78266" w:rsidR="00705741" w:rsidRDefault="002C787E" w:rsidP="002C787E">
      <w:r>
        <w:t>Services must be required to demonstrate how equity is considered in service redesign and service evaluation, and go beyond the aspirational statements of equity to enforcing standards offered by regulatory bodies, such as NICE and the Care Quality Commission (CQC) (Olivera et al., 2022). The absence of such a system coordinate, frontline professionals will be confined in the capacity of addressing the root cause of health inequalities.</w:t>
      </w:r>
    </w:p>
    <w:p w14:paraId="61ED0D29" w14:textId="1EE58936" w:rsidR="005D71EA" w:rsidRDefault="005D71EA" w:rsidP="005D71EA">
      <w:pPr>
        <w:pStyle w:val="Heading2"/>
      </w:pPr>
      <w:bookmarkStart w:id="77" w:name="_Toc210700730"/>
      <w:r w:rsidRPr="005D71EA">
        <w:t>Education, Implementation and Monitoring</w:t>
      </w:r>
      <w:bookmarkEnd w:id="77"/>
    </w:p>
    <w:p w14:paraId="7505C7A2" w14:textId="1F12EAC7" w:rsidR="005167A8" w:rsidRDefault="005167A8" w:rsidP="005167A8">
      <w:r>
        <w:t xml:space="preserve">Workforce education and systematic monitoring are needed to improve the reduction of inequalities. Training on social determinants of health, trauma-informed care, and community partnership should be implemented in pre-registration programmes and continuing professional development by Health Education England (HEE), Skills for Care and by the Royal Colleges. Past studies evidence that frontline professionals require more </w:t>
      </w:r>
      <w:r w:rsidR="008903B1">
        <w:t>effective</w:t>
      </w:r>
      <w:r>
        <w:t xml:space="preserve"> tools and capacities to trace and act on social barriers, which are concealed, specifically, </w:t>
      </w:r>
      <w:r w:rsidR="007F1DF3">
        <w:t>those</w:t>
      </w:r>
      <w:r>
        <w:t xml:space="preserve"> associated with poverty and marginalization (</w:t>
      </w:r>
      <w:proofErr w:type="spellStart"/>
      <w:r>
        <w:t>Heaslip</w:t>
      </w:r>
      <w:proofErr w:type="spellEnd"/>
      <w:r>
        <w:t xml:space="preserve"> et al., 2022). Pilot projects on social prescribing with housing advocacy and digital inclusion support must also be commissioned by Integrated Care Boards in high-need localities with strong evaluation.</w:t>
      </w:r>
    </w:p>
    <w:p w14:paraId="3E4F2736" w14:textId="0F7307DE" w:rsidR="007F1DF3" w:rsidRDefault="005167A8" w:rsidP="005167A8">
      <w:r>
        <w:t xml:space="preserve">Moreover, NHS Digital and local councils must enhance the data implantation by adding socioeconomic indicators like income, housing and digital access in patient records. It would </w:t>
      </w:r>
      <w:r>
        <w:lastRenderedPageBreak/>
        <w:t xml:space="preserve">enable services to establish key performance indicators (KPIs) which can be quantified and measured with time-lapse equity-related outcomes (Olivera et al., </w:t>
      </w:r>
      <w:r w:rsidR="00662E48">
        <w:t>2</w:t>
      </w:r>
      <w:r>
        <w:t>022). The multi-agency paths must be institutionalised to allow the health, social care, and voluntary organisations to coordinate their services in a manner that minimises duplication and enhancing access to the needy families (</w:t>
      </w:r>
      <w:proofErr w:type="spellStart"/>
      <w:r>
        <w:t>Bidmead</w:t>
      </w:r>
      <w:proofErr w:type="spellEnd"/>
      <w:r>
        <w:t xml:space="preserve"> et al., 2024).</w:t>
      </w:r>
      <w:r w:rsidR="007F1DF3">
        <w:t xml:space="preserve"> The supports integrated care and reduces fragmentation is seamless information sharing via unified digital records, multidisciplinary teams and collaborative care models, person-centred care planning, continuity of care, proactive prevention and early intervention, shared accountability and aligned incentives.</w:t>
      </w:r>
    </w:p>
    <w:p w14:paraId="29BEA2BA" w14:textId="2B7B3FE3" w:rsidR="004F655E" w:rsidRDefault="00093144" w:rsidP="00093144">
      <w:pPr>
        <w:pStyle w:val="Heading2"/>
      </w:pPr>
      <w:bookmarkStart w:id="78" w:name="_Toc210700731"/>
      <w:r w:rsidRPr="00093144">
        <w:t>Future Research Priorities</w:t>
      </w:r>
      <w:bookmarkEnd w:id="78"/>
    </w:p>
    <w:p w14:paraId="14A30AE8" w14:textId="3E3F28B8" w:rsidR="0012651E" w:rsidRDefault="00864B62" w:rsidP="00CD096D">
      <w:r w:rsidRPr="00864B62">
        <w:t>The longitudinal assessment of frontline interventions to presume their effect on the minimisation of inequalities over the long term should be the priority of future studies. Research on the topic of digital exclusion is of particular value as most families still experience limitations to access the services related to online delivery of health and social care (</w:t>
      </w:r>
      <w:proofErr w:type="spellStart"/>
      <w:r w:rsidRPr="00864B62">
        <w:t>Aarts</w:t>
      </w:r>
      <w:proofErr w:type="spellEnd"/>
      <w:r w:rsidRPr="00864B62">
        <w:t xml:space="preserve"> et al., 2015). </w:t>
      </w:r>
      <w:r w:rsidR="0012651E">
        <w:t>Digital exclusion significantly impacts older adults' ability to access essential online health and social care services, leading to health disparities, social isolation, and feelings of being "overlooked “while many older people use the internet, a substantial proportion ( especially those aged 75+) face barriers related to access, skills, confidence, and affordability. Older adults experience multiple, intersecting form of disadvantage that contribute to digital exclusion and barriers like, lack of skills and knowledge financial constraints, physical and health limitations, trust</w:t>
      </w:r>
      <w:r w:rsidR="0099075C">
        <w:t xml:space="preserve"> and security concerns and lack of non-digital alternatives.</w:t>
      </w:r>
      <w:r w:rsidR="0012651E">
        <w:t xml:space="preserve"> </w:t>
      </w:r>
    </w:p>
    <w:p w14:paraId="7E7EEBB2" w14:textId="2356E2B9" w:rsidR="00872134" w:rsidRDefault="00864B62" w:rsidP="00CD096D">
      <w:r w:rsidRPr="00864B62">
        <w:t>The rural community and ethnic minority populations are also higher priority as structural disadvantages worsen health outcomes (</w:t>
      </w:r>
      <w:proofErr w:type="spellStart"/>
      <w:r w:rsidRPr="00864B62">
        <w:t>Fergie</w:t>
      </w:r>
      <w:proofErr w:type="spellEnd"/>
      <w:r w:rsidRPr="00864B62">
        <w:t xml:space="preserve"> et al., 2023). These gaps can be filled in to improve evidence-based interventions. The moral of the story is obvious: addressing the issue of health inequality doesn’t just take place in the present moment, but centres on a long-term commitment to both learning and innovation as well as equity-based reforms</w:t>
      </w:r>
      <w:r w:rsidR="0076596E">
        <w:t>.</w:t>
      </w:r>
    </w:p>
    <w:p w14:paraId="10DC2D70" w14:textId="293C0455" w:rsidR="00D74703" w:rsidRPr="00CD096D" w:rsidRDefault="00D74703" w:rsidP="00CD096D">
      <w:r>
        <w:br w:type="page"/>
      </w:r>
      <w:bookmarkEnd w:id="74"/>
    </w:p>
    <w:p w14:paraId="58BF4D10" w14:textId="11629200" w:rsidR="009B09FD" w:rsidRPr="0080710F" w:rsidRDefault="00D92279" w:rsidP="00C1082D">
      <w:pPr>
        <w:pStyle w:val="Heading1"/>
        <w:ind w:left="0"/>
      </w:pPr>
      <w:r w:rsidRPr="002C17B0">
        <w:lastRenderedPageBreak/>
        <w:t xml:space="preserve"> </w:t>
      </w:r>
    </w:p>
    <w:p w14:paraId="3D598488" w14:textId="77777777" w:rsidR="00C1082D" w:rsidRDefault="00C1082D" w:rsidP="00C1082D">
      <w:pPr>
        <w:pStyle w:val="Heading1"/>
        <w:spacing w:before="0" w:after="240"/>
        <w:rPr>
          <w:rFonts w:ascii="Times New Roman" w:hAnsi="Times New Roman"/>
          <w:sz w:val="36"/>
          <w:szCs w:val="36"/>
        </w:rPr>
      </w:pPr>
      <w:r>
        <w:rPr>
          <w:sz w:val="36"/>
          <w:szCs w:val="36"/>
        </w:rPr>
        <w:t>Reference list</w:t>
      </w:r>
    </w:p>
    <w:p w14:paraId="2E3E27AE" w14:textId="77777777" w:rsidR="00C1082D" w:rsidRDefault="00C1082D" w:rsidP="00C1082D">
      <w:pPr>
        <w:pStyle w:val="NormalWeb"/>
        <w:spacing w:before="0" w:beforeAutospacing="0" w:after="240" w:afterAutospacing="0" w:line="360" w:lineRule="auto"/>
        <w:rPr>
          <w:sz w:val="24"/>
        </w:rPr>
      </w:pPr>
      <w:proofErr w:type="spellStart"/>
      <w:r>
        <w:t>Alshakhs</w:t>
      </w:r>
      <w:proofErr w:type="spellEnd"/>
      <w:r>
        <w:t xml:space="preserve">, F. and </w:t>
      </w:r>
      <w:proofErr w:type="spellStart"/>
      <w:r>
        <w:t>Alanzi</w:t>
      </w:r>
      <w:proofErr w:type="spellEnd"/>
      <w:r>
        <w:t xml:space="preserve">, T. (2018). The evolving role of social media in health-care delivery: measuring the perception of health-care professionals in Eastern Saudi Arabia. </w:t>
      </w:r>
      <w:r>
        <w:rPr>
          <w:i/>
          <w:iCs/>
        </w:rPr>
        <w:t>Journal of Multidisciplinary Healthcare</w:t>
      </w:r>
      <w:r>
        <w:t xml:space="preserve">, Volume 11, pp.473–479. </w:t>
      </w:r>
      <w:proofErr w:type="spellStart"/>
      <w:r>
        <w:t>doi:https</w:t>
      </w:r>
      <w:proofErr w:type="spellEnd"/>
      <w:r>
        <w:t>://doi.org/10.2147/jmdh.s171538.</w:t>
      </w:r>
    </w:p>
    <w:p w14:paraId="2185029F" w14:textId="77777777" w:rsidR="00C1082D" w:rsidRDefault="00C1082D" w:rsidP="00C1082D">
      <w:pPr>
        <w:pStyle w:val="NormalWeb"/>
        <w:spacing w:before="0" w:beforeAutospacing="0" w:after="240" w:afterAutospacing="0" w:line="360" w:lineRule="auto"/>
      </w:pPr>
      <w:proofErr w:type="spellStart"/>
      <w:r>
        <w:t>Bambra</w:t>
      </w:r>
      <w:proofErr w:type="spellEnd"/>
      <w:r>
        <w:t xml:space="preserve">, C. (2011). </w:t>
      </w:r>
      <w:r>
        <w:rPr>
          <w:i/>
          <w:iCs/>
        </w:rPr>
        <w:t xml:space="preserve">Work, </w:t>
      </w:r>
      <w:proofErr w:type="spellStart"/>
      <w:r>
        <w:rPr>
          <w:i/>
          <w:iCs/>
        </w:rPr>
        <w:t>Worklessness</w:t>
      </w:r>
      <w:proofErr w:type="spellEnd"/>
      <w:r>
        <w:rPr>
          <w:i/>
          <w:iCs/>
        </w:rPr>
        <w:t>, and the Political Economy of Health</w:t>
      </w:r>
      <w:r>
        <w:t>. OUP Oxford.</w:t>
      </w:r>
    </w:p>
    <w:p w14:paraId="06C26163" w14:textId="77777777" w:rsidR="00C1082D" w:rsidRDefault="00C1082D" w:rsidP="00C1082D">
      <w:pPr>
        <w:pStyle w:val="NormalWeb"/>
        <w:spacing w:before="0" w:beforeAutospacing="0" w:after="240" w:afterAutospacing="0" w:line="360" w:lineRule="auto"/>
      </w:pPr>
      <w:proofErr w:type="spellStart"/>
      <w:r>
        <w:t>Bambra</w:t>
      </w:r>
      <w:proofErr w:type="spellEnd"/>
      <w:r>
        <w:t xml:space="preserve">, C., Lynch, J. and Smith, K. (2025). </w:t>
      </w:r>
      <w:r>
        <w:rPr>
          <w:i/>
          <w:iCs/>
        </w:rPr>
        <w:t>Getting Better</w:t>
      </w:r>
      <w:r>
        <w:t>. Policy Press.</w:t>
      </w:r>
    </w:p>
    <w:p w14:paraId="6A1EBB59" w14:textId="77777777" w:rsidR="00C1082D" w:rsidRDefault="00C1082D" w:rsidP="00C1082D">
      <w:pPr>
        <w:pStyle w:val="NormalWeb"/>
        <w:spacing w:before="0" w:beforeAutospacing="0" w:after="240" w:afterAutospacing="0" w:line="360" w:lineRule="auto"/>
      </w:pPr>
      <w:proofErr w:type="spellStart"/>
      <w:r>
        <w:t>Banu</w:t>
      </w:r>
      <w:proofErr w:type="spellEnd"/>
      <w:r>
        <w:t xml:space="preserve">, G., </w:t>
      </w:r>
      <w:proofErr w:type="spellStart"/>
      <w:r>
        <w:t>Krefting</w:t>
      </w:r>
      <w:proofErr w:type="spellEnd"/>
      <w:r>
        <w:t xml:space="preserve">, D., </w:t>
      </w:r>
      <w:proofErr w:type="spellStart"/>
      <w:r>
        <w:t>Oya</w:t>
      </w:r>
      <w:proofErr w:type="spellEnd"/>
      <w:r>
        <w:t xml:space="preserve"> </w:t>
      </w:r>
      <w:proofErr w:type="spellStart"/>
      <w:r>
        <w:t>Beyan</w:t>
      </w:r>
      <w:proofErr w:type="spellEnd"/>
      <w:r>
        <w:t xml:space="preserve"> and </w:t>
      </w:r>
      <w:proofErr w:type="spellStart"/>
      <w:r>
        <w:t>Adamantios</w:t>
      </w:r>
      <w:proofErr w:type="spellEnd"/>
      <w:r>
        <w:t xml:space="preserve"> </w:t>
      </w:r>
      <w:proofErr w:type="spellStart"/>
      <w:r>
        <w:t>Koumpis</w:t>
      </w:r>
      <w:proofErr w:type="spellEnd"/>
      <w:r>
        <w:t xml:space="preserve"> (2025). </w:t>
      </w:r>
      <w:r>
        <w:rPr>
          <w:i/>
          <w:iCs/>
        </w:rPr>
        <w:t xml:space="preserve">Unlocking </w:t>
      </w:r>
      <w:proofErr w:type="gramStart"/>
      <w:r>
        <w:rPr>
          <w:i/>
          <w:iCs/>
        </w:rPr>
        <w:t>The</w:t>
      </w:r>
      <w:proofErr w:type="gramEnd"/>
      <w:r>
        <w:rPr>
          <w:i/>
          <w:iCs/>
        </w:rPr>
        <w:t xml:space="preserve"> Potential of Health Data Spaces With The Proliferation of New Tools, Technologies and Digital Solutions</w:t>
      </w:r>
      <w:r>
        <w:t>. Frontiers Media SA.</w:t>
      </w:r>
    </w:p>
    <w:p w14:paraId="380641DD" w14:textId="77777777" w:rsidR="00C1082D" w:rsidRDefault="00C1082D" w:rsidP="00C1082D">
      <w:pPr>
        <w:pStyle w:val="NormalWeb"/>
        <w:spacing w:before="0" w:beforeAutospacing="0" w:after="240" w:afterAutospacing="0" w:line="360" w:lineRule="auto"/>
      </w:pPr>
      <w:proofErr w:type="spellStart"/>
      <w:r>
        <w:t>Biondi-Zoccai</w:t>
      </w:r>
      <w:proofErr w:type="spellEnd"/>
      <w:r>
        <w:t xml:space="preserve">, G. (2016). </w:t>
      </w:r>
      <w:r>
        <w:rPr>
          <w:i/>
          <w:iCs/>
        </w:rPr>
        <w:t>Umbrella Reviews Evidence Synthesis with Overviews of Reviews and Meta-Epidemiologic Studies</w:t>
      </w:r>
      <w:r>
        <w:t>. Cham Springer International Publishing.</w:t>
      </w:r>
    </w:p>
    <w:p w14:paraId="631990C7" w14:textId="77777777" w:rsidR="00C1082D" w:rsidRDefault="00C1082D" w:rsidP="00C1082D">
      <w:pPr>
        <w:pStyle w:val="NormalWeb"/>
        <w:spacing w:before="0" w:beforeAutospacing="0" w:after="240" w:afterAutospacing="0" w:line="360" w:lineRule="auto"/>
      </w:pPr>
      <w:proofErr w:type="spellStart"/>
      <w:r>
        <w:t>Bramer</w:t>
      </w:r>
      <w:proofErr w:type="spellEnd"/>
      <w:r>
        <w:t xml:space="preserve">, W.M., De </w:t>
      </w:r>
      <w:proofErr w:type="spellStart"/>
      <w:r>
        <w:t>Jonge</w:t>
      </w:r>
      <w:proofErr w:type="spellEnd"/>
      <w:r>
        <w:t xml:space="preserve">, G.B., </w:t>
      </w:r>
      <w:proofErr w:type="spellStart"/>
      <w:r>
        <w:t>Rethlefsen</w:t>
      </w:r>
      <w:proofErr w:type="spellEnd"/>
      <w:r>
        <w:t xml:space="preserve">, M.L., Mast, F. and </w:t>
      </w:r>
      <w:proofErr w:type="spellStart"/>
      <w:r>
        <w:t>Kleijnen</w:t>
      </w:r>
      <w:proofErr w:type="spellEnd"/>
      <w:r>
        <w:t xml:space="preserve">, J. (2018). A Systematic Approach to Searching: an Efficient and Complete Method to Develop Literature Searches. </w:t>
      </w:r>
      <w:r>
        <w:rPr>
          <w:i/>
          <w:iCs/>
        </w:rPr>
        <w:t>Journal of the Medical Library Association</w:t>
      </w:r>
      <w:r>
        <w:t xml:space="preserve">, 106(4), pp.531–541. </w:t>
      </w:r>
      <w:proofErr w:type="spellStart"/>
      <w:r>
        <w:t>doi:https</w:t>
      </w:r>
      <w:proofErr w:type="spellEnd"/>
      <w:r>
        <w:t>://doi.org/10.5195/jmla.2018.283.</w:t>
      </w:r>
    </w:p>
    <w:p w14:paraId="66D405CC" w14:textId="77777777" w:rsidR="00C1082D" w:rsidRDefault="00C1082D" w:rsidP="00C1082D">
      <w:pPr>
        <w:pStyle w:val="NormalWeb"/>
        <w:spacing w:before="0" w:beforeAutospacing="0" w:after="240" w:afterAutospacing="0" w:line="360" w:lineRule="auto"/>
      </w:pPr>
      <w:proofErr w:type="spellStart"/>
      <w:r>
        <w:t>Bramwell</w:t>
      </w:r>
      <w:proofErr w:type="spellEnd"/>
      <w:r>
        <w:t xml:space="preserve">, D., Kath </w:t>
      </w:r>
      <w:proofErr w:type="spellStart"/>
      <w:r>
        <w:t>Checkland</w:t>
      </w:r>
      <w:proofErr w:type="spellEnd"/>
      <w:r>
        <w:t xml:space="preserve">, Shields, J. and Allen, P. (2023). </w:t>
      </w:r>
      <w:r>
        <w:rPr>
          <w:i/>
          <w:iCs/>
        </w:rPr>
        <w:t>Community Nursing Services in England</w:t>
      </w:r>
      <w:r>
        <w:t>. Springer Nature.</w:t>
      </w:r>
    </w:p>
    <w:p w14:paraId="6EEF4556" w14:textId="506792F6" w:rsidR="00C1082D" w:rsidRPr="00C1082D" w:rsidRDefault="00C1082D" w:rsidP="00C1082D">
      <w:pPr>
        <w:pStyle w:val="NormalWeb"/>
        <w:spacing w:before="0" w:beforeAutospacing="0" w:after="240" w:afterAutospacing="0" w:line="360" w:lineRule="auto"/>
      </w:pPr>
      <w:r>
        <w:t xml:space="preserve">Byrne, D. (2021). A Worked Example of Braun and Clarke’s Approach to Reflexive Thematic Analysis. </w:t>
      </w:r>
      <w:r>
        <w:rPr>
          <w:i/>
          <w:iCs/>
        </w:rPr>
        <w:t>Quality &amp; Quantity</w:t>
      </w:r>
      <w:r>
        <w:t xml:space="preserve">, (online) 56(1), pp.1391–1412. </w:t>
      </w:r>
      <w:proofErr w:type="spellStart"/>
      <w:proofErr w:type="gramStart"/>
      <w:r>
        <w:t>doi:</w:t>
      </w:r>
      <w:proofErr w:type="gramEnd"/>
      <w:r>
        <w:t>Available</w:t>
      </w:r>
      <w:proofErr w:type="spellEnd"/>
      <w:r>
        <w:t xml:space="preserve"> </w:t>
      </w:r>
      <w:proofErr w:type="spellStart"/>
      <w:r>
        <w:t>at:</w:t>
      </w:r>
      <w:r w:rsidRPr="00C1082D">
        <w:rPr>
          <w:i/>
        </w:rPr>
        <w:t>https</w:t>
      </w:r>
      <w:proofErr w:type="spellEnd"/>
      <w:r w:rsidRPr="00C1082D">
        <w:rPr>
          <w:i/>
        </w:rPr>
        <w:t>://doi.org/10.1007/s11135-021-01182-y.</w:t>
      </w:r>
      <w:r>
        <w:t xml:space="preserve"> (Accessed 22 </w:t>
      </w:r>
      <w:r w:rsidR="00E334C4">
        <w:t>November</w:t>
      </w:r>
      <w:r>
        <w:t xml:space="preserve"> 2025)</w:t>
      </w:r>
    </w:p>
    <w:p w14:paraId="6C43F976" w14:textId="77777777" w:rsidR="00C1082D" w:rsidRDefault="00C1082D" w:rsidP="00C1082D">
      <w:pPr>
        <w:pStyle w:val="NormalWeb"/>
        <w:spacing w:before="0" w:beforeAutospacing="0" w:after="240" w:afterAutospacing="0" w:line="360" w:lineRule="auto"/>
      </w:pPr>
      <w:r>
        <w:t xml:space="preserve">Camargo, K.R. de (2011). Closing the gap in a generation: Health equity through action on the social determinants of health. </w:t>
      </w:r>
      <w:r>
        <w:rPr>
          <w:i/>
          <w:iCs/>
        </w:rPr>
        <w:t>Global Public Health</w:t>
      </w:r>
      <w:r>
        <w:t xml:space="preserve">, 6(1), pp.102–105. </w:t>
      </w:r>
      <w:proofErr w:type="spellStart"/>
      <w:r>
        <w:t>doi:https</w:t>
      </w:r>
      <w:proofErr w:type="spellEnd"/>
      <w:r>
        <w:t>://doi.org/10.1080/17441692.2010.514617.</w:t>
      </w:r>
    </w:p>
    <w:p w14:paraId="06C62293" w14:textId="77777777" w:rsidR="00C1082D" w:rsidRDefault="00C1082D" w:rsidP="00C1082D">
      <w:pPr>
        <w:pStyle w:val="NormalWeb"/>
        <w:spacing w:before="0" w:beforeAutospacing="0" w:after="240" w:afterAutospacing="0" w:line="360" w:lineRule="auto"/>
      </w:pPr>
      <w:r>
        <w:t xml:space="preserve">Carmen, D., Montero, J.-M. </w:t>
      </w:r>
      <w:proofErr w:type="gramStart"/>
      <w:r>
        <w:t>and</w:t>
      </w:r>
      <w:proofErr w:type="gramEnd"/>
      <w:r>
        <w:t xml:space="preserve"> </w:t>
      </w:r>
      <w:proofErr w:type="spellStart"/>
      <w:r>
        <w:t>Annibale</w:t>
      </w:r>
      <w:proofErr w:type="spellEnd"/>
      <w:r>
        <w:t xml:space="preserve"> </w:t>
      </w:r>
      <w:proofErr w:type="spellStart"/>
      <w:r>
        <w:t>Biggeri</w:t>
      </w:r>
      <w:proofErr w:type="spellEnd"/>
      <w:r>
        <w:t xml:space="preserve"> (2023). </w:t>
      </w:r>
      <w:r>
        <w:rPr>
          <w:i/>
          <w:iCs/>
        </w:rPr>
        <w:t>National Health Services: Efficiency, Welfare and Economy</w:t>
      </w:r>
      <w:r>
        <w:t>. Frontiers Media SA.</w:t>
      </w:r>
    </w:p>
    <w:p w14:paraId="7A291ADE" w14:textId="5AF74588" w:rsidR="00C1082D" w:rsidRDefault="00C1082D" w:rsidP="00C1082D">
      <w:pPr>
        <w:pStyle w:val="NormalWeb"/>
        <w:spacing w:before="0" w:beforeAutospacing="0" w:after="240" w:afterAutospacing="0" w:line="360" w:lineRule="auto"/>
      </w:pPr>
      <w:r>
        <w:lastRenderedPageBreak/>
        <w:t xml:space="preserve">Case, A. and </w:t>
      </w:r>
      <w:proofErr w:type="spellStart"/>
      <w:r>
        <w:t>Kraftman</w:t>
      </w:r>
      <w:proofErr w:type="spellEnd"/>
      <w:r>
        <w:t xml:space="preserve">, L. (2024). Health inequalities. </w:t>
      </w:r>
      <w:r>
        <w:rPr>
          <w:i/>
          <w:iCs/>
        </w:rPr>
        <w:t>Oxford Open Economics</w:t>
      </w:r>
      <w:r>
        <w:t>, (online</w:t>
      </w:r>
      <w:proofErr w:type="gramStart"/>
      <w:r>
        <w:t>)3</w:t>
      </w:r>
      <w:proofErr w:type="gramEnd"/>
      <w:r>
        <w:t xml:space="preserve">(Supplement_1), pp.i499–i528. </w:t>
      </w:r>
      <w:proofErr w:type="spellStart"/>
      <w:r>
        <w:t>doi:https</w:t>
      </w:r>
      <w:proofErr w:type="spellEnd"/>
      <w:r>
        <w:t>://doi.org/10.1093/</w:t>
      </w:r>
      <w:proofErr w:type="spellStart"/>
      <w:r>
        <w:t>ooec</w:t>
      </w:r>
      <w:proofErr w:type="spellEnd"/>
      <w:r>
        <w:t>/odad060.</w:t>
      </w:r>
    </w:p>
    <w:p w14:paraId="15F8C311" w14:textId="77777777" w:rsidR="00C1082D" w:rsidRDefault="00C1082D" w:rsidP="00C1082D">
      <w:pPr>
        <w:pStyle w:val="NormalWeb"/>
        <w:spacing w:before="0" w:beforeAutospacing="0" w:after="240" w:afterAutospacing="0" w:line="360" w:lineRule="auto"/>
      </w:pPr>
      <w:proofErr w:type="spellStart"/>
      <w:r>
        <w:t>Chohan</w:t>
      </w:r>
      <w:proofErr w:type="spellEnd"/>
      <w:r>
        <w:t xml:space="preserve">, U.W. (2023). </w:t>
      </w:r>
      <w:r>
        <w:rPr>
          <w:i/>
          <w:iCs/>
        </w:rPr>
        <w:t>Public Value and the Post-Pandemic Society</w:t>
      </w:r>
      <w:r>
        <w:t>. Taylor &amp; Francis.</w:t>
      </w:r>
    </w:p>
    <w:p w14:paraId="036025F1" w14:textId="77777777" w:rsidR="00C1082D" w:rsidRDefault="00C1082D" w:rsidP="00C1082D">
      <w:pPr>
        <w:pStyle w:val="NormalWeb"/>
        <w:spacing w:before="0" w:beforeAutospacing="0" w:after="240" w:afterAutospacing="0" w:line="360" w:lineRule="auto"/>
      </w:pPr>
      <w:r>
        <w:t xml:space="preserve">Cochrane, J.R., Gunderson, G.R. and </w:t>
      </w:r>
      <w:proofErr w:type="spellStart"/>
      <w:r>
        <w:t>Cutts</w:t>
      </w:r>
      <w:proofErr w:type="spellEnd"/>
      <w:r>
        <w:t xml:space="preserve">, T. (2024). </w:t>
      </w:r>
      <w:r>
        <w:rPr>
          <w:i/>
          <w:iCs/>
        </w:rPr>
        <w:t>Handbook on Religion and Health</w:t>
      </w:r>
      <w:r>
        <w:t>. Edward Elgar Publishing.</w:t>
      </w:r>
    </w:p>
    <w:p w14:paraId="1A9C3BF6" w14:textId="5619DFC6" w:rsidR="00C1082D" w:rsidRPr="00C1082D" w:rsidRDefault="00C1082D" w:rsidP="00C1082D">
      <w:pPr>
        <w:pStyle w:val="NormalWeb"/>
        <w:spacing w:before="0" w:beforeAutospacing="0" w:after="240" w:afterAutospacing="0" w:line="360" w:lineRule="auto"/>
      </w:pPr>
      <w:r>
        <w:t xml:space="preserve">Cooper, C., Booth, A., </w:t>
      </w:r>
      <w:proofErr w:type="spellStart"/>
      <w:r>
        <w:t>Varley</w:t>
      </w:r>
      <w:proofErr w:type="spellEnd"/>
      <w:r>
        <w:t xml:space="preserve">-Campbell, J., Britten, N. and Garside, R. (2018). Defining the Process to Literature Searching in Systematic reviews: a Literature Review of Guidance and Supporting Studies. </w:t>
      </w:r>
      <w:r>
        <w:rPr>
          <w:i/>
          <w:iCs/>
        </w:rPr>
        <w:t>BMC Medical Research Methodology</w:t>
      </w:r>
      <w:r>
        <w:t>, (online</w:t>
      </w:r>
      <w:proofErr w:type="gramStart"/>
      <w:r>
        <w:t>)18</w:t>
      </w:r>
      <w:proofErr w:type="gramEnd"/>
      <w:r>
        <w:t xml:space="preserve">(1). Available at: </w:t>
      </w:r>
      <w:hyperlink r:id="rId21" w:history="1">
        <w:r w:rsidRPr="00511747">
          <w:rPr>
            <w:rStyle w:val="Hyperlink"/>
            <w:i/>
          </w:rPr>
          <w:t>https://bmcmedresmethodol.biomedcentral.com/articles/10.1186/s12874-018-0545-3</w:t>
        </w:r>
      </w:hyperlink>
      <w:r w:rsidRPr="00C1082D">
        <w:rPr>
          <w:i/>
        </w:rPr>
        <w:t>.</w:t>
      </w:r>
      <w:r>
        <w:t xml:space="preserve"> </w:t>
      </w:r>
      <w:proofErr w:type="gramStart"/>
      <w:r>
        <w:t>( Accessed</w:t>
      </w:r>
      <w:proofErr w:type="gramEnd"/>
      <w:r>
        <w:t xml:space="preserve"> 10 </w:t>
      </w:r>
      <w:r w:rsidR="00E334C4">
        <w:t>November 2025 )</w:t>
      </w:r>
    </w:p>
    <w:p w14:paraId="76B502B0" w14:textId="77777777" w:rsidR="00C1082D" w:rsidRDefault="00C1082D" w:rsidP="00C1082D">
      <w:pPr>
        <w:pStyle w:val="NormalWeb"/>
        <w:spacing w:before="0" w:beforeAutospacing="0" w:after="240" w:afterAutospacing="0" w:line="360" w:lineRule="auto"/>
      </w:pPr>
      <w:proofErr w:type="spellStart"/>
      <w:r>
        <w:t>Dyakova</w:t>
      </w:r>
      <w:proofErr w:type="spellEnd"/>
      <w:r>
        <w:t xml:space="preserve">, M., Masters, R. and </w:t>
      </w:r>
      <w:proofErr w:type="spellStart"/>
      <w:r>
        <w:t>Timotej</w:t>
      </w:r>
      <w:proofErr w:type="spellEnd"/>
      <w:r>
        <w:t xml:space="preserve"> </w:t>
      </w:r>
      <w:proofErr w:type="spellStart"/>
      <w:r>
        <w:t>Jagric</w:t>
      </w:r>
      <w:proofErr w:type="spellEnd"/>
      <w:r>
        <w:t xml:space="preserve"> (2024). </w:t>
      </w:r>
      <w:r>
        <w:rPr>
          <w:i/>
          <w:iCs/>
        </w:rPr>
        <w:t>Translating health economics research into public health action: Towards an economy of wellbeing</w:t>
      </w:r>
      <w:r>
        <w:t>. Frontiers Media SA.</w:t>
      </w:r>
    </w:p>
    <w:p w14:paraId="19350E3B" w14:textId="77777777" w:rsidR="00C1082D" w:rsidRDefault="00C1082D" w:rsidP="00C1082D">
      <w:pPr>
        <w:pStyle w:val="NormalWeb"/>
        <w:spacing w:before="0" w:beforeAutospacing="0" w:after="240" w:afterAutospacing="0" w:line="360" w:lineRule="auto"/>
      </w:pPr>
      <w:r>
        <w:t xml:space="preserve">Egan, B.M., Lee, E. and </w:t>
      </w:r>
      <w:proofErr w:type="spellStart"/>
      <w:r>
        <w:t>Caneva</w:t>
      </w:r>
      <w:proofErr w:type="spellEnd"/>
      <w:r>
        <w:t xml:space="preserve">, D. (2025). </w:t>
      </w:r>
      <w:r>
        <w:rPr>
          <w:i/>
          <w:iCs/>
        </w:rPr>
        <w:t>Pandemic Response: Challenges, Advances, and Lessons Learnt</w:t>
      </w:r>
      <w:r>
        <w:t>. Frontiers Media SA.</w:t>
      </w:r>
    </w:p>
    <w:p w14:paraId="236F9D51" w14:textId="77777777" w:rsidR="00C1082D" w:rsidRDefault="00C1082D" w:rsidP="00C1082D">
      <w:pPr>
        <w:pStyle w:val="NormalWeb"/>
        <w:spacing w:before="0" w:beforeAutospacing="0" w:after="240" w:afterAutospacing="0" w:line="360" w:lineRule="auto"/>
      </w:pPr>
      <w:proofErr w:type="spellStart"/>
      <w:r>
        <w:t>Fingani</w:t>
      </w:r>
      <w:proofErr w:type="spellEnd"/>
      <w:r>
        <w:t xml:space="preserve"> Annie </w:t>
      </w:r>
      <w:proofErr w:type="spellStart"/>
      <w:r>
        <w:t>Mphande</w:t>
      </w:r>
      <w:proofErr w:type="spellEnd"/>
      <w:r>
        <w:t xml:space="preserve"> (</w:t>
      </w:r>
      <w:proofErr w:type="spellStart"/>
      <w:r>
        <w:t>n.d.</w:t>
      </w:r>
      <w:proofErr w:type="spellEnd"/>
      <w:r>
        <w:t xml:space="preserve">). </w:t>
      </w:r>
      <w:r>
        <w:rPr>
          <w:i/>
          <w:iCs/>
        </w:rPr>
        <w:t>Sustainable Health in Low and Middle Income Countries</w:t>
      </w:r>
      <w:r>
        <w:t>. Springer Nature.</w:t>
      </w:r>
    </w:p>
    <w:p w14:paraId="0BF2E287" w14:textId="77777777" w:rsidR="00C1082D" w:rsidRDefault="00C1082D" w:rsidP="00C1082D">
      <w:pPr>
        <w:pStyle w:val="NormalWeb"/>
        <w:spacing w:before="0" w:beforeAutospacing="0" w:after="240" w:afterAutospacing="0" w:line="360" w:lineRule="auto"/>
      </w:pPr>
      <w:r>
        <w:t xml:space="preserve">Fong, R., </w:t>
      </w:r>
      <w:proofErr w:type="spellStart"/>
      <w:r>
        <w:t>Lubben</w:t>
      </w:r>
      <w:proofErr w:type="spellEnd"/>
      <w:r>
        <w:t xml:space="preserve">, J.E. and Barth, R.P. (2018). </w:t>
      </w:r>
      <w:r>
        <w:rPr>
          <w:i/>
          <w:iCs/>
        </w:rPr>
        <w:t xml:space="preserve">Grand challenges for social work and </w:t>
      </w:r>
      <w:proofErr w:type="gramStart"/>
      <w:r>
        <w:rPr>
          <w:i/>
          <w:iCs/>
        </w:rPr>
        <w:t>society :</w:t>
      </w:r>
      <w:proofErr w:type="gramEnd"/>
      <w:r>
        <w:rPr>
          <w:i/>
          <w:iCs/>
        </w:rPr>
        <w:t xml:space="preserve"> social progress powered by science</w:t>
      </w:r>
      <w:r>
        <w:t xml:space="preserve">. New York, </w:t>
      </w:r>
      <w:proofErr w:type="spellStart"/>
      <w:proofErr w:type="gramStart"/>
      <w:r>
        <w:t>Ny</w:t>
      </w:r>
      <w:proofErr w:type="spellEnd"/>
      <w:proofErr w:type="gramEnd"/>
      <w:r>
        <w:t>: Oxford University Press.</w:t>
      </w:r>
    </w:p>
    <w:p w14:paraId="7FE90E0F" w14:textId="342A2035" w:rsidR="00C1082D" w:rsidRPr="00E334C4" w:rsidRDefault="00C1082D" w:rsidP="00C1082D">
      <w:pPr>
        <w:pStyle w:val="NormalWeb"/>
        <w:spacing w:before="0" w:beforeAutospacing="0" w:after="240" w:afterAutospacing="0" w:line="360" w:lineRule="auto"/>
      </w:pPr>
      <w:r>
        <w:t xml:space="preserve">GOV.UK (2010a). </w:t>
      </w:r>
      <w:r>
        <w:rPr>
          <w:i/>
          <w:iCs/>
        </w:rPr>
        <w:t>Equality Act 2010</w:t>
      </w:r>
      <w:r w:rsidR="00E334C4">
        <w:t>. (</w:t>
      </w:r>
      <w:proofErr w:type="gramStart"/>
      <w:r w:rsidR="00E334C4">
        <w:t>online</w:t>
      </w:r>
      <w:proofErr w:type="gramEnd"/>
      <w:r w:rsidR="00E334C4">
        <w:t>)</w:t>
      </w:r>
      <w:r>
        <w:t xml:space="preserve"> Legislation.gov.uk. Available at: </w:t>
      </w:r>
      <w:hyperlink r:id="rId22" w:history="1">
        <w:r w:rsidR="00E334C4" w:rsidRPr="00511747">
          <w:rPr>
            <w:rStyle w:val="Hyperlink"/>
            <w:i/>
          </w:rPr>
          <w:t>https://www.legislation.gov.uk/ukpga/2010/15/contents/enacted</w:t>
        </w:r>
      </w:hyperlink>
      <w:r w:rsidRPr="00E334C4">
        <w:rPr>
          <w:i/>
        </w:rPr>
        <w:t>.</w:t>
      </w:r>
      <w:r w:rsidR="00E334C4">
        <w:rPr>
          <w:i/>
        </w:rPr>
        <w:t xml:space="preserve"> </w:t>
      </w:r>
      <w:proofErr w:type="gramStart"/>
      <w:r w:rsidR="00E334C4">
        <w:t>( Accessed</w:t>
      </w:r>
      <w:proofErr w:type="gramEnd"/>
      <w:r w:rsidR="00E334C4">
        <w:t xml:space="preserve"> 28 November 2025 )</w:t>
      </w:r>
    </w:p>
    <w:p w14:paraId="2ACD5E6B" w14:textId="3ECF49BE" w:rsidR="00C1082D" w:rsidRPr="00E334C4" w:rsidRDefault="00C1082D" w:rsidP="00C1082D">
      <w:pPr>
        <w:pStyle w:val="NormalWeb"/>
        <w:spacing w:before="0" w:beforeAutospacing="0" w:after="240" w:afterAutospacing="0" w:line="360" w:lineRule="auto"/>
      </w:pPr>
      <w:r>
        <w:t xml:space="preserve">GOV.UK (2010b). </w:t>
      </w:r>
      <w:r>
        <w:rPr>
          <w:i/>
          <w:iCs/>
        </w:rPr>
        <w:t>Equality Act 2010</w:t>
      </w:r>
      <w:r w:rsidR="00E334C4">
        <w:t>. (</w:t>
      </w:r>
      <w:proofErr w:type="gramStart"/>
      <w:r w:rsidR="00E334C4">
        <w:t>online</w:t>
      </w:r>
      <w:proofErr w:type="gramEnd"/>
      <w:r w:rsidR="00E334C4">
        <w:t>)</w:t>
      </w:r>
      <w:r>
        <w:t xml:space="preserve">Legislation.gov.uk. Available at: </w:t>
      </w:r>
      <w:hyperlink r:id="rId23" w:history="1">
        <w:r w:rsidR="00E334C4" w:rsidRPr="00511747">
          <w:rPr>
            <w:rStyle w:val="Hyperlink"/>
            <w:i/>
          </w:rPr>
          <w:t>https://www.legislation.gov.uk/ukpga/2010/15/contents/enacted</w:t>
        </w:r>
      </w:hyperlink>
      <w:r w:rsidRPr="00E334C4">
        <w:rPr>
          <w:i/>
        </w:rPr>
        <w:t>.</w:t>
      </w:r>
      <w:r w:rsidR="00E334C4">
        <w:rPr>
          <w:i/>
        </w:rPr>
        <w:t xml:space="preserve"> </w:t>
      </w:r>
      <w:proofErr w:type="gramStart"/>
      <w:r w:rsidR="00E334C4">
        <w:t>( Accessed</w:t>
      </w:r>
      <w:proofErr w:type="gramEnd"/>
      <w:r w:rsidR="00E334C4">
        <w:t xml:space="preserve"> 26 November 2025)</w:t>
      </w:r>
    </w:p>
    <w:p w14:paraId="23AC0A36" w14:textId="0A9D07D8" w:rsidR="00C1082D" w:rsidRDefault="00C1082D" w:rsidP="00C1082D">
      <w:pPr>
        <w:pStyle w:val="NormalWeb"/>
        <w:spacing w:before="0" w:beforeAutospacing="0" w:after="240" w:afterAutospacing="0" w:line="360" w:lineRule="auto"/>
      </w:pPr>
      <w:proofErr w:type="spellStart"/>
      <w:r>
        <w:t>Gusenbauer</w:t>
      </w:r>
      <w:proofErr w:type="spellEnd"/>
      <w:r>
        <w:t xml:space="preserve">, M. and </w:t>
      </w:r>
      <w:proofErr w:type="spellStart"/>
      <w:r>
        <w:t>Haddaway</w:t>
      </w:r>
      <w:proofErr w:type="spellEnd"/>
      <w:r>
        <w:t>, N.R. (2020). Which Academic Search Systems Are Suitable for Systematic Reviews or meta</w:t>
      </w:r>
      <w:r>
        <w:rPr>
          <w:rFonts w:ascii="Cambria Math" w:hAnsi="Cambria Math" w:cs="Cambria Math"/>
        </w:rPr>
        <w:t>‐</w:t>
      </w:r>
      <w:r>
        <w:t xml:space="preserve">analyses? Evaluating Retrieval Qualities of Google Scholar, PubMed, and 26 Other Resources. </w:t>
      </w:r>
      <w:r>
        <w:rPr>
          <w:i/>
          <w:iCs/>
        </w:rPr>
        <w:t>Research Synthesis Methods</w:t>
      </w:r>
      <w:r w:rsidR="00E334C4">
        <w:t>, (online)</w:t>
      </w:r>
      <w:r>
        <w:t xml:space="preserve"> 11(2), pp.181–217. </w:t>
      </w:r>
      <w:proofErr w:type="spellStart"/>
      <w:r>
        <w:t>doi:https</w:t>
      </w:r>
      <w:proofErr w:type="spellEnd"/>
      <w:r>
        <w:t>://doi.org/10.1002/jrsm.1378.</w:t>
      </w:r>
    </w:p>
    <w:p w14:paraId="1A107D35" w14:textId="56338D90" w:rsidR="00C1082D" w:rsidRDefault="00C1082D" w:rsidP="00C1082D">
      <w:pPr>
        <w:pStyle w:val="NormalWeb"/>
        <w:spacing w:before="0" w:beforeAutospacing="0" w:after="240" w:afterAutospacing="0" w:line="360" w:lineRule="auto"/>
      </w:pPr>
      <w:r>
        <w:lastRenderedPageBreak/>
        <w:t xml:space="preserve">Islam, M.M. (2019). Social determinants of health and related inequalities: Confusion and implications. </w:t>
      </w:r>
      <w:r>
        <w:rPr>
          <w:i/>
          <w:iCs/>
        </w:rPr>
        <w:t>Frontiers in Public Health</w:t>
      </w:r>
      <w:r w:rsidR="00E334C4">
        <w:t>, (online)</w:t>
      </w:r>
      <w:r>
        <w:t xml:space="preserve"> 7(11), pp.1–4. </w:t>
      </w:r>
      <w:proofErr w:type="spellStart"/>
      <w:r>
        <w:t>doi:https</w:t>
      </w:r>
      <w:proofErr w:type="spellEnd"/>
      <w:r>
        <w:t>://doi.org/10.3389/fpubh.2019.00011.</w:t>
      </w:r>
    </w:p>
    <w:p w14:paraId="05A00797" w14:textId="77777777" w:rsidR="00C1082D" w:rsidRDefault="00C1082D" w:rsidP="00C1082D">
      <w:pPr>
        <w:pStyle w:val="NormalWeb"/>
        <w:spacing w:before="0" w:beforeAutospacing="0" w:after="240" w:afterAutospacing="0" w:line="360" w:lineRule="auto"/>
      </w:pPr>
      <w:proofErr w:type="spellStart"/>
      <w:r>
        <w:t>Jessiman</w:t>
      </w:r>
      <w:proofErr w:type="spellEnd"/>
      <w:r>
        <w:t xml:space="preserve">, P.E., Powell, K., Williams, P., </w:t>
      </w:r>
      <w:proofErr w:type="spellStart"/>
      <w:r>
        <w:t>Fairbrother</w:t>
      </w:r>
      <w:proofErr w:type="spellEnd"/>
      <w:r>
        <w:t xml:space="preserve">, H., Crowder, M., Williams, J.G. and Kipping, R. (2021). A systems map of the determinants of child health inequalities in England at the local level. </w:t>
      </w:r>
      <w:r>
        <w:rPr>
          <w:i/>
          <w:iCs/>
        </w:rPr>
        <w:t>PLOS ONE</w:t>
      </w:r>
      <w:r>
        <w:t xml:space="preserve">, 16(2), p.e0245577. </w:t>
      </w:r>
      <w:proofErr w:type="spellStart"/>
      <w:r>
        <w:t>doi:https</w:t>
      </w:r>
      <w:proofErr w:type="spellEnd"/>
      <w:r>
        <w:t>://doi.org/10.1371/journal.pone.0245577.</w:t>
      </w:r>
    </w:p>
    <w:p w14:paraId="674FDB35" w14:textId="77777777" w:rsidR="00C1082D" w:rsidRDefault="00C1082D" w:rsidP="00C1082D">
      <w:pPr>
        <w:pStyle w:val="NormalWeb"/>
        <w:spacing w:before="0" w:beforeAutospacing="0" w:after="240" w:afterAutospacing="0" w:line="360" w:lineRule="auto"/>
      </w:pPr>
      <w:proofErr w:type="spellStart"/>
      <w:r>
        <w:t>Kandauda</w:t>
      </w:r>
      <w:proofErr w:type="spellEnd"/>
      <w:r>
        <w:t xml:space="preserve"> A.S. </w:t>
      </w:r>
      <w:proofErr w:type="spellStart"/>
      <w:r>
        <w:t>Wickrama</w:t>
      </w:r>
      <w:proofErr w:type="spellEnd"/>
      <w:r>
        <w:t xml:space="preserve">, O’Neal, C.W. and K.A. </w:t>
      </w:r>
      <w:proofErr w:type="spellStart"/>
      <w:r>
        <w:t>Thulitha</w:t>
      </w:r>
      <w:proofErr w:type="spellEnd"/>
      <w:r>
        <w:t xml:space="preserve"> </w:t>
      </w:r>
      <w:proofErr w:type="spellStart"/>
      <w:r>
        <w:t>Wickrama</w:t>
      </w:r>
      <w:proofErr w:type="spellEnd"/>
      <w:r>
        <w:t xml:space="preserve"> (2024). </w:t>
      </w:r>
      <w:r>
        <w:rPr>
          <w:i/>
          <w:iCs/>
        </w:rPr>
        <w:t>Family Economic Adversity and Later-Life Physical Health and Well-being</w:t>
      </w:r>
      <w:r>
        <w:t>. Cambridge Scholars Publishing.</w:t>
      </w:r>
    </w:p>
    <w:p w14:paraId="7D9978A9" w14:textId="6F28BA7A" w:rsidR="00C1082D" w:rsidRDefault="00C1082D" w:rsidP="00C1082D">
      <w:pPr>
        <w:pStyle w:val="NormalWeb"/>
        <w:spacing w:before="0" w:beforeAutospacing="0" w:after="240" w:afterAutospacing="0" w:line="360" w:lineRule="auto"/>
      </w:pPr>
      <w:proofErr w:type="spellStart"/>
      <w:r>
        <w:t>Kirkbride</w:t>
      </w:r>
      <w:proofErr w:type="spellEnd"/>
      <w:r>
        <w:t xml:space="preserve">, J.B., </w:t>
      </w:r>
      <w:proofErr w:type="spellStart"/>
      <w:r>
        <w:t>Anglin</w:t>
      </w:r>
      <w:proofErr w:type="spellEnd"/>
      <w:r>
        <w:t xml:space="preserve">, D.M., Colman, I., </w:t>
      </w:r>
      <w:proofErr w:type="spellStart"/>
      <w:r>
        <w:t>Dykxhoorn</w:t>
      </w:r>
      <w:proofErr w:type="spellEnd"/>
      <w:r>
        <w:t xml:space="preserve">, J., Jones, P.B., </w:t>
      </w:r>
      <w:proofErr w:type="spellStart"/>
      <w:r>
        <w:t>Patalay</w:t>
      </w:r>
      <w:proofErr w:type="spellEnd"/>
      <w:r>
        <w:t xml:space="preserve">, P., Pitman, A., </w:t>
      </w:r>
      <w:proofErr w:type="spellStart"/>
      <w:r>
        <w:t>Soneson</w:t>
      </w:r>
      <w:proofErr w:type="spellEnd"/>
      <w:r>
        <w:t xml:space="preserve">, E., </w:t>
      </w:r>
      <w:proofErr w:type="spellStart"/>
      <w:r>
        <w:t>Steare</w:t>
      </w:r>
      <w:proofErr w:type="spellEnd"/>
      <w:r>
        <w:t xml:space="preserve">, T., Wright, T. and Griffiths, S.L. (2024). The social determinants of mental health and disorder: Evidence, prevention and recommendations. </w:t>
      </w:r>
      <w:r>
        <w:rPr>
          <w:i/>
          <w:iCs/>
        </w:rPr>
        <w:t xml:space="preserve">World </w:t>
      </w:r>
      <w:proofErr w:type="gramStart"/>
      <w:r>
        <w:rPr>
          <w:i/>
          <w:iCs/>
        </w:rPr>
        <w:t>Psychiatry :</w:t>
      </w:r>
      <w:proofErr w:type="gramEnd"/>
      <w:r>
        <w:rPr>
          <w:i/>
          <w:iCs/>
        </w:rPr>
        <w:t xml:space="preserve"> Official Journal of the World Psychiatric Association (WPA)</w:t>
      </w:r>
      <w:r w:rsidR="00E334C4">
        <w:t>, (online)</w:t>
      </w:r>
      <w:r>
        <w:t xml:space="preserve"> 23(1), pp.58–90. </w:t>
      </w:r>
      <w:proofErr w:type="spellStart"/>
      <w:r>
        <w:t>doi:https</w:t>
      </w:r>
      <w:proofErr w:type="spellEnd"/>
      <w:r>
        <w:t>://doi.org/10.1002/wps.21160.</w:t>
      </w:r>
    </w:p>
    <w:p w14:paraId="03B6E7A1" w14:textId="77777777" w:rsidR="00C1082D" w:rsidRDefault="00C1082D" w:rsidP="00C1082D">
      <w:pPr>
        <w:pStyle w:val="NormalWeb"/>
        <w:spacing w:before="0" w:beforeAutospacing="0" w:after="240" w:afterAutospacing="0" w:line="360" w:lineRule="auto"/>
      </w:pPr>
      <w:proofErr w:type="spellStart"/>
      <w:r>
        <w:t>Krishnamoorthy</w:t>
      </w:r>
      <w:proofErr w:type="spellEnd"/>
      <w:r>
        <w:t xml:space="preserve">, Y. (2024). </w:t>
      </w:r>
      <w:r>
        <w:rPr>
          <w:i/>
          <w:iCs/>
        </w:rPr>
        <w:t>Health Inequality - A Comprehensive Exploration</w:t>
      </w:r>
      <w:r>
        <w:t xml:space="preserve">. </w:t>
      </w:r>
      <w:proofErr w:type="spellStart"/>
      <w:r>
        <w:t>BoD</w:t>
      </w:r>
      <w:proofErr w:type="spellEnd"/>
      <w:r>
        <w:t xml:space="preserve"> – Books on Demand.</w:t>
      </w:r>
    </w:p>
    <w:p w14:paraId="1AE0C543" w14:textId="77777777" w:rsidR="00C1082D" w:rsidRDefault="00C1082D" w:rsidP="00C1082D">
      <w:pPr>
        <w:pStyle w:val="NormalWeb"/>
        <w:spacing w:before="0" w:beforeAutospacing="0" w:after="240" w:afterAutospacing="0" w:line="360" w:lineRule="auto"/>
      </w:pPr>
      <w:r>
        <w:t>Kwok-</w:t>
      </w:r>
      <w:proofErr w:type="spellStart"/>
      <w:r>
        <w:t>yu</w:t>
      </w:r>
      <w:proofErr w:type="spellEnd"/>
      <w:r>
        <w:t xml:space="preserve"> Edward Lee (</w:t>
      </w:r>
      <w:proofErr w:type="spellStart"/>
      <w:r>
        <w:t>n.d.</w:t>
      </w:r>
      <w:proofErr w:type="spellEnd"/>
      <w:r>
        <w:t xml:space="preserve">). </w:t>
      </w:r>
      <w:r>
        <w:rPr>
          <w:i/>
          <w:iCs/>
        </w:rPr>
        <w:t>Inclusive Housing Management and Community Wellbeing</w:t>
      </w:r>
      <w:r>
        <w:t>. Springer Nature.</w:t>
      </w:r>
    </w:p>
    <w:p w14:paraId="3BFC508A" w14:textId="77777777" w:rsidR="00C1082D" w:rsidRDefault="00C1082D" w:rsidP="00C1082D">
      <w:pPr>
        <w:pStyle w:val="NormalWeb"/>
        <w:spacing w:before="0" w:beforeAutospacing="0" w:after="240" w:afterAutospacing="0" w:line="360" w:lineRule="auto"/>
      </w:pPr>
      <w:r>
        <w:t xml:space="preserve">Lakshmi </w:t>
      </w:r>
      <w:proofErr w:type="spellStart"/>
      <w:r>
        <w:t>Sivaramakrishnan</w:t>
      </w:r>
      <w:proofErr w:type="spellEnd"/>
      <w:r>
        <w:t xml:space="preserve">, Bharat </w:t>
      </w:r>
      <w:proofErr w:type="spellStart"/>
      <w:r>
        <w:t>Dahiya</w:t>
      </w:r>
      <w:proofErr w:type="spellEnd"/>
      <w:r>
        <w:t xml:space="preserve">, Sharma, M., </w:t>
      </w:r>
      <w:proofErr w:type="spellStart"/>
      <w:r>
        <w:t>Saswati</w:t>
      </w:r>
      <w:proofErr w:type="spellEnd"/>
      <w:r>
        <w:t xml:space="preserve"> </w:t>
      </w:r>
      <w:proofErr w:type="spellStart"/>
      <w:r>
        <w:t>Mookherjee</w:t>
      </w:r>
      <w:proofErr w:type="spellEnd"/>
      <w:r>
        <w:t xml:space="preserve"> and </w:t>
      </w:r>
      <w:proofErr w:type="spellStart"/>
      <w:r>
        <w:t>Ranita</w:t>
      </w:r>
      <w:proofErr w:type="spellEnd"/>
      <w:r>
        <w:t xml:space="preserve"> </w:t>
      </w:r>
      <w:proofErr w:type="spellStart"/>
      <w:r>
        <w:t>Karmakar</w:t>
      </w:r>
      <w:proofErr w:type="spellEnd"/>
      <w:r>
        <w:t xml:space="preserve"> (2024). </w:t>
      </w:r>
      <w:r>
        <w:rPr>
          <w:i/>
          <w:iCs/>
        </w:rPr>
        <w:t>Urban Health</w:t>
      </w:r>
      <w:r>
        <w:t>. Elsevier.</w:t>
      </w:r>
    </w:p>
    <w:p w14:paraId="59AA969F" w14:textId="77777777" w:rsidR="00C1082D" w:rsidRDefault="00C1082D" w:rsidP="00C1082D">
      <w:pPr>
        <w:pStyle w:val="NormalWeb"/>
        <w:spacing w:before="0" w:beforeAutospacing="0" w:after="240" w:afterAutospacing="0" w:line="360" w:lineRule="auto"/>
      </w:pPr>
      <w:proofErr w:type="spellStart"/>
      <w:r>
        <w:t>Langins</w:t>
      </w:r>
      <w:proofErr w:type="spellEnd"/>
      <w:r>
        <w:t xml:space="preserve">, M. and </w:t>
      </w:r>
      <w:proofErr w:type="spellStart"/>
      <w:r>
        <w:t>Llop-Gironés</w:t>
      </w:r>
      <w:proofErr w:type="spellEnd"/>
      <w:r>
        <w:t xml:space="preserve">, A. (2024). The role of government chief nursing and midwifery officers in addressing the social determinants of health inequalities in </w:t>
      </w:r>
      <w:proofErr w:type="gramStart"/>
      <w:r>
        <w:t>the who</w:t>
      </w:r>
      <w:proofErr w:type="gramEnd"/>
      <w:r>
        <w:t xml:space="preserve"> European region. </w:t>
      </w:r>
      <w:r>
        <w:rPr>
          <w:i/>
          <w:iCs/>
        </w:rPr>
        <w:t>International Journal for Equity in Health</w:t>
      </w:r>
      <w:r>
        <w:t xml:space="preserve">, 23(1). </w:t>
      </w:r>
      <w:proofErr w:type="spellStart"/>
      <w:r>
        <w:t>doi:https</w:t>
      </w:r>
      <w:proofErr w:type="spellEnd"/>
      <w:r>
        <w:t>://doi.org/10.1186/s12939-024-02175-7.</w:t>
      </w:r>
    </w:p>
    <w:p w14:paraId="00613F76" w14:textId="65AFF174" w:rsidR="00C1082D" w:rsidRDefault="00C1082D" w:rsidP="00C1082D">
      <w:pPr>
        <w:pStyle w:val="NormalWeb"/>
        <w:spacing w:before="0" w:beforeAutospacing="0" w:after="240" w:afterAutospacing="0" w:line="360" w:lineRule="auto"/>
      </w:pPr>
      <w:r>
        <w:t xml:space="preserve">Link to external site, this link will open in a new window (2022). Interdisciplinary </w:t>
      </w:r>
      <w:proofErr w:type="spellStart"/>
      <w:r>
        <w:t>interprofessional</w:t>
      </w:r>
      <w:proofErr w:type="spellEnd"/>
      <w:r>
        <w:t xml:space="preserve"> education using an online learning environment called values exchange: A qualitative investigation. </w:t>
      </w:r>
      <w:proofErr w:type="spellStart"/>
      <w:r>
        <w:rPr>
          <w:i/>
          <w:iCs/>
        </w:rPr>
        <w:t>ProQuest</w:t>
      </w:r>
      <w:proofErr w:type="spellEnd"/>
      <w:r w:rsidR="00E334C4">
        <w:t>, (online)</w:t>
      </w:r>
      <w:r>
        <w:t xml:space="preserve"> 69(3), pp.309–317. </w:t>
      </w:r>
      <w:proofErr w:type="spellStart"/>
      <w:r>
        <w:t>doi:https</w:t>
      </w:r>
      <w:proofErr w:type="spellEnd"/>
      <w:r>
        <w:t>://doi.org/10.1002/jmrs.584.</w:t>
      </w:r>
    </w:p>
    <w:p w14:paraId="2DCC4259" w14:textId="77777777" w:rsidR="00C1082D" w:rsidRDefault="00C1082D" w:rsidP="00C1082D">
      <w:pPr>
        <w:pStyle w:val="NormalWeb"/>
        <w:spacing w:before="0" w:beforeAutospacing="0" w:after="240" w:afterAutospacing="0" w:line="360" w:lineRule="auto"/>
      </w:pPr>
      <w:r>
        <w:lastRenderedPageBreak/>
        <w:t xml:space="preserve">Long, H.A., French, D.P. and Brooks, J.M. (2020). Optimising the Value of the Critical Appraisal Skills Programme (CASP) Tool for Quality Appraisal in Qualitative Evidence Synthesis. </w:t>
      </w:r>
      <w:r>
        <w:rPr>
          <w:i/>
          <w:iCs/>
        </w:rPr>
        <w:t>Research Methods in Medicine &amp; Health Sciences</w:t>
      </w:r>
      <w:r>
        <w:t xml:space="preserve">, 1(1), pp.31–42. </w:t>
      </w:r>
      <w:proofErr w:type="spellStart"/>
      <w:r>
        <w:t>doi:https</w:t>
      </w:r>
      <w:proofErr w:type="spellEnd"/>
      <w:r>
        <w:t>://doi.org/10.1177/2632084320947559.</w:t>
      </w:r>
    </w:p>
    <w:p w14:paraId="0F616513" w14:textId="1D1CB8AC" w:rsidR="00C961CC" w:rsidRPr="00C961CC" w:rsidRDefault="00C961CC" w:rsidP="00C961CC">
      <w:pPr>
        <w:ind w:left="720" w:hanging="720"/>
        <w:rPr>
          <w:rFonts w:cs="Arial"/>
        </w:rPr>
      </w:pPr>
      <w:r w:rsidRPr="00C961CC">
        <w:rPr>
          <w:rFonts w:cs="Arial"/>
        </w:rPr>
        <w:t xml:space="preserve">Marmot, M., 2018. </w:t>
      </w:r>
      <w:r w:rsidRPr="00C961CC">
        <w:rPr>
          <w:rStyle w:val="Emphasis"/>
          <w:rFonts w:cs="Arial"/>
          <w:szCs w:val="22"/>
        </w:rPr>
        <w:t>Medical Care, Social Determinants of Health, and Health Equity</w:t>
      </w:r>
      <w:r w:rsidRPr="00C961CC">
        <w:rPr>
          <w:rFonts w:cs="Arial"/>
        </w:rPr>
        <w:t xml:space="preserve">. </w:t>
      </w:r>
      <w:r w:rsidRPr="00C961CC">
        <w:rPr>
          <w:rStyle w:val="Emphasis"/>
          <w:rFonts w:cs="Arial"/>
          <w:szCs w:val="22"/>
        </w:rPr>
        <w:t>World Medical &amp; Health Policy</w:t>
      </w:r>
      <w:r w:rsidRPr="00C961CC">
        <w:rPr>
          <w:rFonts w:cs="Arial"/>
        </w:rPr>
        <w:t xml:space="preserve">, 10(2), pp.195–197. Available at: </w:t>
      </w:r>
      <w:hyperlink r:id="rId24" w:history="1">
        <w:r w:rsidRPr="00C961CC">
          <w:rPr>
            <w:rStyle w:val="Hyperlink"/>
            <w:rFonts w:cs="Arial"/>
            <w:i/>
            <w:color w:val="auto"/>
            <w:szCs w:val="22"/>
          </w:rPr>
          <w:t>https://doi.org/10.1002/wmh3.261</w:t>
        </w:r>
      </w:hyperlink>
      <w:r>
        <w:rPr>
          <w:rFonts w:cs="Arial"/>
        </w:rPr>
        <w:t xml:space="preserve"> (Accessed 13 November</w:t>
      </w:r>
      <w:r w:rsidRPr="00C961CC">
        <w:rPr>
          <w:rFonts w:cs="Arial"/>
        </w:rPr>
        <w:t xml:space="preserve"> 2025</w:t>
      </w:r>
      <w:r>
        <w:rPr>
          <w:rFonts w:cs="Arial"/>
        </w:rPr>
        <w:t>)</w:t>
      </w:r>
    </w:p>
    <w:p w14:paraId="266F3B82" w14:textId="311F7B96" w:rsidR="00C961CC" w:rsidRPr="00BE3C32" w:rsidRDefault="00C961CC" w:rsidP="00C961CC">
      <w:pPr>
        <w:ind w:left="720" w:hanging="720"/>
        <w:rPr>
          <w:rFonts w:cs="Arial"/>
        </w:rPr>
      </w:pPr>
      <w:r w:rsidRPr="00C961CC">
        <w:rPr>
          <w:rStyle w:val="Strong"/>
          <w:rFonts w:eastAsiaTheme="majorEastAsia" w:cs="Arial"/>
          <w:b w:val="0"/>
          <w:bCs w:val="0"/>
          <w:szCs w:val="22"/>
        </w:rPr>
        <w:t>Marmot, M</w:t>
      </w:r>
      <w:r w:rsidRPr="00C961CC">
        <w:rPr>
          <w:rStyle w:val="Strong"/>
          <w:rFonts w:eastAsiaTheme="majorEastAsia" w:cs="Arial"/>
          <w:b w:val="0"/>
          <w:szCs w:val="22"/>
        </w:rPr>
        <w:t>.</w:t>
      </w:r>
      <w:r w:rsidRPr="00C961CC">
        <w:rPr>
          <w:rFonts w:cs="Arial"/>
          <w:b/>
        </w:rPr>
        <w:t>,</w:t>
      </w:r>
      <w:r w:rsidRPr="00BE3C32">
        <w:rPr>
          <w:rFonts w:cs="Arial"/>
        </w:rPr>
        <w:t xml:space="preserve"> 2020. </w:t>
      </w:r>
      <w:r w:rsidRPr="00BE3C32">
        <w:rPr>
          <w:rStyle w:val="Emphasis"/>
          <w:rFonts w:eastAsiaTheme="majorEastAsia" w:cs="Arial"/>
          <w:szCs w:val="22"/>
        </w:rPr>
        <w:t>Fair Society, Healthy Lives: The Marmot Review: Strategic Review of Health Inequalities in England</w:t>
      </w:r>
      <w:r>
        <w:rPr>
          <w:rFonts w:cs="Arial"/>
        </w:rPr>
        <w:t>. (Online)</w:t>
      </w:r>
      <w:r w:rsidRPr="00BE3C32">
        <w:rPr>
          <w:rFonts w:cs="Arial"/>
        </w:rPr>
        <w:t xml:space="preserve"> Available at: </w:t>
      </w:r>
      <w:r w:rsidRPr="00C961CC">
        <w:rPr>
          <w:rFonts w:cs="Arial"/>
          <w:i/>
        </w:rPr>
        <w:t>https://www.gov.uk/government/publications/fair-society-healthy-lives-the-marmot-review</w:t>
      </w:r>
      <w:r>
        <w:rPr>
          <w:rFonts w:cs="Arial"/>
        </w:rPr>
        <w:t xml:space="preserve"> (Accessed 3 November 2025)</w:t>
      </w:r>
    </w:p>
    <w:p w14:paraId="57C98EDF" w14:textId="77777777" w:rsidR="00C961CC" w:rsidRDefault="00C961CC" w:rsidP="00C1082D">
      <w:pPr>
        <w:pStyle w:val="NormalWeb"/>
        <w:spacing w:before="0" w:beforeAutospacing="0" w:after="240" w:afterAutospacing="0" w:line="360" w:lineRule="auto"/>
      </w:pPr>
    </w:p>
    <w:p w14:paraId="101A17D1" w14:textId="77777777" w:rsidR="00C1082D" w:rsidRDefault="00C1082D" w:rsidP="00C1082D">
      <w:pPr>
        <w:pStyle w:val="NormalWeb"/>
        <w:spacing w:before="0" w:beforeAutospacing="0" w:after="240" w:afterAutospacing="0" w:line="360" w:lineRule="auto"/>
      </w:pPr>
      <w:r>
        <w:t xml:space="preserve">M Margaret Barth (2021). </w:t>
      </w:r>
      <w:r>
        <w:rPr>
          <w:i/>
          <w:iCs/>
        </w:rPr>
        <w:t xml:space="preserve">Public health </w:t>
      </w:r>
      <w:proofErr w:type="gramStart"/>
      <w:r>
        <w:rPr>
          <w:i/>
          <w:iCs/>
        </w:rPr>
        <w:t>nutrition :</w:t>
      </w:r>
      <w:proofErr w:type="gramEnd"/>
      <w:r>
        <w:rPr>
          <w:i/>
          <w:iCs/>
        </w:rPr>
        <w:t xml:space="preserve"> rural, urban, and global community-based practice</w:t>
      </w:r>
      <w:r>
        <w:t>. New York, New York: Springer Publishing Company.</w:t>
      </w:r>
    </w:p>
    <w:p w14:paraId="541079BA" w14:textId="77777777" w:rsidR="00C1082D" w:rsidRDefault="00C1082D" w:rsidP="00C1082D">
      <w:pPr>
        <w:pStyle w:val="NormalWeb"/>
        <w:spacing w:before="0" w:beforeAutospacing="0" w:after="240" w:afterAutospacing="0" w:line="360" w:lineRule="auto"/>
      </w:pPr>
      <w:r>
        <w:t xml:space="preserve">M </w:t>
      </w:r>
      <w:proofErr w:type="spellStart"/>
      <w:r>
        <w:t>Karanika</w:t>
      </w:r>
      <w:proofErr w:type="spellEnd"/>
      <w:r>
        <w:t xml:space="preserve">-Murray, </w:t>
      </w:r>
      <w:proofErr w:type="spellStart"/>
      <w:r>
        <w:t>Biron</w:t>
      </w:r>
      <w:proofErr w:type="spellEnd"/>
      <w:r>
        <w:t xml:space="preserve">, C. and </w:t>
      </w:r>
      <w:proofErr w:type="spellStart"/>
      <w:r>
        <w:t>Springerlink</w:t>
      </w:r>
      <w:proofErr w:type="spellEnd"/>
      <w:r>
        <w:t xml:space="preserve"> (Online Service (2015). </w:t>
      </w:r>
      <w:r>
        <w:rPr>
          <w:i/>
          <w:iCs/>
        </w:rPr>
        <w:t>Derailed Organizational Interventions for Stress and Well-</w:t>
      </w:r>
      <w:proofErr w:type="gramStart"/>
      <w:r>
        <w:rPr>
          <w:i/>
          <w:iCs/>
        </w:rPr>
        <w:t>Being :</w:t>
      </w:r>
      <w:proofErr w:type="gramEnd"/>
      <w:r>
        <w:rPr>
          <w:i/>
          <w:iCs/>
        </w:rPr>
        <w:t xml:space="preserve"> Confessions of Failure and Solutions for Success</w:t>
      </w:r>
      <w:r>
        <w:t>. Dordrecht: Springer Netherlands.</w:t>
      </w:r>
    </w:p>
    <w:p w14:paraId="171AB561" w14:textId="77777777" w:rsidR="00C1082D" w:rsidRDefault="00C1082D" w:rsidP="00C1082D">
      <w:pPr>
        <w:pStyle w:val="NormalWeb"/>
        <w:spacing w:before="0" w:beforeAutospacing="0" w:after="240" w:afterAutospacing="0" w:line="360" w:lineRule="auto"/>
      </w:pPr>
      <w:r>
        <w:t xml:space="preserve">Marmot, M. (2018). Medical Care, Social Determinants of Health, and Health Equity. </w:t>
      </w:r>
      <w:r>
        <w:rPr>
          <w:i/>
          <w:iCs/>
        </w:rPr>
        <w:t>World Medical &amp; Health Policy</w:t>
      </w:r>
      <w:r>
        <w:t xml:space="preserve">, 10(2), pp.195–197. </w:t>
      </w:r>
      <w:proofErr w:type="spellStart"/>
      <w:r>
        <w:t>doi:https</w:t>
      </w:r>
      <w:proofErr w:type="spellEnd"/>
      <w:r>
        <w:t>://doi.org/10.1002/wmh3.261.</w:t>
      </w:r>
    </w:p>
    <w:p w14:paraId="76AD17C9" w14:textId="77777777" w:rsidR="00C1082D" w:rsidRDefault="00C1082D" w:rsidP="00C1082D">
      <w:pPr>
        <w:pStyle w:val="NormalWeb"/>
        <w:spacing w:before="0" w:beforeAutospacing="0" w:after="240" w:afterAutospacing="0" w:line="360" w:lineRule="auto"/>
      </w:pPr>
      <w:r>
        <w:t xml:space="preserve">McDermott, A.M., Hyde, P., </w:t>
      </w:r>
      <w:proofErr w:type="spellStart"/>
      <w:r>
        <w:t>Avgar</w:t>
      </w:r>
      <w:proofErr w:type="spellEnd"/>
      <w:r>
        <w:t xml:space="preserve">, A.C. and FitzGerald, L. (2024). </w:t>
      </w:r>
      <w:r>
        <w:rPr>
          <w:i/>
          <w:iCs/>
        </w:rPr>
        <w:t>Research Handbook on Contemporary Human Resource Management for Health Care</w:t>
      </w:r>
      <w:r>
        <w:t>. Edward Elgar Publishing.</w:t>
      </w:r>
    </w:p>
    <w:p w14:paraId="69767A25" w14:textId="77777777" w:rsidR="00C1082D" w:rsidRDefault="00C1082D" w:rsidP="00C1082D">
      <w:pPr>
        <w:pStyle w:val="NormalWeb"/>
        <w:spacing w:before="0" w:beforeAutospacing="0" w:after="240" w:afterAutospacing="0" w:line="360" w:lineRule="auto"/>
      </w:pPr>
      <w:proofErr w:type="spellStart"/>
      <w:r>
        <w:t>Morelli</w:t>
      </w:r>
      <w:proofErr w:type="spellEnd"/>
      <w:r>
        <w:t xml:space="preserve">, V. and </w:t>
      </w:r>
      <w:proofErr w:type="spellStart"/>
      <w:r>
        <w:t>Heidelbaugh</w:t>
      </w:r>
      <w:proofErr w:type="spellEnd"/>
      <w:r>
        <w:t xml:space="preserve">, J.J. (2023). </w:t>
      </w:r>
      <w:r>
        <w:rPr>
          <w:i/>
          <w:iCs/>
        </w:rPr>
        <w:t xml:space="preserve">Social Determinants of Health, </w:t>
      </w:r>
      <w:proofErr w:type="gramStart"/>
      <w:r>
        <w:rPr>
          <w:i/>
          <w:iCs/>
        </w:rPr>
        <w:t>An</w:t>
      </w:r>
      <w:proofErr w:type="gramEnd"/>
      <w:r>
        <w:rPr>
          <w:i/>
          <w:iCs/>
        </w:rPr>
        <w:t xml:space="preserve"> Issue of Primary Care: Clinics in Office Practice, E-Book</w:t>
      </w:r>
      <w:r>
        <w:t>. Elsevier Health Sciences.</w:t>
      </w:r>
    </w:p>
    <w:p w14:paraId="0138CEAA" w14:textId="77777777" w:rsidR="00C1082D" w:rsidRDefault="00C1082D" w:rsidP="00C1082D">
      <w:pPr>
        <w:pStyle w:val="NormalWeb"/>
        <w:spacing w:before="0" w:beforeAutospacing="0" w:after="240" w:afterAutospacing="0" w:line="360" w:lineRule="auto"/>
      </w:pPr>
      <w:proofErr w:type="spellStart"/>
      <w:r>
        <w:t>Neesha</w:t>
      </w:r>
      <w:proofErr w:type="spellEnd"/>
      <w:r>
        <w:t xml:space="preserve"> </w:t>
      </w:r>
      <w:proofErr w:type="spellStart"/>
      <w:r>
        <w:t>Oozageer</w:t>
      </w:r>
      <w:proofErr w:type="spellEnd"/>
      <w:r>
        <w:t xml:space="preserve"> </w:t>
      </w:r>
      <w:proofErr w:type="spellStart"/>
      <w:r>
        <w:t>Gunowa</w:t>
      </w:r>
      <w:proofErr w:type="spellEnd"/>
      <w:r>
        <w:t xml:space="preserve"> and McBride, M. (2024). </w:t>
      </w:r>
      <w:r>
        <w:rPr>
          <w:i/>
          <w:iCs/>
        </w:rPr>
        <w:t>A Clinician’s Survival Guide to District Nursing</w:t>
      </w:r>
      <w:r>
        <w:t>. Elsevier Health Sciences.</w:t>
      </w:r>
    </w:p>
    <w:p w14:paraId="7B5CEE7A" w14:textId="77777777" w:rsidR="00C1082D" w:rsidRDefault="00C1082D" w:rsidP="00C1082D">
      <w:pPr>
        <w:pStyle w:val="NormalWeb"/>
        <w:spacing w:before="0" w:beforeAutospacing="0" w:after="240" w:afterAutospacing="0" w:line="360" w:lineRule="auto"/>
      </w:pPr>
      <w:proofErr w:type="spellStart"/>
      <w:r>
        <w:t>Orlando</w:t>
      </w:r>
      <w:proofErr w:type="spellEnd"/>
      <w:r>
        <w:t xml:space="preserve">, S. (2024). </w:t>
      </w:r>
      <w:r>
        <w:rPr>
          <w:i/>
          <w:iCs/>
        </w:rPr>
        <w:t>Education in Public Health: 2022</w:t>
      </w:r>
      <w:r>
        <w:t>. Frontiers Media SA.</w:t>
      </w:r>
    </w:p>
    <w:p w14:paraId="3735AA4B" w14:textId="77777777" w:rsidR="00C1082D" w:rsidRDefault="00C1082D" w:rsidP="00C1082D">
      <w:pPr>
        <w:pStyle w:val="NormalWeb"/>
        <w:spacing w:before="0" w:beforeAutospacing="0" w:after="240" w:afterAutospacing="0" w:line="360" w:lineRule="auto"/>
      </w:pPr>
      <w:proofErr w:type="spellStart"/>
      <w:r>
        <w:t>Peate</w:t>
      </w:r>
      <w:proofErr w:type="spellEnd"/>
      <w:r>
        <w:t xml:space="preserve">, I. (2024). </w:t>
      </w:r>
      <w:r>
        <w:rPr>
          <w:i/>
          <w:iCs/>
        </w:rPr>
        <w:t>Alexander’s Nursing Practice - E-Book</w:t>
      </w:r>
      <w:r>
        <w:t>. Elsevier Health Sciences, pp.505–526.</w:t>
      </w:r>
    </w:p>
    <w:p w14:paraId="20D2DAE3" w14:textId="77777777" w:rsidR="00C1082D" w:rsidRDefault="00C1082D" w:rsidP="00C1082D">
      <w:pPr>
        <w:pStyle w:val="NormalWeb"/>
        <w:spacing w:before="0" w:beforeAutospacing="0" w:after="240" w:afterAutospacing="0" w:line="360" w:lineRule="auto"/>
      </w:pPr>
      <w:r>
        <w:lastRenderedPageBreak/>
        <w:t xml:space="preserve">Powell, M., </w:t>
      </w:r>
      <w:proofErr w:type="spellStart"/>
      <w:r>
        <w:t>Agartan</w:t>
      </w:r>
      <w:proofErr w:type="spellEnd"/>
      <w:r>
        <w:t xml:space="preserve">, T.I. and </w:t>
      </w:r>
      <w:proofErr w:type="spellStart"/>
      <w:r>
        <w:t>Béland</w:t>
      </w:r>
      <w:proofErr w:type="spellEnd"/>
      <w:r>
        <w:t xml:space="preserve">, D. (2024). </w:t>
      </w:r>
      <w:r>
        <w:rPr>
          <w:i/>
          <w:iCs/>
        </w:rPr>
        <w:t>Research Handbook on Health Care Policy</w:t>
      </w:r>
      <w:r>
        <w:t>. Edward Elgar Publishing.</w:t>
      </w:r>
    </w:p>
    <w:p w14:paraId="5423EF8F" w14:textId="77777777" w:rsidR="00C1082D" w:rsidRDefault="00C1082D" w:rsidP="00C1082D">
      <w:pPr>
        <w:pStyle w:val="NormalWeb"/>
        <w:spacing w:before="0" w:beforeAutospacing="0" w:after="240" w:afterAutospacing="0" w:line="360" w:lineRule="auto"/>
      </w:pPr>
      <w:r>
        <w:t xml:space="preserve">Price, M. (2021). </w:t>
      </w:r>
      <w:r>
        <w:rPr>
          <w:i/>
          <w:iCs/>
        </w:rPr>
        <w:t>Lab Reports and Projects in Sport and Exercise Science</w:t>
      </w:r>
      <w:r>
        <w:t xml:space="preserve">. </w:t>
      </w:r>
      <w:proofErr w:type="spellStart"/>
      <w:r>
        <w:t>Routledge</w:t>
      </w:r>
      <w:proofErr w:type="spellEnd"/>
      <w:r>
        <w:t>.</w:t>
      </w:r>
    </w:p>
    <w:p w14:paraId="01AA2A87" w14:textId="77777777" w:rsidR="00C1082D" w:rsidRDefault="00C1082D" w:rsidP="00C1082D">
      <w:pPr>
        <w:pStyle w:val="NormalWeb"/>
        <w:spacing w:before="0" w:beforeAutospacing="0" w:after="240" w:afterAutospacing="0" w:line="360" w:lineRule="auto"/>
      </w:pPr>
      <w:proofErr w:type="spellStart"/>
      <w:r>
        <w:t>Razzouk</w:t>
      </w:r>
      <w:proofErr w:type="spellEnd"/>
      <w:r>
        <w:t xml:space="preserve">, D. (2017). </w:t>
      </w:r>
      <w:r>
        <w:rPr>
          <w:i/>
          <w:iCs/>
        </w:rPr>
        <w:t xml:space="preserve">Mental health </w:t>
      </w:r>
      <w:proofErr w:type="gramStart"/>
      <w:r>
        <w:rPr>
          <w:i/>
          <w:iCs/>
        </w:rPr>
        <w:t>economics :</w:t>
      </w:r>
      <w:proofErr w:type="gramEnd"/>
      <w:r>
        <w:rPr>
          <w:i/>
          <w:iCs/>
        </w:rPr>
        <w:t xml:space="preserve"> the costs and benefits of psychiatric care</w:t>
      </w:r>
      <w:r>
        <w:t>. Cham: Springer.</w:t>
      </w:r>
    </w:p>
    <w:p w14:paraId="782E2DE5" w14:textId="77777777" w:rsidR="00C1082D" w:rsidRDefault="00C1082D" w:rsidP="00C1082D">
      <w:pPr>
        <w:pStyle w:val="NormalWeb"/>
        <w:spacing w:before="0" w:beforeAutospacing="0" w:after="240" w:afterAutospacing="0" w:line="360" w:lineRule="auto"/>
      </w:pPr>
      <w:r>
        <w:t xml:space="preserve">Sanders, M. and </w:t>
      </w:r>
      <w:proofErr w:type="spellStart"/>
      <w:r>
        <w:t>Breckon</w:t>
      </w:r>
      <w:proofErr w:type="spellEnd"/>
      <w:r>
        <w:t xml:space="preserve">, J. (2023). </w:t>
      </w:r>
      <w:proofErr w:type="gramStart"/>
      <w:r>
        <w:rPr>
          <w:i/>
          <w:iCs/>
        </w:rPr>
        <w:t>The What</w:t>
      </w:r>
      <w:proofErr w:type="gramEnd"/>
      <w:r>
        <w:rPr>
          <w:i/>
          <w:iCs/>
        </w:rPr>
        <w:t xml:space="preserve"> Works Centres</w:t>
      </w:r>
      <w:r>
        <w:t>. Policy Press.</w:t>
      </w:r>
    </w:p>
    <w:p w14:paraId="1EA39485" w14:textId="77777777" w:rsidR="00C1082D" w:rsidRDefault="00C1082D" w:rsidP="00C1082D">
      <w:pPr>
        <w:pStyle w:val="NormalWeb"/>
        <w:spacing w:before="0" w:beforeAutospacing="0" w:after="240" w:afterAutospacing="0" w:line="360" w:lineRule="auto"/>
      </w:pPr>
      <w:r>
        <w:t xml:space="preserve">Scheele, F. and </w:t>
      </w:r>
      <w:proofErr w:type="spellStart"/>
      <w:r>
        <w:t>Recker</w:t>
      </w:r>
      <w:proofErr w:type="spellEnd"/>
      <w:r>
        <w:t xml:space="preserve">, F. (2024). </w:t>
      </w:r>
      <w:r>
        <w:rPr>
          <w:i/>
          <w:iCs/>
        </w:rPr>
        <w:t xml:space="preserve">Education in Obstetrics and </w:t>
      </w:r>
      <w:proofErr w:type="spellStart"/>
      <w:r>
        <w:rPr>
          <w:i/>
          <w:iCs/>
        </w:rPr>
        <w:t>Gynecology</w:t>
      </w:r>
      <w:proofErr w:type="spellEnd"/>
      <w:r>
        <w:t>. Frontiers Media SA.</w:t>
      </w:r>
    </w:p>
    <w:p w14:paraId="048567BF" w14:textId="77777777" w:rsidR="00C1082D" w:rsidRDefault="00C1082D" w:rsidP="00C1082D">
      <w:pPr>
        <w:pStyle w:val="NormalWeb"/>
        <w:spacing w:before="0" w:beforeAutospacing="0" w:after="240" w:afterAutospacing="0" w:line="360" w:lineRule="auto"/>
      </w:pPr>
      <w:proofErr w:type="spellStart"/>
      <w:r>
        <w:t>Skochelak</w:t>
      </w:r>
      <w:proofErr w:type="spellEnd"/>
      <w:r>
        <w:t xml:space="preserve">, S.E. (2020). </w:t>
      </w:r>
      <w:r>
        <w:rPr>
          <w:i/>
          <w:iCs/>
        </w:rPr>
        <w:t>Health Systems Science</w:t>
      </w:r>
      <w:r>
        <w:t>. Amsterdam: Elsevier.</w:t>
      </w:r>
    </w:p>
    <w:p w14:paraId="0CE9AB0F" w14:textId="77777777" w:rsidR="00C1082D" w:rsidRDefault="00C1082D" w:rsidP="00C1082D">
      <w:pPr>
        <w:pStyle w:val="NormalWeb"/>
        <w:spacing w:before="0" w:beforeAutospacing="0" w:after="240" w:afterAutospacing="0" w:line="360" w:lineRule="auto"/>
      </w:pPr>
      <w:r>
        <w:t xml:space="preserve">Smith, K. (2013). </w:t>
      </w:r>
      <w:r>
        <w:rPr>
          <w:i/>
          <w:iCs/>
        </w:rPr>
        <w:t xml:space="preserve">Beyond Evidence Based Policy in Public </w:t>
      </w:r>
      <w:proofErr w:type="gramStart"/>
      <w:r>
        <w:rPr>
          <w:i/>
          <w:iCs/>
        </w:rPr>
        <w:t>Health :</w:t>
      </w:r>
      <w:proofErr w:type="gramEnd"/>
      <w:r>
        <w:rPr>
          <w:i/>
          <w:iCs/>
        </w:rPr>
        <w:t xml:space="preserve"> the Interplay of Ideas</w:t>
      </w:r>
      <w:r>
        <w:t xml:space="preserve">. London: Palgrave Macmillan </w:t>
      </w:r>
      <w:proofErr w:type="spellStart"/>
      <w:proofErr w:type="gramStart"/>
      <w:r>
        <w:t>Uk</w:t>
      </w:r>
      <w:proofErr w:type="spellEnd"/>
      <w:proofErr w:type="gramEnd"/>
      <w:r>
        <w:t>.</w:t>
      </w:r>
    </w:p>
    <w:p w14:paraId="7B54196A" w14:textId="77777777" w:rsidR="00C1082D" w:rsidRDefault="00C1082D" w:rsidP="00C1082D">
      <w:pPr>
        <w:pStyle w:val="NormalWeb"/>
        <w:spacing w:before="0" w:beforeAutospacing="0" w:after="240" w:afterAutospacing="0" w:line="360" w:lineRule="auto"/>
      </w:pPr>
      <w:r>
        <w:t xml:space="preserve">Smith, K.E., Hill, S. and </w:t>
      </w:r>
      <w:proofErr w:type="spellStart"/>
      <w:r>
        <w:t>Bambra</w:t>
      </w:r>
      <w:proofErr w:type="spellEnd"/>
      <w:r>
        <w:t xml:space="preserve">, C. (2016). </w:t>
      </w:r>
      <w:r>
        <w:rPr>
          <w:i/>
          <w:iCs/>
        </w:rPr>
        <w:t xml:space="preserve">Health </w:t>
      </w:r>
      <w:proofErr w:type="gramStart"/>
      <w:r>
        <w:rPr>
          <w:i/>
          <w:iCs/>
        </w:rPr>
        <w:t>inequalities :</w:t>
      </w:r>
      <w:proofErr w:type="gramEnd"/>
      <w:r>
        <w:rPr>
          <w:i/>
          <w:iCs/>
        </w:rPr>
        <w:t xml:space="preserve"> critical perspectives</w:t>
      </w:r>
      <w:r>
        <w:t>. Oxford: Oxford University Press.</w:t>
      </w:r>
    </w:p>
    <w:p w14:paraId="645FF5D6" w14:textId="77777777" w:rsidR="00C1082D" w:rsidRDefault="00C1082D" w:rsidP="00C1082D">
      <w:pPr>
        <w:pStyle w:val="NormalWeb"/>
        <w:spacing w:before="0" w:beforeAutospacing="0" w:after="240" w:afterAutospacing="0" w:line="360" w:lineRule="auto"/>
      </w:pPr>
      <w:r>
        <w:t xml:space="preserve">Stein, N. (2014). </w:t>
      </w:r>
      <w:r>
        <w:rPr>
          <w:i/>
          <w:iCs/>
        </w:rPr>
        <w:t>Public Health Nutrition</w:t>
      </w:r>
      <w:r>
        <w:t>. Sudbury: Jones &amp; Bartlett Learning, LLC.</w:t>
      </w:r>
    </w:p>
    <w:p w14:paraId="5066F62C" w14:textId="5D9A4E23" w:rsidR="00C1082D" w:rsidRDefault="00C1082D" w:rsidP="00C1082D">
      <w:pPr>
        <w:pStyle w:val="NormalWeb"/>
        <w:spacing w:before="0" w:beforeAutospacing="0" w:after="240" w:afterAutospacing="0" w:line="360" w:lineRule="auto"/>
      </w:pPr>
      <w:proofErr w:type="spellStart"/>
      <w:r>
        <w:t>Tamuhla</w:t>
      </w:r>
      <w:proofErr w:type="spellEnd"/>
      <w:r>
        <w:t xml:space="preserve">, T., </w:t>
      </w:r>
      <w:proofErr w:type="spellStart"/>
      <w:r>
        <w:t>Lulamba</w:t>
      </w:r>
      <w:proofErr w:type="spellEnd"/>
      <w:r>
        <w:t xml:space="preserve">, E.T., </w:t>
      </w:r>
      <w:proofErr w:type="spellStart"/>
      <w:r>
        <w:t>Mutemaringa</w:t>
      </w:r>
      <w:proofErr w:type="spellEnd"/>
      <w:r>
        <w:t xml:space="preserve">, T. and Tiffin, N. (2023). Multiple modes of data sharing can facilitate secondary use of sensitive health data for research. </w:t>
      </w:r>
      <w:r>
        <w:rPr>
          <w:i/>
          <w:iCs/>
        </w:rPr>
        <w:t>PubMed</w:t>
      </w:r>
      <w:proofErr w:type="gramStart"/>
      <w:r w:rsidR="00C961CC">
        <w:t>,(</w:t>
      </w:r>
      <w:proofErr w:type="gramEnd"/>
      <w:r w:rsidR="00C961CC">
        <w:t>online)</w:t>
      </w:r>
      <w:r>
        <w:t xml:space="preserve">8(10). </w:t>
      </w:r>
      <w:proofErr w:type="spellStart"/>
      <w:r>
        <w:t>doi:https</w:t>
      </w:r>
      <w:proofErr w:type="spellEnd"/>
      <w:r>
        <w:t>://doi.org/10.1136/bmjgh-2023-013092.</w:t>
      </w:r>
    </w:p>
    <w:p w14:paraId="18FED140" w14:textId="77777777" w:rsidR="00C1082D" w:rsidRDefault="00C1082D" w:rsidP="00C1082D">
      <w:pPr>
        <w:pStyle w:val="NormalWeb"/>
        <w:spacing w:before="0" w:beforeAutospacing="0" w:after="240" w:afterAutospacing="0" w:line="360" w:lineRule="auto"/>
      </w:pPr>
      <w:proofErr w:type="spellStart"/>
      <w:r>
        <w:t>Tetyana</w:t>
      </w:r>
      <w:proofErr w:type="spellEnd"/>
      <w:r>
        <w:t xml:space="preserve"> </w:t>
      </w:r>
      <w:proofErr w:type="spellStart"/>
      <w:r>
        <w:t>Chumachenko</w:t>
      </w:r>
      <w:proofErr w:type="spellEnd"/>
      <w:r>
        <w:t xml:space="preserve">, </w:t>
      </w:r>
      <w:proofErr w:type="spellStart"/>
      <w:r>
        <w:t>Plinio</w:t>
      </w:r>
      <w:proofErr w:type="spellEnd"/>
      <w:r>
        <w:t xml:space="preserve"> </w:t>
      </w:r>
      <w:proofErr w:type="spellStart"/>
      <w:r>
        <w:t>Pelegrini</w:t>
      </w:r>
      <w:proofErr w:type="spellEnd"/>
      <w:r>
        <w:t xml:space="preserve"> Morita, </w:t>
      </w:r>
      <w:proofErr w:type="spellStart"/>
      <w:r>
        <w:t>Dmytro</w:t>
      </w:r>
      <w:proofErr w:type="spellEnd"/>
      <w:r>
        <w:t xml:space="preserve"> </w:t>
      </w:r>
      <w:proofErr w:type="spellStart"/>
      <w:r>
        <w:t>Chumachenko</w:t>
      </w:r>
      <w:proofErr w:type="spellEnd"/>
      <w:r>
        <w:t xml:space="preserve"> and </w:t>
      </w:r>
      <w:proofErr w:type="spellStart"/>
      <w:r>
        <w:t>Saman</w:t>
      </w:r>
      <w:proofErr w:type="spellEnd"/>
      <w:r>
        <w:t xml:space="preserve"> </w:t>
      </w:r>
      <w:proofErr w:type="spellStart"/>
      <w:r>
        <w:t>Ghaffarian</w:t>
      </w:r>
      <w:proofErr w:type="spellEnd"/>
      <w:r>
        <w:t xml:space="preserve"> (2024). </w:t>
      </w:r>
      <w:r>
        <w:rPr>
          <w:i/>
          <w:iCs/>
        </w:rPr>
        <w:t>Artificial Intelligence Solutions for Global Health and Disaster Response: Challenges and Opportunities</w:t>
      </w:r>
      <w:r>
        <w:t>. Frontiers Media SA.</w:t>
      </w:r>
    </w:p>
    <w:p w14:paraId="02AE40DF" w14:textId="77777777" w:rsidR="00C1082D" w:rsidRDefault="00C1082D" w:rsidP="00C1082D">
      <w:pPr>
        <w:pStyle w:val="NormalWeb"/>
        <w:spacing w:before="0" w:beforeAutospacing="0" w:after="240" w:afterAutospacing="0" w:line="360" w:lineRule="auto"/>
      </w:pPr>
      <w:r>
        <w:t xml:space="preserve">Thorpe, R.J. and Miller, D.S. (2023). </w:t>
      </w:r>
      <w:r>
        <w:rPr>
          <w:i/>
          <w:iCs/>
        </w:rPr>
        <w:t>Health Disparities, Disasters, and Crises</w:t>
      </w:r>
      <w:r>
        <w:t>. Taylor &amp; Francis.</w:t>
      </w:r>
    </w:p>
    <w:p w14:paraId="71FB5C76" w14:textId="77777777" w:rsidR="00C1082D" w:rsidRDefault="00C1082D" w:rsidP="00C1082D">
      <w:pPr>
        <w:pStyle w:val="NormalWeb"/>
        <w:spacing w:before="0" w:beforeAutospacing="0" w:after="240" w:afterAutospacing="0" w:line="360" w:lineRule="auto"/>
      </w:pPr>
      <w:r>
        <w:t xml:space="preserve">Upton, D. and </w:t>
      </w:r>
      <w:proofErr w:type="spellStart"/>
      <w:r>
        <w:t>Thirlaway</w:t>
      </w:r>
      <w:proofErr w:type="spellEnd"/>
      <w:r>
        <w:t xml:space="preserve">, K. (2024). </w:t>
      </w:r>
      <w:r>
        <w:rPr>
          <w:i/>
          <w:iCs/>
        </w:rPr>
        <w:t>Promoting Healthy Behaviour</w:t>
      </w:r>
      <w:r>
        <w:t>. Taylor &amp; Francis.</w:t>
      </w:r>
    </w:p>
    <w:p w14:paraId="53171693" w14:textId="77777777" w:rsidR="00C1082D" w:rsidRDefault="00C1082D" w:rsidP="00C1082D">
      <w:pPr>
        <w:pStyle w:val="NormalWeb"/>
        <w:spacing w:before="0" w:beforeAutospacing="0" w:after="240" w:afterAutospacing="0" w:line="360" w:lineRule="auto"/>
      </w:pPr>
      <w:r>
        <w:t xml:space="preserve">WHO (2021). </w:t>
      </w:r>
      <w:r>
        <w:rPr>
          <w:i/>
          <w:iCs/>
        </w:rPr>
        <w:t>Global strategic directions for nursing and midwifery 2021-2025</w:t>
      </w:r>
      <w:r>
        <w:t>. World Health Organization.</w:t>
      </w:r>
    </w:p>
    <w:p w14:paraId="37C9F1F9" w14:textId="47EFDBA1" w:rsidR="00C1082D" w:rsidRPr="00C961CC" w:rsidRDefault="00C1082D" w:rsidP="00C1082D">
      <w:pPr>
        <w:pStyle w:val="NormalWeb"/>
        <w:spacing w:before="0" w:beforeAutospacing="0" w:after="240" w:afterAutospacing="0" w:line="360" w:lineRule="auto"/>
      </w:pPr>
      <w:r>
        <w:lastRenderedPageBreak/>
        <w:t xml:space="preserve">World Health Organization (2025). </w:t>
      </w:r>
      <w:r>
        <w:rPr>
          <w:i/>
          <w:iCs/>
        </w:rPr>
        <w:t>State of the world’s nursing 2025</w:t>
      </w:r>
      <w:r w:rsidR="00C961CC">
        <w:t>. (</w:t>
      </w:r>
      <w:proofErr w:type="gramStart"/>
      <w:r w:rsidR="00C961CC">
        <w:t>online</w:t>
      </w:r>
      <w:proofErr w:type="gramEnd"/>
      <w:r w:rsidR="00C961CC">
        <w:t>)</w:t>
      </w:r>
      <w:r>
        <w:t xml:space="preserve"> World Health Organization. Available at: </w:t>
      </w:r>
      <w:hyperlink r:id="rId25" w:history="1">
        <w:r w:rsidR="00C961CC" w:rsidRPr="00511747">
          <w:rPr>
            <w:rStyle w:val="Hyperlink"/>
            <w:i/>
          </w:rPr>
          <w:t>https://iris.who.int/bitstream/handle/10665/381329/9789240110236-eng.pdf?sequence=1</w:t>
        </w:r>
      </w:hyperlink>
      <w:r w:rsidRPr="00C961CC">
        <w:rPr>
          <w:i/>
        </w:rPr>
        <w:t>.</w:t>
      </w:r>
      <w:r w:rsidR="00C961CC">
        <w:t xml:space="preserve"> </w:t>
      </w:r>
      <w:proofErr w:type="gramStart"/>
      <w:r w:rsidR="00C961CC">
        <w:t>( Accessed</w:t>
      </w:r>
      <w:proofErr w:type="gramEnd"/>
      <w:r w:rsidR="00C961CC">
        <w:t xml:space="preserve"> 10 November 2025)</w:t>
      </w:r>
    </w:p>
    <w:p w14:paraId="5954BEDD" w14:textId="77777777" w:rsidR="00C1082D" w:rsidRDefault="00C1082D" w:rsidP="00C1082D">
      <w:pPr>
        <w:pStyle w:val="NormalWeb"/>
        <w:spacing w:before="0" w:beforeAutospacing="0" w:after="240" w:afterAutospacing="0" w:line="360" w:lineRule="auto"/>
      </w:pPr>
      <w:r>
        <w:t xml:space="preserve">Yao, B., </w:t>
      </w:r>
      <w:proofErr w:type="spellStart"/>
      <w:proofErr w:type="gramStart"/>
      <w:r>
        <w:t>Gaw</w:t>
      </w:r>
      <w:proofErr w:type="spellEnd"/>
      <w:proofErr w:type="gramEnd"/>
      <w:r>
        <w:t xml:space="preserve">, N. and Lee, H.K. (2025). </w:t>
      </w:r>
      <w:r>
        <w:rPr>
          <w:i/>
          <w:iCs/>
        </w:rPr>
        <w:t>Artificial Intelligence for Smart Health: Learning, Simulation, and Optimization</w:t>
      </w:r>
      <w:r>
        <w:t>. Frontiers Media SA.</w:t>
      </w:r>
    </w:p>
    <w:p w14:paraId="32F9AB30" w14:textId="04E57646" w:rsidR="00E126A8" w:rsidRPr="00E126A8" w:rsidRDefault="00E126A8" w:rsidP="00E126A8">
      <w:pPr>
        <w:ind w:left="720" w:hanging="720"/>
        <w:rPr>
          <w:rFonts w:cs="Arial"/>
        </w:rPr>
      </w:pPr>
    </w:p>
    <w:p w14:paraId="71F70204" w14:textId="77777777" w:rsidR="00C1082D" w:rsidRDefault="00C1082D" w:rsidP="00E126A8">
      <w:pPr>
        <w:ind w:left="720" w:hanging="720"/>
        <w:rPr>
          <w:rFonts w:cs="Arial"/>
          <w:b/>
        </w:rPr>
      </w:pPr>
    </w:p>
    <w:p w14:paraId="2C154233" w14:textId="77777777" w:rsidR="00C1082D" w:rsidRDefault="00C1082D" w:rsidP="00E126A8">
      <w:pPr>
        <w:ind w:left="720" w:hanging="720"/>
        <w:rPr>
          <w:rFonts w:cs="Arial"/>
          <w:b/>
        </w:rPr>
      </w:pPr>
    </w:p>
    <w:p w14:paraId="469963FC" w14:textId="77777777" w:rsidR="00C1082D" w:rsidRDefault="00C1082D" w:rsidP="00E126A8">
      <w:pPr>
        <w:ind w:left="720" w:hanging="720"/>
        <w:rPr>
          <w:rFonts w:cs="Arial"/>
          <w:b/>
        </w:rPr>
      </w:pPr>
    </w:p>
    <w:p w14:paraId="059DA300" w14:textId="6430F789" w:rsidR="00C1082D" w:rsidRDefault="00C961CC" w:rsidP="00E126A8">
      <w:pPr>
        <w:ind w:left="720" w:hanging="720"/>
        <w:rPr>
          <w:rFonts w:cs="Arial"/>
          <w:b/>
        </w:rPr>
      </w:pPr>
      <w:r>
        <w:rPr>
          <w:rFonts w:cs="Arial"/>
          <w:b/>
        </w:rPr>
        <w:t>Thanks…</w:t>
      </w:r>
    </w:p>
    <w:p w14:paraId="025F3DD4" w14:textId="77777777" w:rsidR="00C961CC" w:rsidRDefault="00C961CC" w:rsidP="00E126A8">
      <w:pPr>
        <w:ind w:left="720" w:hanging="720"/>
        <w:rPr>
          <w:rFonts w:cs="Arial"/>
          <w:b/>
        </w:rPr>
      </w:pPr>
    </w:p>
    <w:p w14:paraId="1AD3A70A" w14:textId="77777777" w:rsidR="00C961CC" w:rsidRDefault="00C961CC" w:rsidP="00E126A8">
      <w:pPr>
        <w:ind w:left="720" w:hanging="720"/>
        <w:rPr>
          <w:rFonts w:cs="Arial"/>
          <w:b/>
        </w:rPr>
      </w:pPr>
    </w:p>
    <w:p w14:paraId="44BBE6E1" w14:textId="0904C4F7" w:rsidR="00C961CC" w:rsidRDefault="00C961CC" w:rsidP="00E126A8">
      <w:pPr>
        <w:ind w:left="720" w:hanging="720"/>
        <w:rPr>
          <w:rFonts w:cs="Arial"/>
          <w:b/>
          <w:sz w:val="28"/>
          <w:szCs w:val="28"/>
        </w:rPr>
      </w:pPr>
      <w:r w:rsidRPr="00C961CC">
        <w:rPr>
          <w:rFonts w:cs="Arial"/>
          <w:b/>
          <w:sz w:val="28"/>
          <w:szCs w:val="28"/>
        </w:rPr>
        <w:t xml:space="preserve">Sindatche </w:t>
      </w:r>
      <w:proofErr w:type="spellStart"/>
      <w:r w:rsidRPr="00C961CC">
        <w:rPr>
          <w:rFonts w:cs="Arial"/>
          <w:b/>
          <w:sz w:val="28"/>
          <w:szCs w:val="28"/>
        </w:rPr>
        <w:t>D.B.Balde</w:t>
      </w:r>
      <w:proofErr w:type="spellEnd"/>
    </w:p>
    <w:p w14:paraId="48961BB6" w14:textId="77777777" w:rsidR="00291E15" w:rsidRPr="00C961CC" w:rsidRDefault="00291E15" w:rsidP="00E126A8">
      <w:pPr>
        <w:ind w:left="720" w:hanging="720"/>
        <w:rPr>
          <w:rFonts w:cs="Arial"/>
          <w:b/>
          <w:sz w:val="28"/>
          <w:szCs w:val="28"/>
        </w:rPr>
      </w:pPr>
      <w:bookmarkStart w:id="79" w:name="_GoBack"/>
      <w:bookmarkEnd w:id="79"/>
    </w:p>
    <w:p w14:paraId="0B82F26C" w14:textId="77777777" w:rsidR="00C1082D" w:rsidRDefault="00C1082D" w:rsidP="00E126A8">
      <w:pPr>
        <w:ind w:left="720" w:hanging="720"/>
        <w:rPr>
          <w:rFonts w:cs="Arial"/>
          <w:b/>
        </w:rPr>
      </w:pPr>
    </w:p>
    <w:p w14:paraId="399ACE49" w14:textId="77777777" w:rsidR="00C1082D" w:rsidRDefault="00C1082D" w:rsidP="00E126A8">
      <w:pPr>
        <w:ind w:left="720" w:hanging="720"/>
        <w:rPr>
          <w:rFonts w:cs="Arial"/>
          <w:b/>
        </w:rPr>
      </w:pPr>
    </w:p>
    <w:p w14:paraId="02E89114" w14:textId="77777777" w:rsidR="00C1082D" w:rsidRDefault="00C1082D" w:rsidP="00E126A8">
      <w:pPr>
        <w:ind w:left="720" w:hanging="720"/>
        <w:rPr>
          <w:rFonts w:cs="Arial"/>
          <w:b/>
        </w:rPr>
      </w:pPr>
    </w:p>
    <w:p w14:paraId="2F12557A" w14:textId="77777777" w:rsidR="00C1082D" w:rsidRDefault="00C1082D" w:rsidP="00E126A8">
      <w:pPr>
        <w:ind w:left="720" w:hanging="720"/>
        <w:rPr>
          <w:rFonts w:cs="Arial"/>
          <w:b/>
        </w:rPr>
      </w:pPr>
    </w:p>
    <w:p w14:paraId="6D65FF6A" w14:textId="77777777" w:rsidR="00C1082D" w:rsidRDefault="00C1082D" w:rsidP="00E126A8">
      <w:pPr>
        <w:ind w:left="720" w:hanging="720"/>
        <w:rPr>
          <w:rFonts w:cs="Arial"/>
          <w:b/>
        </w:rPr>
      </w:pPr>
    </w:p>
    <w:p w14:paraId="7D046B08" w14:textId="77777777" w:rsidR="00C1082D" w:rsidRDefault="00C1082D" w:rsidP="00E126A8">
      <w:pPr>
        <w:ind w:left="720" w:hanging="720"/>
        <w:rPr>
          <w:rFonts w:cs="Arial"/>
          <w:b/>
        </w:rPr>
      </w:pPr>
    </w:p>
    <w:p w14:paraId="2D8B16E8" w14:textId="77777777" w:rsidR="00C1082D" w:rsidRDefault="00C1082D" w:rsidP="00E126A8">
      <w:pPr>
        <w:ind w:left="720" w:hanging="720"/>
        <w:rPr>
          <w:rFonts w:cs="Arial"/>
          <w:b/>
        </w:rPr>
      </w:pPr>
    </w:p>
    <w:p w14:paraId="4BFA85A4" w14:textId="77777777" w:rsidR="00C1082D" w:rsidRDefault="00C1082D" w:rsidP="00E126A8">
      <w:pPr>
        <w:ind w:left="720" w:hanging="720"/>
        <w:rPr>
          <w:rFonts w:cs="Arial"/>
          <w:b/>
        </w:rPr>
      </w:pPr>
    </w:p>
    <w:p w14:paraId="64E5C9BB" w14:textId="77777777" w:rsidR="00C1082D" w:rsidRDefault="00C1082D" w:rsidP="00E126A8">
      <w:pPr>
        <w:ind w:left="720" w:hanging="720"/>
        <w:rPr>
          <w:rFonts w:cs="Arial"/>
          <w:b/>
        </w:rPr>
      </w:pPr>
    </w:p>
    <w:sectPr w:rsidR="00C1082D" w:rsidSect="00AD20EA">
      <w:footerReference w:type="default" r:id="rId26"/>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025D42" w14:textId="77777777" w:rsidR="008A4496" w:rsidRDefault="008A4496" w:rsidP="008F7669">
      <w:pPr>
        <w:spacing w:after="0" w:line="240" w:lineRule="auto"/>
      </w:pPr>
      <w:r>
        <w:separator/>
      </w:r>
    </w:p>
  </w:endnote>
  <w:endnote w:type="continuationSeparator" w:id="0">
    <w:p w14:paraId="27910DAA" w14:textId="77777777" w:rsidR="008A4496" w:rsidRDefault="008A4496" w:rsidP="008F7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6634011"/>
      <w:docPartObj>
        <w:docPartGallery w:val="Page Numbers (Bottom of Page)"/>
        <w:docPartUnique/>
      </w:docPartObj>
    </w:sdtPr>
    <w:sdtEndPr>
      <w:rPr>
        <w:noProof/>
      </w:rPr>
    </w:sdtEndPr>
    <w:sdtContent>
      <w:p w14:paraId="1290635C" w14:textId="083D4E81" w:rsidR="0012651E" w:rsidRDefault="0012651E">
        <w:pPr>
          <w:pStyle w:val="Footer"/>
          <w:jc w:val="right"/>
        </w:pPr>
        <w:r>
          <w:fldChar w:fldCharType="begin"/>
        </w:r>
        <w:r>
          <w:instrText xml:space="preserve"> PAGE   \* MERGEFORMAT </w:instrText>
        </w:r>
        <w:r>
          <w:fldChar w:fldCharType="separate"/>
        </w:r>
        <w:r w:rsidR="00291E15">
          <w:rPr>
            <w:noProof/>
          </w:rPr>
          <w:t>56</w:t>
        </w:r>
        <w:r>
          <w:rPr>
            <w:noProof/>
          </w:rPr>
          <w:fldChar w:fldCharType="end"/>
        </w:r>
      </w:p>
    </w:sdtContent>
  </w:sdt>
  <w:p w14:paraId="41FB1264" w14:textId="77777777" w:rsidR="0012651E" w:rsidRDefault="001265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88D34B" w14:textId="77777777" w:rsidR="008A4496" w:rsidRDefault="008A4496" w:rsidP="008F7669">
      <w:pPr>
        <w:spacing w:after="0" w:line="240" w:lineRule="auto"/>
      </w:pPr>
      <w:r>
        <w:separator/>
      </w:r>
    </w:p>
  </w:footnote>
  <w:footnote w:type="continuationSeparator" w:id="0">
    <w:p w14:paraId="0F9993B0" w14:textId="77777777" w:rsidR="008A4496" w:rsidRDefault="008A4496" w:rsidP="008F766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2C6158"/>
    <w:multiLevelType w:val="hybridMultilevel"/>
    <w:tmpl w:val="84924C86"/>
    <w:lvl w:ilvl="0" w:tplc="08090001">
      <w:start w:val="1"/>
      <w:numFmt w:val="bullet"/>
      <w:lvlText w:val=""/>
      <w:lvlJc w:val="left"/>
      <w:pPr>
        <w:ind w:left="-7110" w:hanging="360"/>
      </w:pPr>
      <w:rPr>
        <w:rFonts w:ascii="Symbol" w:hAnsi="Symbol" w:hint="default"/>
      </w:rPr>
    </w:lvl>
    <w:lvl w:ilvl="1" w:tplc="08090003" w:tentative="1">
      <w:start w:val="1"/>
      <w:numFmt w:val="bullet"/>
      <w:lvlText w:val="o"/>
      <w:lvlJc w:val="left"/>
      <w:pPr>
        <w:ind w:left="-6390" w:hanging="360"/>
      </w:pPr>
      <w:rPr>
        <w:rFonts w:ascii="Courier New" w:hAnsi="Courier New" w:cs="Courier New" w:hint="default"/>
      </w:rPr>
    </w:lvl>
    <w:lvl w:ilvl="2" w:tplc="08090005" w:tentative="1">
      <w:start w:val="1"/>
      <w:numFmt w:val="bullet"/>
      <w:lvlText w:val=""/>
      <w:lvlJc w:val="left"/>
      <w:pPr>
        <w:ind w:left="-5670" w:hanging="360"/>
      </w:pPr>
      <w:rPr>
        <w:rFonts w:ascii="Wingdings" w:hAnsi="Wingdings" w:hint="default"/>
      </w:rPr>
    </w:lvl>
    <w:lvl w:ilvl="3" w:tplc="08090001" w:tentative="1">
      <w:start w:val="1"/>
      <w:numFmt w:val="bullet"/>
      <w:lvlText w:val=""/>
      <w:lvlJc w:val="left"/>
      <w:pPr>
        <w:ind w:left="-495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3510" w:hanging="360"/>
      </w:pPr>
      <w:rPr>
        <w:rFonts w:ascii="Wingdings" w:hAnsi="Wingdings" w:hint="default"/>
      </w:rPr>
    </w:lvl>
    <w:lvl w:ilvl="6" w:tplc="08090001" w:tentative="1">
      <w:start w:val="1"/>
      <w:numFmt w:val="bullet"/>
      <w:lvlText w:val=""/>
      <w:lvlJc w:val="left"/>
      <w:pPr>
        <w:ind w:left="-2790" w:hanging="360"/>
      </w:pPr>
      <w:rPr>
        <w:rFonts w:ascii="Symbol" w:hAnsi="Symbol" w:hint="default"/>
      </w:rPr>
    </w:lvl>
    <w:lvl w:ilvl="7" w:tplc="08090003" w:tentative="1">
      <w:start w:val="1"/>
      <w:numFmt w:val="bullet"/>
      <w:lvlText w:val="o"/>
      <w:lvlJc w:val="left"/>
      <w:pPr>
        <w:ind w:left="-2070" w:hanging="360"/>
      </w:pPr>
      <w:rPr>
        <w:rFonts w:ascii="Courier New" w:hAnsi="Courier New" w:cs="Courier New" w:hint="default"/>
      </w:rPr>
    </w:lvl>
    <w:lvl w:ilvl="8" w:tplc="08090005" w:tentative="1">
      <w:start w:val="1"/>
      <w:numFmt w:val="bullet"/>
      <w:lvlText w:val=""/>
      <w:lvlJc w:val="left"/>
      <w:pPr>
        <w:ind w:left="-1350" w:hanging="360"/>
      </w:pPr>
      <w:rPr>
        <w:rFonts w:ascii="Wingdings" w:hAnsi="Wingdings" w:hint="default"/>
      </w:rPr>
    </w:lvl>
  </w:abstractNum>
  <w:abstractNum w:abstractNumId="1">
    <w:nsid w:val="03FA4954"/>
    <w:multiLevelType w:val="multilevel"/>
    <w:tmpl w:val="AEAA2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A9351D3"/>
    <w:multiLevelType w:val="hybridMultilevel"/>
    <w:tmpl w:val="48684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AC55258"/>
    <w:multiLevelType w:val="multilevel"/>
    <w:tmpl w:val="664035A2"/>
    <w:lvl w:ilvl="0">
      <w:start w:val="1"/>
      <w:numFmt w:val="decimal"/>
      <w:lvlText w:val="%1"/>
      <w:lvlJc w:val="left"/>
      <w:pPr>
        <w:ind w:left="432" w:hanging="432"/>
      </w:pPr>
      <w:rPr>
        <w:b/>
        <w:bCs/>
      </w:rPr>
    </w:lvl>
    <w:lvl w:ilvl="1">
      <w:start w:val="1"/>
      <w:numFmt w:val="decimal"/>
      <w:lvlText w:val="%1.%2"/>
      <w:lvlJc w:val="left"/>
      <w:pPr>
        <w:ind w:left="576" w:hanging="576"/>
      </w:pPr>
      <w:rPr>
        <w:b/>
        <w:bCs/>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0C7646A4"/>
    <w:multiLevelType w:val="multilevel"/>
    <w:tmpl w:val="ACB29422"/>
    <w:lvl w:ilvl="0">
      <w:start w:val="1"/>
      <w:numFmt w:val="decimal"/>
      <w:lvlText w:val="%1."/>
      <w:lvlJc w:val="left"/>
      <w:pPr>
        <w:ind w:left="3042" w:hanging="432"/>
      </w:pPr>
    </w:lvl>
    <w:lvl w:ilvl="1">
      <w:start w:val="1"/>
      <w:numFmt w:val="decimal"/>
      <w:pStyle w:val="Heading2"/>
      <w:lvlText w:val="%1.%2"/>
      <w:lvlJc w:val="left"/>
      <w:pPr>
        <w:ind w:left="576" w:hanging="576"/>
      </w:pPr>
      <w:rPr>
        <w:b/>
        <w:bCs w:val="0"/>
        <w:sz w:val="28"/>
        <w:szCs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nsid w:val="14E01A5D"/>
    <w:multiLevelType w:val="hybridMultilevel"/>
    <w:tmpl w:val="23B68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296666"/>
    <w:multiLevelType w:val="multilevel"/>
    <w:tmpl w:val="6498B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4B7540"/>
    <w:multiLevelType w:val="multilevel"/>
    <w:tmpl w:val="B1463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A8A2EA0"/>
    <w:multiLevelType w:val="hybridMultilevel"/>
    <w:tmpl w:val="FF367FEA"/>
    <w:lvl w:ilvl="0" w:tplc="A5180DE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C2A732F"/>
    <w:multiLevelType w:val="multilevel"/>
    <w:tmpl w:val="37562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CEC0326"/>
    <w:multiLevelType w:val="multilevel"/>
    <w:tmpl w:val="13D2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F7E2291"/>
    <w:multiLevelType w:val="multilevel"/>
    <w:tmpl w:val="83000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AF5128F"/>
    <w:multiLevelType w:val="hybridMultilevel"/>
    <w:tmpl w:val="2DD801D4"/>
    <w:lvl w:ilvl="0" w:tplc="CC82484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1CD07E6"/>
    <w:multiLevelType w:val="multilevel"/>
    <w:tmpl w:val="53BCA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35710E6"/>
    <w:multiLevelType w:val="hybridMultilevel"/>
    <w:tmpl w:val="E9447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0C1165"/>
    <w:multiLevelType w:val="multilevel"/>
    <w:tmpl w:val="F668A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B8453B4"/>
    <w:multiLevelType w:val="multilevel"/>
    <w:tmpl w:val="AAC8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4422485"/>
    <w:multiLevelType w:val="multilevel"/>
    <w:tmpl w:val="7BA27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60F3781"/>
    <w:multiLevelType w:val="hybridMultilevel"/>
    <w:tmpl w:val="93AA80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590E46FD"/>
    <w:multiLevelType w:val="multilevel"/>
    <w:tmpl w:val="4C6E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9FC52D4"/>
    <w:multiLevelType w:val="multilevel"/>
    <w:tmpl w:val="AA726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BE946E3"/>
    <w:multiLevelType w:val="hybridMultilevel"/>
    <w:tmpl w:val="76203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A267F2"/>
    <w:multiLevelType w:val="hybridMultilevel"/>
    <w:tmpl w:val="6444E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3B901FD"/>
    <w:multiLevelType w:val="hybridMultilevel"/>
    <w:tmpl w:val="0EFACC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2F62058"/>
    <w:multiLevelType w:val="hybridMultilevel"/>
    <w:tmpl w:val="2966B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5492FF5"/>
    <w:multiLevelType w:val="multilevel"/>
    <w:tmpl w:val="04628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8750272"/>
    <w:multiLevelType w:val="hybridMultilevel"/>
    <w:tmpl w:val="B0401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8BA4981"/>
    <w:multiLevelType w:val="hybridMultilevel"/>
    <w:tmpl w:val="628CF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C657046"/>
    <w:multiLevelType w:val="multilevel"/>
    <w:tmpl w:val="F344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3"/>
  </w:num>
  <w:num w:numId="3">
    <w:abstractNumId w:val="3"/>
  </w:num>
  <w:num w:numId="4">
    <w:abstractNumId w:val="2"/>
  </w:num>
  <w:num w:numId="5">
    <w:abstractNumId w:val="15"/>
  </w:num>
  <w:num w:numId="6">
    <w:abstractNumId w:val="26"/>
  </w:num>
  <w:num w:numId="7">
    <w:abstractNumId w:val="8"/>
  </w:num>
  <w:num w:numId="8">
    <w:abstractNumId w:val="10"/>
  </w:num>
  <w:num w:numId="9">
    <w:abstractNumId w:val="17"/>
  </w:num>
  <w:num w:numId="10">
    <w:abstractNumId w:val="11"/>
  </w:num>
  <w:num w:numId="11">
    <w:abstractNumId w:val="16"/>
  </w:num>
  <w:num w:numId="12">
    <w:abstractNumId w:val="20"/>
  </w:num>
  <w:num w:numId="13">
    <w:abstractNumId w:val="12"/>
  </w:num>
  <w:num w:numId="14">
    <w:abstractNumId w:val="3"/>
    <w:lvlOverride w:ilvl="0">
      <w:startOverride w:val="2"/>
    </w:lvlOverride>
    <w:lvlOverride w:ilvl="1">
      <w:startOverride w:val="2"/>
    </w:lvlOverride>
  </w:num>
  <w:num w:numId="15">
    <w:abstractNumId w:val="3"/>
    <w:lvlOverride w:ilvl="0">
      <w:startOverride w:val="2"/>
    </w:lvlOverride>
    <w:lvlOverride w:ilvl="1">
      <w:startOverride w:val="2"/>
    </w:lvlOverride>
  </w:num>
  <w:num w:numId="16">
    <w:abstractNumId w:val="24"/>
  </w:num>
  <w:num w:numId="17">
    <w:abstractNumId w:val="3"/>
    <w:lvlOverride w:ilvl="0">
      <w:startOverride w:val="2"/>
    </w:lvlOverride>
    <w:lvlOverride w:ilvl="1">
      <w:startOverride w:val="1"/>
    </w:lvlOverride>
  </w:num>
  <w:num w:numId="18">
    <w:abstractNumId w:val="27"/>
  </w:num>
  <w:num w:numId="19">
    <w:abstractNumId w:val="21"/>
  </w:num>
  <w:num w:numId="20">
    <w:abstractNumId w:val="0"/>
  </w:num>
  <w:num w:numId="21">
    <w:abstractNumId w:val="5"/>
  </w:num>
  <w:num w:numId="22">
    <w:abstractNumId w:val="22"/>
  </w:num>
  <w:num w:numId="23">
    <w:abstractNumId w:val="14"/>
  </w:num>
  <w:num w:numId="24">
    <w:abstractNumId w:val="4"/>
  </w:num>
  <w:num w:numId="25">
    <w:abstractNumId w:val="23"/>
  </w:num>
  <w:num w:numId="26">
    <w:abstractNumId w:val="18"/>
  </w:num>
  <w:num w:numId="2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8"/>
  </w:num>
  <w:num w:numId="29">
    <w:abstractNumId w:val="6"/>
  </w:num>
  <w:num w:numId="30">
    <w:abstractNumId w:val="1"/>
  </w:num>
  <w:num w:numId="31">
    <w:abstractNumId w:val="9"/>
  </w:num>
  <w:num w:numId="32">
    <w:abstractNumId w:val="19"/>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E29"/>
    <w:rsid w:val="000023BF"/>
    <w:rsid w:val="00005DA8"/>
    <w:rsid w:val="0000763E"/>
    <w:rsid w:val="00012C73"/>
    <w:rsid w:val="0002177C"/>
    <w:rsid w:val="00024CEF"/>
    <w:rsid w:val="00033A2B"/>
    <w:rsid w:val="00035ED3"/>
    <w:rsid w:val="0004154B"/>
    <w:rsid w:val="00056280"/>
    <w:rsid w:val="000600D6"/>
    <w:rsid w:val="00072726"/>
    <w:rsid w:val="00072998"/>
    <w:rsid w:val="00074591"/>
    <w:rsid w:val="00080B9E"/>
    <w:rsid w:val="000868F8"/>
    <w:rsid w:val="00086D5B"/>
    <w:rsid w:val="00090096"/>
    <w:rsid w:val="000910FF"/>
    <w:rsid w:val="000921B7"/>
    <w:rsid w:val="00093144"/>
    <w:rsid w:val="000965D1"/>
    <w:rsid w:val="000A3F7F"/>
    <w:rsid w:val="000A699F"/>
    <w:rsid w:val="000B0B1C"/>
    <w:rsid w:val="000B2E29"/>
    <w:rsid w:val="000B4557"/>
    <w:rsid w:val="000B53FD"/>
    <w:rsid w:val="000C582C"/>
    <w:rsid w:val="000C69BE"/>
    <w:rsid w:val="000D3807"/>
    <w:rsid w:val="000D390B"/>
    <w:rsid w:val="000E04A7"/>
    <w:rsid w:val="000E3F90"/>
    <w:rsid w:val="000F1456"/>
    <w:rsid w:val="001038F8"/>
    <w:rsid w:val="00122B33"/>
    <w:rsid w:val="0012651E"/>
    <w:rsid w:val="001467D0"/>
    <w:rsid w:val="0016217A"/>
    <w:rsid w:val="0016354D"/>
    <w:rsid w:val="001642B6"/>
    <w:rsid w:val="00164C04"/>
    <w:rsid w:val="00171D05"/>
    <w:rsid w:val="00197C44"/>
    <w:rsid w:val="001A5138"/>
    <w:rsid w:val="001B5B85"/>
    <w:rsid w:val="001C6E15"/>
    <w:rsid w:val="001C75AB"/>
    <w:rsid w:val="001C7E9E"/>
    <w:rsid w:val="001D5A70"/>
    <w:rsid w:val="001F09C8"/>
    <w:rsid w:val="001F1F02"/>
    <w:rsid w:val="001F4D9E"/>
    <w:rsid w:val="00200362"/>
    <w:rsid w:val="002035B4"/>
    <w:rsid w:val="002067A2"/>
    <w:rsid w:val="00224B64"/>
    <w:rsid w:val="002313A6"/>
    <w:rsid w:val="0023381F"/>
    <w:rsid w:val="00237474"/>
    <w:rsid w:val="00255BBD"/>
    <w:rsid w:val="00271E1F"/>
    <w:rsid w:val="00281EE5"/>
    <w:rsid w:val="00291E15"/>
    <w:rsid w:val="0029416F"/>
    <w:rsid w:val="002A53B7"/>
    <w:rsid w:val="002A7BD1"/>
    <w:rsid w:val="002B330D"/>
    <w:rsid w:val="002B7519"/>
    <w:rsid w:val="002B7529"/>
    <w:rsid w:val="002C17B0"/>
    <w:rsid w:val="002C787E"/>
    <w:rsid w:val="002D4496"/>
    <w:rsid w:val="002D5571"/>
    <w:rsid w:val="002E619E"/>
    <w:rsid w:val="002E6B24"/>
    <w:rsid w:val="002F048C"/>
    <w:rsid w:val="002F745C"/>
    <w:rsid w:val="003012C9"/>
    <w:rsid w:val="00321273"/>
    <w:rsid w:val="003217B0"/>
    <w:rsid w:val="00323E96"/>
    <w:rsid w:val="003374F8"/>
    <w:rsid w:val="003467DE"/>
    <w:rsid w:val="00351F65"/>
    <w:rsid w:val="00356BD5"/>
    <w:rsid w:val="00357C57"/>
    <w:rsid w:val="00361CF1"/>
    <w:rsid w:val="0036520B"/>
    <w:rsid w:val="0038180D"/>
    <w:rsid w:val="00390504"/>
    <w:rsid w:val="003B5674"/>
    <w:rsid w:val="003C4377"/>
    <w:rsid w:val="003D0F20"/>
    <w:rsid w:val="003D4C68"/>
    <w:rsid w:val="003E264E"/>
    <w:rsid w:val="003F3423"/>
    <w:rsid w:val="0045644F"/>
    <w:rsid w:val="00466A72"/>
    <w:rsid w:val="004704C2"/>
    <w:rsid w:val="00471E0D"/>
    <w:rsid w:val="004721F4"/>
    <w:rsid w:val="004821E7"/>
    <w:rsid w:val="00484FF7"/>
    <w:rsid w:val="00491E93"/>
    <w:rsid w:val="004950DC"/>
    <w:rsid w:val="004A16E2"/>
    <w:rsid w:val="004A37C5"/>
    <w:rsid w:val="004A485D"/>
    <w:rsid w:val="004A54E5"/>
    <w:rsid w:val="004A6C93"/>
    <w:rsid w:val="004B0845"/>
    <w:rsid w:val="004C4F1B"/>
    <w:rsid w:val="004D2656"/>
    <w:rsid w:val="004F655E"/>
    <w:rsid w:val="00510C15"/>
    <w:rsid w:val="0051635D"/>
    <w:rsid w:val="005165EE"/>
    <w:rsid w:val="005167A8"/>
    <w:rsid w:val="00522CF8"/>
    <w:rsid w:val="005250CC"/>
    <w:rsid w:val="00533681"/>
    <w:rsid w:val="005339D0"/>
    <w:rsid w:val="005507F2"/>
    <w:rsid w:val="00551E64"/>
    <w:rsid w:val="0055462F"/>
    <w:rsid w:val="0055738B"/>
    <w:rsid w:val="005648DF"/>
    <w:rsid w:val="00583384"/>
    <w:rsid w:val="00591053"/>
    <w:rsid w:val="005960C8"/>
    <w:rsid w:val="005A6F8A"/>
    <w:rsid w:val="005B43C1"/>
    <w:rsid w:val="005C28FD"/>
    <w:rsid w:val="005C3DC7"/>
    <w:rsid w:val="005C49C8"/>
    <w:rsid w:val="005C79C5"/>
    <w:rsid w:val="005D1889"/>
    <w:rsid w:val="005D71EA"/>
    <w:rsid w:val="005E15C3"/>
    <w:rsid w:val="005E4DB8"/>
    <w:rsid w:val="005F6362"/>
    <w:rsid w:val="005F6949"/>
    <w:rsid w:val="00612133"/>
    <w:rsid w:val="00637CEB"/>
    <w:rsid w:val="00651151"/>
    <w:rsid w:val="006523C3"/>
    <w:rsid w:val="00662E48"/>
    <w:rsid w:val="00665060"/>
    <w:rsid w:val="0066730D"/>
    <w:rsid w:val="006719B7"/>
    <w:rsid w:val="00671E26"/>
    <w:rsid w:val="0067467B"/>
    <w:rsid w:val="00674E4B"/>
    <w:rsid w:val="00677B84"/>
    <w:rsid w:val="006809B7"/>
    <w:rsid w:val="006A1696"/>
    <w:rsid w:val="006A2053"/>
    <w:rsid w:val="006A2D35"/>
    <w:rsid w:val="006A5259"/>
    <w:rsid w:val="006A6F5D"/>
    <w:rsid w:val="006B0050"/>
    <w:rsid w:val="006B64ED"/>
    <w:rsid w:val="006B67B4"/>
    <w:rsid w:val="006B7530"/>
    <w:rsid w:val="006D3AE5"/>
    <w:rsid w:val="006D65AE"/>
    <w:rsid w:val="006D66A8"/>
    <w:rsid w:val="006D7D7B"/>
    <w:rsid w:val="006E3344"/>
    <w:rsid w:val="006E414F"/>
    <w:rsid w:val="007047B4"/>
    <w:rsid w:val="00705741"/>
    <w:rsid w:val="007071C2"/>
    <w:rsid w:val="00707CF0"/>
    <w:rsid w:val="00712C55"/>
    <w:rsid w:val="00713AA8"/>
    <w:rsid w:val="007212D2"/>
    <w:rsid w:val="0073085C"/>
    <w:rsid w:val="0073161D"/>
    <w:rsid w:val="00734B69"/>
    <w:rsid w:val="00740442"/>
    <w:rsid w:val="00742ECE"/>
    <w:rsid w:val="00743202"/>
    <w:rsid w:val="00752706"/>
    <w:rsid w:val="007601B4"/>
    <w:rsid w:val="00762C50"/>
    <w:rsid w:val="0076596E"/>
    <w:rsid w:val="0077507C"/>
    <w:rsid w:val="0078745B"/>
    <w:rsid w:val="00793B3B"/>
    <w:rsid w:val="007942B5"/>
    <w:rsid w:val="007B181B"/>
    <w:rsid w:val="007B732B"/>
    <w:rsid w:val="007C0A9D"/>
    <w:rsid w:val="007C36E2"/>
    <w:rsid w:val="007C6FDA"/>
    <w:rsid w:val="007C7999"/>
    <w:rsid w:val="007D4292"/>
    <w:rsid w:val="007F1DF3"/>
    <w:rsid w:val="0080293D"/>
    <w:rsid w:val="0080710F"/>
    <w:rsid w:val="00812428"/>
    <w:rsid w:val="00814D4F"/>
    <w:rsid w:val="0081526E"/>
    <w:rsid w:val="00817A06"/>
    <w:rsid w:val="008243C3"/>
    <w:rsid w:val="00826BA8"/>
    <w:rsid w:val="0086362C"/>
    <w:rsid w:val="00864B62"/>
    <w:rsid w:val="00867A6E"/>
    <w:rsid w:val="00867C72"/>
    <w:rsid w:val="0087169A"/>
    <w:rsid w:val="00872134"/>
    <w:rsid w:val="00880FDF"/>
    <w:rsid w:val="0088411E"/>
    <w:rsid w:val="00884740"/>
    <w:rsid w:val="008903B1"/>
    <w:rsid w:val="008A4496"/>
    <w:rsid w:val="008B3E95"/>
    <w:rsid w:val="008C2C96"/>
    <w:rsid w:val="008D1887"/>
    <w:rsid w:val="008D1F17"/>
    <w:rsid w:val="008D26E2"/>
    <w:rsid w:val="008F0A4F"/>
    <w:rsid w:val="008F10B3"/>
    <w:rsid w:val="008F7669"/>
    <w:rsid w:val="009028C9"/>
    <w:rsid w:val="009038A1"/>
    <w:rsid w:val="00910649"/>
    <w:rsid w:val="00915C08"/>
    <w:rsid w:val="00916489"/>
    <w:rsid w:val="00927988"/>
    <w:rsid w:val="00930335"/>
    <w:rsid w:val="009346C8"/>
    <w:rsid w:val="00937072"/>
    <w:rsid w:val="00953172"/>
    <w:rsid w:val="00964FD6"/>
    <w:rsid w:val="00987048"/>
    <w:rsid w:val="00987C16"/>
    <w:rsid w:val="0099075C"/>
    <w:rsid w:val="00995A95"/>
    <w:rsid w:val="009B09FD"/>
    <w:rsid w:val="009B78F7"/>
    <w:rsid w:val="009C03A2"/>
    <w:rsid w:val="009C1DC3"/>
    <w:rsid w:val="009C48F0"/>
    <w:rsid w:val="009C6AF4"/>
    <w:rsid w:val="009D2124"/>
    <w:rsid w:val="009E11EA"/>
    <w:rsid w:val="009E2B08"/>
    <w:rsid w:val="009F5FF6"/>
    <w:rsid w:val="00A05E9C"/>
    <w:rsid w:val="00A074CE"/>
    <w:rsid w:val="00A12FD2"/>
    <w:rsid w:val="00A156B4"/>
    <w:rsid w:val="00A23B04"/>
    <w:rsid w:val="00A27D58"/>
    <w:rsid w:val="00A33EDD"/>
    <w:rsid w:val="00A341A2"/>
    <w:rsid w:val="00A34454"/>
    <w:rsid w:val="00A43098"/>
    <w:rsid w:val="00A57BE6"/>
    <w:rsid w:val="00A82AF6"/>
    <w:rsid w:val="00A90368"/>
    <w:rsid w:val="00A92A41"/>
    <w:rsid w:val="00AA0106"/>
    <w:rsid w:val="00AA3BB6"/>
    <w:rsid w:val="00AA79E0"/>
    <w:rsid w:val="00AB2E67"/>
    <w:rsid w:val="00AB574C"/>
    <w:rsid w:val="00AB58FC"/>
    <w:rsid w:val="00AC7C97"/>
    <w:rsid w:val="00AD20EA"/>
    <w:rsid w:val="00AD2747"/>
    <w:rsid w:val="00AD4BE2"/>
    <w:rsid w:val="00AE722E"/>
    <w:rsid w:val="00AE753F"/>
    <w:rsid w:val="00AF24D4"/>
    <w:rsid w:val="00B075F4"/>
    <w:rsid w:val="00B100A0"/>
    <w:rsid w:val="00B10275"/>
    <w:rsid w:val="00B31FC4"/>
    <w:rsid w:val="00B33200"/>
    <w:rsid w:val="00B349B9"/>
    <w:rsid w:val="00B414B8"/>
    <w:rsid w:val="00B46007"/>
    <w:rsid w:val="00B55529"/>
    <w:rsid w:val="00B5674E"/>
    <w:rsid w:val="00B6414C"/>
    <w:rsid w:val="00B64BD1"/>
    <w:rsid w:val="00B70B5E"/>
    <w:rsid w:val="00B742AF"/>
    <w:rsid w:val="00B75D34"/>
    <w:rsid w:val="00B966FA"/>
    <w:rsid w:val="00B9736B"/>
    <w:rsid w:val="00BA6B4D"/>
    <w:rsid w:val="00BB2D71"/>
    <w:rsid w:val="00BB662E"/>
    <w:rsid w:val="00BD182D"/>
    <w:rsid w:val="00BD4900"/>
    <w:rsid w:val="00BE0EBD"/>
    <w:rsid w:val="00BE3C32"/>
    <w:rsid w:val="00BF123B"/>
    <w:rsid w:val="00BF4560"/>
    <w:rsid w:val="00C0539B"/>
    <w:rsid w:val="00C1082D"/>
    <w:rsid w:val="00C16A55"/>
    <w:rsid w:val="00C17B64"/>
    <w:rsid w:val="00C21166"/>
    <w:rsid w:val="00C23588"/>
    <w:rsid w:val="00C2451B"/>
    <w:rsid w:val="00C34B52"/>
    <w:rsid w:val="00C362E0"/>
    <w:rsid w:val="00C36D39"/>
    <w:rsid w:val="00C47E73"/>
    <w:rsid w:val="00C54D6B"/>
    <w:rsid w:val="00C55E3C"/>
    <w:rsid w:val="00C63782"/>
    <w:rsid w:val="00C74AC2"/>
    <w:rsid w:val="00C76D20"/>
    <w:rsid w:val="00C82240"/>
    <w:rsid w:val="00C83B7A"/>
    <w:rsid w:val="00C90A41"/>
    <w:rsid w:val="00C947B9"/>
    <w:rsid w:val="00C961CC"/>
    <w:rsid w:val="00CA2419"/>
    <w:rsid w:val="00CC05D4"/>
    <w:rsid w:val="00CC1ED5"/>
    <w:rsid w:val="00CC3265"/>
    <w:rsid w:val="00CC38D4"/>
    <w:rsid w:val="00CC3CCF"/>
    <w:rsid w:val="00CC5EA5"/>
    <w:rsid w:val="00CC61A5"/>
    <w:rsid w:val="00CD096D"/>
    <w:rsid w:val="00CD112C"/>
    <w:rsid w:val="00CE29A3"/>
    <w:rsid w:val="00D02D3A"/>
    <w:rsid w:val="00D051B4"/>
    <w:rsid w:val="00D06ACE"/>
    <w:rsid w:val="00D07A2D"/>
    <w:rsid w:val="00D14FF0"/>
    <w:rsid w:val="00D17F2D"/>
    <w:rsid w:val="00D25443"/>
    <w:rsid w:val="00D319C5"/>
    <w:rsid w:val="00D4400D"/>
    <w:rsid w:val="00D4440B"/>
    <w:rsid w:val="00D463F2"/>
    <w:rsid w:val="00D4716C"/>
    <w:rsid w:val="00D5192A"/>
    <w:rsid w:val="00D52BF4"/>
    <w:rsid w:val="00D676BC"/>
    <w:rsid w:val="00D7357A"/>
    <w:rsid w:val="00D74703"/>
    <w:rsid w:val="00D85E8C"/>
    <w:rsid w:val="00D90D76"/>
    <w:rsid w:val="00D92279"/>
    <w:rsid w:val="00D936FD"/>
    <w:rsid w:val="00D93D92"/>
    <w:rsid w:val="00D95E79"/>
    <w:rsid w:val="00DA1D9E"/>
    <w:rsid w:val="00DB0FEF"/>
    <w:rsid w:val="00DB5A33"/>
    <w:rsid w:val="00DB69D3"/>
    <w:rsid w:val="00DC079C"/>
    <w:rsid w:val="00DC295F"/>
    <w:rsid w:val="00DD1469"/>
    <w:rsid w:val="00DD478D"/>
    <w:rsid w:val="00DF4E5E"/>
    <w:rsid w:val="00DF58D5"/>
    <w:rsid w:val="00E04E73"/>
    <w:rsid w:val="00E07CE2"/>
    <w:rsid w:val="00E103DD"/>
    <w:rsid w:val="00E126A8"/>
    <w:rsid w:val="00E14F31"/>
    <w:rsid w:val="00E159AC"/>
    <w:rsid w:val="00E16F0C"/>
    <w:rsid w:val="00E170B7"/>
    <w:rsid w:val="00E21526"/>
    <w:rsid w:val="00E23778"/>
    <w:rsid w:val="00E334C4"/>
    <w:rsid w:val="00E337AB"/>
    <w:rsid w:val="00E355CE"/>
    <w:rsid w:val="00E50A2D"/>
    <w:rsid w:val="00E768BD"/>
    <w:rsid w:val="00E82543"/>
    <w:rsid w:val="00E85AF0"/>
    <w:rsid w:val="00E87D18"/>
    <w:rsid w:val="00EA658E"/>
    <w:rsid w:val="00EB19BC"/>
    <w:rsid w:val="00EB1DEF"/>
    <w:rsid w:val="00EB6A16"/>
    <w:rsid w:val="00EB7FE8"/>
    <w:rsid w:val="00ED22BE"/>
    <w:rsid w:val="00ED6790"/>
    <w:rsid w:val="00EE22A8"/>
    <w:rsid w:val="00EE3F94"/>
    <w:rsid w:val="00EF6739"/>
    <w:rsid w:val="00F10A54"/>
    <w:rsid w:val="00F125EC"/>
    <w:rsid w:val="00F22FEF"/>
    <w:rsid w:val="00F44BFF"/>
    <w:rsid w:val="00F45B54"/>
    <w:rsid w:val="00F5163C"/>
    <w:rsid w:val="00F52511"/>
    <w:rsid w:val="00F63BB9"/>
    <w:rsid w:val="00F64059"/>
    <w:rsid w:val="00F64BE6"/>
    <w:rsid w:val="00F71536"/>
    <w:rsid w:val="00F7516E"/>
    <w:rsid w:val="00F80452"/>
    <w:rsid w:val="00F83C42"/>
    <w:rsid w:val="00F86032"/>
    <w:rsid w:val="00F9559E"/>
    <w:rsid w:val="00FA2BC8"/>
    <w:rsid w:val="00FA7399"/>
    <w:rsid w:val="00FA76B3"/>
    <w:rsid w:val="00FB0F76"/>
    <w:rsid w:val="00FB5335"/>
    <w:rsid w:val="00FB6E3F"/>
    <w:rsid w:val="00FC66A2"/>
    <w:rsid w:val="00FC699A"/>
    <w:rsid w:val="00FD07F8"/>
    <w:rsid w:val="00FD3B0C"/>
    <w:rsid w:val="00FF0AB6"/>
    <w:rsid w:val="00FF12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635728"/>
  <w15:chartTrackingRefBased/>
  <w15:docId w15:val="{A80B8ECB-1E44-4D63-A9EF-53A9B04E1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41A2"/>
    <w:pPr>
      <w:spacing w:line="360" w:lineRule="auto"/>
      <w:jc w:val="both"/>
    </w:pPr>
    <w:rPr>
      <w:rFonts w:ascii="Arial" w:hAnsi="Arial"/>
      <w:sz w:val="22"/>
      <w:lang w:val="en-GB"/>
    </w:rPr>
  </w:style>
  <w:style w:type="paragraph" w:styleId="Heading1">
    <w:name w:val="heading 1"/>
    <w:basedOn w:val="Normal"/>
    <w:next w:val="Normal"/>
    <w:link w:val="Heading1Char"/>
    <w:autoRedefine/>
    <w:uiPriority w:val="9"/>
    <w:qFormat/>
    <w:rsid w:val="009E11EA"/>
    <w:pPr>
      <w:keepNext/>
      <w:keepLines/>
      <w:spacing w:before="360" w:after="80"/>
      <w:ind w:left="2610"/>
      <w:jc w:val="left"/>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995A95"/>
    <w:pPr>
      <w:keepNext/>
      <w:keepLines/>
      <w:numPr>
        <w:ilvl w:val="1"/>
        <w:numId w:val="24"/>
      </w:numPr>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7212D2"/>
    <w:pPr>
      <w:keepNext/>
      <w:keepLines/>
      <w:numPr>
        <w:ilvl w:val="2"/>
        <w:numId w:val="24"/>
      </w:numPr>
      <w:spacing w:before="160" w:after="80"/>
      <w:outlineLvl w:val="2"/>
    </w:pPr>
    <w:rPr>
      <w:rFonts w:eastAsiaTheme="majorEastAsia" w:cstheme="majorBidi"/>
      <w:b/>
      <w:color w:val="000000" w:themeColor="text1"/>
      <w:sz w:val="24"/>
      <w:szCs w:val="32"/>
    </w:rPr>
  </w:style>
  <w:style w:type="paragraph" w:styleId="Heading4">
    <w:name w:val="heading 4"/>
    <w:basedOn w:val="Normal"/>
    <w:next w:val="Normal"/>
    <w:link w:val="Heading4Char"/>
    <w:uiPriority w:val="9"/>
    <w:unhideWhenUsed/>
    <w:qFormat/>
    <w:rsid w:val="009C48F0"/>
    <w:pPr>
      <w:keepNext/>
      <w:keepLines/>
      <w:numPr>
        <w:ilvl w:val="3"/>
        <w:numId w:val="24"/>
      </w:numPr>
      <w:spacing w:before="80" w:after="4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0B2E29"/>
    <w:pPr>
      <w:keepNext/>
      <w:keepLines/>
      <w:numPr>
        <w:ilvl w:val="4"/>
        <w:numId w:val="2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2E29"/>
    <w:pPr>
      <w:keepNext/>
      <w:keepLines/>
      <w:numPr>
        <w:ilvl w:val="5"/>
        <w:numId w:val="2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E29"/>
    <w:pPr>
      <w:keepNext/>
      <w:keepLines/>
      <w:numPr>
        <w:ilvl w:val="6"/>
        <w:numId w:val="2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E29"/>
    <w:pPr>
      <w:keepNext/>
      <w:keepLines/>
      <w:numPr>
        <w:ilvl w:val="7"/>
        <w:numId w:val="2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E29"/>
    <w:pPr>
      <w:keepNext/>
      <w:keepLines/>
      <w:numPr>
        <w:ilvl w:val="8"/>
        <w:numId w:val="2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1EA"/>
    <w:rPr>
      <w:rFonts w:ascii="Arial" w:eastAsiaTheme="majorEastAsia" w:hAnsi="Arial" w:cstheme="majorBidi"/>
      <w:b/>
      <w:sz w:val="32"/>
      <w:szCs w:val="40"/>
      <w:lang w:val="en-GB"/>
    </w:rPr>
  </w:style>
  <w:style w:type="character" w:customStyle="1" w:styleId="Heading2Char">
    <w:name w:val="Heading 2 Char"/>
    <w:basedOn w:val="DefaultParagraphFont"/>
    <w:link w:val="Heading2"/>
    <w:uiPriority w:val="9"/>
    <w:rsid w:val="00995A95"/>
    <w:rPr>
      <w:rFonts w:ascii="Arial" w:eastAsiaTheme="majorEastAsia" w:hAnsi="Arial" w:cstheme="majorBidi"/>
      <w:b/>
      <w:sz w:val="28"/>
      <w:szCs w:val="32"/>
      <w:lang w:val="en-GB"/>
    </w:rPr>
  </w:style>
  <w:style w:type="character" w:customStyle="1" w:styleId="Heading3Char">
    <w:name w:val="Heading 3 Char"/>
    <w:basedOn w:val="DefaultParagraphFont"/>
    <w:link w:val="Heading3"/>
    <w:uiPriority w:val="9"/>
    <w:rsid w:val="007212D2"/>
    <w:rPr>
      <w:rFonts w:ascii="Arial" w:eastAsiaTheme="majorEastAsia" w:hAnsi="Arial" w:cstheme="majorBidi"/>
      <w:b/>
      <w:color w:val="000000" w:themeColor="text1"/>
      <w:szCs w:val="32"/>
      <w:lang w:val="en-GB"/>
    </w:rPr>
  </w:style>
  <w:style w:type="character" w:customStyle="1" w:styleId="Heading4Char">
    <w:name w:val="Heading 4 Char"/>
    <w:basedOn w:val="DefaultParagraphFont"/>
    <w:link w:val="Heading4"/>
    <w:uiPriority w:val="9"/>
    <w:rsid w:val="009C48F0"/>
    <w:rPr>
      <w:rFonts w:ascii="Arial" w:eastAsiaTheme="majorEastAsia" w:hAnsi="Arial" w:cstheme="majorBidi"/>
      <w:iCs/>
    </w:rPr>
  </w:style>
  <w:style w:type="character" w:customStyle="1" w:styleId="Heading5Char">
    <w:name w:val="Heading 5 Char"/>
    <w:basedOn w:val="DefaultParagraphFont"/>
    <w:link w:val="Heading5"/>
    <w:uiPriority w:val="9"/>
    <w:semiHidden/>
    <w:rsid w:val="000B2E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2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E29"/>
    <w:rPr>
      <w:rFonts w:eastAsiaTheme="majorEastAsia" w:cstheme="majorBidi"/>
      <w:color w:val="272727" w:themeColor="text1" w:themeTint="D8"/>
    </w:rPr>
  </w:style>
  <w:style w:type="paragraph" w:styleId="Title">
    <w:name w:val="Title"/>
    <w:basedOn w:val="Normal"/>
    <w:next w:val="Normal"/>
    <w:link w:val="TitleChar"/>
    <w:uiPriority w:val="10"/>
    <w:qFormat/>
    <w:rsid w:val="000B2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E29"/>
    <w:pPr>
      <w:spacing w:before="160"/>
      <w:jc w:val="center"/>
    </w:pPr>
    <w:rPr>
      <w:i/>
      <w:iCs/>
      <w:color w:val="404040" w:themeColor="text1" w:themeTint="BF"/>
    </w:rPr>
  </w:style>
  <w:style w:type="character" w:customStyle="1" w:styleId="QuoteChar">
    <w:name w:val="Quote Char"/>
    <w:basedOn w:val="DefaultParagraphFont"/>
    <w:link w:val="Quote"/>
    <w:uiPriority w:val="29"/>
    <w:rsid w:val="000B2E29"/>
    <w:rPr>
      <w:i/>
      <w:iCs/>
      <w:color w:val="404040" w:themeColor="text1" w:themeTint="BF"/>
    </w:rPr>
  </w:style>
  <w:style w:type="paragraph" w:styleId="ListParagraph">
    <w:name w:val="List Paragraph"/>
    <w:basedOn w:val="Normal"/>
    <w:uiPriority w:val="34"/>
    <w:qFormat/>
    <w:rsid w:val="000B2E29"/>
    <w:pPr>
      <w:ind w:left="720"/>
      <w:contextualSpacing/>
    </w:pPr>
  </w:style>
  <w:style w:type="character" w:styleId="IntenseEmphasis">
    <w:name w:val="Intense Emphasis"/>
    <w:basedOn w:val="DefaultParagraphFont"/>
    <w:uiPriority w:val="21"/>
    <w:qFormat/>
    <w:rsid w:val="000B2E29"/>
    <w:rPr>
      <w:i/>
      <w:iCs/>
      <w:color w:val="2F5496" w:themeColor="accent1" w:themeShade="BF"/>
    </w:rPr>
  </w:style>
  <w:style w:type="paragraph" w:styleId="IntenseQuote">
    <w:name w:val="Intense Quote"/>
    <w:basedOn w:val="Normal"/>
    <w:next w:val="Normal"/>
    <w:link w:val="IntenseQuoteChar"/>
    <w:uiPriority w:val="30"/>
    <w:qFormat/>
    <w:rsid w:val="000B2E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2E29"/>
    <w:rPr>
      <w:i/>
      <w:iCs/>
      <w:color w:val="2F5496" w:themeColor="accent1" w:themeShade="BF"/>
    </w:rPr>
  </w:style>
  <w:style w:type="character" w:styleId="IntenseReference">
    <w:name w:val="Intense Reference"/>
    <w:basedOn w:val="DefaultParagraphFont"/>
    <w:uiPriority w:val="32"/>
    <w:qFormat/>
    <w:rsid w:val="000B2E29"/>
    <w:rPr>
      <w:b/>
      <w:bCs/>
      <w:smallCaps/>
      <w:color w:val="2F5496" w:themeColor="accent1" w:themeShade="BF"/>
      <w:spacing w:val="5"/>
    </w:rPr>
  </w:style>
  <w:style w:type="paragraph" w:styleId="TOCHeading">
    <w:name w:val="TOC Heading"/>
    <w:basedOn w:val="Heading1"/>
    <w:next w:val="Normal"/>
    <w:uiPriority w:val="39"/>
    <w:unhideWhenUsed/>
    <w:qFormat/>
    <w:rsid w:val="00D52BF4"/>
    <w:pPr>
      <w:spacing w:before="240" w:after="0" w:line="259" w:lineRule="auto"/>
      <w:ind w:left="0"/>
      <w:outlineLvl w:val="9"/>
    </w:pPr>
    <w:rPr>
      <w:rFonts w:asciiTheme="majorHAnsi" w:hAnsiTheme="majorHAnsi"/>
      <w:b w:val="0"/>
      <w:color w:val="2F5496" w:themeColor="accent1" w:themeShade="BF"/>
      <w:kern w:val="0"/>
      <w:szCs w:val="32"/>
    </w:rPr>
  </w:style>
  <w:style w:type="paragraph" w:styleId="TOC1">
    <w:name w:val="toc 1"/>
    <w:basedOn w:val="Normal"/>
    <w:next w:val="Normal"/>
    <w:autoRedefine/>
    <w:uiPriority w:val="39"/>
    <w:unhideWhenUsed/>
    <w:rsid w:val="00D52BF4"/>
    <w:pPr>
      <w:spacing w:after="100"/>
    </w:pPr>
  </w:style>
  <w:style w:type="paragraph" w:styleId="TOC2">
    <w:name w:val="toc 2"/>
    <w:basedOn w:val="Normal"/>
    <w:next w:val="Normal"/>
    <w:autoRedefine/>
    <w:uiPriority w:val="39"/>
    <w:unhideWhenUsed/>
    <w:rsid w:val="00D52BF4"/>
    <w:pPr>
      <w:spacing w:after="100"/>
      <w:ind w:left="240"/>
    </w:pPr>
  </w:style>
  <w:style w:type="character" w:styleId="Hyperlink">
    <w:name w:val="Hyperlink"/>
    <w:basedOn w:val="DefaultParagraphFont"/>
    <w:uiPriority w:val="99"/>
    <w:unhideWhenUsed/>
    <w:rsid w:val="00D52BF4"/>
    <w:rPr>
      <w:color w:val="0563C1" w:themeColor="hyperlink"/>
      <w:u w:val="single"/>
    </w:rPr>
  </w:style>
  <w:style w:type="paragraph" w:styleId="NormalWeb">
    <w:name w:val="Normal (Web)"/>
    <w:basedOn w:val="Normal"/>
    <w:uiPriority w:val="99"/>
    <w:unhideWhenUsed/>
    <w:rsid w:val="00BA6B4D"/>
    <w:pPr>
      <w:spacing w:before="100" w:beforeAutospacing="1" w:after="100" w:afterAutospacing="1" w:line="240" w:lineRule="auto"/>
      <w:jc w:val="left"/>
    </w:pPr>
    <w:rPr>
      <w:rFonts w:eastAsia="Times New Roman" w:cs="Times New Roman"/>
      <w:kern w:val="0"/>
    </w:rPr>
  </w:style>
  <w:style w:type="character" w:styleId="Strong">
    <w:name w:val="Strong"/>
    <w:basedOn w:val="DefaultParagraphFont"/>
    <w:uiPriority w:val="22"/>
    <w:qFormat/>
    <w:rsid w:val="00EB1DEF"/>
    <w:rPr>
      <w:b/>
      <w:bCs/>
    </w:rPr>
  </w:style>
  <w:style w:type="character" w:styleId="Emphasis">
    <w:name w:val="Emphasis"/>
    <w:basedOn w:val="DefaultParagraphFont"/>
    <w:uiPriority w:val="20"/>
    <w:qFormat/>
    <w:rsid w:val="00EB1DEF"/>
    <w:rPr>
      <w:i/>
      <w:iCs/>
    </w:rPr>
  </w:style>
  <w:style w:type="paragraph" w:styleId="Caption">
    <w:name w:val="caption"/>
    <w:basedOn w:val="Normal"/>
    <w:next w:val="Normal"/>
    <w:uiPriority w:val="35"/>
    <w:unhideWhenUsed/>
    <w:qFormat/>
    <w:rsid w:val="0016217A"/>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7071C2"/>
    <w:rPr>
      <w:sz w:val="16"/>
      <w:szCs w:val="16"/>
    </w:rPr>
  </w:style>
  <w:style w:type="paragraph" w:styleId="CommentText">
    <w:name w:val="annotation text"/>
    <w:basedOn w:val="Normal"/>
    <w:link w:val="CommentTextChar"/>
    <w:uiPriority w:val="99"/>
    <w:semiHidden/>
    <w:unhideWhenUsed/>
    <w:rsid w:val="007071C2"/>
    <w:pPr>
      <w:spacing w:line="240" w:lineRule="auto"/>
    </w:pPr>
    <w:rPr>
      <w:sz w:val="20"/>
      <w:szCs w:val="20"/>
    </w:rPr>
  </w:style>
  <w:style w:type="character" w:customStyle="1" w:styleId="CommentTextChar">
    <w:name w:val="Comment Text Char"/>
    <w:basedOn w:val="DefaultParagraphFont"/>
    <w:link w:val="CommentText"/>
    <w:uiPriority w:val="99"/>
    <w:semiHidden/>
    <w:rsid w:val="007071C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071C2"/>
    <w:rPr>
      <w:b/>
      <w:bCs/>
    </w:rPr>
  </w:style>
  <w:style w:type="character" w:customStyle="1" w:styleId="CommentSubjectChar">
    <w:name w:val="Comment Subject Char"/>
    <w:basedOn w:val="CommentTextChar"/>
    <w:link w:val="CommentSubject"/>
    <w:uiPriority w:val="99"/>
    <w:semiHidden/>
    <w:rsid w:val="007071C2"/>
    <w:rPr>
      <w:rFonts w:ascii="Times New Roman" w:hAnsi="Times New Roman"/>
      <w:b/>
      <w:bCs/>
      <w:sz w:val="20"/>
      <w:szCs w:val="20"/>
    </w:rPr>
  </w:style>
  <w:style w:type="paragraph" w:styleId="BalloonText">
    <w:name w:val="Balloon Text"/>
    <w:basedOn w:val="Normal"/>
    <w:link w:val="BalloonTextChar"/>
    <w:uiPriority w:val="99"/>
    <w:semiHidden/>
    <w:unhideWhenUsed/>
    <w:rsid w:val="007071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071C2"/>
    <w:rPr>
      <w:rFonts w:ascii="Segoe UI" w:hAnsi="Segoe UI" w:cs="Segoe UI"/>
      <w:sz w:val="18"/>
      <w:szCs w:val="18"/>
    </w:rPr>
  </w:style>
  <w:style w:type="character" w:customStyle="1" w:styleId="UnresolvedMention">
    <w:name w:val="Unresolved Mention"/>
    <w:basedOn w:val="DefaultParagraphFont"/>
    <w:uiPriority w:val="99"/>
    <w:semiHidden/>
    <w:unhideWhenUsed/>
    <w:rsid w:val="00671E26"/>
    <w:rPr>
      <w:color w:val="605E5C"/>
      <w:shd w:val="clear" w:color="auto" w:fill="E1DFDD"/>
    </w:rPr>
  </w:style>
  <w:style w:type="table" w:styleId="TableGrid">
    <w:name w:val="Table Grid"/>
    <w:basedOn w:val="TableNormal"/>
    <w:uiPriority w:val="39"/>
    <w:rsid w:val="004704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D85E8C"/>
    <w:pPr>
      <w:spacing w:after="100"/>
      <w:ind w:left="440"/>
    </w:pPr>
  </w:style>
  <w:style w:type="paragraph" w:styleId="Header">
    <w:name w:val="header"/>
    <w:basedOn w:val="Normal"/>
    <w:link w:val="HeaderChar"/>
    <w:uiPriority w:val="99"/>
    <w:unhideWhenUsed/>
    <w:rsid w:val="008F76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7669"/>
    <w:rPr>
      <w:rFonts w:ascii="Arial" w:hAnsi="Arial"/>
      <w:sz w:val="22"/>
      <w:lang w:val="en-GB"/>
    </w:rPr>
  </w:style>
  <w:style w:type="paragraph" w:styleId="Footer">
    <w:name w:val="footer"/>
    <w:basedOn w:val="Normal"/>
    <w:link w:val="FooterChar"/>
    <w:uiPriority w:val="99"/>
    <w:unhideWhenUsed/>
    <w:rsid w:val="008F76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7669"/>
    <w:rPr>
      <w:rFonts w:ascii="Arial" w:hAnsi="Arial"/>
      <w:sz w:val="22"/>
      <w:lang w:val="en-GB"/>
    </w:rPr>
  </w:style>
  <w:style w:type="character" w:customStyle="1" w:styleId="vkekvd">
    <w:name w:val="vkekvd"/>
    <w:basedOn w:val="DefaultParagraphFont"/>
    <w:rsid w:val="00074591"/>
  </w:style>
  <w:style w:type="character" w:customStyle="1" w:styleId="t286pc">
    <w:name w:val="t286pc"/>
    <w:basedOn w:val="DefaultParagraphFont"/>
    <w:rsid w:val="00DB5A33"/>
  </w:style>
  <w:style w:type="character" w:customStyle="1" w:styleId="n9q8lc">
    <w:name w:val="n9q8lc"/>
    <w:basedOn w:val="DefaultParagraphFont"/>
    <w:rsid w:val="00787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29465">
      <w:bodyDiv w:val="1"/>
      <w:marLeft w:val="0"/>
      <w:marRight w:val="0"/>
      <w:marTop w:val="0"/>
      <w:marBottom w:val="0"/>
      <w:divBdr>
        <w:top w:val="none" w:sz="0" w:space="0" w:color="auto"/>
        <w:left w:val="none" w:sz="0" w:space="0" w:color="auto"/>
        <w:bottom w:val="none" w:sz="0" w:space="0" w:color="auto"/>
        <w:right w:val="none" w:sz="0" w:space="0" w:color="auto"/>
      </w:divBdr>
    </w:div>
    <w:div w:id="40639046">
      <w:bodyDiv w:val="1"/>
      <w:marLeft w:val="0"/>
      <w:marRight w:val="0"/>
      <w:marTop w:val="0"/>
      <w:marBottom w:val="0"/>
      <w:divBdr>
        <w:top w:val="none" w:sz="0" w:space="0" w:color="auto"/>
        <w:left w:val="none" w:sz="0" w:space="0" w:color="auto"/>
        <w:bottom w:val="none" w:sz="0" w:space="0" w:color="auto"/>
        <w:right w:val="none" w:sz="0" w:space="0" w:color="auto"/>
      </w:divBdr>
    </w:div>
    <w:div w:id="41709652">
      <w:bodyDiv w:val="1"/>
      <w:marLeft w:val="0"/>
      <w:marRight w:val="0"/>
      <w:marTop w:val="0"/>
      <w:marBottom w:val="0"/>
      <w:divBdr>
        <w:top w:val="none" w:sz="0" w:space="0" w:color="auto"/>
        <w:left w:val="none" w:sz="0" w:space="0" w:color="auto"/>
        <w:bottom w:val="none" w:sz="0" w:space="0" w:color="auto"/>
        <w:right w:val="none" w:sz="0" w:space="0" w:color="auto"/>
      </w:divBdr>
    </w:div>
    <w:div w:id="64844085">
      <w:bodyDiv w:val="1"/>
      <w:marLeft w:val="0"/>
      <w:marRight w:val="0"/>
      <w:marTop w:val="0"/>
      <w:marBottom w:val="0"/>
      <w:divBdr>
        <w:top w:val="none" w:sz="0" w:space="0" w:color="auto"/>
        <w:left w:val="none" w:sz="0" w:space="0" w:color="auto"/>
        <w:bottom w:val="none" w:sz="0" w:space="0" w:color="auto"/>
        <w:right w:val="none" w:sz="0" w:space="0" w:color="auto"/>
      </w:divBdr>
    </w:div>
    <w:div w:id="92745384">
      <w:bodyDiv w:val="1"/>
      <w:marLeft w:val="0"/>
      <w:marRight w:val="0"/>
      <w:marTop w:val="0"/>
      <w:marBottom w:val="0"/>
      <w:divBdr>
        <w:top w:val="none" w:sz="0" w:space="0" w:color="auto"/>
        <w:left w:val="none" w:sz="0" w:space="0" w:color="auto"/>
        <w:bottom w:val="none" w:sz="0" w:space="0" w:color="auto"/>
        <w:right w:val="none" w:sz="0" w:space="0" w:color="auto"/>
      </w:divBdr>
    </w:div>
    <w:div w:id="97065286">
      <w:bodyDiv w:val="1"/>
      <w:marLeft w:val="0"/>
      <w:marRight w:val="0"/>
      <w:marTop w:val="0"/>
      <w:marBottom w:val="0"/>
      <w:divBdr>
        <w:top w:val="none" w:sz="0" w:space="0" w:color="auto"/>
        <w:left w:val="none" w:sz="0" w:space="0" w:color="auto"/>
        <w:bottom w:val="none" w:sz="0" w:space="0" w:color="auto"/>
        <w:right w:val="none" w:sz="0" w:space="0" w:color="auto"/>
      </w:divBdr>
    </w:div>
    <w:div w:id="131288510">
      <w:bodyDiv w:val="1"/>
      <w:marLeft w:val="0"/>
      <w:marRight w:val="0"/>
      <w:marTop w:val="0"/>
      <w:marBottom w:val="0"/>
      <w:divBdr>
        <w:top w:val="none" w:sz="0" w:space="0" w:color="auto"/>
        <w:left w:val="none" w:sz="0" w:space="0" w:color="auto"/>
        <w:bottom w:val="none" w:sz="0" w:space="0" w:color="auto"/>
        <w:right w:val="none" w:sz="0" w:space="0" w:color="auto"/>
      </w:divBdr>
      <w:divsChild>
        <w:div w:id="681513572">
          <w:marLeft w:val="0"/>
          <w:marRight w:val="0"/>
          <w:marTop w:val="0"/>
          <w:marBottom w:val="0"/>
          <w:divBdr>
            <w:top w:val="none" w:sz="0" w:space="0" w:color="auto"/>
            <w:left w:val="none" w:sz="0" w:space="0" w:color="auto"/>
            <w:bottom w:val="none" w:sz="0" w:space="0" w:color="auto"/>
            <w:right w:val="none" w:sz="0" w:space="0" w:color="auto"/>
          </w:divBdr>
          <w:divsChild>
            <w:div w:id="77482764">
              <w:marLeft w:val="0"/>
              <w:marRight w:val="0"/>
              <w:marTop w:val="0"/>
              <w:marBottom w:val="0"/>
              <w:divBdr>
                <w:top w:val="none" w:sz="0" w:space="0" w:color="auto"/>
                <w:left w:val="none" w:sz="0" w:space="0" w:color="auto"/>
                <w:bottom w:val="none" w:sz="0" w:space="0" w:color="auto"/>
                <w:right w:val="none" w:sz="0" w:space="0" w:color="auto"/>
              </w:divBdr>
              <w:divsChild>
                <w:div w:id="979581160">
                  <w:marLeft w:val="0"/>
                  <w:marRight w:val="0"/>
                  <w:marTop w:val="0"/>
                  <w:marBottom w:val="0"/>
                  <w:divBdr>
                    <w:top w:val="none" w:sz="0" w:space="0" w:color="auto"/>
                    <w:left w:val="none" w:sz="0" w:space="0" w:color="auto"/>
                    <w:bottom w:val="none" w:sz="0" w:space="0" w:color="auto"/>
                    <w:right w:val="none" w:sz="0" w:space="0" w:color="auto"/>
                  </w:divBdr>
                  <w:divsChild>
                    <w:div w:id="1455831429">
                      <w:marLeft w:val="0"/>
                      <w:marRight w:val="0"/>
                      <w:marTop w:val="0"/>
                      <w:marBottom w:val="0"/>
                      <w:divBdr>
                        <w:top w:val="none" w:sz="0" w:space="0" w:color="auto"/>
                        <w:left w:val="none" w:sz="0" w:space="0" w:color="auto"/>
                        <w:bottom w:val="none" w:sz="0" w:space="0" w:color="auto"/>
                        <w:right w:val="none" w:sz="0" w:space="0" w:color="auto"/>
                      </w:divBdr>
                      <w:divsChild>
                        <w:div w:id="317926429">
                          <w:marLeft w:val="0"/>
                          <w:marRight w:val="0"/>
                          <w:marTop w:val="0"/>
                          <w:marBottom w:val="0"/>
                          <w:divBdr>
                            <w:top w:val="none" w:sz="0" w:space="0" w:color="auto"/>
                            <w:left w:val="none" w:sz="0" w:space="0" w:color="auto"/>
                            <w:bottom w:val="none" w:sz="0" w:space="0" w:color="auto"/>
                            <w:right w:val="none" w:sz="0" w:space="0" w:color="auto"/>
                          </w:divBdr>
                          <w:divsChild>
                            <w:div w:id="170127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432506">
                  <w:marLeft w:val="0"/>
                  <w:marRight w:val="0"/>
                  <w:marTop w:val="0"/>
                  <w:marBottom w:val="0"/>
                  <w:divBdr>
                    <w:top w:val="none" w:sz="0" w:space="0" w:color="auto"/>
                    <w:left w:val="none" w:sz="0" w:space="0" w:color="auto"/>
                    <w:bottom w:val="none" w:sz="0" w:space="0" w:color="auto"/>
                    <w:right w:val="none" w:sz="0" w:space="0" w:color="auto"/>
                  </w:divBdr>
                  <w:divsChild>
                    <w:div w:id="83337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36731">
      <w:bodyDiv w:val="1"/>
      <w:marLeft w:val="0"/>
      <w:marRight w:val="0"/>
      <w:marTop w:val="0"/>
      <w:marBottom w:val="0"/>
      <w:divBdr>
        <w:top w:val="none" w:sz="0" w:space="0" w:color="auto"/>
        <w:left w:val="none" w:sz="0" w:space="0" w:color="auto"/>
        <w:bottom w:val="none" w:sz="0" w:space="0" w:color="auto"/>
        <w:right w:val="none" w:sz="0" w:space="0" w:color="auto"/>
      </w:divBdr>
    </w:div>
    <w:div w:id="243730902">
      <w:bodyDiv w:val="1"/>
      <w:marLeft w:val="0"/>
      <w:marRight w:val="0"/>
      <w:marTop w:val="0"/>
      <w:marBottom w:val="0"/>
      <w:divBdr>
        <w:top w:val="none" w:sz="0" w:space="0" w:color="auto"/>
        <w:left w:val="none" w:sz="0" w:space="0" w:color="auto"/>
        <w:bottom w:val="none" w:sz="0" w:space="0" w:color="auto"/>
        <w:right w:val="none" w:sz="0" w:space="0" w:color="auto"/>
      </w:divBdr>
    </w:div>
    <w:div w:id="276329402">
      <w:bodyDiv w:val="1"/>
      <w:marLeft w:val="0"/>
      <w:marRight w:val="0"/>
      <w:marTop w:val="0"/>
      <w:marBottom w:val="0"/>
      <w:divBdr>
        <w:top w:val="none" w:sz="0" w:space="0" w:color="auto"/>
        <w:left w:val="none" w:sz="0" w:space="0" w:color="auto"/>
        <w:bottom w:val="none" w:sz="0" w:space="0" w:color="auto"/>
        <w:right w:val="none" w:sz="0" w:space="0" w:color="auto"/>
      </w:divBdr>
    </w:div>
    <w:div w:id="331445649">
      <w:bodyDiv w:val="1"/>
      <w:marLeft w:val="0"/>
      <w:marRight w:val="0"/>
      <w:marTop w:val="0"/>
      <w:marBottom w:val="0"/>
      <w:divBdr>
        <w:top w:val="none" w:sz="0" w:space="0" w:color="auto"/>
        <w:left w:val="none" w:sz="0" w:space="0" w:color="auto"/>
        <w:bottom w:val="none" w:sz="0" w:space="0" w:color="auto"/>
        <w:right w:val="none" w:sz="0" w:space="0" w:color="auto"/>
      </w:divBdr>
    </w:div>
    <w:div w:id="337512587">
      <w:bodyDiv w:val="1"/>
      <w:marLeft w:val="0"/>
      <w:marRight w:val="0"/>
      <w:marTop w:val="0"/>
      <w:marBottom w:val="0"/>
      <w:divBdr>
        <w:top w:val="none" w:sz="0" w:space="0" w:color="auto"/>
        <w:left w:val="none" w:sz="0" w:space="0" w:color="auto"/>
        <w:bottom w:val="none" w:sz="0" w:space="0" w:color="auto"/>
        <w:right w:val="none" w:sz="0" w:space="0" w:color="auto"/>
      </w:divBdr>
    </w:div>
    <w:div w:id="352148356">
      <w:bodyDiv w:val="1"/>
      <w:marLeft w:val="0"/>
      <w:marRight w:val="0"/>
      <w:marTop w:val="0"/>
      <w:marBottom w:val="0"/>
      <w:divBdr>
        <w:top w:val="none" w:sz="0" w:space="0" w:color="auto"/>
        <w:left w:val="none" w:sz="0" w:space="0" w:color="auto"/>
        <w:bottom w:val="none" w:sz="0" w:space="0" w:color="auto"/>
        <w:right w:val="none" w:sz="0" w:space="0" w:color="auto"/>
      </w:divBdr>
    </w:div>
    <w:div w:id="504057072">
      <w:bodyDiv w:val="1"/>
      <w:marLeft w:val="0"/>
      <w:marRight w:val="0"/>
      <w:marTop w:val="0"/>
      <w:marBottom w:val="0"/>
      <w:divBdr>
        <w:top w:val="none" w:sz="0" w:space="0" w:color="auto"/>
        <w:left w:val="none" w:sz="0" w:space="0" w:color="auto"/>
        <w:bottom w:val="none" w:sz="0" w:space="0" w:color="auto"/>
        <w:right w:val="none" w:sz="0" w:space="0" w:color="auto"/>
      </w:divBdr>
    </w:div>
    <w:div w:id="508839015">
      <w:bodyDiv w:val="1"/>
      <w:marLeft w:val="0"/>
      <w:marRight w:val="0"/>
      <w:marTop w:val="0"/>
      <w:marBottom w:val="0"/>
      <w:divBdr>
        <w:top w:val="none" w:sz="0" w:space="0" w:color="auto"/>
        <w:left w:val="none" w:sz="0" w:space="0" w:color="auto"/>
        <w:bottom w:val="none" w:sz="0" w:space="0" w:color="auto"/>
        <w:right w:val="none" w:sz="0" w:space="0" w:color="auto"/>
      </w:divBdr>
    </w:div>
    <w:div w:id="544221039">
      <w:bodyDiv w:val="1"/>
      <w:marLeft w:val="0"/>
      <w:marRight w:val="0"/>
      <w:marTop w:val="0"/>
      <w:marBottom w:val="0"/>
      <w:divBdr>
        <w:top w:val="none" w:sz="0" w:space="0" w:color="auto"/>
        <w:left w:val="none" w:sz="0" w:space="0" w:color="auto"/>
        <w:bottom w:val="none" w:sz="0" w:space="0" w:color="auto"/>
        <w:right w:val="none" w:sz="0" w:space="0" w:color="auto"/>
      </w:divBdr>
    </w:div>
    <w:div w:id="613706818">
      <w:bodyDiv w:val="1"/>
      <w:marLeft w:val="0"/>
      <w:marRight w:val="0"/>
      <w:marTop w:val="0"/>
      <w:marBottom w:val="0"/>
      <w:divBdr>
        <w:top w:val="none" w:sz="0" w:space="0" w:color="auto"/>
        <w:left w:val="none" w:sz="0" w:space="0" w:color="auto"/>
        <w:bottom w:val="none" w:sz="0" w:space="0" w:color="auto"/>
        <w:right w:val="none" w:sz="0" w:space="0" w:color="auto"/>
      </w:divBdr>
    </w:div>
    <w:div w:id="688991459">
      <w:bodyDiv w:val="1"/>
      <w:marLeft w:val="0"/>
      <w:marRight w:val="0"/>
      <w:marTop w:val="0"/>
      <w:marBottom w:val="0"/>
      <w:divBdr>
        <w:top w:val="none" w:sz="0" w:space="0" w:color="auto"/>
        <w:left w:val="none" w:sz="0" w:space="0" w:color="auto"/>
        <w:bottom w:val="none" w:sz="0" w:space="0" w:color="auto"/>
        <w:right w:val="none" w:sz="0" w:space="0" w:color="auto"/>
      </w:divBdr>
    </w:div>
    <w:div w:id="918751854">
      <w:bodyDiv w:val="1"/>
      <w:marLeft w:val="0"/>
      <w:marRight w:val="0"/>
      <w:marTop w:val="0"/>
      <w:marBottom w:val="0"/>
      <w:divBdr>
        <w:top w:val="none" w:sz="0" w:space="0" w:color="auto"/>
        <w:left w:val="none" w:sz="0" w:space="0" w:color="auto"/>
        <w:bottom w:val="none" w:sz="0" w:space="0" w:color="auto"/>
        <w:right w:val="none" w:sz="0" w:space="0" w:color="auto"/>
      </w:divBdr>
    </w:div>
    <w:div w:id="919020108">
      <w:bodyDiv w:val="1"/>
      <w:marLeft w:val="0"/>
      <w:marRight w:val="0"/>
      <w:marTop w:val="0"/>
      <w:marBottom w:val="0"/>
      <w:divBdr>
        <w:top w:val="none" w:sz="0" w:space="0" w:color="auto"/>
        <w:left w:val="none" w:sz="0" w:space="0" w:color="auto"/>
        <w:bottom w:val="none" w:sz="0" w:space="0" w:color="auto"/>
        <w:right w:val="none" w:sz="0" w:space="0" w:color="auto"/>
      </w:divBdr>
    </w:div>
    <w:div w:id="1044527022">
      <w:bodyDiv w:val="1"/>
      <w:marLeft w:val="0"/>
      <w:marRight w:val="0"/>
      <w:marTop w:val="0"/>
      <w:marBottom w:val="0"/>
      <w:divBdr>
        <w:top w:val="none" w:sz="0" w:space="0" w:color="auto"/>
        <w:left w:val="none" w:sz="0" w:space="0" w:color="auto"/>
        <w:bottom w:val="none" w:sz="0" w:space="0" w:color="auto"/>
        <w:right w:val="none" w:sz="0" w:space="0" w:color="auto"/>
      </w:divBdr>
      <w:divsChild>
        <w:div w:id="783311857">
          <w:marLeft w:val="0"/>
          <w:marRight w:val="0"/>
          <w:marTop w:val="0"/>
          <w:marBottom w:val="0"/>
          <w:divBdr>
            <w:top w:val="none" w:sz="0" w:space="0" w:color="auto"/>
            <w:left w:val="none" w:sz="0" w:space="0" w:color="auto"/>
            <w:bottom w:val="none" w:sz="0" w:space="0" w:color="auto"/>
            <w:right w:val="none" w:sz="0" w:space="0" w:color="auto"/>
          </w:divBdr>
          <w:divsChild>
            <w:div w:id="1651862296">
              <w:marLeft w:val="0"/>
              <w:marRight w:val="0"/>
              <w:marTop w:val="0"/>
              <w:marBottom w:val="0"/>
              <w:divBdr>
                <w:top w:val="none" w:sz="0" w:space="0" w:color="auto"/>
                <w:left w:val="none" w:sz="0" w:space="0" w:color="auto"/>
                <w:bottom w:val="none" w:sz="0" w:space="0" w:color="auto"/>
                <w:right w:val="none" w:sz="0" w:space="0" w:color="auto"/>
              </w:divBdr>
              <w:divsChild>
                <w:div w:id="359012816">
                  <w:marLeft w:val="0"/>
                  <w:marRight w:val="0"/>
                  <w:marTop w:val="0"/>
                  <w:marBottom w:val="0"/>
                  <w:divBdr>
                    <w:top w:val="none" w:sz="0" w:space="0" w:color="auto"/>
                    <w:left w:val="none" w:sz="0" w:space="0" w:color="auto"/>
                    <w:bottom w:val="none" w:sz="0" w:space="0" w:color="auto"/>
                    <w:right w:val="none" w:sz="0" w:space="0" w:color="auto"/>
                  </w:divBdr>
                  <w:divsChild>
                    <w:div w:id="2133477535">
                      <w:marLeft w:val="0"/>
                      <w:marRight w:val="0"/>
                      <w:marTop w:val="0"/>
                      <w:marBottom w:val="0"/>
                      <w:divBdr>
                        <w:top w:val="none" w:sz="0" w:space="0" w:color="auto"/>
                        <w:left w:val="none" w:sz="0" w:space="0" w:color="auto"/>
                        <w:bottom w:val="none" w:sz="0" w:space="0" w:color="auto"/>
                        <w:right w:val="none" w:sz="0" w:space="0" w:color="auto"/>
                      </w:divBdr>
                      <w:divsChild>
                        <w:div w:id="1398014252">
                          <w:marLeft w:val="0"/>
                          <w:marRight w:val="0"/>
                          <w:marTop w:val="0"/>
                          <w:marBottom w:val="0"/>
                          <w:divBdr>
                            <w:top w:val="none" w:sz="0" w:space="0" w:color="auto"/>
                            <w:left w:val="none" w:sz="0" w:space="0" w:color="auto"/>
                            <w:bottom w:val="none" w:sz="0" w:space="0" w:color="auto"/>
                            <w:right w:val="none" w:sz="0" w:space="0" w:color="auto"/>
                          </w:divBdr>
                          <w:divsChild>
                            <w:div w:id="754283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227023">
                  <w:marLeft w:val="0"/>
                  <w:marRight w:val="0"/>
                  <w:marTop w:val="0"/>
                  <w:marBottom w:val="0"/>
                  <w:divBdr>
                    <w:top w:val="none" w:sz="0" w:space="0" w:color="auto"/>
                    <w:left w:val="none" w:sz="0" w:space="0" w:color="auto"/>
                    <w:bottom w:val="none" w:sz="0" w:space="0" w:color="auto"/>
                    <w:right w:val="none" w:sz="0" w:space="0" w:color="auto"/>
                  </w:divBdr>
                  <w:divsChild>
                    <w:div w:id="120979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0859507">
      <w:bodyDiv w:val="1"/>
      <w:marLeft w:val="0"/>
      <w:marRight w:val="0"/>
      <w:marTop w:val="0"/>
      <w:marBottom w:val="0"/>
      <w:divBdr>
        <w:top w:val="none" w:sz="0" w:space="0" w:color="auto"/>
        <w:left w:val="none" w:sz="0" w:space="0" w:color="auto"/>
        <w:bottom w:val="none" w:sz="0" w:space="0" w:color="auto"/>
        <w:right w:val="none" w:sz="0" w:space="0" w:color="auto"/>
      </w:divBdr>
    </w:div>
    <w:div w:id="1067067430">
      <w:bodyDiv w:val="1"/>
      <w:marLeft w:val="0"/>
      <w:marRight w:val="0"/>
      <w:marTop w:val="0"/>
      <w:marBottom w:val="0"/>
      <w:divBdr>
        <w:top w:val="none" w:sz="0" w:space="0" w:color="auto"/>
        <w:left w:val="none" w:sz="0" w:space="0" w:color="auto"/>
        <w:bottom w:val="none" w:sz="0" w:space="0" w:color="auto"/>
        <w:right w:val="none" w:sz="0" w:space="0" w:color="auto"/>
      </w:divBdr>
      <w:divsChild>
        <w:div w:id="2032947277">
          <w:marLeft w:val="0"/>
          <w:marRight w:val="0"/>
          <w:marTop w:val="0"/>
          <w:marBottom w:val="0"/>
          <w:divBdr>
            <w:top w:val="none" w:sz="0" w:space="0" w:color="auto"/>
            <w:left w:val="none" w:sz="0" w:space="0" w:color="auto"/>
            <w:bottom w:val="none" w:sz="0" w:space="0" w:color="auto"/>
            <w:right w:val="none" w:sz="0" w:space="0" w:color="auto"/>
          </w:divBdr>
          <w:divsChild>
            <w:div w:id="2003463365">
              <w:marLeft w:val="0"/>
              <w:marRight w:val="0"/>
              <w:marTop w:val="0"/>
              <w:marBottom w:val="0"/>
              <w:divBdr>
                <w:top w:val="none" w:sz="0" w:space="0" w:color="auto"/>
                <w:left w:val="none" w:sz="0" w:space="0" w:color="auto"/>
                <w:bottom w:val="none" w:sz="0" w:space="0" w:color="auto"/>
                <w:right w:val="none" w:sz="0" w:space="0" w:color="auto"/>
              </w:divBdr>
              <w:divsChild>
                <w:div w:id="855771400">
                  <w:marLeft w:val="0"/>
                  <w:marRight w:val="0"/>
                  <w:marTop w:val="0"/>
                  <w:marBottom w:val="0"/>
                  <w:divBdr>
                    <w:top w:val="none" w:sz="0" w:space="0" w:color="auto"/>
                    <w:left w:val="none" w:sz="0" w:space="0" w:color="auto"/>
                    <w:bottom w:val="none" w:sz="0" w:space="0" w:color="auto"/>
                    <w:right w:val="none" w:sz="0" w:space="0" w:color="auto"/>
                  </w:divBdr>
                  <w:divsChild>
                    <w:div w:id="1903321566">
                      <w:marLeft w:val="0"/>
                      <w:marRight w:val="0"/>
                      <w:marTop w:val="0"/>
                      <w:marBottom w:val="0"/>
                      <w:divBdr>
                        <w:top w:val="none" w:sz="0" w:space="0" w:color="auto"/>
                        <w:left w:val="none" w:sz="0" w:space="0" w:color="auto"/>
                        <w:bottom w:val="none" w:sz="0" w:space="0" w:color="auto"/>
                        <w:right w:val="none" w:sz="0" w:space="0" w:color="auto"/>
                      </w:divBdr>
                      <w:divsChild>
                        <w:div w:id="669715410">
                          <w:marLeft w:val="0"/>
                          <w:marRight w:val="0"/>
                          <w:marTop w:val="0"/>
                          <w:marBottom w:val="0"/>
                          <w:divBdr>
                            <w:top w:val="none" w:sz="0" w:space="0" w:color="auto"/>
                            <w:left w:val="none" w:sz="0" w:space="0" w:color="auto"/>
                            <w:bottom w:val="none" w:sz="0" w:space="0" w:color="auto"/>
                            <w:right w:val="none" w:sz="0" w:space="0" w:color="auto"/>
                          </w:divBdr>
                          <w:divsChild>
                            <w:div w:id="182427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5286">
                  <w:marLeft w:val="0"/>
                  <w:marRight w:val="0"/>
                  <w:marTop w:val="0"/>
                  <w:marBottom w:val="0"/>
                  <w:divBdr>
                    <w:top w:val="none" w:sz="0" w:space="0" w:color="auto"/>
                    <w:left w:val="none" w:sz="0" w:space="0" w:color="auto"/>
                    <w:bottom w:val="none" w:sz="0" w:space="0" w:color="auto"/>
                    <w:right w:val="none" w:sz="0" w:space="0" w:color="auto"/>
                  </w:divBdr>
                  <w:divsChild>
                    <w:div w:id="17157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006724">
      <w:bodyDiv w:val="1"/>
      <w:marLeft w:val="0"/>
      <w:marRight w:val="0"/>
      <w:marTop w:val="0"/>
      <w:marBottom w:val="0"/>
      <w:divBdr>
        <w:top w:val="none" w:sz="0" w:space="0" w:color="auto"/>
        <w:left w:val="none" w:sz="0" w:space="0" w:color="auto"/>
        <w:bottom w:val="none" w:sz="0" w:space="0" w:color="auto"/>
        <w:right w:val="none" w:sz="0" w:space="0" w:color="auto"/>
      </w:divBdr>
      <w:divsChild>
        <w:div w:id="206181709">
          <w:marLeft w:val="0"/>
          <w:marRight w:val="0"/>
          <w:marTop w:val="0"/>
          <w:marBottom w:val="0"/>
          <w:divBdr>
            <w:top w:val="none" w:sz="0" w:space="0" w:color="auto"/>
            <w:left w:val="none" w:sz="0" w:space="0" w:color="auto"/>
            <w:bottom w:val="none" w:sz="0" w:space="0" w:color="auto"/>
            <w:right w:val="none" w:sz="0" w:space="0" w:color="auto"/>
          </w:divBdr>
          <w:divsChild>
            <w:div w:id="1695692170">
              <w:marLeft w:val="0"/>
              <w:marRight w:val="0"/>
              <w:marTop w:val="0"/>
              <w:marBottom w:val="0"/>
              <w:divBdr>
                <w:top w:val="none" w:sz="0" w:space="0" w:color="auto"/>
                <w:left w:val="none" w:sz="0" w:space="0" w:color="auto"/>
                <w:bottom w:val="none" w:sz="0" w:space="0" w:color="auto"/>
                <w:right w:val="none" w:sz="0" w:space="0" w:color="auto"/>
              </w:divBdr>
              <w:divsChild>
                <w:div w:id="1218204832">
                  <w:marLeft w:val="0"/>
                  <w:marRight w:val="0"/>
                  <w:marTop w:val="0"/>
                  <w:marBottom w:val="0"/>
                  <w:divBdr>
                    <w:top w:val="none" w:sz="0" w:space="0" w:color="auto"/>
                    <w:left w:val="none" w:sz="0" w:space="0" w:color="auto"/>
                    <w:bottom w:val="none" w:sz="0" w:space="0" w:color="auto"/>
                    <w:right w:val="none" w:sz="0" w:space="0" w:color="auto"/>
                  </w:divBdr>
                  <w:divsChild>
                    <w:div w:id="90978003">
                      <w:marLeft w:val="0"/>
                      <w:marRight w:val="0"/>
                      <w:marTop w:val="0"/>
                      <w:marBottom w:val="0"/>
                      <w:divBdr>
                        <w:top w:val="none" w:sz="0" w:space="0" w:color="auto"/>
                        <w:left w:val="none" w:sz="0" w:space="0" w:color="auto"/>
                        <w:bottom w:val="none" w:sz="0" w:space="0" w:color="auto"/>
                        <w:right w:val="none" w:sz="0" w:space="0" w:color="auto"/>
                      </w:divBdr>
                      <w:divsChild>
                        <w:div w:id="831527277">
                          <w:marLeft w:val="0"/>
                          <w:marRight w:val="0"/>
                          <w:marTop w:val="0"/>
                          <w:marBottom w:val="0"/>
                          <w:divBdr>
                            <w:top w:val="none" w:sz="0" w:space="0" w:color="auto"/>
                            <w:left w:val="none" w:sz="0" w:space="0" w:color="auto"/>
                            <w:bottom w:val="none" w:sz="0" w:space="0" w:color="auto"/>
                            <w:right w:val="none" w:sz="0" w:space="0" w:color="auto"/>
                          </w:divBdr>
                          <w:divsChild>
                            <w:div w:id="178383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88295">
                  <w:marLeft w:val="0"/>
                  <w:marRight w:val="0"/>
                  <w:marTop w:val="0"/>
                  <w:marBottom w:val="0"/>
                  <w:divBdr>
                    <w:top w:val="none" w:sz="0" w:space="0" w:color="auto"/>
                    <w:left w:val="none" w:sz="0" w:space="0" w:color="auto"/>
                    <w:bottom w:val="none" w:sz="0" w:space="0" w:color="auto"/>
                    <w:right w:val="none" w:sz="0" w:space="0" w:color="auto"/>
                  </w:divBdr>
                  <w:divsChild>
                    <w:div w:id="76573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393710">
      <w:bodyDiv w:val="1"/>
      <w:marLeft w:val="0"/>
      <w:marRight w:val="0"/>
      <w:marTop w:val="0"/>
      <w:marBottom w:val="0"/>
      <w:divBdr>
        <w:top w:val="none" w:sz="0" w:space="0" w:color="auto"/>
        <w:left w:val="none" w:sz="0" w:space="0" w:color="auto"/>
        <w:bottom w:val="none" w:sz="0" w:space="0" w:color="auto"/>
        <w:right w:val="none" w:sz="0" w:space="0" w:color="auto"/>
      </w:divBdr>
    </w:div>
    <w:div w:id="1084567083">
      <w:bodyDiv w:val="1"/>
      <w:marLeft w:val="0"/>
      <w:marRight w:val="0"/>
      <w:marTop w:val="0"/>
      <w:marBottom w:val="0"/>
      <w:divBdr>
        <w:top w:val="none" w:sz="0" w:space="0" w:color="auto"/>
        <w:left w:val="none" w:sz="0" w:space="0" w:color="auto"/>
        <w:bottom w:val="none" w:sz="0" w:space="0" w:color="auto"/>
        <w:right w:val="none" w:sz="0" w:space="0" w:color="auto"/>
      </w:divBdr>
    </w:div>
    <w:div w:id="1106735238">
      <w:bodyDiv w:val="1"/>
      <w:marLeft w:val="0"/>
      <w:marRight w:val="0"/>
      <w:marTop w:val="0"/>
      <w:marBottom w:val="0"/>
      <w:divBdr>
        <w:top w:val="none" w:sz="0" w:space="0" w:color="auto"/>
        <w:left w:val="none" w:sz="0" w:space="0" w:color="auto"/>
        <w:bottom w:val="none" w:sz="0" w:space="0" w:color="auto"/>
        <w:right w:val="none" w:sz="0" w:space="0" w:color="auto"/>
      </w:divBdr>
    </w:div>
    <w:div w:id="1108088207">
      <w:bodyDiv w:val="1"/>
      <w:marLeft w:val="0"/>
      <w:marRight w:val="0"/>
      <w:marTop w:val="0"/>
      <w:marBottom w:val="0"/>
      <w:divBdr>
        <w:top w:val="none" w:sz="0" w:space="0" w:color="auto"/>
        <w:left w:val="none" w:sz="0" w:space="0" w:color="auto"/>
        <w:bottom w:val="none" w:sz="0" w:space="0" w:color="auto"/>
        <w:right w:val="none" w:sz="0" w:space="0" w:color="auto"/>
      </w:divBdr>
    </w:div>
    <w:div w:id="1110196583">
      <w:bodyDiv w:val="1"/>
      <w:marLeft w:val="0"/>
      <w:marRight w:val="0"/>
      <w:marTop w:val="0"/>
      <w:marBottom w:val="0"/>
      <w:divBdr>
        <w:top w:val="none" w:sz="0" w:space="0" w:color="auto"/>
        <w:left w:val="none" w:sz="0" w:space="0" w:color="auto"/>
        <w:bottom w:val="none" w:sz="0" w:space="0" w:color="auto"/>
        <w:right w:val="none" w:sz="0" w:space="0" w:color="auto"/>
      </w:divBdr>
      <w:divsChild>
        <w:div w:id="1098520829">
          <w:marLeft w:val="0"/>
          <w:marRight w:val="0"/>
          <w:marTop w:val="0"/>
          <w:marBottom w:val="0"/>
          <w:divBdr>
            <w:top w:val="none" w:sz="0" w:space="0" w:color="auto"/>
            <w:left w:val="none" w:sz="0" w:space="0" w:color="auto"/>
            <w:bottom w:val="none" w:sz="0" w:space="0" w:color="auto"/>
            <w:right w:val="none" w:sz="0" w:space="0" w:color="auto"/>
          </w:divBdr>
          <w:divsChild>
            <w:div w:id="98449574">
              <w:marLeft w:val="0"/>
              <w:marRight w:val="0"/>
              <w:marTop w:val="0"/>
              <w:marBottom w:val="0"/>
              <w:divBdr>
                <w:top w:val="none" w:sz="0" w:space="0" w:color="auto"/>
                <w:left w:val="none" w:sz="0" w:space="0" w:color="auto"/>
                <w:bottom w:val="none" w:sz="0" w:space="0" w:color="auto"/>
                <w:right w:val="none" w:sz="0" w:space="0" w:color="auto"/>
              </w:divBdr>
              <w:divsChild>
                <w:div w:id="1027104888">
                  <w:marLeft w:val="0"/>
                  <w:marRight w:val="0"/>
                  <w:marTop w:val="0"/>
                  <w:marBottom w:val="0"/>
                  <w:divBdr>
                    <w:top w:val="none" w:sz="0" w:space="0" w:color="auto"/>
                    <w:left w:val="none" w:sz="0" w:space="0" w:color="auto"/>
                    <w:bottom w:val="none" w:sz="0" w:space="0" w:color="auto"/>
                    <w:right w:val="none" w:sz="0" w:space="0" w:color="auto"/>
                  </w:divBdr>
                  <w:divsChild>
                    <w:div w:id="1472018874">
                      <w:marLeft w:val="0"/>
                      <w:marRight w:val="0"/>
                      <w:marTop w:val="0"/>
                      <w:marBottom w:val="0"/>
                      <w:divBdr>
                        <w:top w:val="none" w:sz="0" w:space="0" w:color="auto"/>
                        <w:left w:val="none" w:sz="0" w:space="0" w:color="auto"/>
                        <w:bottom w:val="none" w:sz="0" w:space="0" w:color="auto"/>
                        <w:right w:val="none" w:sz="0" w:space="0" w:color="auto"/>
                      </w:divBdr>
                      <w:divsChild>
                        <w:div w:id="1019503872">
                          <w:marLeft w:val="0"/>
                          <w:marRight w:val="0"/>
                          <w:marTop w:val="0"/>
                          <w:marBottom w:val="0"/>
                          <w:divBdr>
                            <w:top w:val="none" w:sz="0" w:space="0" w:color="auto"/>
                            <w:left w:val="none" w:sz="0" w:space="0" w:color="auto"/>
                            <w:bottom w:val="none" w:sz="0" w:space="0" w:color="auto"/>
                            <w:right w:val="none" w:sz="0" w:space="0" w:color="auto"/>
                          </w:divBdr>
                          <w:divsChild>
                            <w:div w:id="63244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78066">
                  <w:marLeft w:val="0"/>
                  <w:marRight w:val="0"/>
                  <w:marTop w:val="0"/>
                  <w:marBottom w:val="0"/>
                  <w:divBdr>
                    <w:top w:val="none" w:sz="0" w:space="0" w:color="auto"/>
                    <w:left w:val="none" w:sz="0" w:space="0" w:color="auto"/>
                    <w:bottom w:val="none" w:sz="0" w:space="0" w:color="auto"/>
                    <w:right w:val="none" w:sz="0" w:space="0" w:color="auto"/>
                  </w:divBdr>
                  <w:divsChild>
                    <w:div w:id="184589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715258">
      <w:bodyDiv w:val="1"/>
      <w:marLeft w:val="0"/>
      <w:marRight w:val="0"/>
      <w:marTop w:val="0"/>
      <w:marBottom w:val="0"/>
      <w:divBdr>
        <w:top w:val="none" w:sz="0" w:space="0" w:color="auto"/>
        <w:left w:val="none" w:sz="0" w:space="0" w:color="auto"/>
        <w:bottom w:val="none" w:sz="0" w:space="0" w:color="auto"/>
        <w:right w:val="none" w:sz="0" w:space="0" w:color="auto"/>
      </w:divBdr>
    </w:div>
    <w:div w:id="1194265409">
      <w:bodyDiv w:val="1"/>
      <w:marLeft w:val="0"/>
      <w:marRight w:val="0"/>
      <w:marTop w:val="0"/>
      <w:marBottom w:val="0"/>
      <w:divBdr>
        <w:top w:val="none" w:sz="0" w:space="0" w:color="auto"/>
        <w:left w:val="none" w:sz="0" w:space="0" w:color="auto"/>
        <w:bottom w:val="none" w:sz="0" w:space="0" w:color="auto"/>
        <w:right w:val="none" w:sz="0" w:space="0" w:color="auto"/>
      </w:divBdr>
    </w:div>
    <w:div w:id="1251739801">
      <w:bodyDiv w:val="1"/>
      <w:marLeft w:val="0"/>
      <w:marRight w:val="0"/>
      <w:marTop w:val="0"/>
      <w:marBottom w:val="0"/>
      <w:divBdr>
        <w:top w:val="none" w:sz="0" w:space="0" w:color="auto"/>
        <w:left w:val="none" w:sz="0" w:space="0" w:color="auto"/>
        <w:bottom w:val="none" w:sz="0" w:space="0" w:color="auto"/>
        <w:right w:val="none" w:sz="0" w:space="0" w:color="auto"/>
      </w:divBdr>
    </w:div>
    <w:div w:id="1257057448">
      <w:bodyDiv w:val="1"/>
      <w:marLeft w:val="0"/>
      <w:marRight w:val="0"/>
      <w:marTop w:val="0"/>
      <w:marBottom w:val="0"/>
      <w:divBdr>
        <w:top w:val="none" w:sz="0" w:space="0" w:color="auto"/>
        <w:left w:val="none" w:sz="0" w:space="0" w:color="auto"/>
        <w:bottom w:val="none" w:sz="0" w:space="0" w:color="auto"/>
        <w:right w:val="none" w:sz="0" w:space="0" w:color="auto"/>
      </w:divBdr>
      <w:divsChild>
        <w:div w:id="1576011425">
          <w:marLeft w:val="0"/>
          <w:marRight w:val="0"/>
          <w:marTop w:val="0"/>
          <w:marBottom w:val="0"/>
          <w:divBdr>
            <w:top w:val="none" w:sz="0" w:space="0" w:color="auto"/>
            <w:left w:val="none" w:sz="0" w:space="0" w:color="auto"/>
            <w:bottom w:val="none" w:sz="0" w:space="0" w:color="auto"/>
            <w:right w:val="none" w:sz="0" w:space="0" w:color="auto"/>
          </w:divBdr>
        </w:div>
      </w:divsChild>
    </w:div>
    <w:div w:id="1338774795">
      <w:bodyDiv w:val="1"/>
      <w:marLeft w:val="0"/>
      <w:marRight w:val="0"/>
      <w:marTop w:val="0"/>
      <w:marBottom w:val="0"/>
      <w:divBdr>
        <w:top w:val="none" w:sz="0" w:space="0" w:color="auto"/>
        <w:left w:val="none" w:sz="0" w:space="0" w:color="auto"/>
        <w:bottom w:val="none" w:sz="0" w:space="0" w:color="auto"/>
        <w:right w:val="none" w:sz="0" w:space="0" w:color="auto"/>
      </w:divBdr>
    </w:div>
    <w:div w:id="1343780210">
      <w:bodyDiv w:val="1"/>
      <w:marLeft w:val="0"/>
      <w:marRight w:val="0"/>
      <w:marTop w:val="0"/>
      <w:marBottom w:val="0"/>
      <w:divBdr>
        <w:top w:val="none" w:sz="0" w:space="0" w:color="auto"/>
        <w:left w:val="none" w:sz="0" w:space="0" w:color="auto"/>
        <w:bottom w:val="none" w:sz="0" w:space="0" w:color="auto"/>
        <w:right w:val="none" w:sz="0" w:space="0" w:color="auto"/>
      </w:divBdr>
    </w:div>
    <w:div w:id="1354988810">
      <w:bodyDiv w:val="1"/>
      <w:marLeft w:val="0"/>
      <w:marRight w:val="0"/>
      <w:marTop w:val="0"/>
      <w:marBottom w:val="0"/>
      <w:divBdr>
        <w:top w:val="none" w:sz="0" w:space="0" w:color="auto"/>
        <w:left w:val="none" w:sz="0" w:space="0" w:color="auto"/>
        <w:bottom w:val="none" w:sz="0" w:space="0" w:color="auto"/>
        <w:right w:val="none" w:sz="0" w:space="0" w:color="auto"/>
      </w:divBdr>
    </w:div>
    <w:div w:id="1394045339">
      <w:bodyDiv w:val="1"/>
      <w:marLeft w:val="0"/>
      <w:marRight w:val="0"/>
      <w:marTop w:val="0"/>
      <w:marBottom w:val="0"/>
      <w:divBdr>
        <w:top w:val="none" w:sz="0" w:space="0" w:color="auto"/>
        <w:left w:val="none" w:sz="0" w:space="0" w:color="auto"/>
        <w:bottom w:val="none" w:sz="0" w:space="0" w:color="auto"/>
        <w:right w:val="none" w:sz="0" w:space="0" w:color="auto"/>
      </w:divBdr>
    </w:div>
    <w:div w:id="1403913969">
      <w:bodyDiv w:val="1"/>
      <w:marLeft w:val="0"/>
      <w:marRight w:val="0"/>
      <w:marTop w:val="0"/>
      <w:marBottom w:val="0"/>
      <w:divBdr>
        <w:top w:val="none" w:sz="0" w:space="0" w:color="auto"/>
        <w:left w:val="none" w:sz="0" w:space="0" w:color="auto"/>
        <w:bottom w:val="none" w:sz="0" w:space="0" w:color="auto"/>
        <w:right w:val="none" w:sz="0" w:space="0" w:color="auto"/>
      </w:divBdr>
      <w:divsChild>
        <w:div w:id="1052970207">
          <w:marLeft w:val="0"/>
          <w:marRight w:val="0"/>
          <w:marTop w:val="0"/>
          <w:marBottom w:val="0"/>
          <w:divBdr>
            <w:top w:val="none" w:sz="0" w:space="0" w:color="auto"/>
            <w:left w:val="none" w:sz="0" w:space="0" w:color="auto"/>
            <w:bottom w:val="none" w:sz="0" w:space="0" w:color="auto"/>
            <w:right w:val="none" w:sz="0" w:space="0" w:color="auto"/>
          </w:divBdr>
          <w:divsChild>
            <w:div w:id="781530110">
              <w:marLeft w:val="0"/>
              <w:marRight w:val="0"/>
              <w:marTop w:val="0"/>
              <w:marBottom w:val="0"/>
              <w:divBdr>
                <w:top w:val="none" w:sz="0" w:space="0" w:color="auto"/>
                <w:left w:val="none" w:sz="0" w:space="0" w:color="auto"/>
                <w:bottom w:val="none" w:sz="0" w:space="0" w:color="auto"/>
                <w:right w:val="none" w:sz="0" w:space="0" w:color="auto"/>
              </w:divBdr>
              <w:divsChild>
                <w:div w:id="2084181167">
                  <w:marLeft w:val="0"/>
                  <w:marRight w:val="0"/>
                  <w:marTop w:val="0"/>
                  <w:marBottom w:val="0"/>
                  <w:divBdr>
                    <w:top w:val="none" w:sz="0" w:space="0" w:color="auto"/>
                    <w:left w:val="none" w:sz="0" w:space="0" w:color="auto"/>
                    <w:bottom w:val="none" w:sz="0" w:space="0" w:color="auto"/>
                    <w:right w:val="none" w:sz="0" w:space="0" w:color="auto"/>
                  </w:divBdr>
                  <w:divsChild>
                    <w:div w:id="125658696">
                      <w:marLeft w:val="0"/>
                      <w:marRight w:val="0"/>
                      <w:marTop w:val="0"/>
                      <w:marBottom w:val="0"/>
                      <w:divBdr>
                        <w:top w:val="none" w:sz="0" w:space="0" w:color="auto"/>
                        <w:left w:val="none" w:sz="0" w:space="0" w:color="auto"/>
                        <w:bottom w:val="none" w:sz="0" w:space="0" w:color="auto"/>
                        <w:right w:val="none" w:sz="0" w:space="0" w:color="auto"/>
                      </w:divBdr>
                      <w:divsChild>
                        <w:div w:id="445664118">
                          <w:marLeft w:val="0"/>
                          <w:marRight w:val="0"/>
                          <w:marTop w:val="0"/>
                          <w:marBottom w:val="0"/>
                          <w:divBdr>
                            <w:top w:val="none" w:sz="0" w:space="0" w:color="auto"/>
                            <w:left w:val="none" w:sz="0" w:space="0" w:color="auto"/>
                            <w:bottom w:val="none" w:sz="0" w:space="0" w:color="auto"/>
                            <w:right w:val="none" w:sz="0" w:space="0" w:color="auto"/>
                          </w:divBdr>
                          <w:divsChild>
                            <w:div w:id="126002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362212">
                  <w:marLeft w:val="0"/>
                  <w:marRight w:val="0"/>
                  <w:marTop w:val="0"/>
                  <w:marBottom w:val="0"/>
                  <w:divBdr>
                    <w:top w:val="none" w:sz="0" w:space="0" w:color="auto"/>
                    <w:left w:val="none" w:sz="0" w:space="0" w:color="auto"/>
                    <w:bottom w:val="none" w:sz="0" w:space="0" w:color="auto"/>
                    <w:right w:val="none" w:sz="0" w:space="0" w:color="auto"/>
                  </w:divBdr>
                  <w:divsChild>
                    <w:div w:id="5270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311210">
      <w:bodyDiv w:val="1"/>
      <w:marLeft w:val="0"/>
      <w:marRight w:val="0"/>
      <w:marTop w:val="0"/>
      <w:marBottom w:val="0"/>
      <w:divBdr>
        <w:top w:val="none" w:sz="0" w:space="0" w:color="auto"/>
        <w:left w:val="none" w:sz="0" w:space="0" w:color="auto"/>
        <w:bottom w:val="none" w:sz="0" w:space="0" w:color="auto"/>
        <w:right w:val="none" w:sz="0" w:space="0" w:color="auto"/>
      </w:divBdr>
    </w:div>
    <w:div w:id="1642925777">
      <w:bodyDiv w:val="1"/>
      <w:marLeft w:val="0"/>
      <w:marRight w:val="0"/>
      <w:marTop w:val="0"/>
      <w:marBottom w:val="0"/>
      <w:divBdr>
        <w:top w:val="none" w:sz="0" w:space="0" w:color="auto"/>
        <w:left w:val="none" w:sz="0" w:space="0" w:color="auto"/>
        <w:bottom w:val="none" w:sz="0" w:space="0" w:color="auto"/>
        <w:right w:val="none" w:sz="0" w:space="0" w:color="auto"/>
      </w:divBdr>
    </w:div>
    <w:div w:id="1717510758">
      <w:bodyDiv w:val="1"/>
      <w:marLeft w:val="0"/>
      <w:marRight w:val="0"/>
      <w:marTop w:val="0"/>
      <w:marBottom w:val="0"/>
      <w:divBdr>
        <w:top w:val="none" w:sz="0" w:space="0" w:color="auto"/>
        <w:left w:val="none" w:sz="0" w:space="0" w:color="auto"/>
        <w:bottom w:val="none" w:sz="0" w:space="0" w:color="auto"/>
        <w:right w:val="none" w:sz="0" w:space="0" w:color="auto"/>
      </w:divBdr>
    </w:div>
    <w:div w:id="1751803098">
      <w:bodyDiv w:val="1"/>
      <w:marLeft w:val="0"/>
      <w:marRight w:val="0"/>
      <w:marTop w:val="0"/>
      <w:marBottom w:val="0"/>
      <w:divBdr>
        <w:top w:val="none" w:sz="0" w:space="0" w:color="auto"/>
        <w:left w:val="none" w:sz="0" w:space="0" w:color="auto"/>
        <w:bottom w:val="none" w:sz="0" w:space="0" w:color="auto"/>
        <w:right w:val="none" w:sz="0" w:space="0" w:color="auto"/>
      </w:divBdr>
    </w:div>
    <w:div w:id="1765762584">
      <w:bodyDiv w:val="1"/>
      <w:marLeft w:val="0"/>
      <w:marRight w:val="0"/>
      <w:marTop w:val="0"/>
      <w:marBottom w:val="0"/>
      <w:divBdr>
        <w:top w:val="none" w:sz="0" w:space="0" w:color="auto"/>
        <w:left w:val="none" w:sz="0" w:space="0" w:color="auto"/>
        <w:bottom w:val="none" w:sz="0" w:space="0" w:color="auto"/>
        <w:right w:val="none" w:sz="0" w:space="0" w:color="auto"/>
      </w:divBdr>
    </w:div>
    <w:div w:id="1807433397">
      <w:bodyDiv w:val="1"/>
      <w:marLeft w:val="0"/>
      <w:marRight w:val="0"/>
      <w:marTop w:val="0"/>
      <w:marBottom w:val="0"/>
      <w:divBdr>
        <w:top w:val="none" w:sz="0" w:space="0" w:color="auto"/>
        <w:left w:val="none" w:sz="0" w:space="0" w:color="auto"/>
        <w:bottom w:val="none" w:sz="0" w:space="0" w:color="auto"/>
        <w:right w:val="none" w:sz="0" w:space="0" w:color="auto"/>
      </w:divBdr>
    </w:div>
    <w:div w:id="1852798882">
      <w:bodyDiv w:val="1"/>
      <w:marLeft w:val="0"/>
      <w:marRight w:val="0"/>
      <w:marTop w:val="0"/>
      <w:marBottom w:val="0"/>
      <w:divBdr>
        <w:top w:val="none" w:sz="0" w:space="0" w:color="auto"/>
        <w:left w:val="none" w:sz="0" w:space="0" w:color="auto"/>
        <w:bottom w:val="none" w:sz="0" w:space="0" w:color="auto"/>
        <w:right w:val="none" w:sz="0" w:space="0" w:color="auto"/>
      </w:divBdr>
    </w:div>
    <w:div w:id="1879779221">
      <w:bodyDiv w:val="1"/>
      <w:marLeft w:val="0"/>
      <w:marRight w:val="0"/>
      <w:marTop w:val="0"/>
      <w:marBottom w:val="0"/>
      <w:divBdr>
        <w:top w:val="none" w:sz="0" w:space="0" w:color="auto"/>
        <w:left w:val="none" w:sz="0" w:space="0" w:color="auto"/>
        <w:bottom w:val="none" w:sz="0" w:space="0" w:color="auto"/>
        <w:right w:val="none" w:sz="0" w:space="0" w:color="auto"/>
      </w:divBdr>
    </w:div>
    <w:div w:id="1919944562">
      <w:bodyDiv w:val="1"/>
      <w:marLeft w:val="0"/>
      <w:marRight w:val="0"/>
      <w:marTop w:val="0"/>
      <w:marBottom w:val="0"/>
      <w:divBdr>
        <w:top w:val="none" w:sz="0" w:space="0" w:color="auto"/>
        <w:left w:val="none" w:sz="0" w:space="0" w:color="auto"/>
        <w:bottom w:val="none" w:sz="0" w:space="0" w:color="auto"/>
        <w:right w:val="none" w:sz="0" w:space="0" w:color="auto"/>
      </w:divBdr>
    </w:div>
    <w:div w:id="1985773303">
      <w:bodyDiv w:val="1"/>
      <w:marLeft w:val="0"/>
      <w:marRight w:val="0"/>
      <w:marTop w:val="0"/>
      <w:marBottom w:val="0"/>
      <w:divBdr>
        <w:top w:val="none" w:sz="0" w:space="0" w:color="auto"/>
        <w:left w:val="none" w:sz="0" w:space="0" w:color="auto"/>
        <w:bottom w:val="none" w:sz="0" w:space="0" w:color="auto"/>
        <w:right w:val="none" w:sz="0" w:space="0" w:color="auto"/>
      </w:divBdr>
    </w:div>
    <w:div w:id="2013415215">
      <w:bodyDiv w:val="1"/>
      <w:marLeft w:val="0"/>
      <w:marRight w:val="0"/>
      <w:marTop w:val="0"/>
      <w:marBottom w:val="0"/>
      <w:divBdr>
        <w:top w:val="none" w:sz="0" w:space="0" w:color="auto"/>
        <w:left w:val="none" w:sz="0" w:space="0" w:color="auto"/>
        <w:bottom w:val="none" w:sz="0" w:space="0" w:color="auto"/>
        <w:right w:val="none" w:sz="0" w:space="0" w:color="auto"/>
      </w:divBdr>
    </w:div>
    <w:div w:id="2025327584">
      <w:bodyDiv w:val="1"/>
      <w:marLeft w:val="0"/>
      <w:marRight w:val="0"/>
      <w:marTop w:val="0"/>
      <w:marBottom w:val="0"/>
      <w:divBdr>
        <w:top w:val="none" w:sz="0" w:space="0" w:color="auto"/>
        <w:left w:val="none" w:sz="0" w:space="0" w:color="auto"/>
        <w:bottom w:val="none" w:sz="0" w:space="0" w:color="auto"/>
        <w:right w:val="none" w:sz="0" w:space="0" w:color="auto"/>
      </w:divBdr>
    </w:div>
    <w:div w:id="2050839595">
      <w:bodyDiv w:val="1"/>
      <w:marLeft w:val="0"/>
      <w:marRight w:val="0"/>
      <w:marTop w:val="0"/>
      <w:marBottom w:val="0"/>
      <w:divBdr>
        <w:top w:val="none" w:sz="0" w:space="0" w:color="auto"/>
        <w:left w:val="none" w:sz="0" w:space="0" w:color="auto"/>
        <w:bottom w:val="none" w:sz="0" w:space="0" w:color="auto"/>
        <w:right w:val="none" w:sz="0" w:space="0" w:color="auto"/>
      </w:divBdr>
    </w:div>
    <w:div w:id="2076976459">
      <w:bodyDiv w:val="1"/>
      <w:marLeft w:val="0"/>
      <w:marRight w:val="0"/>
      <w:marTop w:val="0"/>
      <w:marBottom w:val="0"/>
      <w:divBdr>
        <w:top w:val="none" w:sz="0" w:space="0" w:color="auto"/>
        <w:left w:val="none" w:sz="0" w:space="0" w:color="auto"/>
        <w:bottom w:val="none" w:sz="0" w:space="0" w:color="auto"/>
        <w:right w:val="none" w:sz="0" w:space="0" w:color="auto"/>
      </w:divBdr>
      <w:divsChild>
        <w:div w:id="1665157615">
          <w:marLeft w:val="0"/>
          <w:marRight w:val="0"/>
          <w:marTop w:val="0"/>
          <w:marBottom w:val="0"/>
          <w:divBdr>
            <w:top w:val="none" w:sz="0" w:space="0" w:color="auto"/>
            <w:left w:val="none" w:sz="0" w:space="0" w:color="auto"/>
            <w:bottom w:val="none" w:sz="0" w:space="0" w:color="auto"/>
            <w:right w:val="none" w:sz="0" w:space="0" w:color="auto"/>
          </w:divBdr>
        </w:div>
      </w:divsChild>
    </w:div>
    <w:div w:id="2079595888">
      <w:bodyDiv w:val="1"/>
      <w:marLeft w:val="0"/>
      <w:marRight w:val="0"/>
      <w:marTop w:val="0"/>
      <w:marBottom w:val="0"/>
      <w:divBdr>
        <w:top w:val="none" w:sz="0" w:space="0" w:color="auto"/>
        <w:left w:val="none" w:sz="0" w:space="0" w:color="auto"/>
        <w:bottom w:val="none" w:sz="0" w:space="0" w:color="auto"/>
        <w:right w:val="none" w:sz="0" w:space="0" w:color="auto"/>
      </w:divBdr>
    </w:div>
    <w:div w:id="2084718927">
      <w:bodyDiv w:val="1"/>
      <w:marLeft w:val="0"/>
      <w:marRight w:val="0"/>
      <w:marTop w:val="0"/>
      <w:marBottom w:val="0"/>
      <w:divBdr>
        <w:top w:val="none" w:sz="0" w:space="0" w:color="auto"/>
        <w:left w:val="none" w:sz="0" w:space="0" w:color="auto"/>
        <w:bottom w:val="none" w:sz="0" w:space="0" w:color="auto"/>
        <w:right w:val="none" w:sz="0" w:space="0" w:color="auto"/>
      </w:divBdr>
    </w:div>
    <w:div w:id="2124644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microsoft.com/office/2007/relationships/hdphoto" Target="media/hdphoto3.wdp"/><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mcmedresmethodol.biomedcentral.com/articles/10.1186/s12874-018-0545-3" TargetMode="Externa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image" Target="media/image7.png"/><Relationship Id="rId25" Type="http://schemas.openxmlformats.org/officeDocument/2006/relationships/hyperlink" Target="https://iris.who.int/bitstream/handle/10665/381329/9789240110236-eng.pdf?sequence=1"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02/wmh3.261"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legislation.gov.uk/ukpga/2010/15/contents/enacted"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hdphoto" Target="media/hdphoto2.wdp"/><Relationship Id="rId22" Type="http://schemas.openxmlformats.org/officeDocument/2006/relationships/hyperlink" Target="https://www.legislation.gov.uk/ukpga/2010/15/contents/enact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8E5B2-71F8-4238-8621-EDEC8C457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1</Pages>
  <Words>16768</Words>
  <Characters>95581</Characters>
  <Application>Microsoft Office Word</Application>
  <DocSecurity>0</DocSecurity>
  <Lines>796</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Sindatche Balde</dc:creator>
  <cp:keywords/>
  <dc:description/>
  <cp:lastModifiedBy>Sindatche D. B. Baldé</cp:lastModifiedBy>
  <cp:revision>10</cp:revision>
  <dcterms:created xsi:type="dcterms:W3CDTF">2025-10-13T17:06:00Z</dcterms:created>
  <dcterms:modified xsi:type="dcterms:W3CDTF">2025-12-18T11:58:00Z</dcterms:modified>
</cp:coreProperties>
</file>