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93C9B" w14:textId="535FC9BC" w:rsidR="003976D3" w:rsidRDefault="00EC0B0D" w:rsidP="00EC0B0D">
      <w:pPr>
        <w:pStyle w:val="NoSpacing"/>
        <w:rPr>
          <w:rFonts w:ascii="Times New Roman" w:hAnsi="Times New Roman" w:cs="Times New Roman"/>
          <w:b/>
          <w:bCs/>
          <w:sz w:val="28"/>
          <w:szCs w:val="28"/>
        </w:rPr>
      </w:pPr>
      <w:r w:rsidRPr="00EC0B0D">
        <w:rPr>
          <w:rFonts w:ascii="Times New Roman" w:hAnsi="Times New Roman" w:cs="Times New Roman"/>
          <w:b/>
          <w:bCs/>
          <w:sz w:val="28"/>
          <w:szCs w:val="28"/>
        </w:rPr>
        <w:t>Give a detailed account, including variants, of Alexander’s encounter with Talestris in the</w:t>
      </w:r>
      <w:r w:rsidRPr="00EC0B0D">
        <w:rPr>
          <w:rFonts w:ascii="Times New Roman" w:hAnsi="Times New Roman" w:cs="Times New Roman"/>
          <w:b/>
          <w:bCs/>
          <w:sz w:val="28"/>
          <w:szCs w:val="28"/>
        </w:rPr>
        <w:t xml:space="preserve"> </w:t>
      </w:r>
      <w:r w:rsidRPr="00EC0B0D">
        <w:rPr>
          <w:rFonts w:ascii="Times New Roman" w:hAnsi="Times New Roman" w:cs="Times New Roman"/>
          <w:b/>
          <w:bCs/>
          <w:sz w:val="28"/>
          <w:szCs w:val="28"/>
        </w:rPr>
        <w:t>sources</w:t>
      </w:r>
      <w:r>
        <w:rPr>
          <w:rFonts w:ascii="Times New Roman" w:hAnsi="Times New Roman" w:cs="Times New Roman"/>
          <w:b/>
          <w:bCs/>
          <w:sz w:val="28"/>
          <w:szCs w:val="28"/>
        </w:rPr>
        <w:t>.</w:t>
      </w:r>
    </w:p>
    <w:p w14:paraId="1CCB1627" w14:textId="361D9C60" w:rsidR="00EC0B0D" w:rsidRDefault="00EC0B0D" w:rsidP="00EC0B0D">
      <w:pPr>
        <w:pStyle w:val="NoSpacing"/>
        <w:rPr>
          <w:rFonts w:ascii="Times New Roman" w:hAnsi="Times New Roman" w:cs="Times New Roman"/>
          <w:b/>
          <w:bCs/>
          <w:sz w:val="28"/>
          <w:szCs w:val="28"/>
        </w:rPr>
      </w:pPr>
    </w:p>
    <w:p w14:paraId="2904F049" w14:textId="3D82D917" w:rsidR="00EC0B0D" w:rsidRDefault="00EC0B0D" w:rsidP="00EC0B0D">
      <w:pPr>
        <w:pStyle w:val="NoSpacing"/>
        <w:rPr>
          <w:rFonts w:ascii="Times New Roman" w:hAnsi="Times New Roman" w:cs="Times New Roman"/>
          <w:b/>
          <w:bCs/>
          <w:sz w:val="28"/>
          <w:szCs w:val="28"/>
        </w:rPr>
      </w:pPr>
    </w:p>
    <w:p w14:paraId="1B077E06" w14:textId="782AF42B" w:rsidR="00EC0B0D" w:rsidRDefault="00EC0B0D" w:rsidP="00EC0B0D">
      <w:pPr>
        <w:pStyle w:val="NoSpacing"/>
        <w:rPr>
          <w:rFonts w:ascii="Times New Roman" w:hAnsi="Times New Roman" w:cs="Times New Roman"/>
          <w:sz w:val="24"/>
          <w:szCs w:val="24"/>
        </w:rPr>
      </w:pPr>
      <w:r>
        <w:rPr>
          <w:rFonts w:ascii="Times New Roman" w:hAnsi="Times New Roman" w:cs="Times New Roman"/>
          <w:sz w:val="24"/>
          <w:szCs w:val="24"/>
        </w:rPr>
        <w:t xml:space="preserve">Within </w:t>
      </w:r>
      <w:r w:rsidRPr="00EC0B0D">
        <w:rPr>
          <w:rFonts w:ascii="Times New Roman" w:hAnsi="Times New Roman" w:cs="Times New Roman"/>
          <w:sz w:val="24"/>
          <w:szCs w:val="24"/>
        </w:rPr>
        <w:t xml:space="preserve">The </w:t>
      </w:r>
      <w:r w:rsidRPr="00EC0B0D">
        <w:rPr>
          <w:rFonts w:ascii="Times New Roman" w:hAnsi="Times New Roman" w:cs="Times New Roman"/>
          <w:i/>
          <w:iCs/>
          <w:sz w:val="24"/>
          <w:szCs w:val="24"/>
        </w:rPr>
        <w:t>"Alexandreis"</w:t>
      </w:r>
      <w:r w:rsidRPr="00EC0B0D">
        <w:rPr>
          <w:rFonts w:ascii="Times New Roman" w:hAnsi="Times New Roman" w:cs="Times New Roman"/>
          <w:sz w:val="24"/>
          <w:szCs w:val="24"/>
        </w:rPr>
        <w:t xml:space="preserve"> of Walter of Chatilon</w:t>
      </w:r>
      <w:r>
        <w:rPr>
          <w:rFonts w:ascii="Times New Roman" w:hAnsi="Times New Roman" w:cs="Times New Roman"/>
          <w:sz w:val="24"/>
          <w:szCs w:val="24"/>
        </w:rPr>
        <w:t xml:space="preserve">, book 8, we are introduced to Talestris, the Amazonian Queen, who is depicted as ‘aflame with her desire’ to meet </w:t>
      </w:r>
      <w:r w:rsidR="00923B41">
        <w:rPr>
          <w:rFonts w:ascii="Times New Roman" w:hAnsi="Times New Roman" w:cs="Times New Roman"/>
          <w:sz w:val="24"/>
          <w:szCs w:val="24"/>
        </w:rPr>
        <w:t>A</w:t>
      </w:r>
      <w:r>
        <w:rPr>
          <w:rFonts w:ascii="Times New Roman" w:hAnsi="Times New Roman" w:cs="Times New Roman"/>
          <w:sz w:val="24"/>
          <w:szCs w:val="24"/>
        </w:rPr>
        <w:t>lexander the Great. Her demeaner throughout the extract is that of a powerful character, which is quickly contrasted with the description of Alexanders</w:t>
      </w:r>
      <w:r w:rsidR="00923B41">
        <w:rPr>
          <w:rFonts w:ascii="Times New Roman" w:hAnsi="Times New Roman" w:cs="Times New Roman"/>
          <w:sz w:val="24"/>
          <w:szCs w:val="24"/>
        </w:rPr>
        <w:t>’</w:t>
      </w:r>
      <w:r>
        <w:rPr>
          <w:rFonts w:ascii="Times New Roman" w:hAnsi="Times New Roman" w:cs="Times New Roman"/>
          <w:sz w:val="24"/>
          <w:szCs w:val="24"/>
        </w:rPr>
        <w:t xml:space="preserve"> ‘meagre body’, something that clearly challenges her expectations of this powerful figure she had heard of. This portrayal of Alexander as of a lesser frame is not in accordance with the Amazonian standards of having a body fit to match the courage and deeds of the person, causing her to consider that his true power ‘transgresses all the body’s limbs’. The source states that the motive behind Talestris’ desire to meet Alexander is to ‘fill her womb’ in hopes that she may bear a child that shares the power that Alexander possess, considering herself as worthy to carry his child. </w:t>
      </w:r>
    </w:p>
    <w:p w14:paraId="3A9714F5" w14:textId="77777777" w:rsidR="00EC0B0D" w:rsidRDefault="00EC0B0D" w:rsidP="00EC0B0D">
      <w:pPr>
        <w:pStyle w:val="NoSpacing"/>
        <w:rPr>
          <w:rFonts w:ascii="Times New Roman" w:hAnsi="Times New Roman" w:cs="Times New Roman"/>
          <w:sz w:val="24"/>
          <w:szCs w:val="24"/>
        </w:rPr>
      </w:pPr>
    </w:p>
    <w:p w14:paraId="4CE8C00A" w14:textId="6D1ECBC4" w:rsidR="00EC0B0D" w:rsidRDefault="00EC0B0D" w:rsidP="00EC0B0D">
      <w:pPr>
        <w:pStyle w:val="NoSpacing"/>
        <w:rPr>
          <w:rFonts w:ascii="Times New Roman" w:hAnsi="Times New Roman" w:cs="Times New Roman"/>
          <w:sz w:val="24"/>
          <w:szCs w:val="24"/>
        </w:rPr>
      </w:pPr>
      <w:r>
        <w:rPr>
          <w:rFonts w:ascii="Times New Roman" w:hAnsi="Times New Roman" w:cs="Times New Roman"/>
          <w:sz w:val="24"/>
          <w:szCs w:val="24"/>
        </w:rPr>
        <w:t>Their encounter is described elsewhere within ‘</w:t>
      </w:r>
      <w:r>
        <w:rPr>
          <w:rFonts w:ascii="Times New Roman" w:hAnsi="Times New Roman" w:cs="Times New Roman"/>
          <w:i/>
          <w:iCs/>
          <w:sz w:val="24"/>
          <w:szCs w:val="24"/>
        </w:rPr>
        <w:t>History of Alexander’</w:t>
      </w:r>
      <w:r>
        <w:rPr>
          <w:rFonts w:ascii="Times New Roman" w:hAnsi="Times New Roman" w:cs="Times New Roman"/>
          <w:sz w:val="24"/>
          <w:szCs w:val="24"/>
        </w:rPr>
        <w:t xml:space="preserve">, book 6, by </w:t>
      </w:r>
      <w:r w:rsidRPr="00EC0B0D">
        <w:rPr>
          <w:rFonts w:ascii="Times New Roman" w:hAnsi="Times New Roman" w:cs="Times New Roman"/>
          <w:sz w:val="24"/>
          <w:szCs w:val="24"/>
        </w:rPr>
        <w:t>Quintus Curtius Rufus</w:t>
      </w:r>
      <w:r>
        <w:rPr>
          <w:rFonts w:ascii="Times New Roman" w:hAnsi="Times New Roman" w:cs="Times New Roman"/>
          <w:sz w:val="24"/>
          <w:szCs w:val="24"/>
        </w:rPr>
        <w:t xml:space="preserve">. Talestris is again introduced as the queen of the Amazons, described to have a ‘desire’ to meet Alexander. Rufus writes that she is soon granted permission to meet </w:t>
      </w:r>
      <w:r w:rsidR="00A44430">
        <w:rPr>
          <w:rFonts w:ascii="Times New Roman" w:hAnsi="Times New Roman" w:cs="Times New Roman"/>
          <w:sz w:val="24"/>
          <w:szCs w:val="24"/>
        </w:rPr>
        <w:t>him</w:t>
      </w:r>
      <w:r>
        <w:rPr>
          <w:rFonts w:ascii="Times New Roman" w:hAnsi="Times New Roman" w:cs="Times New Roman"/>
          <w:sz w:val="24"/>
          <w:szCs w:val="24"/>
        </w:rPr>
        <w:t xml:space="preserve">, as Walter of Chatilon similarly described, and she is accompanied by 300 other Amazonian women. The two texts emphasise Talestris’ clothing to not ‘wholly cover the body’, and the Amazonian custom of removing a breast so that they can wield weapons with more ease whilst one is left for breast feeding. Talestris is written to be a brave figure who </w:t>
      </w:r>
      <w:r w:rsidR="000D68CE">
        <w:rPr>
          <w:rFonts w:ascii="Times New Roman" w:hAnsi="Times New Roman" w:cs="Times New Roman"/>
          <w:sz w:val="24"/>
          <w:szCs w:val="24"/>
        </w:rPr>
        <w:t>could</w:t>
      </w:r>
      <w:r>
        <w:rPr>
          <w:rFonts w:ascii="Times New Roman" w:hAnsi="Times New Roman" w:cs="Times New Roman"/>
          <w:sz w:val="24"/>
          <w:szCs w:val="24"/>
        </w:rPr>
        <w:t xml:space="preserve"> stand before Alexander with ease. Again, Alexander</w:t>
      </w:r>
      <w:r w:rsidR="000D68CE">
        <w:rPr>
          <w:rFonts w:ascii="Times New Roman" w:hAnsi="Times New Roman" w:cs="Times New Roman"/>
          <w:sz w:val="24"/>
          <w:szCs w:val="24"/>
        </w:rPr>
        <w:t>’</w:t>
      </w:r>
      <w:r>
        <w:rPr>
          <w:rFonts w:ascii="Times New Roman" w:hAnsi="Times New Roman" w:cs="Times New Roman"/>
          <w:sz w:val="24"/>
          <w:szCs w:val="24"/>
        </w:rPr>
        <w:t xml:space="preserve">s physical form is said to not have any correspondence ‘to the fame of his exploits’, contrasting the Amazonian expectations of ‘physical attractiveness’ to be intertwined with one’s </w:t>
      </w:r>
      <w:r w:rsidR="008947A0">
        <w:rPr>
          <w:rFonts w:ascii="Times New Roman" w:hAnsi="Times New Roman" w:cs="Times New Roman"/>
          <w:sz w:val="24"/>
          <w:szCs w:val="24"/>
        </w:rPr>
        <w:t>powerful</w:t>
      </w:r>
      <w:r>
        <w:rPr>
          <w:rFonts w:ascii="Times New Roman" w:hAnsi="Times New Roman" w:cs="Times New Roman"/>
          <w:sz w:val="24"/>
          <w:szCs w:val="24"/>
        </w:rPr>
        <w:t xml:space="preserve"> nature. However, this does not dissuade her of her motive, which again is said to be her desire to produce an heir with Alexander. In contrast to the previous source, Alexander is written to have asked Talestris to serve alongside him in war, which she declines due to the ‘excuse’ of leaving her realm unguarded, and t</w:t>
      </w:r>
      <w:r w:rsidR="008947A0">
        <w:rPr>
          <w:rFonts w:ascii="Times New Roman" w:hAnsi="Times New Roman" w:cs="Times New Roman"/>
          <w:sz w:val="24"/>
          <w:szCs w:val="24"/>
        </w:rPr>
        <w:t>hus</w:t>
      </w:r>
      <w:r>
        <w:rPr>
          <w:rFonts w:ascii="Times New Roman" w:hAnsi="Times New Roman" w:cs="Times New Roman"/>
          <w:sz w:val="24"/>
          <w:szCs w:val="24"/>
        </w:rPr>
        <w:t xml:space="preserve"> she should not be sent away. </w:t>
      </w:r>
    </w:p>
    <w:p w14:paraId="084C512B" w14:textId="77777777" w:rsidR="00EC0B0D" w:rsidRDefault="00EC0B0D" w:rsidP="00EC0B0D">
      <w:pPr>
        <w:pStyle w:val="NoSpacing"/>
        <w:rPr>
          <w:rFonts w:ascii="Times New Roman" w:hAnsi="Times New Roman" w:cs="Times New Roman"/>
          <w:sz w:val="24"/>
          <w:szCs w:val="24"/>
        </w:rPr>
      </w:pPr>
    </w:p>
    <w:p w14:paraId="5FCF2683" w14:textId="1C1DC6C3" w:rsidR="00EC0B0D" w:rsidRDefault="00EC0B0D" w:rsidP="00EC0B0D">
      <w:pPr>
        <w:pStyle w:val="NoSpacing"/>
        <w:rPr>
          <w:rFonts w:ascii="Times New Roman" w:hAnsi="Times New Roman" w:cs="Times New Roman"/>
          <w:sz w:val="24"/>
          <w:szCs w:val="24"/>
        </w:rPr>
      </w:pPr>
      <w:r>
        <w:rPr>
          <w:rFonts w:ascii="Times New Roman" w:hAnsi="Times New Roman" w:cs="Times New Roman"/>
          <w:sz w:val="24"/>
          <w:szCs w:val="24"/>
        </w:rPr>
        <w:t xml:space="preserve">Finally, within book 3 of </w:t>
      </w:r>
      <w:r>
        <w:rPr>
          <w:rFonts w:ascii="Times New Roman" w:hAnsi="Times New Roman" w:cs="Times New Roman"/>
          <w:i/>
          <w:iCs/>
          <w:sz w:val="24"/>
          <w:szCs w:val="24"/>
        </w:rPr>
        <w:t>‘Historia de Preliis’</w:t>
      </w:r>
      <w:r>
        <w:rPr>
          <w:rFonts w:ascii="Times New Roman" w:hAnsi="Times New Roman" w:cs="Times New Roman"/>
          <w:sz w:val="24"/>
          <w:szCs w:val="24"/>
        </w:rPr>
        <w:t xml:space="preserve">, the encounter between Alexander and Talestris is depicted within letters sent between the two figures. After encamping at the Caspian gates, Alexander writes a letter to Talestris that reiterates his glorious feats in battle against Darius, as well as Porus. He warns her that if she does not come to him and pay tribute, he will proceed to ‘inflict some harm on you’. This is dissimilar to the first two sources studied, as it </w:t>
      </w:r>
      <w:r w:rsidR="00764296">
        <w:rPr>
          <w:rFonts w:ascii="Times New Roman" w:hAnsi="Times New Roman" w:cs="Times New Roman"/>
          <w:sz w:val="24"/>
          <w:szCs w:val="24"/>
        </w:rPr>
        <w:t>depicts</w:t>
      </w:r>
      <w:r>
        <w:rPr>
          <w:rFonts w:ascii="Times New Roman" w:hAnsi="Times New Roman" w:cs="Times New Roman"/>
          <w:sz w:val="24"/>
          <w:szCs w:val="24"/>
        </w:rPr>
        <w:t xml:space="preserve"> Alexander to have been driven to seek her out first. Talestris and the Amazonian women are again described as a powerful force in her letter to him, and a worthy opponent to Alexander. It is described in more detail the customs of the Amazonians, and that their superiority to Alexanders army would put him to shame. He finds this amusing and replies with the offer to instead create peace between them if the Amazonians were to give them ‘tribute’. Ultimately, the Amazonians do so, and peace is established between them, however there is no mention of Talestris’ desire to produce an heir with Alexander. </w:t>
      </w:r>
    </w:p>
    <w:p w14:paraId="2B80D5A9" w14:textId="08916F11" w:rsidR="00EC0B0D" w:rsidRDefault="00EC0B0D" w:rsidP="00EC0B0D">
      <w:pPr>
        <w:pStyle w:val="NoSpacing"/>
        <w:rPr>
          <w:rFonts w:ascii="Times New Roman" w:hAnsi="Times New Roman" w:cs="Times New Roman"/>
          <w:sz w:val="24"/>
          <w:szCs w:val="24"/>
        </w:rPr>
      </w:pPr>
    </w:p>
    <w:p w14:paraId="4E5E9B45" w14:textId="1E777378" w:rsidR="00EC0B0D" w:rsidRDefault="00EC0B0D" w:rsidP="00EC0B0D">
      <w:pPr>
        <w:pStyle w:val="NoSpacing"/>
        <w:rPr>
          <w:rFonts w:ascii="Times New Roman" w:hAnsi="Times New Roman" w:cs="Times New Roman"/>
          <w:sz w:val="24"/>
          <w:szCs w:val="24"/>
        </w:rPr>
      </w:pPr>
    </w:p>
    <w:p w14:paraId="67958E6B" w14:textId="6F85982D" w:rsidR="00EC0B0D" w:rsidRDefault="00EC0B0D" w:rsidP="00EC0B0D">
      <w:pPr>
        <w:pStyle w:val="NoSpacing"/>
        <w:rPr>
          <w:rFonts w:ascii="Times New Roman" w:hAnsi="Times New Roman" w:cs="Times New Roman"/>
          <w:sz w:val="24"/>
          <w:szCs w:val="24"/>
        </w:rPr>
      </w:pPr>
    </w:p>
    <w:p w14:paraId="732BF978" w14:textId="790E6BFF" w:rsidR="00EC0B0D" w:rsidRDefault="00EC0B0D" w:rsidP="00EC0B0D">
      <w:pPr>
        <w:pStyle w:val="NoSpacing"/>
        <w:rPr>
          <w:rFonts w:ascii="Times New Roman" w:hAnsi="Times New Roman" w:cs="Times New Roman"/>
          <w:sz w:val="24"/>
          <w:szCs w:val="24"/>
        </w:rPr>
      </w:pPr>
    </w:p>
    <w:p w14:paraId="39521C22" w14:textId="1E0E1FFE" w:rsidR="00EC0B0D" w:rsidRDefault="00EC0B0D" w:rsidP="00EC0B0D">
      <w:pPr>
        <w:pStyle w:val="NoSpacing"/>
        <w:rPr>
          <w:rFonts w:ascii="Times New Roman" w:hAnsi="Times New Roman" w:cs="Times New Roman"/>
          <w:sz w:val="24"/>
          <w:szCs w:val="24"/>
        </w:rPr>
      </w:pPr>
    </w:p>
    <w:p w14:paraId="1EEE0C5F" w14:textId="2D5D5BB9" w:rsidR="00EC0B0D" w:rsidRDefault="00EC0B0D" w:rsidP="00EC0B0D">
      <w:pPr>
        <w:pStyle w:val="NoSpacing"/>
        <w:rPr>
          <w:rFonts w:ascii="Times New Roman" w:hAnsi="Times New Roman" w:cs="Times New Roman"/>
          <w:sz w:val="24"/>
          <w:szCs w:val="24"/>
        </w:rPr>
      </w:pPr>
    </w:p>
    <w:p w14:paraId="71949F6C" w14:textId="6DB4DC8E" w:rsidR="00EC0B0D" w:rsidRDefault="00EC0B0D" w:rsidP="00EC0B0D">
      <w:pPr>
        <w:pStyle w:val="NoSpacing"/>
        <w:rPr>
          <w:rFonts w:ascii="Times New Roman" w:hAnsi="Times New Roman" w:cs="Times New Roman"/>
          <w:sz w:val="24"/>
          <w:szCs w:val="24"/>
        </w:rPr>
      </w:pPr>
    </w:p>
    <w:p w14:paraId="4E7E2A32" w14:textId="52A55B07" w:rsidR="00EC0B0D" w:rsidRDefault="00EC0B0D" w:rsidP="00EC0B0D">
      <w:pPr>
        <w:pStyle w:val="NoSpacing"/>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2CA1EB1E" w14:textId="5AC5B3FD" w:rsidR="00EC0B0D" w:rsidRDefault="00EC0B0D" w:rsidP="00EC0B0D">
      <w:pPr>
        <w:pStyle w:val="NoSpacing"/>
        <w:rPr>
          <w:rFonts w:ascii="Times New Roman" w:hAnsi="Times New Roman" w:cs="Times New Roman"/>
          <w:b/>
          <w:bCs/>
          <w:sz w:val="28"/>
          <w:szCs w:val="28"/>
        </w:rPr>
      </w:pPr>
    </w:p>
    <w:p w14:paraId="70F9F622" w14:textId="77777777" w:rsidR="00EC0B0D" w:rsidRPr="00EC0B0D" w:rsidRDefault="00EC0B0D" w:rsidP="00EC0B0D">
      <w:pPr>
        <w:pStyle w:val="NoSpacing"/>
        <w:rPr>
          <w:rFonts w:ascii="Times New Roman" w:hAnsi="Times New Roman" w:cs="Times New Roman"/>
          <w:sz w:val="32"/>
          <w:szCs w:val="32"/>
        </w:rPr>
      </w:pPr>
    </w:p>
    <w:p w14:paraId="2BC0A735" w14:textId="0E3C87FD" w:rsidR="00EC0B0D" w:rsidRPr="00EC0B0D" w:rsidRDefault="00EC0B0D" w:rsidP="00EC0B0D">
      <w:pPr>
        <w:pStyle w:val="NoSpacing"/>
        <w:numPr>
          <w:ilvl w:val="0"/>
          <w:numId w:val="1"/>
        </w:numPr>
        <w:rPr>
          <w:rFonts w:ascii="Times New Roman" w:hAnsi="Times New Roman" w:cs="Times New Roman"/>
          <w:sz w:val="24"/>
          <w:szCs w:val="24"/>
        </w:rPr>
      </w:pPr>
      <w:r w:rsidRPr="00EC0B0D">
        <w:rPr>
          <w:rFonts w:ascii="Times New Roman" w:hAnsi="Times New Roman" w:cs="Times New Roman"/>
          <w:sz w:val="24"/>
          <w:szCs w:val="24"/>
        </w:rPr>
        <w:t>Historia de preliis (Pritchard, R. Telfryn. (1992). The History of Alexander's Battles: Historia De Preliis, the J1 Version. (Toronto: Pontifical Institute of Mediaeval Studies))</w:t>
      </w:r>
      <w:r w:rsidRPr="00EC0B0D">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EC0B0D">
        <w:rPr>
          <w:rFonts w:ascii="Times New Roman" w:hAnsi="Times New Roman" w:cs="Times New Roman"/>
          <w:sz w:val="24"/>
          <w:szCs w:val="24"/>
        </w:rPr>
        <w:t>77-</w:t>
      </w:r>
      <w:r>
        <w:rPr>
          <w:rFonts w:ascii="Times New Roman" w:hAnsi="Times New Roman" w:cs="Times New Roman"/>
          <w:sz w:val="24"/>
          <w:szCs w:val="24"/>
        </w:rPr>
        <w:t>7</w:t>
      </w:r>
      <w:r w:rsidRPr="00EC0B0D">
        <w:rPr>
          <w:rFonts w:ascii="Times New Roman" w:hAnsi="Times New Roman" w:cs="Times New Roman"/>
          <w:sz w:val="24"/>
          <w:szCs w:val="24"/>
        </w:rPr>
        <w:t>9</w:t>
      </w:r>
    </w:p>
    <w:p w14:paraId="6D96E5CC" w14:textId="10846AF3" w:rsidR="00EC0B0D" w:rsidRPr="00EC0B0D" w:rsidRDefault="00EC0B0D" w:rsidP="00EC0B0D">
      <w:pPr>
        <w:pStyle w:val="NoSpacing"/>
        <w:numPr>
          <w:ilvl w:val="0"/>
          <w:numId w:val="1"/>
        </w:numPr>
        <w:rPr>
          <w:rFonts w:ascii="Times New Roman" w:hAnsi="Times New Roman" w:cs="Times New Roman"/>
          <w:sz w:val="32"/>
          <w:szCs w:val="32"/>
        </w:rPr>
      </w:pPr>
      <w:r w:rsidRPr="00EC0B0D">
        <w:rPr>
          <w:rFonts w:ascii="Times New Roman" w:hAnsi="Times New Roman" w:cs="Times New Roman"/>
          <w:color w:val="3A3A3A"/>
          <w:sz w:val="24"/>
          <w:szCs w:val="24"/>
          <w:shd w:val="clear" w:color="auto" w:fill="FFFFFF"/>
        </w:rPr>
        <w:t>Quintus Curtius Rufus (n.d.) </w:t>
      </w:r>
      <w:r w:rsidRPr="00EC0B0D">
        <w:rPr>
          <w:rFonts w:ascii="Times New Roman" w:hAnsi="Times New Roman" w:cs="Times New Roman"/>
          <w:i/>
          <w:iCs/>
          <w:color w:val="3A3A3A"/>
          <w:sz w:val="24"/>
          <w:szCs w:val="24"/>
          <w:shd w:val="clear" w:color="auto" w:fill="FFFFFF"/>
        </w:rPr>
        <w:t>History of Alexander, Volume II</w:t>
      </w:r>
      <w:r w:rsidRPr="00EC0B0D">
        <w:rPr>
          <w:rFonts w:ascii="Times New Roman" w:hAnsi="Times New Roman" w:cs="Times New Roman"/>
          <w:color w:val="3A3A3A"/>
          <w:sz w:val="24"/>
          <w:szCs w:val="24"/>
          <w:shd w:val="clear" w:color="auto" w:fill="FFFFFF"/>
        </w:rPr>
        <w:t>. Harvard University Press.</w:t>
      </w:r>
      <w:r>
        <w:rPr>
          <w:rFonts w:ascii="Times New Roman" w:hAnsi="Times New Roman" w:cs="Times New Roman"/>
          <w:color w:val="3A3A3A"/>
          <w:sz w:val="24"/>
          <w:szCs w:val="24"/>
          <w:shd w:val="clear" w:color="auto" w:fill="FFFFFF"/>
        </w:rPr>
        <w:t xml:space="preserve"> Book 6.5.24-32</w:t>
      </w:r>
    </w:p>
    <w:p w14:paraId="4307ADEA" w14:textId="3528F238" w:rsidR="00EC0B0D" w:rsidRPr="00EC0B0D" w:rsidRDefault="00EC0B0D" w:rsidP="00EC0B0D">
      <w:pPr>
        <w:pStyle w:val="NoSpacing"/>
        <w:numPr>
          <w:ilvl w:val="0"/>
          <w:numId w:val="1"/>
        </w:numPr>
        <w:rPr>
          <w:rFonts w:ascii="Times New Roman" w:hAnsi="Times New Roman" w:cs="Times New Roman"/>
          <w:sz w:val="36"/>
          <w:szCs w:val="36"/>
        </w:rPr>
      </w:pPr>
      <w:r w:rsidRPr="00EC0B0D">
        <w:rPr>
          <w:rFonts w:ascii="Times New Roman" w:hAnsi="Times New Roman" w:cs="Times New Roman"/>
          <w:color w:val="000000"/>
          <w:spacing w:val="-5"/>
          <w:sz w:val="24"/>
          <w:szCs w:val="24"/>
          <w:shd w:val="clear" w:color="auto" w:fill="FFFFFF"/>
        </w:rPr>
        <w:t xml:space="preserve">Townsend, David. </w:t>
      </w:r>
      <w:r w:rsidRPr="00EC0B0D">
        <w:rPr>
          <w:rFonts w:ascii="Times New Roman" w:hAnsi="Times New Roman" w:cs="Times New Roman"/>
          <w:i/>
          <w:iCs/>
          <w:color w:val="000000"/>
          <w:spacing w:val="-5"/>
          <w:sz w:val="24"/>
          <w:szCs w:val="24"/>
          <w:shd w:val="clear" w:color="auto" w:fill="FFFFFF"/>
        </w:rPr>
        <w:t>The “Alexandreis” of Walter of Chatilon: A Twelfth-Century Epic</w:t>
      </w:r>
      <w:r w:rsidRPr="00EC0B0D">
        <w:rPr>
          <w:rFonts w:ascii="Times New Roman" w:hAnsi="Times New Roman" w:cs="Times New Roman"/>
          <w:color w:val="000000"/>
          <w:spacing w:val="-5"/>
          <w:sz w:val="24"/>
          <w:szCs w:val="24"/>
          <w:shd w:val="clear" w:color="auto" w:fill="FFFFFF"/>
        </w:rPr>
        <w:t>, University of Pennsylvania Press, 1996,</w:t>
      </w:r>
      <w:r w:rsidRPr="00EC0B0D">
        <w:rPr>
          <w:rFonts w:ascii="Times New Roman" w:hAnsi="Times New Roman" w:cs="Times New Roman"/>
          <w:color w:val="000000"/>
          <w:spacing w:val="-5"/>
          <w:sz w:val="24"/>
          <w:szCs w:val="24"/>
          <w:shd w:val="clear" w:color="auto" w:fill="FFFFFF"/>
        </w:rPr>
        <w:t xml:space="preserve"> </w:t>
      </w:r>
      <w:r w:rsidRPr="00EC0B0D">
        <w:rPr>
          <w:rFonts w:ascii="Times New Roman" w:hAnsi="Times New Roman" w:cs="Times New Roman"/>
          <w:color w:val="000000"/>
          <w:spacing w:val="-5"/>
          <w:sz w:val="24"/>
          <w:szCs w:val="24"/>
          <w:shd w:val="clear" w:color="auto" w:fill="FFFFFF"/>
        </w:rPr>
        <w:t>“Book Eight.”  pp. 131–48</w:t>
      </w:r>
    </w:p>
    <w:p w14:paraId="15AB4658" w14:textId="66B65E7B" w:rsidR="00EC0B0D" w:rsidRPr="00EC0B0D" w:rsidRDefault="00EC0B0D" w:rsidP="00EC0B0D">
      <w:pPr>
        <w:pStyle w:val="NoSpacing"/>
        <w:rPr>
          <w:rFonts w:ascii="Times New Roman" w:hAnsi="Times New Roman" w:cs="Times New Roman"/>
          <w:sz w:val="28"/>
          <w:szCs w:val="28"/>
        </w:rPr>
      </w:pPr>
    </w:p>
    <w:p w14:paraId="7D537D94" w14:textId="0705A25C" w:rsidR="00EC0B0D" w:rsidRDefault="00EC0B0D" w:rsidP="00EC0B0D">
      <w:pPr>
        <w:pStyle w:val="NoSpacing"/>
        <w:rPr>
          <w:rFonts w:ascii="Times New Roman" w:hAnsi="Times New Roman" w:cs="Times New Roman"/>
          <w:sz w:val="24"/>
          <w:szCs w:val="24"/>
        </w:rPr>
      </w:pPr>
    </w:p>
    <w:p w14:paraId="7E32662E" w14:textId="6E86ECD7" w:rsidR="00EC0B0D" w:rsidRDefault="00EC0B0D" w:rsidP="00EC0B0D">
      <w:pPr>
        <w:pStyle w:val="NoSpacing"/>
        <w:rPr>
          <w:rFonts w:ascii="Times New Roman" w:hAnsi="Times New Roman" w:cs="Times New Roman"/>
          <w:sz w:val="24"/>
          <w:szCs w:val="24"/>
        </w:rPr>
      </w:pPr>
    </w:p>
    <w:p w14:paraId="4938F74E" w14:textId="29744746" w:rsidR="00EC0B0D" w:rsidRDefault="00EC0B0D" w:rsidP="00EC0B0D">
      <w:pPr>
        <w:pStyle w:val="NoSpacing"/>
        <w:rPr>
          <w:rFonts w:ascii="Times New Roman" w:hAnsi="Times New Roman" w:cs="Times New Roman"/>
          <w:sz w:val="24"/>
          <w:szCs w:val="24"/>
        </w:rPr>
      </w:pPr>
    </w:p>
    <w:p w14:paraId="6CDF1D65" w14:textId="77777777" w:rsidR="00EC0B0D" w:rsidRPr="00EC0B0D" w:rsidRDefault="00EC0B0D" w:rsidP="00EC0B0D">
      <w:pPr>
        <w:pStyle w:val="NoSpacing"/>
        <w:rPr>
          <w:rFonts w:ascii="Times New Roman" w:hAnsi="Times New Roman" w:cs="Times New Roman"/>
          <w:sz w:val="24"/>
          <w:szCs w:val="24"/>
        </w:rPr>
      </w:pPr>
    </w:p>
    <w:sectPr w:rsidR="00EC0B0D" w:rsidRPr="00EC0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54318"/>
    <w:multiLevelType w:val="hybridMultilevel"/>
    <w:tmpl w:val="78920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576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B0D"/>
    <w:rsid w:val="000D68CE"/>
    <w:rsid w:val="003976D3"/>
    <w:rsid w:val="00764296"/>
    <w:rsid w:val="008947A0"/>
    <w:rsid w:val="00923B41"/>
    <w:rsid w:val="00A44430"/>
    <w:rsid w:val="00EC0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063F0"/>
  <w15:chartTrackingRefBased/>
  <w15:docId w15:val="{97AB149C-6DDD-49CE-ACBA-F388180A5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B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C0B0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Pages>
  <Words>565</Words>
  <Characters>3226</Characters>
  <Application>Microsoft Office Word</Application>
  <DocSecurity>0</DocSecurity>
  <Lines>26</Lines>
  <Paragraphs>7</Paragraphs>
  <ScaleCrop>false</ScaleCrop>
  <Company/>
  <LinksUpToDate>false</LinksUpToDate>
  <CharactersWithSpaces>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6</cp:revision>
  <dcterms:created xsi:type="dcterms:W3CDTF">2022-05-16T21:00:00Z</dcterms:created>
  <dcterms:modified xsi:type="dcterms:W3CDTF">2022-05-16T22:33:00Z</dcterms:modified>
</cp:coreProperties>
</file>