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4E0357" w14:textId="77777777" w:rsidR="007D4D6E" w:rsidRDefault="007D4D6E" w:rsidP="00824153">
      <w:pPr>
        <w:jc w:val="center"/>
        <w:rPr>
          <w:rFonts w:ascii="Calibri" w:hAnsi="Calibri" w:cs="Calibri"/>
        </w:rPr>
      </w:pPr>
    </w:p>
    <w:p w14:paraId="1C4406DA" w14:textId="77777777" w:rsidR="007D4D6E" w:rsidRPr="001C4B27" w:rsidRDefault="007D4D6E" w:rsidP="001C4B27">
      <w:pPr>
        <w:jc w:val="both"/>
        <w:rPr>
          <w:rFonts w:ascii="Calibri" w:hAnsi="Calibri" w:cs="Calibri"/>
        </w:rPr>
      </w:pPr>
    </w:p>
    <w:p w14:paraId="2F709A39" w14:textId="2CE30503" w:rsidR="00416F5F" w:rsidRPr="001C4B27" w:rsidRDefault="00824153" w:rsidP="001C4B27">
      <w:pPr>
        <w:jc w:val="both"/>
        <w:rPr>
          <w:rFonts w:ascii="Calibri" w:hAnsi="Calibri" w:cs="Calibri"/>
        </w:rPr>
      </w:pPr>
      <w:r w:rsidRPr="001C4B27">
        <w:rPr>
          <w:rFonts w:ascii="Calibri" w:hAnsi="Calibri" w:cs="Calibri"/>
        </w:rPr>
        <w:t>Evaluate the tests used to establish causation in relation to a breach of duty of care.</w:t>
      </w:r>
    </w:p>
    <w:p w14:paraId="363453F9" w14:textId="77777777" w:rsidR="00824153" w:rsidRPr="001C4B27" w:rsidRDefault="00824153" w:rsidP="001C4B27">
      <w:pPr>
        <w:jc w:val="both"/>
        <w:rPr>
          <w:rFonts w:ascii="Calibri" w:hAnsi="Calibri" w:cs="Calibri"/>
        </w:rPr>
      </w:pPr>
    </w:p>
    <w:p w14:paraId="0C0660FE" w14:textId="77777777" w:rsidR="00824153" w:rsidRPr="001C4B27" w:rsidRDefault="00824153" w:rsidP="001C4B27">
      <w:pPr>
        <w:jc w:val="both"/>
        <w:rPr>
          <w:rFonts w:ascii="Calibri" w:hAnsi="Calibri" w:cs="Calibri"/>
        </w:rPr>
      </w:pPr>
    </w:p>
    <w:p w14:paraId="2F0FA56E" w14:textId="77777777" w:rsidR="00824153" w:rsidRPr="001C4B27" w:rsidRDefault="00824153" w:rsidP="001C4B27">
      <w:pPr>
        <w:jc w:val="both"/>
        <w:rPr>
          <w:rFonts w:ascii="Calibri" w:hAnsi="Calibri" w:cs="Calibri"/>
        </w:rPr>
      </w:pPr>
    </w:p>
    <w:p w14:paraId="0FB1A8E6" w14:textId="77777777" w:rsidR="00EF2D27" w:rsidRPr="001C4B27" w:rsidRDefault="00EF2D27" w:rsidP="001C4B27">
      <w:pPr>
        <w:jc w:val="both"/>
        <w:rPr>
          <w:rFonts w:ascii="Calibri" w:hAnsi="Calibri" w:cs="Calibri"/>
        </w:rPr>
      </w:pPr>
    </w:p>
    <w:p w14:paraId="68A80DDE" w14:textId="6D927B20" w:rsidR="00824153" w:rsidRPr="001C4B27" w:rsidRDefault="00E50B68" w:rsidP="001C4B27">
      <w:pPr>
        <w:jc w:val="both"/>
        <w:rPr>
          <w:rFonts w:ascii="Calibri" w:hAnsi="Calibri" w:cs="Calibri"/>
        </w:rPr>
      </w:pPr>
      <w:r w:rsidRPr="001C4B27">
        <w:rPr>
          <w:rFonts w:ascii="Calibri" w:hAnsi="Calibri" w:cs="Calibri"/>
        </w:rPr>
        <w:t xml:space="preserve">According to the constitutional and moral concept of a duty of care, individuals and businesses must exercise the requirement of fair diligence whenever they do anything that might be expected to cause harm to anyone. The most frequent discussion of this idea is in relation to tort law, specifically carelessness. In such a situation, one side has a responsibility to prevent from hurting the other party. </w:t>
      </w:r>
      <w:r w:rsidR="002447D2" w:rsidRPr="001C4B27">
        <w:rPr>
          <w:rFonts w:ascii="Calibri" w:hAnsi="Calibri" w:cs="Calibri"/>
        </w:rPr>
        <w:t xml:space="preserve">Previously, the worry of breaching Duty of care requirements has been reinforced by legal consequences. Employee turnover, loss of efficiency, harm to reputation, and total expenses are all possible outcomes from neglecting to take action to protect staff members. </w:t>
      </w:r>
    </w:p>
    <w:p w14:paraId="15627499" w14:textId="77777777" w:rsidR="00AB2A18" w:rsidRPr="001C4B27" w:rsidRDefault="00AB2A18" w:rsidP="001C4B27">
      <w:pPr>
        <w:jc w:val="both"/>
        <w:rPr>
          <w:rFonts w:ascii="Calibri" w:hAnsi="Calibri" w:cs="Calibri"/>
        </w:rPr>
      </w:pPr>
    </w:p>
    <w:p w14:paraId="4630E99F" w14:textId="77777777" w:rsidR="00AB2A18" w:rsidRPr="001C4B27" w:rsidRDefault="00AB2A18" w:rsidP="001C4B27">
      <w:pPr>
        <w:jc w:val="both"/>
        <w:rPr>
          <w:rFonts w:ascii="Calibri" w:hAnsi="Calibri" w:cs="Calibri"/>
        </w:rPr>
      </w:pPr>
    </w:p>
    <w:p w14:paraId="6D66F4E1" w14:textId="77777777" w:rsidR="00B4343A" w:rsidRPr="001C4B27" w:rsidRDefault="00B4343A" w:rsidP="001C4B27">
      <w:pPr>
        <w:jc w:val="both"/>
        <w:rPr>
          <w:rFonts w:ascii="Calibri" w:hAnsi="Calibri" w:cs="Calibri"/>
        </w:rPr>
      </w:pPr>
    </w:p>
    <w:p w14:paraId="43E70155" w14:textId="77777777" w:rsidR="00D734FA" w:rsidRPr="001C4B27" w:rsidRDefault="00D734FA" w:rsidP="001C4B27">
      <w:pPr>
        <w:jc w:val="both"/>
        <w:rPr>
          <w:rFonts w:ascii="Calibri" w:hAnsi="Calibri" w:cs="Calibri"/>
        </w:rPr>
      </w:pPr>
    </w:p>
    <w:p w14:paraId="5C9DD1B2" w14:textId="77777777" w:rsidR="00B4343A" w:rsidRPr="001C4B27" w:rsidRDefault="00B4343A" w:rsidP="001C4B27">
      <w:pPr>
        <w:jc w:val="both"/>
        <w:rPr>
          <w:rFonts w:ascii="Calibri" w:hAnsi="Calibri" w:cs="Calibri"/>
        </w:rPr>
      </w:pPr>
    </w:p>
    <w:p w14:paraId="1BF708BD" w14:textId="7292625C" w:rsidR="00526E9A" w:rsidRPr="001C4B27" w:rsidRDefault="00B4343A" w:rsidP="001C4B27">
      <w:pPr>
        <w:jc w:val="both"/>
        <w:rPr>
          <w:rFonts w:ascii="Calibri" w:hAnsi="Calibri" w:cs="Calibri"/>
        </w:rPr>
      </w:pPr>
      <w:r w:rsidRPr="001C4B27">
        <w:rPr>
          <w:rFonts w:ascii="Calibri" w:hAnsi="Calibri" w:cs="Calibri"/>
        </w:rPr>
        <w:t xml:space="preserve">A breaking of the legal obligation of care takes place when an individual does not provide the level of care that anyone with common sense would in the exact same situation. </w:t>
      </w:r>
      <w:r w:rsidR="00EB2AFD" w:rsidRPr="001C4B27">
        <w:rPr>
          <w:rFonts w:ascii="Calibri" w:hAnsi="Calibri" w:cs="Calibri"/>
        </w:rPr>
        <w:t xml:space="preserve">Demonstrating that a single individual incurred someone a responsibility of care is this initial stage. A patient and a physician, a staff member and their boss, or an automobile owner and a person walking are a few examples of instances in which there is an uncommon connection between those involved. </w:t>
      </w:r>
      <w:r w:rsidR="008C04B5" w:rsidRPr="001C4B27">
        <w:rPr>
          <w:rFonts w:ascii="Calibri" w:hAnsi="Calibri" w:cs="Calibri"/>
        </w:rPr>
        <w:t xml:space="preserve">The second issue involves determining if the person being sued violated the legal obligation of </w:t>
      </w:r>
      <w:r w:rsidR="00D734FA" w:rsidRPr="001C4B27">
        <w:rPr>
          <w:rFonts w:ascii="Calibri" w:hAnsi="Calibri" w:cs="Calibri"/>
        </w:rPr>
        <w:t xml:space="preserve">care by neglecting a particular level of care after it has been determined. An illustration of this is the fact that drivers have an obligation to drive safely and in keeping with the rules that apply. There may have been a violation of the duty of care if the driver ran a red light and created a car crash. </w:t>
      </w:r>
      <w:r w:rsidR="00526E9A" w:rsidRPr="001C4B27">
        <w:rPr>
          <w:rFonts w:ascii="Calibri" w:hAnsi="Calibri" w:cs="Calibri"/>
        </w:rPr>
        <w:t xml:space="preserve">On the other hand, an offence arises when the defendant’s behaviour or action comes short of the anticipated standard of attention. Negligence can be described as the to apply sufficient caution. For instance, if a doctor does not identify the issue that a different qualified professional would have acknowledged, they may have neglected their obligation to do so. </w:t>
      </w:r>
      <w:r w:rsidR="00EF2D27" w:rsidRPr="001C4B27">
        <w:rPr>
          <w:rFonts w:ascii="Calibri" w:hAnsi="Calibri" w:cs="Calibri"/>
        </w:rPr>
        <w:t xml:space="preserve">Recklessness is referred to as operating without considering the possible repercussions of doing something, which happens when an individual purposely drives when being under the influence of alcohol. Not Being able to execute a duty that someone with common sense could have done is recognised as omission. As an instance, someone in education may have broken their obligation if they did not step in when they witnessed an innocent child being mistreated. </w:t>
      </w:r>
    </w:p>
    <w:p w14:paraId="4182B286" w14:textId="77777777" w:rsidR="00B4343A" w:rsidRPr="001C4B27" w:rsidRDefault="00B4343A" w:rsidP="001C4B27">
      <w:pPr>
        <w:jc w:val="both"/>
        <w:rPr>
          <w:rFonts w:ascii="Calibri" w:hAnsi="Calibri" w:cs="Calibri"/>
        </w:rPr>
      </w:pPr>
    </w:p>
    <w:p w14:paraId="13FFA127" w14:textId="77777777" w:rsidR="00B4343A" w:rsidRPr="001C4B27" w:rsidRDefault="00B4343A" w:rsidP="001C4B27">
      <w:pPr>
        <w:jc w:val="both"/>
        <w:rPr>
          <w:rFonts w:ascii="Calibri" w:hAnsi="Calibri" w:cs="Calibri"/>
        </w:rPr>
      </w:pPr>
    </w:p>
    <w:p w14:paraId="3F69A45A" w14:textId="77777777" w:rsidR="00B4343A" w:rsidRPr="001C4B27" w:rsidRDefault="00B4343A" w:rsidP="001C4B27">
      <w:pPr>
        <w:jc w:val="both"/>
        <w:rPr>
          <w:rFonts w:ascii="Calibri" w:hAnsi="Calibri" w:cs="Calibri"/>
        </w:rPr>
      </w:pPr>
    </w:p>
    <w:p w14:paraId="024846C1" w14:textId="77777777" w:rsidR="00B4343A" w:rsidRPr="001C4B27" w:rsidRDefault="00B4343A" w:rsidP="001C4B27">
      <w:pPr>
        <w:jc w:val="both"/>
        <w:rPr>
          <w:rFonts w:ascii="Calibri" w:hAnsi="Calibri" w:cs="Calibri"/>
        </w:rPr>
      </w:pPr>
    </w:p>
    <w:p w14:paraId="05F29BF3" w14:textId="77777777" w:rsidR="0080342B" w:rsidRPr="001C4B27" w:rsidRDefault="0080342B" w:rsidP="001C4B27">
      <w:pPr>
        <w:jc w:val="both"/>
        <w:rPr>
          <w:rFonts w:ascii="Calibri" w:hAnsi="Calibri" w:cs="Calibri"/>
        </w:rPr>
      </w:pPr>
    </w:p>
    <w:p w14:paraId="34FD457B" w14:textId="77777777" w:rsidR="0080342B" w:rsidRPr="001C4B27" w:rsidRDefault="0080342B" w:rsidP="001C4B27">
      <w:pPr>
        <w:jc w:val="both"/>
        <w:rPr>
          <w:rFonts w:ascii="Calibri" w:hAnsi="Calibri" w:cs="Calibri"/>
        </w:rPr>
      </w:pPr>
    </w:p>
    <w:p w14:paraId="5464F9A2" w14:textId="1CB00FE5" w:rsidR="009926F4" w:rsidRPr="001C4B27" w:rsidRDefault="002A7662" w:rsidP="001C4B27">
      <w:pPr>
        <w:jc w:val="both"/>
        <w:rPr>
          <w:rFonts w:ascii="Calibri" w:hAnsi="Calibri" w:cs="Calibri"/>
        </w:rPr>
      </w:pPr>
      <w:r w:rsidRPr="001C4B27">
        <w:rPr>
          <w:rFonts w:ascii="Calibri" w:hAnsi="Calibri" w:cs="Calibri"/>
        </w:rPr>
        <w:t xml:space="preserve">In tort law, causation is a key idea which discusses the relation underlying the damages suffered by the plaintiff and the defendant’s negligence or lack of action. </w:t>
      </w:r>
      <w:r w:rsidR="00966BED" w:rsidRPr="001C4B27">
        <w:rPr>
          <w:rFonts w:ascii="Calibri" w:hAnsi="Calibri" w:cs="Calibri"/>
        </w:rPr>
        <w:t xml:space="preserve">Stated otherwise, </w:t>
      </w:r>
      <w:r w:rsidR="00966BED" w:rsidRPr="001C4B27">
        <w:rPr>
          <w:rFonts w:ascii="Calibri" w:hAnsi="Calibri" w:cs="Calibri"/>
        </w:rPr>
        <w:lastRenderedPageBreak/>
        <w:t xml:space="preserve">the plaintiff has to prove that the other party’s act or inaction created their damage or harm to occur to have their tort case to be considered justified. </w:t>
      </w:r>
      <w:r w:rsidR="00616684" w:rsidRPr="001C4B27">
        <w:rPr>
          <w:rFonts w:ascii="Calibri" w:hAnsi="Calibri" w:cs="Calibri"/>
        </w:rPr>
        <w:t xml:space="preserve">The two main elements of causation are factual causation and legal causation. </w:t>
      </w:r>
      <w:r w:rsidR="009C4BD5" w:rsidRPr="001C4B27">
        <w:rPr>
          <w:rFonts w:ascii="Calibri" w:hAnsi="Calibri" w:cs="Calibri"/>
        </w:rPr>
        <w:t xml:space="preserve">The determination that the acts of the </w:t>
      </w:r>
      <w:r w:rsidR="005E65F9" w:rsidRPr="001C4B27">
        <w:rPr>
          <w:rFonts w:ascii="Calibri" w:hAnsi="Calibri" w:cs="Calibri"/>
        </w:rPr>
        <w:t xml:space="preserve">suspect were required for the damage suffered by the suer happening has become known as factual causation. Ion other perspective, the negative impact might not have happened of it hadn’t been for the respondent’s initiatives. Several cases involving negligence use this as the </w:t>
      </w:r>
      <w:r w:rsidR="00053700" w:rsidRPr="001C4B27">
        <w:rPr>
          <w:rFonts w:ascii="Calibri" w:hAnsi="Calibri" w:cs="Calibri"/>
        </w:rPr>
        <w:t xml:space="preserve">key criteria for factual causation. The suer has to demonstrate that, but for the determination made by the suspect, the damage caused would never have transpired. An example would be </w:t>
      </w:r>
      <w:r w:rsidR="00CF5028" w:rsidRPr="001C4B27">
        <w:rPr>
          <w:rFonts w:ascii="Calibri" w:hAnsi="Calibri" w:cs="Calibri"/>
        </w:rPr>
        <w:t xml:space="preserve">if the person at fault had stopped at the stoplight, an accident wouldn’t have taken place. </w:t>
      </w:r>
      <w:r w:rsidR="00BF35B6" w:rsidRPr="001C4B27">
        <w:rPr>
          <w:rFonts w:ascii="Calibri" w:hAnsi="Calibri" w:cs="Calibri"/>
        </w:rPr>
        <w:t xml:space="preserve">This is the case when an individual breaks at a red light and hits a different car. If the person driving the car had complied with the stop indication, the crash could have not happened. Although it is a simple and frequently used technique, the </w:t>
      </w:r>
      <w:r w:rsidR="008601EB" w:rsidRPr="001C4B27">
        <w:rPr>
          <w:rFonts w:ascii="Calibri" w:hAnsi="Calibri" w:cs="Calibri"/>
        </w:rPr>
        <w:t xml:space="preserve">“but for” test may get difficult when the injury had been brought about by a range of elements and whenever the steps of the respondent represent an aspect of a wider causal chain. </w:t>
      </w:r>
      <w:r w:rsidR="00517977" w:rsidRPr="001C4B27">
        <w:rPr>
          <w:rFonts w:ascii="Calibri" w:hAnsi="Calibri" w:cs="Calibri"/>
        </w:rPr>
        <w:t xml:space="preserve">Regardless of whether factual causation is proven, such as that the defendant’s negligence was the “but for” causes the injuries, the person suing still needs proof that the suspect’s activities were legally accountable for the negative impact in a way that was predictable. That corresponds to the point at which proximate cause becomes relevant. </w:t>
      </w:r>
      <w:r w:rsidR="00420AC1" w:rsidRPr="001C4B27">
        <w:rPr>
          <w:rFonts w:ascii="Calibri" w:hAnsi="Calibri" w:cs="Calibri"/>
        </w:rPr>
        <w:t xml:space="preserve">In order to establish legal causation, one has to decide if it is appropriate and equitable to consider the defendant accountable for any injury, assessing the variety of potential participating variables. </w:t>
      </w:r>
    </w:p>
    <w:p w14:paraId="0D37EA10" w14:textId="77777777" w:rsidR="00517977" w:rsidRPr="001C4B27" w:rsidRDefault="00517977" w:rsidP="001C4B27">
      <w:pPr>
        <w:jc w:val="both"/>
        <w:rPr>
          <w:rFonts w:ascii="Calibri" w:hAnsi="Calibri" w:cs="Calibri"/>
        </w:rPr>
      </w:pPr>
    </w:p>
    <w:p w14:paraId="6BE73812" w14:textId="77777777" w:rsidR="00517977" w:rsidRPr="001C4B27" w:rsidRDefault="00517977" w:rsidP="001C4B27">
      <w:pPr>
        <w:jc w:val="both"/>
        <w:rPr>
          <w:rFonts w:ascii="Calibri" w:hAnsi="Calibri" w:cs="Calibri"/>
        </w:rPr>
      </w:pPr>
    </w:p>
    <w:p w14:paraId="75D3534E" w14:textId="77777777" w:rsidR="00517977" w:rsidRPr="001C4B27" w:rsidRDefault="00517977" w:rsidP="001C4B27">
      <w:pPr>
        <w:jc w:val="both"/>
        <w:rPr>
          <w:rFonts w:ascii="Calibri" w:hAnsi="Calibri" w:cs="Calibri"/>
        </w:rPr>
      </w:pPr>
    </w:p>
    <w:p w14:paraId="2427EF4B" w14:textId="77777777" w:rsidR="0080342B" w:rsidRPr="001C4B27" w:rsidRDefault="0080342B" w:rsidP="001C4B27">
      <w:pPr>
        <w:jc w:val="both"/>
        <w:rPr>
          <w:rFonts w:ascii="Calibri" w:hAnsi="Calibri" w:cs="Calibri"/>
        </w:rPr>
      </w:pPr>
    </w:p>
    <w:p w14:paraId="31EFE965" w14:textId="77777777" w:rsidR="000F65F6" w:rsidRPr="001C4B27" w:rsidRDefault="000F65F6" w:rsidP="001C4B27">
      <w:pPr>
        <w:jc w:val="both"/>
        <w:rPr>
          <w:rFonts w:ascii="Calibri" w:hAnsi="Calibri" w:cs="Calibri"/>
        </w:rPr>
      </w:pPr>
    </w:p>
    <w:p w14:paraId="2960BE71" w14:textId="77777777" w:rsidR="00420AC1" w:rsidRPr="001C4B27" w:rsidRDefault="00420AC1" w:rsidP="001C4B27">
      <w:pPr>
        <w:jc w:val="both"/>
        <w:rPr>
          <w:rFonts w:ascii="Calibri" w:hAnsi="Calibri" w:cs="Calibri"/>
        </w:rPr>
      </w:pPr>
    </w:p>
    <w:p w14:paraId="667AA332" w14:textId="77777777" w:rsidR="0067373B" w:rsidRPr="001C4B27" w:rsidRDefault="00420AC1" w:rsidP="001C4B27">
      <w:pPr>
        <w:jc w:val="both"/>
        <w:rPr>
          <w:rFonts w:ascii="Calibri" w:hAnsi="Calibri" w:cs="Calibri"/>
        </w:rPr>
      </w:pPr>
      <w:r w:rsidRPr="001C4B27">
        <w:rPr>
          <w:rFonts w:ascii="Calibri" w:hAnsi="Calibri" w:cs="Calibri"/>
        </w:rPr>
        <w:t xml:space="preserve">The legal concept known as proximate cause maintains that the person being sued is not to be held responsible for those damages that are directly caused by what they have done. </w:t>
      </w:r>
      <w:r w:rsidR="00A33051" w:rsidRPr="001C4B27">
        <w:rPr>
          <w:rFonts w:ascii="Calibri" w:hAnsi="Calibri" w:cs="Calibri"/>
        </w:rPr>
        <w:t xml:space="preserve">The law court frequently consider how the injury was predictable or unless the perpetrator’s acts and the damage caused were fairly related to one another. </w:t>
      </w:r>
      <w:r w:rsidR="000F65F6" w:rsidRPr="001C4B27">
        <w:rPr>
          <w:rFonts w:ascii="Calibri" w:hAnsi="Calibri" w:cs="Calibri"/>
        </w:rPr>
        <w:t xml:space="preserve">One of the primary concepts of proximate causation is foreseeability, that implies the damage suffered should be considered an obvious result of the accused party’s acts. It may not have been possible to determine the proximate cause if the impact was too distant or unanticipated. Being straightforward is an additional significant factor, that specifies the </w:t>
      </w:r>
      <w:r w:rsidR="0003489D" w:rsidRPr="001C4B27">
        <w:rPr>
          <w:rFonts w:ascii="Calibri" w:hAnsi="Calibri" w:cs="Calibri"/>
        </w:rPr>
        <w:t>suspect’s</w:t>
      </w:r>
      <w:r w:rsidR="000F65F6" w:rsidRPr="001C4B27">
        <w:rPr>
          <w:rFonts w:ascii="Calibri" w:hAnsi="Calibri" w:cs="Calibri"/>
        </w:rPr>
        <w:t xml:space="preserve"> </w:t>
      </w:r>
      <w:r w:rsidR="0003489D" w:rsidRPr="001C4B27">
        <w:rPr>
          <w:rFonts w:ascii="Calibri" w:hAnsi="Calibri" w:cs="Calibri"/>
        </w:rPr>
        <w:t xml:space="preserve">acts are required to be immediately connected to the claimed injuries and that there has to be a few displace circumstances which disrupt the chain of cause and effect. In order to terminate the chain of causation, a situation that takes place after the events that create the injury can be identified as an intervening cause. </w:t>
      </w:r>
      <w:r w:rsidR="00745BAA" w:rsidRPr="001C4B27">
        <w:rPr>
          <w:rFonts w:ascii="Calibri" w:hAnsi="Calibri" w:cs="Calibri"/>
        </w:rPr>
        <w:t xml:space="preserve">However, proximate causation could continue to be demonstrated because the intervening occurrence was predictable in the first place, including an inevitable consequence of what the defendant did. For example, if the vehicle driver goes through a red light and results in a collision, and a medical vehicle shows up at the spot but takes longer due to journey that led to the crash, causing additional damage to the injured party, the driver of the car might continue to be responsible </w:t>
      </w:r>
      <w:r w:rsidR="0051589B" w:rsidRPr="001C4B27">
        <w:rPr>
          <w:rFonts w:ascii="Calibri" w:hAnsi="Calibri" w:cs="Calibri"/>
        </w:rPr>
        <w:t>for the accident itself, which is factual causation, instead they might not be kept accountable for the ambulance’s complications, which is legal causation, until the delay in arriving was an expected outcome of the incident.</w:t>
      </w:r>
    </w:p>
    <w:p w14:paraId="169A4E96" w14:textId="77777777" w:rsidR="0067373B" w:rsidRPr="001C4B27" w:rsidRDefault="0067373B" w:rsidP="001C4B27">
      <w:pPr>
        <w:jc w:val="both"/>
        <w:rPr>
          <w:rFonts w:ascii="Calibri" w:hAnsi="Calibri" w:cs="Calibri"/>
        </w:rPr>
      </w:pPr>
    </w:p>
    <w:p w14:paraId="0E6FBB3B" w14:textId="77777777" w:rsidR="0067373B" w:rsidRPr="001C4B27" w:rsidRDefault="0067373B" w:rsidP="001C4B27">
      <w:pPr>
        <w:jc w:val="both"/>
        <w:rPr>
          <w:rFonts w:ascii="Calibri" w:hAnsi="Calibri" w:cs="Calibri"/>
        </w:rPr>
      </w:pPr>
    </w:p>
    <w:p w14:paraId="7ECB9458" w14:textId="77777777" w:rsidR="0067373B" w:rsidRPr="001C4B27" w:rsidRDefault="0067373B" w:rsidP="001C4B27">
      <w:pPr>
        <w:jc w:val="both"/>
        <w:rPr>
          <w:rFonts w:ascii="Calibri" w:hAnsi="Calibri" w:cs="Calibri"/>
        </w:rPr>
      </w:pPr>
    </w:p>
    <w:p w14:paraId="1C64D2A6" w14:textId="77777777" w:rsidR="0067373B" w:rsidRPr="001C4B27" w:rsidRDefault="0067373B" w:rsidP="001C4B27">
      <w:pPr>
        <w:jc w:val="both"/>
        <w:rPr>
          <w:rFonts w:ascii="Calibri" w:hAnsi="Calibri" w:cs="Calibri"/>
        </w:rPr>
      </w:pPr>
    </w:p>
    <w:p w14:paraId="4C3B5215" w14:textId="77777777" w:rsidR="0080342B" w:rsidRPr="001C4B27" w:rsidRDefault="0080342B" w:rsidP="001C4B27">
      <w:pPr>
        <w:jc w:val="both"/>
        <w:rPr>
          <w:rFonts w:ascii="Calibri" w:hAnsi="Calibri" w:cs="Calibri"/>
        </w:rPr>
      </w:pPr>
    </w:p>
    <w:p w14:paraId="668C3966" w14:textId="48B3AF9A" w:rsidR="0003489D" w:rsidRPr="001C4B27" w:rsidRDefault="001204D6" w:rsidP="001C4B27">
      <w:pPr>
        <w:jc w:val="both"/>
        <w:rPr>
          <w:rFonts w:ascii="Calibri" w:hAnsi="Calibri" w:cs="Calibri"/>
        </w:rPr>
      </w:pPr>
      <w:r w:rsidRPr="001C4B27">
        <w:rPr>
          <w:rFonts w:ascii="Calibri" w:hAnsi="Calibri" w:cs="Calibri"/>
        </w:rPr>
        <w:t xml:space="preserve">The simplicity and ease of use of the but-for test would be a benefit. </w:t>
      </w:r>
      <w:r w:rsidR="0051589B" w:rsidRPr="001C4B27">
        <w:rPr>
          <w:rFonts w:ascii="Calibri" w:hAnsi="Calibri" w:cs="Calibri"/>
        </w:rPr>
        <w:t xml:space="preserve"> </w:t>
      </w:r>
      <w:r w:rsidRPr="001C4B27">
        <w:rPr>
          <w:rFonts w:ascii="Calibri" w:hAnsi="Calibri" w:cs="Calibri"/>
        </w:rPr>
        <w:t xml:space="preserve">It offers a simple standard for assessing when the person suing suffered injury as a result of the conduct of the conduct of the defendant. By showing an obvious association of what the accused did and the damage </w:t>
      </w:r>
      <w:r w:rsidR="0080342B" w:rsidRPr="001C4B27">
        <w:rPr>
          <w:rFonts w:ascii="Calibri" w:hAnsi="Calibri" w:cs="Calibri"/>
        </w:rPr>
        <w:t xml:space="preserve">that occurred, the test facilities the recognition and justification of the underlying cause in the courtroom. The test’s logical criteria, which is based only on whether or not the negative impact could have occurred if the party at fault reacted correctly instead of relying on personal concepts of familiarity and predictability, is another advantage. </w:t>
      </w:r>
      <w:r w:rsidR="00AD1CCC" w:rsidRPr="001C4B27">
        <w:rPr>
          <w:rFonts w:ascii="Calibri" w:hAnsi="Calibri" w:cs="Calibri"/>
        </w:rPr>
        <w:t xml:space="preserve">When evaluating complicated situations or those being sued, this information would be particularly beneficial. However, another benefit, is that it searches for a separate causal chain, preventing confusing and theoretical research. The person suing is able to prove the cause in fact if the parties can demonstrate that the harm suffered could not have taken place if the person responsible has not performed that particular </w:t>
      </w:r>
      <w:r w:rsidR="006A2D8A" w:rsidRPr="001C4B27">
        <w:rPr>
          <w:rFonts w:ascii="Calibri" w:hAnsi="Calibri" w:cs="Calibri"/>
        </w:rPr>
        <w:t>step. Therefore, a final benefit would be that, as a widely recognised standard, it offers stability across instances, which contributes to judicial stability. The criteria is used repeatedly and is acknowledged by magistrates, attorneys, and plain</w:t>
      </w:r>
      <w:r w:rsidR="00B702EF" w:rsidRPr="001C4B27">
        <w:rPr>
          <w:rFonts w:ascii="Calibri" w:hAnsi="Calibri" w:cs="Calibri"/>
        </w:rPr>
        <w:t xml:space="preserve">tiffs. </w:t>
      </w:r>
    </w:p>
    <w:p w14:paraId="1277EEC8" w14:textId="77777777" w:rsidR="00517977" w:rsidRPr="001C4B27" w:rsidRDefault="00517977" w:rsidP="001C4B27">
      <w:pPr>
        <w:jc w:val="both"/>
        <w:rPr>
          <w:rFonts w:ascii="Calibri" w:hAnsi="Calibri" w:cs="Calibri"/>
        </w:rPr>
      </w:pPr>
    </w:p>
    <w:p w14:paraId="0623F8BA" w14:textId="77777777" w:rsidR="00B4343A" w:rsidRPr="001C4B27" w:rsidRDefault="00B4343A" w:rsidP="001C4B27">
      <w:pPr>
        <w:jc w:val="both"/>
        <w:rPr>
          <w:rFonts w:ascii="Calibri" w:hAnsi="Calibri" w:cs="Calibri"/>
        </w:rPr>
      </w:pPr>
    </w:p>
    <w:p w14:paraId="6455FB2A" w14:textId="77777777" w:rsidR="00B4343A" w:rsidRPr="001C4B27" w:rsidRDefault="00B4343A" w:rsidP="001C4B27">
      <w:pPr>
        <w:jc w:val="both"/>
        <w:rPr>
          <w:rFonts w:ascii="Calibri" w:hAnsi="Calibri" w:cs="Calibri"/>
        </w:rPr>
      </w:pPr>
    </w:p>
    <w:p w14:paraId="1934E1A3" w14:textId="77777777" w:rsidR="00B702EF" w:rsidRPr="001C4B27" w:rsidRDefault="00B702EF" w:rsidP="001C4B27">
      <w:pPr>
        <w:jc w:val="both"/>
        <w:rPr>
          <w:rFonts w:ascii="Calibri" w:hAnsi="Calibri" w:cs="Calibri"/>
        </w:rPr>
      </w:pPr>
    </w:p>
    <w:p w14:paraId="2E5EBCF7" w14:textId="77777777" w:rsidR="00B702EF" w:rsidRPr="001C4B27" w:rsidRDefault="00B702EF" w:rsidP="001C4B27">
      <w:pPr>
        <w:jc w:val="both"/>
        <w:rPr>
          <w:rFonts w:ascii="Calibri" w:hAnsi="Calibri" w:cs="Calibri"/>
        </w:rPr>
      </w:pPr>
    </w:p>
    <w:p w14:paraId="7E448E57" w14:textId="77777777" w:rsidR="00B702EF" w:rsidRPr="001C4B27" w:rsidRDefault="00B702EF" w:rsidP="001C4B27">
      <w:pPr>
        <w:jc w:val="both"/>
        <w:rPr>
          <w:rFonts w:ascii="Calibri" w:hAnsi="Calibri" w:cs="Calibri"/>
        </w:rPr>
      </w:pPr>
    </w:p>
    <w:p w14:paraId="5BEAB0AB" w14:textId="21BC82A2" w:rsidR="00DB6DEC" w:rsidRPr="001C4B27" w:rsidRDefault="007D4D6E" w:rsidP="001C4B27">
      <w:pPr>
        <w:jc w:val="both"/>
        <w:rPr>
          <w:rFonts w:ascii="Calibri" w:hAnsi="Calibri" w:cs="Calibri"/>
        </w:rPr>
      </w:pPr>
      <w:r w:rsidRPr="001C4B27">
        <w:rPr>
          <w:rFonts w:ascii="Calibri" w:hAnsi="Calibri" w:cs="Calibri"/>
        </w:rPr>
        <w:t xml:space="preserve">Although the but-for test is often used, it has serious disadvantages, particularly in challenging circumstances in which there are additionally numerous factors that add to the suffering. One major problem is that the test has trouble when there are several activities involved in the damages. </w:t>
      </w:r>
      <w:r w:rsidR="004D2EB4" w:rsidRPr="001C4B27">
        <w:rPr>
          <w:rFonts w:ascii="Calibri" w:hAnsi="Calibri" w:cs="Calibri"/>
        </w:rPr>
        <w:t xml:space="preserve">Performing the but-for test may result in unequal or difficult implications if the accused person’s conduct represented one of many corresponding grounds of the wounds rather than the only one. </w:t>
      </w:r>
      <w:r w:rsidR="00DB6DEC" w:rsidRPr="001C4B27">
        <w:rPr>
          <w:rFonts w:ascii="Calibri" w:hAnsi="Calibri" w:cs="Calibri"/>
        </w:rPr>
        <w:t xml:space="preserve">As an example, consider the situation in which an individual is faced with a couple risky substances from two separate organisations, and these doses lead to the exact same sickness. Considering the disease might have been triggered by every interaction on its own, it might be tricky to carry out the but-for test carefully.  The important component test along with additional test along with additional methods are sometimes utilised by judges to tackle that, although the but-for test may not be suitable in such circumstances. </w:t>
      </w:r>
      <w:r w:rsidR="001852BD" w:rsidRPr="001C4B27">
        <w:rPr>
          <w:rFonts w:ascii="Calibri" w:hAnsi="Calibri" w:cs="Calibri"/>
        </w:rPr>
        <w:t xml:space="preserve">Additionally, the test may be excessively predictive. It may be challenging to figure out which act is the but-for cause when dealing with many possible ways that damage might have taken place, such as through various performers, or when there are complicated, immediately prior circumstances involved. </w:t>
      </w:r>
      <w:r w:rsidR="00CB7BD0" w:rsidRPr="001C4B27">
        <w:rPr>
          <w:rFonts w:ascii="Calibri" w:hAnsi="Calibri" w:cs="Calibri"/>
        </w:rPr>
        <w:t xml:space="preserve">Another drawback is that the test fails to consider if the defendant’s misconduct had predictable negative consequences. It is possible for an accused to be held accountable for an outcome that was not foreseen by someone with reasonable expectations. </w:t>
      </w:r>
      <w:r w:rsidR="00D30163" w:rsidRPr="001C4B27">
        <w:rPr>
          <w:rFonts w:ascii="Calibri" w:hAnsi="Calibri" w:cs="Calibri"/>
        </w:rPr>
        <w:t xml:space="preserve">Inequitable outcomes may arise from an imbalance between causality and predictability. </w:t>
      </w:r>
    </w:p>
    <w:p w14:paraId="56AAAE97" w14:textId="77777777" w:rsidR="001852BD" w:rsidRPr="001C4B27" w:rsidRDefault="001852BD" w:rsidP="001C4B27">
      <w:pPr>
        <w:jc w:val="both"/>
        <w:rPr>
          <w:rFonts w:ascii="Calibri" w:hAnsi="Calibri" w:cs="Calibri"/>
        </w:rPr>
      </w:pPr>
    </w:p>
    <w:p w14:paraId="1CF57EF3" w14:textId="77777777" w:rsidR="001852BD" w:rsidRPr="001C4B27" w:rsidRDefault="001852BD" w:rsidP="001C4B27">
      <w:pPr>
        <w:jc w:val="both"/>
        <w:rPr>
          <w:rFonts w:ascii="Calibri" w:hAnsi="Calibri" w:cs="Calibri"/>
        </w:rPr>
      </w:pPr>
    </w:p>
    <w:p w14:paraId="4445E714" w14:textId="77777777" w:rsidR="001852BD" w:rsidRPr="001C4B27" w:rsidRDefault="001852BD" w:rsidP="001C4B27">
      <w:pPr>
        <w:jc w:val="both"/>
        <w:rPr>
          <w:rFonts w:ascii="Calibri" w:hAnsi="Calibri" w:cs="Calibri"/>
        </w:rPr>
      </w:pPr>
    </w:p>
    <w:p w14:paraId="51EFF962" w14:textId="2C6056BE" w:rsidR="00723F11" w:rsidRPr="001C4B27" w:rsidRDefault="00D30163" w:rsidP="001C4B27">
      <w:pPr>
        <w:jc w:val="both"/>
        <w:rPr>
          <w:rFonts w:ascii="Calibri" w:hAnsi="Calibri" w:cs="Calibri"/>
        </w:rPr>
      </w:pPr>
      <w:r w:rsidRPr="001C4B27">
        <w:rPr>
          <w:rFonts w:ascii="Calibri" w:hAnsi="Calibri" w:cs="Calibri"/>
        </w:rPr>
        <w:t xml:space="preserve">A specific reform </w:t>
      </w:r>
      <w:r w:rsidR="00306E40" w:rsidRPr="001C4B27">
        <w:rPr>
          <w:rFonts w:ascii="Calibri" w:hAnsi="Calibri" w:cs="Calibri"/>
        </w:rPr>
        <w:t xml:space="preserve">is for judges to adopt a more accommodating position on a link between variable especially where there are several relevant circumstances. </w:t>
      </w:r>
      <w:r w:rsidR="00BE775B" w:rsidRPr="001C4B27">
        <w:rPr>
          <w:rFonts w:ascii="Calibri" w:hAnsi="Calibri" w:cs="Calibri"/>
        </w:rPr>
        <w:t xml:space="preserve">The actual contribution or considerable feature examinations may be used more frequently when the but-for test is not </w:t>
      </w:r>
      <w:r w:rsidR="00BE775B" w:rsidRPr="001C4B27">
        <w:rPr>
          <w:rFonts w:ascii="Calibri" w:hAnsi="Calibri" w:cs="Calibri"/>
        </w:rPr>
        <w:lastRenderedPageBreak/>
        <w:t xml:space="preserve">enough. </w:t>
      </w:r>
      <w:r w:rsidR="007414CD" w:rsidRPr="001C4B27">
        <w:rPr>
          <w:rFonts w:ascii="Calibri" w:hAnsi="Calibri" w:cs="Calibri"/>
        </w:rPr>
        <w:t>Another reform concept is that although predictability is commonly taken into account in proximal causation, it may be more in line with equity and logical judgements if predicted outcomes were more clearly integrated into the factual causa</w:t>
      </w:r>
      <w:r w:rsidR="00296051" w:rsidRPr="001C4B27">
        <w:rPr>
          <w:rFonts w:ascii="Calibri" w:hAnsi="Calibri" w:cs="Calibri"/>
        </w:rPr>
        <w:t xml:space="preserve">tion analysis. </w:t>
      </w:r>
      <w:r w:rsidR="00723F11" w:rsidRPr="001C4B27">
        <w:rPr>
          <w:rFonts w:ascii="Calibri" w:hAnsi="Calibri" w:cs="Calibri"/>
        </w:rPr>
        <w:t xml:space="preserve">One further idea suggestion to reform is to encourage expert evidence for matters with complicated causation, such as negligence in medicine or environmental damage, in order to help legal systems figure out the complicated causal links and reach more accurate verdicts. </w:t>
      </w:r>
    </w:p>
    <w:p w14:paraId="572BABDD" w14:textId="77777777" w:rsidR="001852BD" w:rsidRPr="001C4B27" w:rsidRDefault="001852BD" w:rsidP="001C4B27">
      <w:pPr>
        <w:jc w:val="both"/>
        <w:rPr>
          <w:rFonts w:ascii="Calibri" w:hAnsi="Calibri" w:cs="Calibri"/>
        </w:rPr>
      </w:pPr>
    </w:p>
    <w:p w14:paraId="4F6DF397" w14:textId="77777777" w:rsidR="00B4343A" w:rsidRPr="001C4B27" w:rsidRDefault="00B4343A" w:rsidP="001C4B27">
      <w:pPr>
        <w:jc w:val="both"/>
        <w:rPr>
          <w:rFonts w:ascii="Calibri" w:hAnsi="Calibri" w:cs="Calibri"/>
        </w:rPr>
      </w:pPr>
    </w:p>
    <w:p w14:paraId="283F864F" w14:textId="77777777" w:rsidR="00B4343A" w:rsidRPr="001C4B27" w:rsidRDefault="00B4343A" w:rsidP="001C4B27">
      <w:pPr>
        <w:jc w:val="both"/>
        <w:rPr>
          <w:rFonts w:ascii="Calibri" w:hAnsi="Calibri" w:cs="Calibri"/>
        </w:rPr>
      </w:pPr>
    </w:p>
    <w:p w14:paraId="14DCDEC4" w14:textId="77777777" w:rsidR="00B4343A" w:rsidRPr="001C4B27" w:rsidRDefault="00B4343A" w:rsidP="001C4B27">
      <w:pPr>
        <w:jc w:val="both"/>
        <w:rPr>
          <w:rFonts w:ascii="Calibri" w:hAnsi="Calibri" w:cs="Calibri"/>
        </w:rPr>
      </w:pPr>
    </w:p>
    <w:p w14:paraId="4F906D29" w14:textId="77777777" w:rsidR="00B4343A" w:rsidRPr="001C4B27" w:rsidRDefault="00B4343A" w:rsidP="001C4B27">
      <w:pPr>
        <w:jc w:val="both"/>
        <w:rPr>
          <w:rFonts w:ascii="Calibri" w:hAnsi="Calibri" w:cs="Calibri"/>
        </w:rPr>
      </w:pPr>
    </w:p>
    <w:p w14:paraId="09972CA3" w14:textId="7F350FEE" w:rsidR="00AB4C34" w:rsidRPr="001C4B27" w:rsidRDefault="004465D9" w:rsidP="001C4B27">
      <w:pPr>
        <w:jc w:val="both"/>
        <w:rPr>
          <w:rFonts w:ascii="Calibri" w:hAnsi="Calibri" w:cs="Calibri"/>
        </w:rPr>
      </w:pPr>
      <w:r w:rsidRPr="001C4B27">
        <w:rPr>
          <w:rFonts w:ascii="Calibri" w:hAnsi="Calibri" w:cs="Calibri"/>
        </w:rPr>
        <w:t xml:space="preserve">According to the concept of tort law, </w:t>
      </w:r>
      <w:r w:rsidR="009C4AF2" w:rsidRPr="001C4B27">
        <w:rPr>
          <w:rFonts w:ascii="Calibri" w:hAnsi="Calibri" w:cs="Calibri"/>
        </w:rPr>
        <w:t xml:space="preserve">also known as the thin skull rule, an aggressor is legally responsible for whatever damage was made to a suer, regardless of whether the suer had a previous medical state or fragility that made the injury even worse than might have been for an ordinary individual. </w:t>
      </w:r>
      <w:r w:rsidR="00AB4C34" w:rsidRPr="001C4B27">
        <w:rPr>
          <w:rFonts w:ascii="Calibri" w:hAnsi="Calibri" w:cs="Calibri"/>
        </w:rPr>
        <w:t xml:space="preserve">The rule prevents the defendant from stating that an individual of ordinary capacity or well-being would have suffered a less serious wound. In other words, the accused is responsible for every aspect and extent of the trauma, regardless of how excessively awful it is for the person </w:t>
      </w:r>
      <w:r w:rsidR="00507010" w:rsidRPr="001C4B27">
        <w:rPr>
          <w:rFonts w:ascii="Calibri" w:hAnsi="Calibri" w:cs="Calibri"/>
        </w:rPr>
        <w:t>involved and</w:t>
      </w:r>
      <w:r w:rsidR="00AB4C34" w:rsidRPr="001C4B27">
        <w:rPr>
          <w:rFonts w:ascii="Calibri" w:hAnsi="Calibri" w:cs="Calibri"/>
        </w:rPr>
        <w:t xml:space="preserve"> has to deal with the victim no matter how they find them. </w:t>
      </w:r>
    </w:p>
    <w:p w14:paraId="50D6884D" w14:textId="77777777" w:rsidR="00507010" w:rsidRPr="001C4B27" w:rsidRDefault="00507010" w:rsidP="001C4B27">
      <w:pPr>
        <w:jc w:val="both"/>
        <w:rPr>
          <w:rFonts w:ascii="Calibri" w:hAnsi="Calibri" w:cs="Calibri"/>
        </w:rPr>
      </w:pPr>
    </w:p>
    <w:p w14:paraId="65D1CDE1" w14:textId="77777777" w:rsidR="00507010" w:rsidRPr="001C4B27" w:rsidRDefault="00507010" w:rsidP="001C4B27">
      <w:pPr>
        <w:jc w:val="both"/>
        <w:rPr>
          <w:rFonts w:ascii="Calibri" w:hAnsi="Calibri" w:cs="Calibri"/>
        </w:rPr>
      </w:pPr>
    </w:p>
    <w:p w14:paraId="2E057D2C" w14:textId="77777777" w:rsidR="00507010" w:rsidRPr="001C4B27" w:rsidRDefault="00507010" w:rsidP="001C4B27">
      <w:pPr>
        <w:jc w:val="both"/>
        <w:rPr>
          <w:rFonts w:ascii="Calibri" w:hAnsi="Calibri" w:cs="Calibri"/>
        </w:rPr>
      </w:pPr>
    </w:p>
    <w:p w14:paraId="3D11694E" w14:textId="77777777" w:rsidR="009D3BEA" w:rsidRPr="001C4B27" w:rsidRDefault="00507010" w:rsidP="001C4B27">
      <w:pPr>
        <w:jc w:val="both"/>
        <w:rPr>
          <w:rFonts w:ascii="Calibri" w:hAnsi="Calibri" w:cs="Calibri"/>
        </w:rPr>
      </w:pPr>
      <w:r w:rsidRPr="001C4B27">
        <w:rPr>
          <w:rFonts w:ascii="Calibri" w:hAnsi="Calibri" w:cs="Calibri"/>
        </w:rPr>
        <w:t xml:space="preserve">One benefit is that, regardless any medical history, the regulation guarantees those who are hurt full recompense for the harm they have suffered. Due to the fact that the victim particularly at risk and the negligence of the defendant brought on the damage, this is considered as equal. </w:t>
      </w:r>
      <w:r w:rsidR="00D94E7C" w:rsidRPr="001C4B27">
        <w:rPr>
          <w:rFonts w:ascii="Calibri" w:hAnsi="Calibri" w:cs="Calibri"/>
        </w:rPr>
        <w:t>Another benefit is that the person being accused cannot evade guild by alleging that the innocent person was especially powerless or unprotected. However, the thin skull rule also encourages integrity by making sure the offender is held entirely liable for what they have done. Therefore, one more adv</w:t>
      </w:r>
      <w:r w:rsidR="0084005A" w:rsidRPr="001C4B27">
        <w:rPr>
          <w:rFonts w:ascii="Calibri" w:hAnsi="Calibri" w:cs="Calibri"/>
        </w:rPr>
        <w:t xml:space="preserve">antage of the rule is that it makes the public and corporations less impulsive since they know they could be held accountable for any trauma, even if the damages suffered by the victim are more serious than anticipated. </w:t>
      </w:r>
    </w:p>
    <w:p w14:paraId="389F2611" w14:textId="77777777" w:rsidR="009D3BEA" w:rsidRPr="001C4B27" w:rsidRDefault="009D3BEA" w:rsidP="001C4B27">
      <w:pPr>
        <w:jc w:val="both"/>
        <w:rPr>
          <w:rFonts w:ascii="Calibri" w:hAnsi="Calibri" w:cs="Calibri"/>
        </w:rPr>
      </w:pPr>
    </w:p>
    <w:p w14:paraId="075EE888" w14:textId="77777777" w:rsidR="009D3BEA" w:rsidRPr="001C4B27" w:rsidRDefault="009D3BEA" w:rsidP="001C4B27">
      <w:pPr>
        <w:jc w:val="both"/>
        <w:rPr>
          <w:rFonts w:ascii="Calibri" w:hAnsi="Calibri" w:cs="Calibri"/>
        </w:rPr>
      </w:pPr>
    </w:p>
    <w:p w14:paraId="54E55A05" w14:textId="77777777" w:rsidR="009D3BEA" w:rsidRPr="001C4B27" w:rsidRDefault="009D3BEA" w:rsidP="001C4B27">
      <w:pPr>
        <w:jc w:val="both"/>
        <w:rPr>
          <w:rFonts w:ascii="Calibri" w:hAnsi="Calibri" w:cs="Calibri"/>
        </w:rPr>
      </w:pPr>
    </w:p>
    <w:p w14:paraId="45DCF90D" w14:textId="356A901A" w:rsidR="009D3BEA" w:rsidRPr="001C4B27" w:rsidRDefault="0084005A" w:rsidP="001C4B27">
      <w:pPr>
        <w:jc w:val="both"/>
        <w:rPr>
          <w:rFonts w:ascii="Calibri" w:hAnsi="Calibri" w:cs="Calibri"/>
        </w:rPr>
      </w:pPr>
      <w:r w:rsidRPr="001C4B27">
        <w:rPr>
          <w:rFonts w:ascii="Calibri" w:hAnsi="Calibri" w:cs="Calibri"/>
        </w:rPr>
        <w:t xml:space="preserve">One of the primary issues to the thin skull rule is that it could subject the defendant to unfair obligation, especially in situations when the injury committed id more than what </w:t>
      </w:r>
      <w:r w:rsidR="009F4DB4" w:rsidRPr="001C4B27">
        <w:rPr>
          <w:rFonts w:ascii="Calibri" w:hAnsi="Calibri" w:cs="Calibri"/>
        </w:rPr>
        <w:t>a</w:t>
      </w:r>
      <w:r w:rsidRPr="001C4B27">
        <w:rPr>
          <w:rFonts w:ascii="Calibri" w:hAnsi="Calibri" w:cs="Calibri"/>
        </w:rPr>
        <w:t xml:space="preserve"> typical individual might have encountered. </w:t>
      </w:r>
      <w:r w:rsidR="009F4DB4" w:rsidRPr="001C4B27">
        <w:rPr>
          <w:rFonts w:ascii="Calibri" w:hAnsi="Calibri" w:cs="Calibri"/>
        </w:rPr>
        <w:t xml:space="preserve">Another key issue is that some argue that the law may be cruel to those being sued, in particular when the damage caused is far more serious than what can possibly be predicted. </w:t>
      </w:r>
      <w:r w:rsidR="009D3BEA" w:rsidRPr="001C4B27">
        <w:rPr>
          <w:rFonts w:ascii="Calibri" w:hAnsi="Calibri" w:cs="Calibri"/>
        </w:rPr>
        <w:t xml:space="preserve">One reform idea would be to limit responsibility in serious instances in which the damage caused to the plaintiff is proportional to the defendant’s acts. A second reform idea is the thin skull rule, which clearly eliminates the need that the specific injury be predictable; providing a certain amount of predictability might represent an alternative. </w:t>
      </w:r>
      <w:r w:rsidR="007D215E" w:rsidRPr="001C4B27">
        <w:rPr>
          <w:rFonts w:ascii="Calibri" w:hAnsi="Calibri" w:cs="Calibri"/>
        </w:rPr>
        <w:t xml:space="preserve">A further suggestion for reform is the possibility of using a shared liability plan in situations </w:t>
      </w:r>
      <w:r w:rsidR="00E9165D" w:rsidRPr="001C4B27">
        <w:rPr>
          <w:rFonts w:ascii="Calibri" w:hAnsi="Calibri" w:cs="Calibri"/>
        </w:rPr>
        <w:t xml:space="preserve">when the plaintiff’s state leads the harm to be exceptionally extreme. </w:t>
      </w:r>
    </w:p>
    <w:p w14:paraId="754685F2" w14:textId="77777777" w:rsidR="00E9165D" w:rsidRPr="001C4B27" w:rsidRDefault="00E9165D" w:rsidP="001C4B27">
      <w:pPr>
        <w:jc w:val="both"/>
        <w:rPr>
          <w:rFonts w:ascii="Calibri" w:hAnsi="Calibri" w:cs="Calibri"/>
        </w:rPr>
      </w:pPr>
    </w:p>
    <w:p w14:paraId="2CBC601C" w14:textId="396BAD03" w:rsidR="002873E6" w:rsidRPr="001C4B27" w:rsidRDefault="002873E6" w:rsidP="001C4B27">
      <w:pPr>
        <w:jc w:val="both"/>
        <w:rPr>
          <w:rFonts w:ascii="Calibri" w:hAnsi="Calibri" w:cs="Calibri"/>
        </w:rPr>
      </w:pPr>
      <w:r w:rsidRPr="001C4B27">
        <w:rPr>
          <w:rFonts w:ascii="Calibri" w:hAnsi="Calibri" w:cs="Calibri"/>
        </w:rPr>
        <w:t xml:space="preserve">In conclusion, the duty of care creates a responsibility to prevent damage, and when that responsibility is broken and outcomes, it is a breach. Legal causation assesses accountability, </w:t>
      </w:r>
      <w:r w:rsidRPr="001C4B27">
        <w:rPr>
          <w:rFonts w:ascii="Calibri" w:hAnsi="Calibri" w:cs="Calibri"/>
        </w:rPr>
        <w:lastRenderedPageBreak/>
        <w:t xml:space="preserve">while factual causation, such as the but-for test, establishes a connection </w:t>
      </w:r>
      <w:r w:rsidR="00593199" w:rsidRPr="001C4B27">
        <w:rPr>
          <w:rFonts w:ascii="Calibri" w:hAnsi="Calibri" w:cs="Calibri"/>
        </w:rPr>
        <w:t xml:space="preserve">between the offence and the injury. Despite its importance the but-for test has drawbacks, particularly in complicated situations, which calls for changes such as the key test. </w:t>
      </w:r>
      <w:r w:rsidR="002156B7" w:rsidRPr="001C4B27">
        <w:rPr>
          <w:rFonts w:ascii="Calibri" w:hAnsi="Calibri" w:cs="Calibri"/>
        </w:rPr>
        <w:t xml:space="preserve">The thin skull rule encourages equity by guaranteeing complete accountability for any harm that occurs, regardless of the person’s weaknesses. However, it may result in overwhelming guilt, which calls for prospective modifications. </w:t>
      </w:r>
    </w:p>
    <w:p w14:paraId="0B6349A2" w14:textId="77777777" w:rsidR="009F4DB4" w:rsidRPr="001C4B27" w:rsidRDefault="009F4DB4" w:rsidP="001C4B27">
      <w:pPr>
        <w:jc w:val="both"/>
        <w:rPr>
          <w:rFonts w:ascii="Calibri" w:hAnsi="Calibri" w:cs="Calibri"/>
        </w:rPr>
      </w:pPr>
    </w:p>
    <w:p w14:paraId="2C40AB60" w14:textId="77777777" w:rsidR="009F4DB4" w:rsidRPr="001C4B27" w:rsidRDefault="009F4DB4" w:rsidP="001C4B27">
      <w:pPr>
        <w:jc w:val="both"/>
        <w:rPr>
          <w:rFonts w:ascii="Calibri" w:hAnsi="Calibri" w:cs="Calibri"/>
        </w:rPr>
      </w:pPr>
    </w:p>
    <w:p w14:paraId="0E766A20" w14:textId="77777777" w:rsidR="009F4DB4" w:rsidRPr="001C4B27" w:rsidRDefault="009F4DB4" w:rsidP="001C4B27">
      <w:pPr>
        <w:jc w:val="both"/>
        <w:rPr>
          <w:rFonts w:ascii="Calibri" w:hAnsi="Calibri" w:cs="Calibri"/>
        </w:rPr>
      </w:pPr>
    </w:p>
    <w:p w14:paraId="0C51B662" w14:textId="77777777" w:rsidR="009F4DB4" w:rsidRPr="001C4B27" w:rsidRDefault="009F4DB4" w:rsidP="001C4B27">
      <w:pPr>
        <w:jc w:val="both"/>
        <w:rPr>
          <w:rFonts w:ascii="Calibri" w:hAnsi="Calibri" w:cs="Calibri"/>
        </w:rPr>
      </w:pPr>
    </w:p>
    <w:p w14:paraId="30A741B1" w14:textId="77777777" w:rsidR="00B4343A" w:rsidRPr="001C4B27" w:rsidRDefault="00B4343A" w:rsidP="001C4B27">
      <w:pPr>
        <w:jc w:val="both"/>
        <w:rPr>
          <w:rFonts w:ascii="Calibri" w:hAnsi="Calibri" w:cs="Calibri"/>
        </w:rPr>
      </w:pPr>
    </w:p>
    <w:p w14:paraId="0E6BBA54" w14:textId="77777777" w:rsidR="002156B7" w:rsidRPr="001C4B27" w:rsidRDefault="002156B7" w:rsidP="001C4B27">
      <w:pPr>
        <w:jc w:val="both"/>
        <w:rPr>
          <w:rFonts w:ascii="Calibri" w:hAnsi="Calibri" w:cs="Calibri"/>
        </w:rPr>
      </w:pPr>
    </w:p>
    <w:p w14:paraId="54CEF491" w14:textId="3E1B27F3" w:rsidR="002156B7" w:rsidRPr="001C4B27" w:rsidRDefault="002156B7" w:rsidP="001C4B27">
      <w:pPr>
        <w:jc w:val="both"/>
        <w:rPr>
          <w:rFonts w:ascii="Calibri" w:hAnsi="Calibri" w:cs="Calibri"/>
        </w:rPr>
      </w:pPr>
      <w:r w:rsidRPr="001C4B27">
        <w:rPr>
          <w:rFonts w:ascii="Calibri" w:hAnsi="Calibri" w:cs="Calibri"/>
        </w:rPr>
        <w:t xml:space="preserve">References: </w:t>
      </w:r>
    </w:p>
    <w:p w14:paraId="3370CBFA" w14:textId="77777777" w:rsidR="002156B7" w:rsidRPr="001C4B27" w:rsidRDefault="002156B7" w:rsidP="001C4B27">
      <w:pPr>
        <w:jc w:val="both"/>
        <w:rPr>
          <w:rFonts w:ascii="Calibri" w:hAnsi="Calibri" w:cs="Calibri"/>
        </w:rPr>
      </w:pPr>
    </w:p>
    <w:p w14:paraId="12907A02" w14:textId="14268A13" w:rsidR="002156B7" w:rsidRPr="001C4B27" w:rsidRDefault="002156B7" w:rsidP="001C4B27">
      <w:pPr>
        <w:jc w:val="both"/>
        <w:rPr>
          <w:rFonts w:ascii="Calibri" w:hAnsi="Calibri" w:cs="Calibri"/>
        </w:rPr>
      </w:pPr>
      <w:r w:rsidRPr="002156B7">
        <w:rPr>
          <w:rFonts w:ascii="Calibri" w:hAnsi="Calibri" w:cs="Calibri"/>
        </w:rPr>
        <w:t>Renaut, B. (n.d.). What is Duty of Care? Internationalsos.com. Retrieved 8 November 2024</w:t>
      </w:r>
      <w:r w:rsidRPr="001C4B27">
        <w:rPr>
          <w:rFonts w:ascii="Calibri" w:hAnsi="Calibri" w:cs="Calibri"/>
        </w:rPr>
        <w:t xml:space="preserve"> </w:t>
      </w:r>
    </w:p>
    <w:p w14:paraId="0C5CC541" w14:textId="77777777" w:rsidR="002156B7" w:rsidRPr="001C4B27" w:rsidRDefault="002156B7" w:rsidP="001C4B27">
      <w:pPr>
        <w:jc w:val="both"/>
        <w:rPr>
          <w:rFonts w:ascii="Calibri" w:hAnsi="Calibri" w:cs="Calibri"/>
        </w:rPr>
      </w:pPr>
    </w:p>
    <w:p w14:paraId="23C1DEDD" w14:textId="01F23FDA" w:rsidR="002156B7" w:rsidRPr="001C4B27" w:rsidRDefault="002156B7" w:rsidP="001C4B27">
      <w:pPr>
        <w:jc w:val="both"/>
        <w:rPr>
          <w:rFonts w:ascii="Calibri" w:hAnsi="Calibri" w:cs="Calibri"/>
        </w:rPr>
      </w:pPr>
      <w:hyperlink r:id="rId6" w:history="1">
        <w:r w:rsidRPr="001C4B27">
          <w:rPr>
            <w:rStyle w:val="Hyperlink"/>
            <w:rFonts w:ascii="Calibri" w:hAnsi="Calibri" w:cs="Calibri"/>
          </w:rPr>
          <w:t>https://www.internationalsos.com/insights/what-is-duty-of-care</w:t>
        </w:r>
      </w:hyperlink>
    </w:p>
    <w:p w14:paraId="7EA44341" w14:textId="77777777" w:rsidR="002156B7" w:rsidRPr="001C4B27" w:rsidRDefault="002156B7" w:rsidP="001C4B27">
      <w:pPr>
        <w:jc w:val="both"/>
        <w:rPr>
          <w:rFonts w:ascii="Calibri" w:hAnsi="Calibri" w:cs="Calibri"/>
        </w:rPr>
      </w:pPr>
    </w:p>
    <w:p w14:paraId="04510313" w14:textId="77777777" w:rsidR="002156B7" w:rsidRPr="001C4B27" w:rsidRDefault="002156B7" w:rsidP="001C4B27">
      <w:pPr>
        <w:jc w:val="both"/>
        <w:rPr>
          <w:rFonts w:ascii="Calibri" w:hAnsi="Calibri" w:cs="Calibri"/>
        </w:rPr>
      </w:pPr>
    </w:p>
    <w:p w14:paraId="74387A54" w14:textId="7A22248F" w:rsidR="002156B7" w:rsidRPr="002156B7" w:rsidRDefault="002156B7" w:rsidP="001C4B27">
      <w:pPr>
        <w:jc w:val="both"/>
        <w:rPr>
          <w:rFonts w:ascii="Calibri" w:hAnsi="Calibri" w:cs="Calibri"/>
        </w:rPr>
      </w:pPr>
      <w:r w:rsidRPr="002156B7">
        <w:rPr>
          <w:rFonts w:ascii="Calibri" w:hAnsi="Calibri" w:cs="Calibri"/>
        </w:rPr>
        <w:t>Buckley, R. A. (2019, October 22). Negligence—when is the duty of care breached? </w:t>
      </w:r>
    </w:p>
    <w:p w14:paraId="18C27FF3" w14:textId="77777777" w:rsidR="002156B7" w:rsidRPr="001C4B27" w:rsidRDefault="002156B7" w:rsidP="001C4B27">
      <w:pPr>
        <w:jc w:val="both"/>
        <w:rPr>
          <w:rFonts w:ascii="Calibri" w:hAnsi="Calibri" w:cs="Calibri"/>
        </w:rPr>
      </w:pPr>
    </w:p>
    <w:p w14:paraId="134035D4" w14:textId="77777777" w:rsidR="002156B7" w:rsidRPr="001C4B27" w:rsidRDefault="002156B7" w:rsidP="001C4B27">
      <w:pPr>
        <w:jc w:val="both"/>
        <w:rPr>
          <w:rFonts w:ascii="Calibri" w:hAnsi="Calibri" w:cs="Calibri"/>
        </w:rPr>
      </w:pPr>
    </w:p>
    <w:p w14:paraId="2FAEC2A7" w14:textId="1C656DFF" w:rsidR="002156B7" w:rsidRPr="001C4B27" w:rsidRDefault="002156B7" w:rsidP="001C4B27">
      <w:pPr>
        <w:jc w:val="both"/>
        <w:rPr>
          <w:rFonts w:ascii="Calibri" w:hAnsi="Calibri" w:cs="Calibri"/>
        </w:rPr>
      </w:pPr>
      <w:hyperlink r:id="rId7" w:history="1">
        <w:r w:rsidRPr="001C4B27">
          <w:rPr>
            <w:rStyle w:val="Hyperlink"/>
            <w:rFonts w:ascii="Calibri" w:hAnsi="Calibri" w:cs="Calibri"/>
          </w:rPr>
          <w:t>https://www.lexisnexis.co.uk/legal/guidance/negligence-when-is-the-duty-of-care-breached</w:t>
        </w:r>
      </w:hyperlink>
    </w:p>
    <w:p w14:paraId="1202CA30" w14:textId="77777777" w:rsidR="002156B7" w:rsidRPr="001C4B27" w:rsidRDefault="002156B7" w:rsidP="001C4B27">
      <w:pPr>
        <w:jc w:val="both"/>
        <w:rPr>
          <w:rFonts w:ascii="Calibri" w:hAnsi="Calibri" w:cs="Calibri"/>
        </w:rPr>
      </w:pPr>
    </w:p>
    <w:p w14:paraId="05D8401D" w14:textId="77777777" w:rsidR="002156B7" w:rsidRPr="001C4B27" w:rsidRDefault="002156B7" w:rsidP="001C4B27">
      <w:pPr>
        <w:jc w:val="both"/>
        <w:rPr>
          <w:rFonts w:ascii="Calibri" w:hAnsi="Calibri" w:cs="Calibri"/>
        </w:rPr>
      </w:pPr>
    </w:p>
    <w:p w14:paraId="5BA7D792" w14:textId="77777777" w:rsidR="002156B7" w:rsidRPr="001C4B27" w:rsidRDefault="002156B7" w:rsidP="001C4B27">
      <w:pPr>
        <w:jc w:val="both"/>
        <w:rPr>
          <w:rFonts w:ascii="Calibri" w:hAnsi="Calibri" w:cs="Calibri"/>
        </w:rPr>
      </w:pPr>
    </w:p>
    <w:p w14:paraId="73B25C0C" w14:textId="06FCC6E2" w:rsidR="002156B7" w:rsidRPr="001C4B27" w:rsidRDefault="002156B7" w:rsidP="001C4B27">
      <w:pPr>
        <w:jc w:val="both"/>
        <w:rPr>
          <w:rFonts w:ascii="Calibri" w:hAnsi="Calibri" w:cs="Calibri"/>
        </w:rPr>
      </w:pPr>
      <w:r w:rsidRPr="001C4B27">
        <w:rPr>
          <w:rFonts w:ascii="Calibri" w:hAnsi="Calibri" w:cs="Calibri"/>
        </w:rPr>
        <w:t>Breach of duty of care lecture. (n.d.). Lawteacher.net. Retrieved 8 November 2024</w:t>
      </w:r>
    </w:p>
    <w:p w14:paraId="48C3F4E0" w14:textId="77777777" w:rsidR="002156B7" w:rsidRPr="001C4B27" w:rsidRDefault="002156B7" w:rsidP="001C4B27">
      <w:pPr>
        <w:jc w:val="both"/>
        <w:rPr>
          <w:rFonts w:ascii="Calibri" w:hAnsi="Calibri" w:cs="Calibri"/>
        </w:rPr>
      </w:pPr>
    </w:p>
    <w:p w14:paraId="5AEFA201" w14:textId="19C2804B" w:rsidR="002156B7" w:rsidRPr="001C4B27" w:rsidRDefault="002156B7" w:rsidP="001C4B27">
      <w:pPr>
        <w:jc w:val="both"/>
        <w:rPr>
          <w:rFonts w:ascii="Calibri" w:hAnsi="Calibri" w:cs="Calibri"/>
        </w:rPr>
      </w:pPr>
      <w:hyperlink r:id="rId8" w:history="1">
        <w:r w:rsidRPr="001C4B27">
          <w:rPr>
            <w:rStyle w:val="Hyperlink"/>
            <w:rFonts w:ascii="Calibri" w:hAnsi="Calibri" w:cs="Calibri"/>
          </w:rPr>
          <w:t>https://www.lawteacher.net/lectures/tort-law/negligence/breach-of-duty/</w:t>
        </w:r>
      </w:hyperlink>
    </w:p>
    <w:p w14:paraId="67FC29A2" w14:textId="77777777" w:rsidR="002156B7" w:rsidRPr="001C4B27" w:rsidRDefault="002156B7" w:rsidP="001C4B27">
      <w:pPr>
        <w:jc w:val="both"/>
        <w:rPr>
          <w:rFonts w:ascii="Calibri" w:hAnsi="Calibri" w:cs="Calibri"/>
        </w:rPr>
      </w:pPr>
    </w:p>
    <w:p w14:paraId="629F1236" w14:textId="77777777" w:rsidR="002156B7" w:rsidRPr="001C4B27" w:rsidRDefault="002156B7" w:rsidP="001C4B27">
      <w:pPr>
        <w:jc w:val="both"/>
        <w:rPr>
          <w:rFonts w:ascii="Calibri" w:hAnsi="Calibri" w:cs="Calibri"/>
        </w:rPr>
      </w:pPr>
    </w:p>
    <w:p w14:paraId="7BE35A63" w14:textId="77777777" w:rsidR="002156B7" w:rsidRPr="001C4B27" w:rsidRDefault="002156B7" w:rsidP="001C4B27">
      <w:pPr>
        <w:jc w:val="both"/>
        <w:rPr>
          <w:rFonts w:ascii="Calibri" w:hAnsi="Calibri" w:cs="Calibri"/>
        </w:rPr>
      </w:pPr>
    </w:p>
    <w:p w14:paraId="65A61222" w14:textId="223C8DCB" w:rsidR="002156B7" w:rsidRPr="001C4B27" w:rsidRDefault="002156B7" w:rsidP="001C4B27">
      <w:pPr>
        <w:jc w:val="both"/>
        <w:rPr>
          <w:rFonts w:ascii="Calibri" w:hAnsi="Calibri" w:cs="Calibri"/>
        </w:rPr>
      </w:pPr>
      <w:r w:rsidRPr="002156B7">
        <w:rPr>
          <w:rFonts w:ascii="Calibri" w:hAnsi="Calibri" w:cs="Calibri"/>
        </w:rPr>
        <w:t>Causation Definition. (n.d.). Lexisnexis.co.uk. Retrieved 8 November 2024</w:t>
      </w:r>
    </w:p>
    <w:p w14:paraId="2D4D22B8" w14:textId="77777777" w:rsidR="002156B7" w:rsidRPr="001C4B27" w:rsidRDefault="002156B7" w:rsidP="001C4B27">
      <w:pPr>
        <w:jc w:val="both"/>
        <w:rPr>
          <w:rFonts w:ascii="Calibri" w:hAnsi="Calibri" w:cs="Calibri"/>
        </w:rPr>
      </w:pPr>
    </w:p>
    <w:p w14:paraId="35366DF3" w14:textId="77777777" w:rsidR="002156B7" w:rsidRPr="001C4B27" w:rsidRDefault="002156B7" w:rsidP="001C4B27">
      <w:pPr>
        <w:jc w:val="both"/>
        <w:rPr>
          <w:rFonts w:ascii="Calibri" w:hAnsi="Calibri" w:cs="Calibri"/>
        </w:rPr>
      </w:pPr>
      <w:hyperlink r:id="rId9" w:history="1">
        <w:r w:rsidRPr="002156B7">
          <w:rPr>
            <w:rStyle w:val="Hyperlink"/>
            <w:rFonts w:ascii="Calibri" w:hAnsi="Calibri" w:cs="Calibri"/>
          </w:rPr>
          <w:t>https://www.lexisnexis.co.uk/legal/glossary/causation</w:t>
        </w:r>
      </w:hyperlink>
    </w:p>
    <w:p w14:paraId="5BF2FF44" w14:textId="77777777" w:rsidR="002156B7" w:rsidRPr="001C4B27" w:rsidRDefault="002156B7" w:rsidP="001C4B27">
      <w:pPr>
        <w:jc w:val="both"/>
        <w:rPr>
          <w:rFonts w:ascii="Calibri" w:hAnsi="Calibri" w:cs="Calibri"/>
        </w:rPr>
      </w:pPr>
    </w:p>
    <w:p w14:paraId="37069F4C" w14:textId="77777777" w:rsidR="002156B7" w:rsidRPr="001C4B27" w:rsidRDefault="002156B7" w:rsidP="001C4B27">
      <w:pPr>
        <w:jc w:val="both"/>
        <w:rPr>
          <w:rFonts w:ascii="Calibri" w:hAnsi="Calibri" w:cs="Calibri"/>
        </w:rPr>
      </w:pPr>
    </w:p>
    <w:p w14:paraId="493F7DFE" w14:textId="77777777" w:rsidR="002156B7" w:rsidRPr="001C4B27" w:rsidRDefault="002156B7" w:rsidP="001C4B27">
      <w:pPr>
        <w:jc w:val="both"/>
        <w:rPr>
          <w:rFonts w:ascii="Calibri" w:hAnsi="Calibri" w:cs="Calibri"/>
        </w:rPr>
      </w:pPr>
    </w:p>
    <w:p w14:paraId="31F9BF24" w14:textId="5F939B17" w:rsidR="002156B7" w:rsidRPr="002156B7" w:rsidRDefault="002156B7" w:rsidP="001C4B27">
      <w:pPr>
        <w:jc w:val="both"/>
        <w:rPr>
          <w:rFonts w:ascii="Calibri" w:hAnsi="Calibri" w:cs="Calibri"/>
        </w:rPr>
      </w:pPr>
      <w:r w:rsidRPr="002156B7">
        <w:rPr>
          <w:rFonts w:ascii="Calibri" w:hAnsi="Calibri" w:cs="Calibri"/>
        </w:rPr>
        <w:t>Causation lecture. (n.d.). Lawteacher.net. Retrieved 8 November 2024</w:t>
      </w:r>
    </w:p>
    <w:p w14:paraId="310F49F7" w14:textId="77777777" w:rsidR="002156B7" w:rsidRPr="001C4B27" w:rsidRDefault="002156B7" w:rsidP="001C4B27">
      <w:pPr>
        <w:jc w:val="both"/>
        <w:rPr>
          <w:rFonts w:ascii="Calibri" w:hAnsi="Calibri" w:cs="Calibri"/>
        </w:rPr>
      </w:pPr>
    </w:p>
    <w:p w14:paraId="451CE71D" w14:textId="77777777" w:rsidR="002156B7" w:rsidRPr="001C4B27" w:rsidRDefault="002156B7" w:rsidP="001C4B27">
      <w:pPr>
        <w:jc w:val="both"/>
        <w:rPr>
          <w:rFonts w:ascii="Calibri" w:hAnsi="Calibri" w:cs="Calibri"/>
        </w:rPr>
      </w:pPr>
    </w:p>
    <w:p w14:paraId="1E083B40" w14:textId="77777777" w:rsidR="002156B7" w:rsidRPr="001C4B27" w:rsidRDefault="002156B7" w:rsidP="001C4B27">
      <w:pPr>
        <w:jc w:val="both"/>
        <w:rPr>
          <w:rFonts w:ascii="Calibri" w:hAnsi="Calibri" w:cs="Calibri"/>
        </w:rPr>
      </w:pPr>
      <w:hyperlink r:id="rId10" w:history="1">
        <w:r w:rsidRPr="002156B7">
          <w:rPr>
            <w:rStyle w:val="Hyperlink"/>
            <w:rFonts w:ascii="Calibri" w:hAnsi="Calibri" w:cs="Calibri"/>
          </w:rPr>
          <w:t>https://www.lawteacher.net/lectures/tort-law/causation-and-remoteness/causation/</w:t>
        </w:r>
      </w:hyperlink>
    </w:p>
    <w:p w14:paraId="09B1C441" w14:textId="77777777" w:rsidR="002156B7" w:rsidRPr="001C4B27" w:rsidRDefault="002156B7" w:rsidP="001C4B27">
      <w:pPr>
        <w:jc w:val="both"/>
        <w:rPr>
          <w:rFonts w:ascii="Calibri" w:hAnsi="Calibri" w:cs="Calibri"/>
        </w:rPr>
      </w:pPr>
    </w:p>
    <w:p w14:paraId="5F243F6E" w14:textId="77777777" w:rsidR="002156B7" w:rsidRPr="001C4B27" w:rsidRDefault="002156B7" w:rsidP="001C4B27">
      <w:pPr>
        <w:jc w:val="both"/>
        <w:rPr>
          <w:rFonts w:ascii="Calibri" w:hAnsi="Calibri" w:cs="Calibri"/>
        </w:rPr>
      </w:pPr>
    </w:p>
    <w:p w14:paraId="46B1BEE9" w14:textId="77777777" w:rsidR="002156B7" w:rsidRPr="001C4B27" w:rsidRDefault="002156B7" w:rsidP="001C4B27">
      <w:pPr>
        <w:jc w:val="both"/>
        <w:rPr>
          <w:rFonts w:ascii="Calibri" w:hAnsi="Calibri" w:cs="Calibri"/>
        </w:rPr>
      </w:pPr>
    </w:p>
    <w:p w14:paraId="1342EF49" w14:textId="06131398" w:rsidR="001C4B27" w:rsidRPr="001C4B27" w:rsidRDefault="001C4B27" w:rsidP="001C4B27">
      <w:pPr>
        <w:jc w:val="both"/>
        <w:rPr>
          <w:rFonts w:ascii="Calibri" w:hAnsi="Calibri" w:cs="Calibri"/>
        </w:rPr>
      </w:pPr>
      <w:r w:rsidRPr="001C4B27">
        <w:rPr>
          <w:rFonts w:ascii="Calibri" w:hAnsi="Calibri" w:cs="Calibri"/>
        </w:rPr>
        <w:t>Legal causation vs factual causation. (2024, July 6</w:t>
      </w:r>
      <w:r w:rsidRPr="001C4B27">
        <w:rPr>
          <w:rFonts w:ascii="Calibri" w:hAnsi="Calibri" w:cs="Calibri"/>
        </w:rPr>
        <w:t>)</w:t>
      </w:r>
    </w:p>
    <w:p w14:paraId="149080EA" w14:textId="77777777" w:rsidR="001C4B27" w:rsidRPr="001C4B27" w:rsidRDefault="001C4B27" w:rsidP="001C4B27">
      <w:pPr>
        <w:jc w:val="both"/>
        <w:rPr>
          <w:rFonts w:ascii="Calibri" w:hAnsi="Calibri" w:cs="Calibri"/>
        </w:rPr>
      </w:pPr>
    </w:p>
    <w:p w14:paraId="3E21B7E4" w14:textId="77777777" w:rsidR="001C4B27" w:rsidRPr="001C4B27" w:rsidRDefault="001C4B27" w:rsidP="001C4B27">
      <w:pPr>
        <w:jc w:val="both"/>
        <w:rPr>
          <w:rFonts w:ascii="Calibri" w:hAnsi="Calibri" w:cs="Calibri"/>
        </w:rPr>
      </w:pPr>
      <w:hyperlink r:id="rId11" w:history="1">
        <w:r w:rsidRPr="001C4B27">
          <w:rPr>
            <w:rStyle w:val="Hyperlink"/>
            <w:rFonts w:ascii="Calibri" w:hAnsi="Calibri" w:cs="Calibri"/>
          </w:rPr>
          <w:t>https://uollb.com/blogs/uol/legal-causation-vs-factual-causation</w:t>
        </w:r>
      </w:hyperlink>
    </w:p>
    <w:p w14:paraId="30CB1AA9" w14:textId="77777777" w:rsidR="001C4B27" w:rsidRPr="002156B7" w:rsidRDefault="001C4B27" w:rsidP="001C4B27">
      <w:pPr>
        <w:jc w:val="both"/>
        <w:rPr>
          <w:rFonts w:ascii="Calibri" w:hAnsi="Calibri" w:cs="Calibri"/>
        </w:rPr>
      </w:pPr>
    </w:p>
    <w:p w14:paraId="6F6D6FC7" w14:textId="77777777" w:rsidR="002156B7" w:rsidRPr="002156B7" w:rsidRDefault="002156B7" w:rsidP="001C4B27">
      <w:pPr>
        <w:jc w:val="both"/>
        <w:rPr>
          <w:rFonts w:ascii="Calibri" w:hAnsi="Calibri" w:cs="Calibri"/>
        </w:rPr>
      </w:pPr>
    </w:p>
    <w:p w14:paraId="5906CA93" w14:textId="77777777" w:rsidR="002156B7" w:rsidRPr="001C4B27" w:rsidRDefault="002156B7" w:rsidP="001C4B27">
      <w:pPr>
        <w:jc w:val="both"/>
        <w:rPr>
          <w:rFonts w:ascii="Calibri" w:hAnsi="Calibri" w:cs="Calibri"/>
        </w:rPr>
      </w:pPr>
    </w:p>
    <w:p w14:paraId="270732DA" w14:textId="2E1D1196" w:rsidR="001C4B27" w:rsidRPr="001C4B27" w:rsidRDefault="001C4B27" w:rsidP="001C4B27">
      <w:pPr>
        <w:jc w:val="both"/>
        <w:rPr>
          <w:rFonts w:ascii="Calibri" w:hAnsi="Calibri" w:cs="Calibri"/>
        </w:rPr>
      </w:pPr>
      <w:r w:rsidRPr="001C4B27">
        <w:rPr>
          <w:rFonts w:ascii="Calibri" w:hAnsi="Calibri" w:cs="Calibri"/>
        </w:rPr>
        <w:t xml:space="preserve">Byrne, T. (2022). Legal causation. Jurisprudence, 14, 55–75. </w:t>
      </w:r>
    </w:p>
    <w:p w14:paraId="6B61A7E2" w14:textId="77777777" w:rsidR="002156B7" w:rsidRPr="001C4B27" w:rsidRDefault="002156B7" w:rsidP="001C4B27">
      <w:pPr>
        <w:jc w:val="both"/>
        <w:rPr>
          <w:rFonts w:ascii="Calibri" w:hAnsi="Calibri" w:cs="Calibri"/>
        </w:rPr>
      </w:pPr>
    </w:p>
    <w:p w14:paraId="70B40AF6" w14:textId="273BAC95" w:rsidR="002156B7" w:rsidRPr="001C4B27" w:rsidRDefault="001C4B27" w:rsidP="001C4B27">
      <w:pPr>
        <w:jc w:val="both"/>
        <w:rPr>
          <w:rFonts w:ascii="Calibri" w:hAnsi="Calibri" w:cs="Calibri"/>
        </w:rPr>
      </w:pPr>
      <w:hyperlink r:id="rId12" w:history="1">
        <w:r w:rsidRPr="001C4B27">
          <w:rPr>
            <w:rStyle w:val="Hyperlink"/>
            <w:rFonts w:ascii="Calibri" w:hAnsi="Calibri" w:cs="Calibri"/>
          </w:rPr>
          <w:t>https://www.studysmarter.co.uk/explanations/law/civil-law/legal-causation/#:~:text=Factual%20causation%20(but%20for%20causation,factor%20in%20causing%20the%20harm.</w:t>
        </w:r>
      </w:hyperlink>
    </w:p>
    <w:p w14:paraId="3E4DDDEF" w14:textId="77777777" w:rsidR="002156B7" w:rsidRPr="001C4B27" w:rsidRDefault="002156B7" w:rsidP="001C4B27">
      <w:pPr>
        <w:jc w:val="both"/>
        <w:rPr>
          <w:rFonts w:ascii="Calibri" w:hAnsi="Calibri" w:cs="Calibri"/>
        </w:rPr>
      </w:pPr>
    </w:p>
    <w:p w14:paraId="0528B777" w14:textId="77777777" w:rsidR="001C4B27" w:rsidRPr="001C4B27" w:rsidRDefault="001C4B27" w:rsidP="001C4B27">
      <w:pPr>
        <w:jc w:val="both"/>
        <w:rPr>
          <w:rFonts w:ascii="Calibri" w:hAnsi="Calibri" w:cs="Calibri"/>
        </w:rPr>
      </w:pPr>
    </w:p>
    <w:p w14:paraId="0C484844" w14:textId="77777777" w:rsidR="001C4B27" w:rsidRPr="001C4B27" w:rsidRDefault="001C4B27" w:rsidP="001C4B27">
      <w:pPr>
        <w:jc w:val="both"/>
        <w:rPr>
          <w:rFonts w:ascii="Calibri" w:hAnsi="Calibri" w:cs="Calibri"/>
        </w:rPr>
      </w:pPr>
    </w:p>
    <w:p w14:paraId="40BD88A3" w14:textId="59FE3566" w:rsidR="001C4B27" w:rsidRPr="001C4B27" w:rsidRDefault="001C4B27" w:rsidP="001C4B27">
      <w:pPr>
        <w:jc w:val="both"/>
        <w:rPr>
          <w:rFonts w:ascii="Calibri" w:hAnsi="Calibri" w:cs="Calibri"/>
        </w:rPr>
      </w:pPr>
      <w:r w:rsidRPr="001C4B27">
        <w:rPr>
          <w:rFonts w:ascii="Calibri" w:hAnsi="Calibri" w:cs="Calibri"/>
        </w:rPr>
        <w:t>Morris, C., Francis, T., &amp; Chawla, G. (2019). Foreseeability and causation in clinical negligence cases.</w:t>
      </w:r>
    </w:p>
    <w:p w14:paraId="2E5DCA35" w14:textId="77777777" w:rsidR="001C4B27" w:rsidRPr="001C4B27" w:rsidRDefault="001C4B27" w:rsidP="001C4B27">
      <w:pPr>
        <w:jc w:val="both"/>
        <w:rPr>
          <w:rFonts w:ascii="Calibri" w:hAnsi="Calibri" w:cs="Calibri"/>
        </w:rPr>
      </w:pPr>
    </w:p>
    <w:p w14:paraId="5F23126B" w14:textId="77777777" w:rsidR="001C4B27" w:rsidRPr="001C4B27" w:rsidRDefault="001C4B27" w:rsidP="001C4B27">
      <w:pPr>
        <w:jc w:val="both"/>
        <w:rPr>
          <w:rFonts w:ascii="Calibri" w:hAnsi="Calibri" w:cs="Calibri"/>
        </w:rPr>
      </w:pPr>
      <w:hyperlink r:id="rId13" w:history="1">
        <w:r w:rsidRPr="001C4B27">
          <w:rPr>
            <w:rStyle w:val="Hyperlink"/>
            <w:rFonts w:ascii="Calibri" w:hAnsi="Calibri" w:cs="Calibri"/>
          </w:rPr>
          <w:t>https://www.hempsons.co.uk/news-articles/foreseeability-and-causation-in-clinical-negligence-cases/?cn-reloaded=1</w:t>
        </w:r>
      </w:hyperlink>
    </w:p>
    <w:p w14:paraId="2F128ACE" w14:textId="77777777" w:rsidR="002156B7" w:rsidRPr="001C4B27" w:rsidRDefault="002156B7" w:rsidP="001C4B27">
      <w:pPr>
        <w:jc w:val="both"/>
        <w:rPr>
          <w:rFonts w:ascii="Calibri" w:hAnsi="Calibri" w:cs="Calibri"/>
        </w:rPr>
      </w:pPr>
    </w:p>
    <w:p w14:paraId="43D9C7CF" w14:textId="77777777" w:rsidR="001C4B27" w:rsidRPr="001C4B27" w:rsidRDefault="001C4B27" w:rsidP="001C4B27">
      <w:pPr>
        <w:jc w:val="both"/>
        <w:rPr>
          <w:rFonts w:ascii="Calibri" w:hAnsi="Calibri" w:cs="Calibri"/>
        </w:rPr>
      </w:pPr>
    </w:p>
    <w:p w14:paraId="02AA82B3" w14:textId="77777777" w:rsidR="001C4B27" w:rsidRPr="001C4B27" w:rsidRDefault="001C4B27" w:rsidP="001C4B27">
      <w:pPr>
        <w:jc w:val="both"/>
        <w:rPr>
          <w:rFonts w:ascii="Calibri" w:hAnsi="Calibri" w:cs="Calibri"/>
        </w:rPr>
      </w:pPr>
    </w:p>
    <w:p w14:paraId="2EECA029" w14:textId="4CE11E0C" w:rsidR="001C4B27" w:rsidRPr="001C4B27" w:rsidRDefault="001C4B27" w:rsidP="001C4B27">
      <w:pPr>
        <w:jc w:val="both"/>
        <w:rPr>
          <w:rFonts w:ascii="Calibri" w:hAnsi="Calibri" w:cs="Calibri"/>
        </w:rPr>
      </w:pPr>
      <w:r w:rsidRPr="001C4B27">
        <w:rPr>
          <w:rFonts w:ascii="Calibri" w:hAnsi="Calibri" w:cs="Calibri"/>
        </w:rPr>
        <w:t>But for test. (n.d.). StudySmarter UK. Retrieved 8 November 2024</w:t>
      </w:r>
    </w:p>
    <w:p w14:paraId="4CE995AB" w14:textId="77777777" w:rsidR="001C4B27" w:rsidRPr="002156B7" w:rsidRDefault="001C4B27" w:rsidP="001C4B27">
      <w:pPr>
        <w:jc w:val="both"/>
        <w:rPr>
          <w:rFonts w:ascii="Calibri" w:hAnsi="Calibri" w:cs="Calibri"/>
        </w:rPr>
      </w:pPr>
    </w:p>
    <w:p w14:paraId="5B27C3BE" w14:textId="01197C6F" w:rsidR="002156B7" w:rsidRPr="001C4B27" w:rsidRDefault="001C4B27" w:rsidP="001C4B27">
      <w:pPr>
        <w:jc w:val="both"/>
        <w:rPr>
          <w:rFonts w:ascii="Calibri" w:hAnsi="Calibri" w:cs="Calibri"/>
        </w:rPr>
      </w:pPr>
      <w:hyperlink r:id="rId14" w:history="1">
        <w:r w:rsidRPr="001C4B27">
          <w:rPr>
            <w:rStyle w:val="Hyperlink"/>
            <w:rFonts w:ascii="Calibri" w:hAnsi="Calibri" w:cs="Calibri"/>
          </w:rPr>
          <w:t>https://www.studysmarter.co.uk/explanations/law/civil-law/but-for-test/</w:t>
        </w:r>
      </w:hyperlink>
    </w:p>
    <w:p w14:paraId="1024B8DB" w14:textId="77777777" w:rsidR="001C4B27" w:rsidRPr="001C4B27" w:rsidRDefault="001C4B27" w:rsidP="001C4B27">
      <w:pPr>
        <w:jc w:val="both"/>
        <w:rPr>
          <w:rFonts w:ascii="Calibri" w:hAnsi="Calibri" w:cs="Calibri"/>
        </w:rPr>
      </w:pPr>
    </w:p>
    <w:p w14:paraId="4CA03857" w14:textId="77777777" w:rsidR="001C4B27" w:rsidRPr="001C4B27" w:rsidRDefault="001C4B27" w:rsidP="001C4B27">
      <w:pPr>
        <w:jc w:val="both"/>
        <w:rPr>
          <w:rFonts w:ascii="Calibri" w:hAnsi="Calibri" w:cs="Calibri"/>
        </w:rPr>
      </w:pPr>
    </w:p>
    <w:p w14:paraId="0DD01108" w14:textId="77777777" w:rsidR="001C4B27" w:rsidRPr="001C4B27" w:rsidRDefault="001C4B27" w:rsidP="001C4B27">
      <w:pPr>
        <w:jc w:val="both"/>
        <w:rPr>
          <w:rFonts w:ascii="Calibri" w:hAnsi="Calibri" w:cs="Calibri"/>
        </w:rPr>
      </w:pPr>
    </w:p>
    <w:p w14:paraId="21E057AA" w14:textId="77777777" w:rsidR="001C4B27" w:rsidRPr="001C4B27" w:rsidRDefault="001C4B27" w:rsidP="001C4B27">
      <w:pPr>
        <w:jc w:val="both"/>
        <w:rPr>
          <w:rFonts w:ascii="Calibri" w:hAnsi="Calibri" w:cs="Calibri"/>
        </w:rPr>
      </w:pPr>
    </w:p>
    <w:p w14:paraId="5829ABC9" w14:textId="0F981EAE" w:rsidR="001C4B27" w:rsidRPr="001C4B27" w:rsidRDefault="001C4B27" w:rsidP="001C4B27">
      <w:pPr>
        <w:jc w:val="both"/>
        <w:rPr>
          <w:rFonts w:ascii="Calibri" w:hAnsi="Calibri" w:cs="Calibri"/>
        </w:rPr>
      </w:pPr>
      <w:r w:rsidRPr="001C4B27">
        <w:rPr>
          <w:rFonts w:ascii="Calibri" w:hAnsi="Calibri" w:cs="Calibri"/>
        </w:rPr>
        <w:t xml:space="preserve">Jameel, M. M. (2016, November 8). Is ‘But-For’ the best tool </w:t>
      </w:r>
      <w:r w:rsidR="00C962C5" w:rsidRPr="001C4B27">
        <w:rPr>
          <w:rFonts w:ascii="Calibri" w:hAnsi="Calibri" w:cs="Calibri"/>
        </w:rPr>
        <w:t>for</w:t>
      </w:r>
      <w:r w:rsidRPr="001C4B27">
        <w:rPr>
          <w:rFonts w:ascii="Calibri" w:hAnsi="Calibri" w:cs="Calibri"/>
        </w:rPr>
        <w:t xml:space="preserve"> applying causation. Courting The Law. </w:t>
      </w:r>
    </w:p>
    <w:p w14:paraId="51B03049" w14:textId="77777777" w:rsidR="001C4B27" w:rsidRPr="001C4B27" w:rsidRDefault="001C4B27" w:rsidP="001C4B27">
      <w:pPr>
        <w:jc w:val="both"/>
        <w:rPr>
          <w:rFonts w:ascii="Calibri" w:hAnsi="Calibri" w:cs="Calibri"/>
        </w:rPr>
      </w:pPr>
    </w:p>
    <w:p w14:paraId="044A6DE3" w14:textId="77777777" w:rsidR="001C4B27" w:rsidRPr="001C4B27" w:rsidRDefault="001C4B27" w:rsidP="001C4B27">
      <w:pPr>
        <w:jc w:val="both"/>
        <w:rPr>
          <w:rFonts w:ascii="Calibri" w:hAnsi="Calibri" w:cs="Calibri"/>
        </w:rPr>
      </w:pPr>
    </w:p>
    <w:p w14:paraId="32E5B47F" w14:textId="77777777" w:rsidR="001C4B27" w:rsidRPr="001C4B27" w:rsidRDefault="001C4B27" w:rsidP="001C4B27">
      <w:pPr>
        <w:jc w:val="both"/>
        <w:rPr>
          <w:rFonts w:ascii="Calibri" w:hAnsi="Calibri" w:cs="Calibri"/>
        </w:rPr>
      </w:pPr>
      <w:hyperlink r:id="rId15" w:history="1">
        <w:r w:rsidRPr="001C4B27">
          <w:rPr>
            <w:rStyle w:val="Hyperlink"/>
            <w:rFonts w:ascii="Calibri" w:hAnsi="Calibri" w:cs="Calibri"/>
          </w:rPr>
          <w:t>https://courtingthelaw.com/2016/11/08/commentary/is-but-for-the-best-tool-for-applying-causation/</w:t>
        </w:r>
      </w:hyperlink>
    </w:p>
    <w:p w14:paraId="0CD1CF85" w14:textId="77777777" w:rsidR="001C4B27" w:rsidRPr="001C4B27" w:rsidRDefault="001C4B27" w:rsidP="001C4B27">
      <w:pPr>
        <w:jc w:val="both"/>
        <w:rPr>
          <w:rFonts w:ascii="Calibri" w:hAnsi="Calibri" w:cs="Calibri"/>
        </w:rPr>
      </w:pPr>
    </w:p>
    <w:p w14:paraId="289759B7" w14:textId="77777777" w:rsidR="001C4B27" w:rsidRPr="001C4B27" w:rsidRDefault="001C4B27" w:rsidP="001C4B27">
      <w:pPr>
        <w:jc w:val="both"/>
        <w:rPr>
          <w:rFonts w:ascii="Calibri" w:hAnsi="Calibri" w:cs="Calibri"/>
        </w:rPr>
      </w:pPr>
    </w:p>
    <w:p w14:paraId="704A6847" w14:textId="77777777" w:rsidR="001C4B27" w:rsidRPr="001C4B27" w:rsidRDefault="001C4B27" w:rsidP="001C4B27">
      <w:pPr>
        <w:jc w:val="both"/>
        <w:rPr>
          <w:rFonts w:ascii="Calibri" w:hAnsi="Calibri" w:cs="Calibri"/>
        </w:rPr>
      </w:pPr>
    </w:p>
    <w:p w14:paraId="6C18A6F3" w14:textId="43C513B6" w:rsidR="001C4B27" w:rsidRPr="001C4B27" w:rsidRDefault="001C4B27" w:rsidP="001C4B27">
      <w:pPr>
        <w:jc w:val="both"/>
        <w:rPr>
          <w:rFonts w:ascii="Calibri" w:hAnsi="Calibri" w:cs="Calibri"/>
        </w:rPr>
      </w:pPr>
      <w:r w:rsidRPr="001C4B27">
        <w:rPr>
          <w:rFonts w:ascii="Calibri" w:hAnsi="Calibri" w:cs="Calibri"/>
        </w:rPr>
        <w:t>(N.d.). Core.ac.uk. Retrieved 8 November 202</w:t>
      </w:r>
      <w:r w:rsidRPr="001C4B27">
        <w:rPr>
          <w:rFonts w:ascii="Calibri" w:hAnsi="Calibri" w:cs="Calibri"/>
        </w:rPr>
        <w:t>4</w:t>
      </w:r>
    </w:p>
    <w:p w14:paraId="3C7AE6A8" w14:textId="77777777" w:rsidR="001C4B27" w:rsidRPr="001C4B27" w:rsidRDefault="001C4B27" w:rsidP="001C4B27">
      <w:pPr>
        <w:jc w:val="both"/>
        <w:rPr>
          <w:rFonts w:ascii="Calibri" w:hAnsi="Calibri" w:cs="Calibri"/>
        </w:rPr>
      </w:pPr>
    </w:p>
    <w:p w14:paraId="32605004" w14:textId="77777777" w:rsidR="001C4B27" w:rsidRPr="001C4B27" w:rsidRDefault="001C4B27" w:rsidP="001C4B27">
      <w:pPr>
        <w:jc w:val="both"/>
        <w:rPr>
          <w:rFonts w:ascii="Calibri" w:hAnsi="Calibri" w:cs="Calibri"/>
        </w:rPr>
      </w:pPr>
      <w:hyperlink r:id="rId16" w:history="1">
        <w:r w:rsidRPr="001C4B27">
          <w:rPr>
            <w:rStyle w:val="Hyperlink"/>
            <w:rFonts w:ascii="Calibri" w:hAnsi="Calibri" w:cs="Calibri"/>
          </w:rPr>
          <w:t>https://core.ac.uk/download/pdf/144223272.pdf</w:t>
        </w:r>
      </w:hyperlink>
    </w:p>
    <w:p w14:paraId="50EDA1FC" w14:textId="77777777" w:rsidR="001C4B27" w:rsidRPr="001C4B27" w:rsidRDefault="001C4B27" w:rsidP="001C4B27">
      <w:pPr>
        <w:jc w:val="both"/>
        <w:rPr>
          <w:rFonts w:ascii="Calibri" w:hAnsi="Calibri" w:cs="Calibri"/>
        </w:rPr>
      </w:pPr>
    </w:p>
    <w:p w14:paraId="1817E6D5" w14:textId="77777777" w:rsidR="001C4B27" w:rsidRPr="001C4B27" w:rsidRDefault="001C4B27" w:rsidP="001C4B27">
      <w:pPr>
        <w:jc w:val="both"/>
        <w:rPr>
          <w:rFonts w:ascii="Calibri" w:hAnsi="Calibri" w:cs="Calibri"/>
        </w:rPr>
      </w:pPr>
    </w:p>
    <w:p w14:paraId="32FAF29A" w14:textId="77777777" w:rsidR="001C4B27" w:rsidRPr="001C4B27" w:rsidRDefault="001C4B27" w:rsidP="001C4B27">
      <w:pPr>
        <w:jc w:val="both"/>
        <w:rPr>
          <w:rFonts w:ascii="Calibri" w:hAnsi="Calibri" w:cs="Calibri"/>
        </w:rPr>
      </w:pPr>
    </w:p>
    <w:p w14:paraId="23F30465" w14:textId="77777777" w:rsidR="001C4B27" w:rsidRPr="001C4B27" w:rsidRDefault="001C4B27" w:rsidP="001C4B27">
      <w:pPr>
        <w:jc w:val="both"/>
        <w:rPr>
          <w:rFonts w:ascii="Calibri" w:hAnsi="Calibri" w:cs="Calibri"/>
        </w:rPr>
      </w:pPr>
    </w:p>
    <w:p w14:paraId="389EA3CC" w14:textId="77777777" w:rsidR="001C4B27" w:rsidRPr="001C4B27" w:rsidRDefault="001C4B27" w:rsidP="001C4B27">
      <w:pPr>
        <w:jc w:val="both"/>
        <w:rPr>
          <w:rFonts w:ascii="Calibri" w:hAnsi="Calibri" w:cs="Calibri"/>
        </w:rPr>
      </w:pPr>
    </w:p>
    <w:p w14:paraId="431822DA" w14:textId="38FEA951" w:rsidR="001C4B27" w:rsidRPr="001C4B27" w:rsidRDefault="001C4B27" w:rsidP="001C4B27">
      <w:pPr>
        <w:jc w:val="both"/>
        <w:rPr>
          <w:rFonts w:ascii="Calibri" w:hAnsi="Calibri" w:cs="Calibri"/>
        </w:rPr>
      </w:pPr>
      <w:r w:rsidRPr="001C4B27">
        <w:rPr>
          <w:rFonts w:ascii="Calibri" w:hAnsi="Calibri" w:cs="Calibri"/>
        </w:rPr>
        <w:t>Determining causation in a personal injury case. (2022, February 19</w:t>
      </w:r>
    </w:p>
    <w:p w14:paraId="65A9A697" w14:textId="77777777" w:rsidR="001C4B27" w:rsidRPr="001C4B27" w:rsidRDefault="001C4B27" w:rsidP="001C4B27">
      <w:pPr>
        <w:jc w:val="both"/>
        <w:rPr>
          <w:rFonts w:ascii="Calibri" w:hAnsi="Calibri" w:cs="Calibri"/>
        </w:rPr>
      </w:pPr>
    </w:p>
    <w:p w14:paraId="195C6E34" w14:textId="055D01AD" w:rsidR="001C4B27" w:rsidRPr="001C4B27" w:rsidRDefault="001C4B27" w:rsidP="001C4B27">
      <w:pPr>
        <w:jc w:val="both"/>
        <w:rPr>
          <w:rFonts w:ascii="Calibri" w:hAnsi="Calibri" w:cs="Calibri"/>
        </w:rPr>
      </w:pPr>
      <w:hyperlink r:id="rId17" w:history="1">
        <w:r w:rsidRPr="001C4B27">
          <w:rPr>
            <w:rStyle w:val="Hyperlink"/>
            <w:rFonts w:ascii="Calibri" w:hAnsi="Calibri" w:cs="Calibri"/>
          </w:rPr>
          <w:t>https://www.enjuris.com/personal-injury-law/the-but-for-test/</w:t>
        </w:r>
      </w:hyperlink>
    </w:p>
    <w:p w14:paraId="03BE0D61" w14:textId="77777777" w:rsidR="001C4B27" w:rsidRPr="001C4B27" w:rsidRDefault="001C4B27" w:rsidP="001C4B27">
      <w:pPr>
        <w:jc w:val="both"/>
        <w:rPr>
          <w:rFonts w:ascii="Calibri" w:hAnsi="Calibri" w:cs="Calibri"/>
        </w:rPr>
      </w:pPr>
    </w:p>
    <w:p w14:paraId="6F0E9E72" w14:textId="77777777" w:rsidR="001C4B27" w:rsidRPr="001C4B27" w:rsidRDefault="001C4B27" w:rsidP="001C4B27">
      <w:pPr>
        <w:jc w:val="both"/>
        <w:rPr>
          <w:rFonts w:ascii="Calibri" w:hAnsi="Calibri" w:cs="Calibri"/>
        </w:rPr>
      </w:pPr>
    </w:p>
    <w:p w14:paraId="4B392F2E" w14:textId="77777777" w:rsidR="001C4B27" w:rsidRPr="001C4B27" w:rsidRDefault="001C4B27" w:rsidP="001C4B27">
      <w:pPr>
        <w:jc w:val="both"/>
        <w:rPr>
          <w:rFonts w:ascii="Calibri" w:hAnsi="Calibri" w:cs="Calibri"/>
        </w:rPr>
      </w:pPr>
    </w:p>
    <w:p w14:paraId="1EE61154" w14:textId="77777777" w:rsidR="001C4B27" w:rsidRPr="001C4B27" w:rsidRDefault="001C4B27" w:rsidP="001C4B27">
      <w:pPr>
        <w:jc w:val="both"/>
        <w:rPr>
          <w:rFonts w:ascii="Calibri" w:hAnsi="Calibri" w:cs="Calibri"/>
        </w:rPr>
      </w:pPr>
    </w:p>
    <w:p w14:paraId="67576CF1" w14:textId="0F5FE961" w:rsidR="001C4B27" w:rsidRPr="001C4B27" w:rsidRDefault="001C4B27" w:rsidP="001C4B27">
      <w:pPr>
        <w:jc w:val="both"/>
        <w:rPr>
          <w:rFonts w:ascii="Calibri" w:hAnsi="Calibri" w:cs="Calibri"/>
        </w:rPr>
      </w:pPr>
      <w:r w:rsidRPr="001C4B27">
        <w:rPr>
          <w:rFonts w:ascii="Calibri" w:hAnsi="Calibri" w:cs="Calibri"/>
        </w:rPr>
        <w:t>Modification of causation principles. (2023, November 6</w:t>
      </w:r>
      <w:r w:rsidRPr="001C4B27">
        <w:rPr>
          <w:rFonts w:ascii="Calibri" w:hAnsi="Calibri" w:cs="Calibri"/>
        </w:rPr>
        <w:t>).</w:t>
      </w:r>
    </w:p>
    <w:p w14:paraId="051A49E4" w14:textId="77777777" w:rsidR="001C4B27" w:rsidRPr="001C4B27" w:rsidRDefault="001C4B27" w:rsidP="001C4B27">
      <w:pPr>
        <w:jc w:val="both"/>
        <w:rPr>
          <w:rFonts w:ascii="Calibri" w:hAnsi="Calibri" w:cs="Calibri"/>
        </w:rPr>
      </w:pPr>
    </w:p>
    <w:p w14:paraId="6618F56A" w14:textId="77777777" w:rsidR="001C4B27" w:rsidRPr="001C4B27" w:rsidRDefault="001C4B27" w:rsidP="001C4B27">
      <w:pPr>
        <w:jc w:val="both"/>
        <w:rPr>
          <w:rFonts w:ascii="Calibri" w:hAnsi="Calibri" w:cs="Calibri"/>
        </w:rPr>
      </w:pPr>
      <w:hyperlink r:id="rId18" w:history="1">
        <w:r w:rsidRPr="001C4B27">
          <w:rPr>
            <w:rStyle w:val="Hyperlink"/>
            <w:rFonts w:ascii="Calibri" w:hAnsi="Calibri" w:cs="Calibri"/>
          </w:rPr>
          <w:t>https://www.lawteacher.net/free-law-essays/contract-law/modification-of-causation-principles-contract-law-essay.php</w:t>
        </w:r>
      </w:hyperlink>
    </w:p>
    <w:p w14:paraId="3845FDF5" w14:textId="77777777" w:rsidR="001C4B27" w:rsidRPr="001C4B27" w:rsidRDefault="001C4B27" w:rsidP="001C4B27">
      <w:pPr>
        <w:jc w:val="both"/>
        <w:rPr>
          <w:rFonts w:ascii="Calibri" w:hAnsi="Calibri" w:cs="Calibri"/>
        </w:rPr>
      </w:pPr>
    </w:p>
    <w:p w14:paraId="38AC6B1E" w14:textId="77777777" w:rsidR="001C4B27" w:rsidRPr="001C4B27" w:rsidRDefault="001C4B27" w:rsidP="001C4B27">
      <w:pPr>
        <w:jc w:val="both"/>
        <w:rPr>
          <w:rFonts w:ascii="Calibri" w:hAnsi="Calibri" w:cs="Calibri"/>
        </w:rPr>
      </w:pPr>
    </w:p>
    <w:p w14:paraId="20FC7552" w14:textId="77777777" w:rsidR="001C4B27" w:rsidRPr="001C4B27" w:rsidRDefault="001C4B27" w:rsidP="001C4B27">
      <w:pPr>
        <w:jc w:val="both"/>
        <w:rPr>
          <w:rFonts w:ascii="Calibri" w:hAnsi="Calibri" w:cs="Calibri"/>
        </w:rPr>
      </w:pPr>
    </w:p>
    <w:p w14:paraId="3DC1B7D2" w14:textId="77777777" w:rsidR="001C4B27" w:rsidRPr="001C4B27" w:rsidRDefault="001C4B27" w:rsidP="001C4B27">
      <w:pPr>
        <w:jc w:val="both"/>
        <w:rPr>
          <w:rFonts w:ascii="Calibri" w:hAnsi="Calibri" w:cs="Calibri"/>
        </w:rPr>
      </w:pPr>
    </w:p>
    <w:p w14:paraId="40A5CF8C" w14:textId="6891DC21" w:rsidR="001C4B27" w:rsidRPr="001C4B27" w:rsidRDefault="001C4B27" w:rsidP="001C4B27">
      <w:pPr>
        <w:jc w:val="both"/>
        <w:rPr>
          <w:rFonts w:ascii="Calibri" w:hAnsi="Calibri" w:cs="Calibri"/>
        </w:rPr>
      </w:pPr>
      <w:r w:rsidRPr="001C4B27">
        <w:rPr>
          <w:rFonts w:ascii="Calibri" w:hAnsi="Calibri" w:cs="Calibri"/>
        </w:rPr>
        <w:t>Eggshell skull rule. (n.d.). LII / Legal Information Institute. Retrieved 8 November 2024</w:t>
      </w:r>
      <w:r w:rsidRPr="001C4B27">
        <w:rPr>
          <w:rFonts w:ascii="Calibri" w:hAnsi="Calibri" w:cs="Calibri"/>
        </w:rPr>
        <w:t>.</w:t>
      </w:r>
    </w:p>
    <w:p w14:paraId="19E9ECE3" w14:textId="77777777" w:rsidR="001C4B27" w:rsidRPr="001C4B27" w:rsidRDefault="001C4B27" w:rsidP="001C4B27">
      <w:pPr>
        <w:jc w:val="both"/>
        <w:rPr>
          <w:rFonts w:ascii="Calibri" w:hAnsi="Calibri" w:cs="Calibri"/>
        </w:rPr>
      </w:pPr>
    </w:p>
    <w:p w14:paraId="71B90E43" w14:textId="3E08BF51" w:rsidR="001C4B27" w:rsidRPr="001C4B27" w:rsidRDefault="001C4B27" w:rsidP="001C4B27">
      <w:pPr>
        <w:jc w:val="both"/>
        <w:rPr>
          <w:rFonts w:ascii="Calibri" w:hAnsi="Calibri" w:cs="Calibri"/>
        </w:rPr>
      </w:pPr>
      <w:hyperlink r:id="rId19" w:history="1">
        <w:r w:rsidRPr="001C4B27">
          <w:rPr>
            <w:rStyle w:val="Hyperlink"/>
            <w:rFonts w:ascii="Calibri" w:hAnsi="Calibri" w:cs="Calibri"/>
          </w:rPr>
          <w:t>https://www.law.cornell.edu/wex/eggshell_skull_rule#:~:text=The%20eggshell%20skull%20rule%2C%20also,defendant's%20negligent%20or%20intentional%20tort.</w:t>
        </w:r>
      </w:hyperlink>
    </w:p>
    <w:p w14:paraId="225D935B" w14:textId="77777777" w:rsidR="001C4B27" w:rsidRPr="001C4B27" w:rsidRDefault="001C4B27" w:rsidP="001C4B27">
      <w:pPr>
        <w:jc w:val="both"/>
        <w:rPr>
          <w:rFonts w:ascii="Calibri" w:hAnsi="Calibri" w:cs="Calibri"/>
        </w:rPr>
      </w:pPr>
    </w:p>
    <w:p w14:paraId="38FB375F" w14:textId="77777777" w:rsidR="002156B7" w:rsidRPr="001C4B27" w:rsidRDefault="002156B7" w:rsidP="001C4B27">
      <w:pPr>
        <w:jc w:val="both"/>
        <w:rPr>
          <w:rFonts w:ascii="Calibri" w:hAnsi="Calibri" w:cs="Calibri"/>
        </w:rPr>
      </w:pPr>
    </w:p>
    <w:p w14:paraId="36C97E79" w14:textId="77777777" w:rsidR="002156B7" w:rsidRPr="001C4B27" w:rsidRDefault="002156B7" w:rsidP="001C4B27">
      <w:pPr>
        <w:jc w:val="both"/>
        <w:rPr>
          <w:rFonts w:ascii="Calibri" w:hAnsi="Calibri" w:cs="Calibri"/>
        </w:rPr>
      </w:pPr>
    </w:p>
    <w:p w14:paraId="05FE6BEE" w14:textId="77777777" w:rsidR="001C4B27" w:rsidRPr="001C4B27" w:rsidRDefault="001C4B27" w:rsidP="001C4B27">
      <w:pPr>
        <w:jc w:val="both"/>
        <w:rPr>
          <w:rFonts w:ascii="Calibri" w:hAnsi="Calibri" w:cs="Calibri"/>
        </w:rPr>
      </w:pPr>
    </w:p>
    <w:p w14:paraId="24B840DF" w14:textId="294F4974" w:rsidR="001C4B27" w:rsidRPr="001C4B27" w:rsidRDefault="001C4B27" w:rsidP="001C4B27">
      <w:pPr>
        <w:jc w:val="both"/>
        <w:rPr>
          <w:rFonts w:ascii="Calibri" w:hAnsi="Calibri" w:cs="Calibri"/>
        </w:rPr>
      </w:pPr>
      <w:r w:rsidRPr="001C4B27">
        <w:rPr>
          <w:rFonts w:ascii="Calibri" w:hAnsi="Calibri" w:cs="Calibri"/>
        </w:rPr>
        <w:t xml:space="preserve">Thin skull rule. (2024, July 6). </w:t>
      </w:r>
    </w:p>
    <w:p w14:paraId="5FED1C2D" w14:textId="77777777" w:rsidR="001C4B27" w:rsidRPr="001C4B27" w:rsidRDefault="001C4B27" w:rsidP="001C4B27">
      <w:pPr>
        <w:jc w:val="both"/>
        <w:rPr>
          <w:rFonts w:ascii="Calibri" w:hAnsi="Calibri" w:cs="Calibri"/>
        </w:rPr>
      </w:pPr>
    </w:p>
    <w:p w14:paraId="5E8BA948" w14:textId="77777777" w:rsidR="001C4B27" w:rsidRPr="001C4B27" w:rsidRDefault="001C4B27" w:rsidP="001C4B27">
      <w:pPr>
        <w:jc w:val="both"/>
        <w:rPr>
          <w:rFonts w:ascii="Calibri" w:hAnsi="Calibri" w:cs="Calibri"/>
        </w:rPr>
      </w:pPr>
      <w:hyperlink r:id="rId20" w:history="1">
        <w:r w:rsidRPr="001C4B27">
          <w:rPr>
            <w:rStyle w:val="Hyperlink"/>
            <w:rFonts w:ascii="Calibri" w:hAnsi="Calibri" w:cs="Calibri"/>
          </w:rPr>
          <w:t>https://uollb.com/blogs/uol/thin-skull-rule?srsltid=AfmBOoq2BYq0_jUTf7qQkEv010FUWBeVwQaXue2GMkQ95T0qu_Sk8hr9</w:t>
        </w:r>
      </w:hyperlink>
    </w:p>
    <w:p w14:paraId="1CE6D39F" w14:textId="77777777" w:rsidR="001C4B27" w:rsidRPr="001C4B27" w:rsidRDefault="001C4B27" w:rsidP="001C4B27">
      <w:pPr>
        <w:jc w:val="both"/>
        <w:rPr>
          <w:rFonts w:ascii="Calibri" w:hAnsi="Calibri" w:cs="Calibri"/>
        </w:rPr>
      </w:pPr>
    </w:p>
    <w:p w14:paraId="6BE90603" w14:textId="77777777" w:rsidR="001C4B27" w:rsidRPr="001C4B27" w:rsidRDefault="001C4B27" w:rsidP="001C4B27">
      <w:pPr>
        <w:jc w:val="both"/>
        <w:rPr>
          <w:rFonts w:ascii="Calibri" w:hAnsi="Calibri" w:cs="Calibri"/>
        </w:rPr>
      </w:pPr>
    </w:p>
    <w:p w14:paraId="2693E3EB" w14:textId="77777777" w:rsidR="001C4B27" w:rsidRPr="001C4B27" w:rsidRDefault="001C4B27" w:rsidP="001C4B27">
      <w:pPr>
        <w:jc w:val="both"/>
        <w:rPr>
          <w:rFonts w:ascii="Calibri" w:hAnsi="Calibri" w:cs="Calibri"/>
        </w:rPr>
      </w:pPr>
    </w:p>
    <w:p w14:paraId="70E85244" w14:textId="77777777" w:rsidR="001C4B27" w:rsidRPr="001C4B27" w:rsidRDefault="001C4B27" w:rsidP="001C4B27">
      <w:pPr>
        <w:jc w:val="both"/>
        <w:rPr>
          <w:rFonts w:ascii="Calibri" w:hAnsi="Calibri" w:cs="Calibri"/>
        </w:rPr>
      </w:pPr>
    </w:p>
    <w:p w14:paraId="68102BCD" w14:textId="48637A6F" w:rsidR="001C4B27" w:rsidRPr="001C4B27" w:rsidRDefault="001C4B27" w:rsidP="001C4B27">
      <w:pPr>
        <w:jc w:val="both"/>
        <w:rPr>
          <w:rFonts w:ascii="Calibri" w:hAnsi="Calibri" w:cs="Calibri"/>
        </w:rPr>
      </w:pPr>
      <w:r w:rsidRPr="001C4B27">
        <w:rPr>
          <w:rFonts w:ascii="Calibri" w:hAnsi="Calibri" w:cs="Calibri"/>
        </w:rPr>
        <w:t>Evans, G. (n.d.). Criminal Causation Notes. Digestiblenotes.com. Retrieved 8 November 2024</w:t>
      </w:r>
    </w:p>
    <w:p w14:paraId="20138D50" w14:textId="77777777" w:rsidR="001C4B27" w:rsidRPr="001C4B27" w:rsidRDefault="001C4B27" w:rsidP="001C4B27">
      <w:pPr>
        <w:jc w:val="both"/>
        <w:rPr>
          <w:rFonts w:ascii="Calibri" w:hAnsi="Calibri" w:cs="Calibri"/>
        </w:rPr>
      </w:pPr>
    </w:p>
    <w:p w14:paraId="0A285445" w14:textId="77777777" w:rsidR="001C4B27" w:rsidRPr="001C4B27" w:rsidRDefault="001C4B27" w:rsidP="001C4B27">
      <w:pPr>
        <w:jc w:val="both"/>
        <w:rPr>
          <w:rFonts w:ascii="Calibri" w:hAnsi="Calibri" w:cs="Calibri"/>
        </w:rPr>
      </w:pPr>
      <w:hyperlink r:id="rId21" w:history="1">
        <w:r w:rsidRPr="001C4B27">
          <w:rPr>
            <w:rStyle w:val="Hyperlink"/>
            <w:rFonts w:ascii="Calibri" w:hAnsi="Calibri" w:cs="Calibri"/>
          </w:rPr>
          <w:t>https://www.digestiblenotes.com/law/criminal/causation.php#:~:text=</w:t>
        </w:r>
        <w:r w:rsidRPr="001C4B27">
          <w:rPr>
            <w:rStyle w:val="Hyperlink"/>
            <w:rFonts w:ascii="Cambria Math" w:hAnsi="Cambria Math" w:cs="Cambria Math"/>
          </w:rPr>
          <w:t>⇒</w:t>
        </w:r>
        <w:r w:rsidRPr="001C4B27">
          <w:rPr>
            <w:rStyle w:val="Hyperlink"/>
            <w:rFonts w:ascii="Calibri" w:hAnsi="Calibri" w:cs="Calibri"/>
          </w:rPr>
          <w:t>%20The%20'thin%20skull'%20rule,made%20him%20or%20her%20vulnerable.</w:t>
        </w:r>
      </w:hyperlink>
    </w:p>
    <w:p w14:paraId="764024F3" w14:textId="77777777" w:rsidR="001C4B27" w:rsidRPr="001C4B27" w:rsidRDefault="001C4B27" w:rsidP="001C4B27">
      <w:pPr>
        <w:jc w:val="both"/>
        <w:rPr>
          <w:rFonts w:ascii="Calibri" w:hAnsi="Calibri" w:cs="Calibri"/>
        </w:rPr>
      </w:pPr>
    </w:p>
    <w:p w14:paraId="546A5D7E" w14:textId="77777777" w:rsidR="002156B7" w:rsidRPr="001C4B27" w:rsidRDefault="002156B7" w:rsidP="001C4B27">
      <w:pPr>
        <w:jc w:val="both"/>
        <w:rPr>
          <w:rFonts w:ascii="Calibri" w:hAnsi="Calibri" w:cs="Calibri"/>
        </w:rPr>
      </w:pPr>
    </w:p>
    <w:p w14:paraId="7BEF76C4" w14:textId="77777777" w:rsidR="00B4343A" w:rsidRPr="001C4B27" w:rsidRDefault="00B4343A" w:rsidP="001C4B27">
      <w:pPr>
        <w:jc w:val="both"/>
        <w:rPr>
          <w:rFonts w:ascii="Calibri" w:hAnsi="Calibri" w:cs="Calibri"/>
        </w:rPr>
      </w:pPr>
    </w:p>
    <w:p w14:paraId="79D2A121" w14:textId="77777777" w:rsidR="00AB2A18" w:rsidRPr="001C4B27" w:rsidRDefault="00AB2A18" w:rsidP="001C4B27">
      <w:pPr>
        <w:jc w:val="both"/>
        <w:rPr>
          <w:rFonts w:ascii="Calibri" w:hAnsi="Calibri" w:cs="Calibri"/>
        </w:rPr>
      </w:pPr>
    </w:p>
    <w:p w14:paraId="41C9FA91" w14:textId="77777777" w:rsidR="00AB2A18" w:rsidRPr="001C4B27" w:rsidRDefault="00AB2A18" w:rsidP="001C4B27">
      <w:pPr>
        <w:jc w:val="both"/>
        <w:rPr>
          <w:rFonts w:ascii="Calibri" w:hAnsi="Calibri" w:cs="Calibri"/>
        </w:rPr>
      </w:pPr>
    </w:p>
    <w:p w14:paraId="62A4B513" w14:textId="77777777" w:rsidR="00AB2A18" w:rsidRPr="001C4B27" w:rsidRDefault="00AB2A18" w:rsidP="001C4B27">
      <w:pPr>
        <w:jc w:val="both"/>
        <w:rPr>
          <w:rFonts w:ascii="Calibri" w:hAnsi="Calibri" w:cs="Calibri"/>
        </w:rPr>
      </w:pPr>
    </w:p>
    <w:p w14:paraId="716BD490" w14:textId="13608B94" w:rsidR="00360C62" w:rsidRPr="001C4B27" w:rsidRDefault="00360C62" w:rsidP="001C4B27">
      <w:pPr>
        <w:jc w:val="both"/>
        <w:rPr>
          <w:rFonts w:ascii="Calibri" w:hAnsi="Calibri" w:cs="Calibri"/>
        </w:rPr>
      </w:pPr>
    </w:p>
    <w:sectPr w:rsidR="00360C62" w:rsidRPr="001C4B2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3861E6" w14:textId="77777777" w:rsidR="00824153" w:rsidRDefault="00824153" w:rsidP="00824153">
      <w:r>
        <w:separator/>
      </w:r>
    </w:p>
  </w:endnote>
  <w:endnote w:type="continuationSeparator" w:id="0">
    <w:p w14:paraId="4E07126E" w14:textId="77777777" w:rsidR="00824153" w:rsidRDefault="00824153" w:rsidP="008241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5CAA78" w14:textId="77777777" w:rsidR="00824153" w:rsidRDefault="00824153" w:rsidP="00824153">
      <w:r>
        <w:separator/>
      </w:r>
    </w:p>
  </w:footnote>
  <w:footnote w:type="continuationSeparator" w:id="0">
    <w:p w14:paraId="4DF2B4EF" w14:textId="77777777" w:rsidR="00824153" w:rsidRDefault="00824153" w:rsidP="008241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25529E" w14:textId="4B283CFF" w:rsidR="00824153" w:rsidRDefault="00824153">
    <w:pPr>
      <w:pStyle w:val="Header"/>
    </w:pPr>
    <w:r>
      <w:t>Alexandra Maria Baloi 2315118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153"/>
    <w:rsid w:val="0003489D"/>
    <w:rsid w:val="00053700"/>
    <w:rsid w:val="000F65F6"/>
    <w:rsid w:val="001204D6"/>
    <w:rsid w:val="0014139C"/>
    <w:rsid w:val="001852BD"/>
    <w:rsid w:val="001C4B27"/>
    <w:rsid w:val="002156B7"/>
    <w:rsid w:val="002447D2"/>
    <w:rsid w:val="002873E6"/>
    <w:rsid w:val="00296051"/>
    <w:rsid w:val="002A7662"/>
    <w:rsid w:val="00306E40"/>
    <w:rsid w:val="00360C62"/>
    <w:rsid w:val="00416F5F"/>
    <w:rsid w:val="00420AC1"/>
    <w:rsid w:val="004465D9"/>
    <w:rsid w:val="004D2EB4"/>
    <w:rsid w:val="00507010"/>
    <w:rsid w:val="0051589B"/>
    <w:rsid w:val="00517977"/>
    <w:rsid w:val="00526E9A"/>
    <w:rsid w:val="00593199"/>
    <w:rsid w:val="005A0B01"/>
    <w:rsid w:val="005E65F9"/>
    <w:rsid w:val="00616684"/>
    <w:rsid w:val="0067373B"/>
    <w:rsid w:val="006A2D8A"/>
    <w:rsid w:val="00723F11"/>
    <w:rsid w:val="007414CD"/>
    <w:rsid w:val="00745BAA"/>
    <w:rsid w:val="007D215E"/>
    <w:rsid w:val="007D4D6E"/>
    <w:rsid w:val="0080342B"/>
    <w:rsid w:val="00824153"/>
    <w:rsid w:val="0084005A"/>
    <w:rsid w:val="008601EB"/>
    <w:rsid w:val="008C04B5"/>
    <w:rsid w:val="00966BED"/>
    <w:rsid w:val="009926F4"/>
    <w:rsid w:val="009C4AF2"/>
    <w:rsid w:val="009C4BD5"/>
    <w:rsid w:val="009D3BEA"/>
    <w:rsid w:val="009F470B"/>
    <w:rsid w:val="009F4DB4"/>
    <w:rsid w:val="00A33051"/>
    <w:rsid w:val="00AB2A18"/>
    <w:rsid w:val="00AB4C34"/>
    <w:rsid w:val="00AD1CCC"/>
    <w:rsid w:val="00AE421A"/>
    <w:rsid w:val="00B4343A"/>
    <w:rsid w:val="00B702EF"/>
    <w:rsid w:val="00BE775B"/>
    <w:rsid w:val="00BF35B6"/>
    <w:rsid w:val="00C962C5"/>
    <w:rsid w:val="00CB7BD0"/>
    <w:rsid w:val="00CF5028"/>
    <w:rsid w:val="00D30163"/>
    <w:rsid w:val="00D734FA"/>
    <w:rsid w:val="00D94E7C"/>
    <w:rsid w:val="00DB6DEC"/>
    <w:rsid w:val="00E50B68"/>
    <w:rsid w:val="00E64EDC"/>
    <w:rsid w:val="00E9165D"/>
    <w:rsid w:val="00EB2AFD"/>
    <w:rsid w:val="00EF2D27"/>
    <w:rsid w:val="00F54A0E"/>
    <w:rsid w:val="00FB4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A1BD74"/>
  <w15:chartTrackingRefBased/>
  <w15:docId w15:val="{2EA05B29-0DCF-ED4F-847F-DA4CEA4FB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1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1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1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1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1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15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15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15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15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1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1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1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1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1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1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1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1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153"/>
    <w:rPr>
      <w:rFonts w:eastAsiaTheme="majorEastAsia" w:cstheme="majorBidi"/>
      <w:color w:val="272727" w:themeColor="text1" w:themeTint="D8"/>
    </w:rPr>
  </w:style>
  <w:style w:type="paragraph" w:styleId="Title">
    <w:name w:val="Title"/>
    <w:basedOn w:val="Normal"/>
    <w:next w:val="Normal"/>
    <w:link w:val="TitleChar"/>
    <w:uiPriority w:val="10"/>
    <w:qFormat/>
    <w:rsid w:val="0082415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1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15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1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15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24153"/>
    <w:rPr>
      <w:i/>
      <w:iCs/>
      <w:color w:val="404040" w:themeColor="text1" w:themeTint="BF"/>
    </w:rPr>
  </w:style>
  <w:style w:type="paragraph" w:styleId="ListParagraph">
    <w:name w:val="List Paragraph"/>
    <w:basedOn w:val="Normal"/>
    <w:uiPriority w:val="34"/>
    <w:qFormat/>
    <w:rsid w:val="00824153"/>
    <w:pPr>
      <w:ind w:left="720"/>
      <w:contextualSpacing/>
    </w:pPr>
  </w:style>
  <w:style w:type="character" w:styleId="IntenseEmphasis">
    <w:name w:val="Intense Emphasis"/>
    <w:basedOn w:val="DefaultParagraphFont"/>
    <w:uiPriority w:val="21"/>
    <w:qFormat/>
    <w:rsid w:val="00824153"/>
    <w:rPr>
      <w:i/>
      <w:iCs/>
      <w:color w:val="0F4761" w:themeColor="accent1" w:themeShade="BF"/>
    </w:rPr>
  </w:style>
  <w:style w:type="paragraph" w:styleId="IntenseQuote">
    <w:name w:val="Intense Quote"/>
    <w:basedOn w:val="Normal"/>
    <w:next w:val="Normal"/>
    <w:link w:val="IntenseQuoteChar"/>
    <w:uiPriority w:val="30"/>
    <w:qFormat/>
    <w:rsid w:val="008241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153"/>
    <w:rPr>
      <w:i/>
      <w:iCs/>
      <w:color w:val="0F4761" w:themeColor="accent1" w:themeShade="BF"/>
    </w:rPr>
  </w:style>
  <w:style w:type="character" w:styleId="IntenseReference">
    <w:name w:val="Intense Reference"/>
    <w:basedOn w:val="DefaultParagraphFont"/>
    <w:uiPriority w:val="32"/>
    <w:qFormat/>
    <w:rsid w:val="00824153"/>
    <w:rPr>
      <w:b/>
      <w:bCs/>
      <w:smallCaps/>
      <w:color w:val="0F4761" w:themeColor="accent1" w:themeShade="BF"/>
      <w:spacing w:val="5"/>
    </w:rPr>
  </w:style>
  <w:style w:type="paragraph" w:styleId="Header">
    <w:name w:val="header"/>
    <w:basedOn w:val="Normal"/>
    <w:link w:val="HeaderChar"/>
    <w:uiPriority w:val="99"/>
    <w:unhideWhenUsed/>
    <w:rsid w:val="00824153"/>
    <w:pPr>
      <w:tabs>
        <w:tab w:val="center" w:pos="4513"/>
        <w:tab w:val="right" w:pos="9026"/>
      </w:tabs>
    </w:pPr>
  </w:style>
  <w:style w:type="character" w:customStyle="1" w:styleId="HeaderChar">
    <w:name w:val="Header Char"/>
    <w:basedOn w:val="DefaultParagraphFont"/>
    <w:link w:val="Header"/>
    <w:uiPriority w:val="99"/>
    <w:rsid w:val="00824153"/>
  </w:style>
  <w:style w:type="paragraph" w:styleId="Footer">
    <w:name w:val="footer"/>
    <w:basedOn w:val="Normal"/>
    <w:link w:val="FooterChar"/>
    <w:uiPriority w:val="99"/>
    <w:unhideWhenUsed/>
    <w:rsid w:val="00824153"/>
    <w:pPr>
      <w:tabs>
        <w:tab w:val="center" w:pos="4513"/>
        <w:tab w:val="right" w:pos="9026"/>
      </w:tabs>
    </w:pPr>
  </w:style>
  <w:style w:type="character" w:customStyle="1" w:styleId="FooterChar">
    <w:name w:val="Footer Char"/>
    <w:basedOn w:val="DefaultParagraphFont"/>
    <w:link w:val="Footer"/>
    <w:uiPriority w:val="99"/>
    <w:rsid w:val="00824153"/>
  </w:style>
  <w:style w:type="character" w:styleId="Hyperlink">
    <w:name w:val="Hyperlink"/>
    <w:basedOn w:val="DefaultParagraphFont"/>
    <w:uiPriority w:val="99"/>
    <w:unhideWhenUsed/>
    <w:rsid w:val="002156B7"/>
    <w:rPr>
      <w:color w:val="467886" w:themeColor="hyperlink"/>
      <w:u w:val="single"/>
    </w:rPr>
  </w:style>
  <w:style w:type="character" w:styleId="UnresolvedMention">
    <w:name w:val="Unresolved Mention"/>
    <w:basedOn w:val="DefaultParagraphFont"/>
    <w:uiPriority w:val="99"/>
    <w:semiHidden/>
    <w:unhideWhenUsed/>
    <w:rsid w:val="002156B7"/>
    <w:rPr>
      <w:color w:val="605E5C"/>
      <w:shd w:val="clear" w:color="auto" w:fill="E1DFDD"/>
    </w:rPr>
  </w:style>
  <w:style w:type="character" w:styleId="FollowedHyperlink">
    <w:name w:val="FollowedHyperlink"/>
    <w:basedOn w:val="DefaultParagraphFont"/>
    <w:uiPriority w:val="99"/>
    <w:semiHidden/>
    <w:unhideWhenUsed/>
    <w:rsid w:val="002156B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030055">
      <w:bodyDiv w:val="1"/>
      <w:marLeft w:val="0"/>
      <w:marRight w:val="0"/>
      <w:marTop w:val="0"/>
      <w:marBottom w:val="0"/>
      <w:divBdr>
        <w:top w:val="none" w:sz="0" w:space="0" w:color="auto"/>
        <w:left w:val="none" w:sz="0" w:space="0" w:color="auto"/>
        <w:bottom w:val="none" w:sz="0" w:space="0" w:color="auto"/>
        <w:right w:val="none" w:sz="0" w:space="0" w:color="auto"/>
      </w:divBdr>
    </w:div>
    <w:div w:id="82847071">
      <w:bodyDiv w:val="1"/>
      <w:marLeft w:val="0"/>
      <w:marRight w:val="0"/>
      <w:marTop w:val="0"/>
      <w:marBottom w:val="0"/>
      <w:divBdr>
        <w:top w:val="none" w:sz="0" w:space="0" w:color="auto"/>
        <w:left w:val="none" w:sz="0" w:space="0" w:color="auto"/>
        <w:bottom w:val="none" w:sz="0" w:space="0" w:color="auto"/>
        <w:right w:val="none" w:sz="0" w:space="0" w:color="auto"/>
      </w:divBdr>
    </w:div>
    <w:div w:id="126818089">
      <w:bodyDiv w:val="1"/>
      <w:marLeft w:val="0"/>
      <w:marRight w:val="0"/>
      <w:marTop w:val="0"/>
      <w:marBottom w:val="0"/>
      <w:divBdr>
        <w:top w:val="none" w:sz="0" w:space="0" w:color="auto"/>
        <w:left w:val="none" w:sz="0" w:space="0" w:color="auto"/>
        <w:bottom w:val="none" w:sz="0" w:space="0" w:color="auto"/>
        <w:right w:val="none" w:sz="0" w:space="0" w:color="auto"/>
      </w:divBdr>
    </w:div>
    <w:div w:id="175120859">
      <w:bodyDiv w:val="1"/>
      <w:marLeft w:val="0"/>
      <w:marRight w:val="0"/>
      <w:marTop w:val="0"/>
      <w:marBottom w:val="0"/>
      <w:divBdr>
        <w:top w:val="none" w:sz="0" w:space="0" w:color="auto"/>
        <w:left w:val="none" w:sz="0" w:space="0" w:color="auto"/>
        <w:bottom w:val="none" w:sz="0" w:space="0" w:color="auto"/>
        <w:right w:val="none" w:sz="0" w:space="0" w:color="auto"/>
      </w:divBdr>
    </w:div>
    <w:div w:id="241723919">
      <w:bodyDiv w:val="1"/>
      <w:marLeft w:val="0"/>
      <w:marRight w:val="0"/>
      <w:marTop w:val="0"/>
      <w:marBottom w:val="0"/>
      <w:divBdr>
        <w:top w:val="none" w:sz="0" w:space="0" w:color="auto"/>
        <w:left w:val="none" w:sz="0" w:space="0" w:color="auto"/>
        <w:bottom w:val="none" w:sz="0" w:space="0" w:color="auto"/>
        <w:right w:val="none" w:sz="0" w:space="0" w:color="auto"/>
      </w:divBdr>
    </w:div>
    <w:div w:id="289820817">
      <w:bodyDiv w:val="1"/>
      <w:marLeft w:val="0"/>
      <w:marRight w:val="0"/>
      <w:marTop w:val="0"/>
      <w:marBottom w:val="0"/>
      <w:divBdr>
        <w:top w:val="none" w:sz="0" w:space="0" w:color="auto"/>
        <w:left w:val="none" w:sz="0" w:space="0" w:color="auto"/>
        <w:bottom w:val="none" w:sz="0" w:space="0" w:color="auto"/>
        <w:right w:val="none" w:sz="0" w:space="0" w:color="auto"/>
      </w:divBdr>
    </w:div>
    <w:div w:id="302662230">
      <w:bodyDiv w:val="1"/>
      <w:marLeft w:val="0"/>
      <w:marRight w:val="0"/>
      <w:marTop w:val="0"/>
      <w:marBottom w:val="0"/>
      <w:divBdr>
        <w:top w:val="none" w:sz="0" w:space="0" w:color="auto"/>
        <w:left w:val="none" w:sz="0" w:space="0" w:color="auto"/>
        <w:bottom w:val="none" w:sz="0" w:space="0" w:color="auto"/>
        <w:right w:val="none" w:sz="0" w:space="0" w:color="auto"/>
      </w:divBdr>
    </w:div>
    <w:div w:id="361981869">
      <w:bodyDiv w:val="1"/>
      <w:marLeft w:val="0"/>
      <w:marRight w:val="0"/>
      <w:marTop w:val="0"/>
      <w:marBottom w:val="0"/>
      <w:divBdr>
        <w:top w:val="none" w:sz="0" w:space="0" w:color="auto"/>
        <w:left w:val="none" w:sz="0" w:space="0" w:color="auto"/>
        <w:bottom w:val="none" w:sz="0" w:space="0" w:color="auto"/>
        <w:right w:val="none" w:sz="0" w:space="0" w:color="auto"/>
      </w:divBdr>
    </w:div>
    <w:div w:id="634872811">
      <w:bodyDiv w:val="1"/>
      <w:marLeft w:val="0"/>
      <w:marRight w:val="0"/>
      <w:marTop w:val="0"/>
      <w:marBottom w:val="0"/>
      <w:divBdr>
        <w:top w:val="none" w:sz="0" w:space="0" w:color="auto"/>
        <w:left w:val="none" w:sz="0" w:space="0" w:color="auto"/>
        <w:bottom w:val="none" w:sz="0" w:space="0" w:color="auto"/>
        <w:right w:val="none" w:sz="0" w:space="0" w:color="auto"/>
      </w:divBdr>
    </w:div>
    <w:div w:id="685863591">
      <w:bodyDiv w:val="1"/>
      <w:marLeft w:val="0"/>
      <w:marRight w:val="0"/>
      <w:marTop w:val="0"/>
      <w:marBottom w:val="0"/>
      <w:divBdr>
        <w:top w:val="none" w:sz="0" w:space="0" w:color="auto"/>
        <w:left w:val="none" w:sz="0" w:space="0" w:color="auto"/>
        <w:bottom w:val="none" w:sz="0" w:space="0" w:color="auto"/>
        <w:right w:val="none" w:sz="0" w:space="0" w:color="auto"/>
      </w:divBdr>
    </w:div>
    <w:div w:id="775291317">
      <w:bodyDiv w:val="1"/>
      <w:marLeft w:val="0"/>
      <w:marRight w:val="0"/>
      <w:marTop w:val="0"/>
      <w:marBottom w:val="0"/>
      <w:divBdr>
        <w:top w:val="none" w:sz="0" w:space="0" w:color="auto"/>
        <w:left w:val="none" w:sz="0" w:space="0" w:color="auto"/>
        <w:bottom w:val="none" w:sz="0" w:space="0" w:color="auto"/>
        <w:right w:val="none" w:sz="0" w:space="0" w:color="auto"/>
      </w:divBdr>
    </w:div>
    <w:div w:id="871919683">
      <w:bodyDiv w:val="1"/>
      <w:marLeft w:val="0"/>
      <w:marRight w:val="0"/>
      <w:marTop w:val="0"/>
      <w:marBottom w:val="0"/>
      <w:divBdr>
        <w:top w:val="none" w:sz="0" w:space="0" w:color="auto"/>
        <w:left w:val="none" w:sz="0" w:space="0" w:color="auto"/>
        <w:bottom w:val="none" w:sz="0" w:space="0" w:color="auto"/>
        <w:right w:val="none" w:sz="0" w:space="0" w:color="auto"/>
      </w:divBdr>
    </w:div>
    <w:div w:id="990326236">
      <w:bodyDiv w:val="1"/>
      <w:marLeft w:val="0"/>
      <w:marRight w:val="0"/>
      <w:marTop w:val="0"/>
      <w:marBottom w:val="0"/>
      <w:divBdr>
        <w:top w:val="none" w:sz="0" w:space="0" w:color="auto"/>
        <w:left w:val="none" w:sz="0" w:space="0" w:color="auto"/>
        <w:bottom w:val="none" w:sz="0" w:space="0" w:color="auto"/>
        <w:right w:val="none" w:sz="0" w:space="0" w:color="auto"/>
      </w:divBdr>
    </w:div>
    <w:div w:id="1043217955">
      <w:bodyDiv w:val="1"/>
      <w:marLeft w:val="0"/>
      <w:marRight w:val="0"/>
      <w:marTop w:val="0"/>
      <w:marBottom w:val="0"/>
      <w:divBdr>
        <w:top w:val="none" w:sz="0" w:space="0" w:color="auto"/>
        <w:left w:val="none" w:sz="0" w:space="0" w:color="auto"/>
        <w:bottom w:val="none" w:sz="0" w:space="0" w:color="auto"/>
        <w:right w:val="none" w:sz="0" w:space="0" w:color="auto"/>
      </w:divBdr>
    </w:div>
    <w:div w:id="1075250934">
      <w:bodyDiv w:val="1"/>
      <w:marLeft w:val="0"/>
      <w:marRight w:val="0"/>
      <w:marTop w:val="0"/>
      <w:marBottom w:val="0"/>
      <w:divBdr>
        <w:top w:val="none" w:sz="0" w:space="0" w:color="auto"/>
        <w:left w:val="none" w:sz="0" w:space="0" w:color="auto"/>
        <w:bottom w:val="none" w:sz="0" w:space="0" w:color="auto"/>
        <w:right w:val="none" w:sz="0" w:space="0" w:color="auto"/>
      </w:divBdr>
    </w:div>
    <w:div w:id="1114983923">
      <w:bodyDiv w:val="1"/>
      <w:marLeft w:val="0"/>
      <w:marRight w:val="0"/>
      <w:marTop w:val="0"/>
      <w:marBottom w:val="0"/>
      <w:divBdr>
        <w:top w:val="none" w:sz="0" w:space="0" w:color="auto"/>
        <w:left w:val="none" w:sz="0" w:space="0" w:color="auto"/>
        <w:bottom w:val="none" w:sz="0" w:space="0" w:color="auto"/>
        <w:right w:val="none" w:sz="0" w:space="0" w:color="auto"/>
      </w:divBdr>
    </w:div>
    <w:div w:id="1151098453">
      <w:bodyDiv w:val="1"/>
      <w:marLeft w:val="0"/>
      <w:marRight w:val="0"/>
      <w:marTop w:val="0"/>
      <w:marBottom w:val="0"/>
      <w:divBdr>
        <w:top w:val="none" w:sz="0" w:space="0" w:color="auto"/>
        <w:left w:val="none" w:sz="0" w:space="0" w:color="auto"/>
        <w:bottom w:val="none" w:sz="0" w:space="0" w:color="auto"/>
        <w:right w:val="none" w:sz="0" w:space="0" w:color="auto"/>
      </w:divBdr>
    </w:div>
    <w:div w:id="1220749766">
      <w:bodyDiv w:val="1"/>
      <w:marLeft w:val="0"/>
      <w:marRight w:val="0"/>
      <w:marTop w:val="0"/>
      <w:marBottom w:val="0"/>
      <w:divBdr>
        <w:top w:val="none" w:sz="0" w:space="0" w:color="auto"/>
        <w:left w:val="none" w:sz="0" w:space="0" w:color="auto"/>
        <w:bottom w:val="none" w:sz="0" w:space="0" w:color="auto"/>
        <w:right w:val="none" w:sz="0" w:space="0" w:color="auto"/>
      </w:divBdr>
    </w:div>
    <w:div w:id="1727953613">
      <w:bodyDiv w:val="1"/>
      <w:marLeft w:val="0"/>
      <w:marRight w:val="0"/>
      <w:marTop w:val="0"/>
      <w:marBottom w:val="0"/>
      <w:divBdr>
        <w:top w:val="none" w:sz="0" w:space="0" w:color="auto"/>
        <w:left w:val="none" w:sz="0" w:space="0" w:color="auto"/>
        <w:bottom w:val="none" w:sz="0" w:space="0" w:color="auto"/>
        <w:right w:val="none" w:sz="0" w:space="0" w:color="auto"/>
      </w:divBdr>
    </w:div>
    <w:div w:id="1791045318">
      <w:bodyDiv w:val="1"/>
      <w:marLeft w:val="0"/>
      <w:marRight w:val="0"/>
      <w:marTop w:val="0"/>
      <w:marBottom w:val="0"/>
      <w:divBdr>
        <w:top w:val="none" w:sz="0" w:space="0" w:color="auto"/>
        <w:left w:val="none" w:sz="0" w:space="0" w:color="auto"/>
        <w:bottom w:val="none" w:sz="0" w:space="0" w:color="auto"/>
        <w:right w:val="none" w:sz="0" w:space="0" w:color="auto"/>
      </w:divBdr>
    </w:div>
    <w:div w:id="1804150735">
      <w:bodyDiv w:val="1"/>
      <w:marLeft w:val="0"/>
      <w:marRight w:val="0"/>
      <w:marTop w:val="0"/>
      <w:marBottom w:val="0"/>
      <w:divBdr>
        <w:top w:val="none" w:sz="0" w:space="0" w:color="auto"/>
        <w:left w:val="none" w:sz="0" w:space="0" w:color="auto"/>
        <w:bottom w:val="none" w:sz="0" w:space="0" w:color="auto"/>
        <w:right w:val="none" w:sz="0" w:space="0" w:color="auto"/>
      </w:divBdr>
    </w:div>
    <w:div w:id="1805077761">
      <w:bodyDiv w:val="1"/>
      <w:marLeft w:val="0"/>
      <w:marRight w:val="0"/>
      <w:marTop w:val="0"/>
      <w:marBottom w:val="0"/>
      <w:divBdr>
        <w:top w:val="none" w:sz="0" w:space="0" w:color="auto"/>
        <w:left w:val="none" w:sz="0" w:space="0" w:color="auto"/>
        <w:bottom w:val="none" w:sz="0" w:space="0" w:color="auto"/>
        <w:right w:val="none" w:sz="0" w:space="0" w:color="auto"/>
      </w:divBdr>
    </w:div>
    <w:div w:id="1957322672">
      <w:bodyDiv w:val="1"/>
      <w:marLeft w:val="0"/>
      <w:marRight w:val="0"/>
      <w:marTop w:val="0"/>
      <w:marBottom w:val="0"/>
      <w:divBdr>
        <w:top w:val="none" w:sz="0" w:space="0" w:color="auto"/>
        <w:left w:val="none" w:sz="0" w:space="0" w:color="auto"/>
        <w:bottom w:val="none" w:sz="0" w:space="0" w:color="auto"/>
        <w:right w:val="none" w:sz="0" w:space="0" w:color="auto"/>
      </w:divBdr>
    </w:div>
    <w:div w:id="1967926496">
      <w:bodyDiv w:val="1"/>
      <w:marLeft w:val="0"/>
      <w:marRight w:val="0"/>
      <w:marTop w:val="0"/>
      <w:marBottom w:val="0"/>
      <w:divBdr>
        <w:top w:val="none" w:sz="0" w:space="0" w:color="auto"/>
        <w:left w:val="none" w:sz="0" w:space="0" w:color="auto"/>
        <w:bottom w:val="none" w:sz="0" w:space="0" w:color="auto"/>
        <w:right w:val="none" w:sz="0" w:space="0" w:color="auto"/>
      </w:divBdr>
    </w:div>
    <w:div w:id="2049796739">
      <w:bodyDiv w:val="1"/>
      <w:marLeft w:val="0"/>
      <w:marRight w:val="0"/>
      <w:marTop w:val="0"/>
      <w:marBottom w:val="0"/>
      <w:divBdr>
        <w:top w:val="none" w:sz="0" w:space="0" w:color="auto"/>
        <w:left w:val="none" w:sz="0" w:space="0" w:color="auto"/>
        <w:bottom w:val="none" w:sz="0" w:space="0" w:color="auto"/>
        <w:right w:val="none" w:sz="0" w:space="0" w:color="auto"/>
      </w:divBdr>
    </w:div>
    <w:div w:id="2072149093">
      <w:bodyDiv w:val="1"/>
      <w:marLeft w:val="0"/>
      <w:marRight w:val="0"/>
      <w:marTop w:val="0"/>
      <w:marBottom w:val="0"/>
      <w:divBdr>
        <w:top w:val="none" w:sz="0" w:space="0" w:color="auto"/>
        <w:left w:val="none" w:sz="0" w:space="0" w:color="auto"/>
        <w:bottom w:val="none" w:sz="0" w:space="0" w:color="auto"/>
        <w:right w:val="none" w:sz="0" w:space="0" w:color="auto"/>
      </w:divBdr>
    </w:div>
    <w:div w:id="2073116295">
      <w:bodyDiv w:val="1"/>
      <w:marLeft w:val="0"/>
      <w:marRight w:val="0"/>
      <w:marTop w:val="0"/>
      <w:marBottom w:val="0"/>
      <w:divBdr>
        <w:top w:val="none" w:sz="0" w:space="0" w:color="auto"/>
        <w:left w:val="none" w:sz="0" w:space="0" w:color="auto"/>
        <w:bottom w:val="none" w:sz="0" w:space="0" w:color="auto"/>
        <w:right w:val="none" w:sz="0" w:space="0" w:color="auto"/>
      </w:divBdr>
    </w:div>
    <w:div w:id="2073773085">
      <w:bodyDiv w:val="1"/>
      <w:marLeft w:val="0"/>
      <w:marRight w:val="0"/>
      <w:marTop w:val="0"/>
      <w:marBottom w:val="0"/>
      <w:divBdr>
        <w:top w:val="none" w:sz="0" w:space="0" w:color="auto"/>
        <w:left w:val="none" w:sz="0" w:space="0" w:color="auto"/>
        <w:bottom w:val="none" w:sz="0" w:space="0" w:color="auto"/>
        <w:right w:val="none" w:sz="0" w:space="0" w:color="auto"/>
      </w:divBdr>
    </w:div>
    <w:div w:id="2101753315">
      <w:bodyDiv w:val="1"/>
      <w:marLeft w:val="0"/>
      <w:marRight w:val="0"/>
      <w:marTop w:val="0"/>
      <w:marBottom w:val="0"/>
      <w:divBdr>
        <w:top w:val="none" w:sz="0" w:space="0" w:color="auto"/>
        <w:left w:val="none" w:sz="0" w:space="0" w:color="auto"/>
        <w:bottom w:val="none" w:sz="0" w:space="0" w:color="auto"/>
        <w:right w:val="none" w:sz="0" w:space="0" w:color="auto"/>
      </w:divBdr>
    </w:div>
    <w:div w:id="2105027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lectures/tort-law/negligence/breach-of-duty/" TargetMode="External"/><Relationship Id="rId13" Type="http://schemas.openxmlformats.org/officeDocument/2006/relationships/hyperlink" Target="https://www.hempsons.co.uk/news-articles/foreseeability-and-causation-in-clinical-negligence-cases/?cn-reloaded=1" TargetMode="External"/><Relationship Id="rId18" Type="http://schemas.openxmlformats.org/officeDocument/2006/relationships/hyperlink" Target="https://www.lawteacher.net/free-law-essays/contract-law/modification-of-causation-principles-contract-law-essay.php" TargetMode="External"/><Relationship Id="rId3" Type="http://schemas.openxmlformats.org/officeDocument/2006/relationships/webSettings" Target="webSettings.xml"/><Relationship Id="rId21" Type="http://schemas.openxmlformats.org/officeDocument/2006/relationships/hyperlink" Target="https://www.digestiblenotes.com/law/criminal/causation.php#:~:text=%E2%87%92%20The%20'thin%20skull'%20rule,made%20him%20or%20her%20vulnerable." TargetMode="External"/><Relationship Id="rId7" Type="http://schemas.openxmlformats.org/officeDocument/2006/relationships/hyperlink" Target="https://www.lexisnexis.co.uk/legal/guidance/negligence-when-is-the-duty-of-care-breached" TargetMode="External"/><Relationship Id="rId12" Type="http://schemas.openxmlformats.org/officeDocument/2006/relationships/hyperlink" Target="https://www.studysmarter.co.uk/explanations/law/civil-law/legal-causation/#:~:text=Factual%20causation%20(but%20for%20causation,factor%20in%20causing%20the%20harm." TargetMode="External"/><Relationship Id="rId17" Type="http://schemas.openxmlformats.org/officeDocument/2006/relationships/hyperlink" Target="https://www.enjuris.com/personal-injury-law/the-but-for-test/" TargetMode="External"/><Relationship Id="rId2" Type="http://schemas.openxmlformats.org/officeDocument/2006/relationships/settings" Target="settings.xml"/><Relationship Id="rId16" Type="http://schemas.openxmlformats.org/officeDocument/2006/relationships/hyperlink" Target="https://core.ac.uk/download/pdf/144223272.pdf" TargetMode="External"/><Relationship Id="rId20" Type="http://schemas.openxmlformats.org/officeDocument/2006/relationships/hyperlink" Target="https://uollb.com/blogs/uol/thin-skull-rule?srsltid=AfmBOoq2BYq0_jUTf7qQkEv010FUWBeVwQaXue2GMkQ95T0qu_Sk8hr9" TargetMode="External"/><Relationship Id="rId1" Type="http://schemas.openxmlformats.org/officeDocument/2006/relationships/styles" Target="styles.xml"/><Relationship Id="rId6" Type="http://schemas.openxmlformats.org/officeDocument/2006/relationships/hyperlink" Target="https://www.internationalsos.com/insights/what-is-duty-of-care" TargetMode="External"/><Relationship Id="rId11" Type="http://schemas.openxmlformats.org/officeDocument/2006/relationships/hyperlink" Target="https://uollb.com/blogs/uol/legal-causation-vs-factual-causation"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courtingthelaw.com/2016/11/08/commentary/is-but-for-the-best-tool-for-applying-causation/" TargetMode="External"/><Relationship Id="rId23" Type="http://schemas.openxmlformats.org/officeDocument/2006/relationships/fontTable" Target="fontTable.xml"/><Relationship Id="rId10" Type="http://schemas.openxmlformats.org/officeDocument/2006/relationships/hyperlink" Target="https://www.lawteacher.net/lectures/tort-law/causation-and-remoteness/causation/" TargetMode="External"/><Relationship Id="rId19" Type="http://schemas.openxmlformats.org/officeDocument/2006/relationships/hyperlink" Target="https://www.law.cornell.edu/wex/eggshell_skull_rule#:~:text=The%20eggshell%20skull%20rule%2C%20also,defendant's%20negligent%20or%20intentional%20tort." TargetMode="External"/><Relationship Id="rId4" Type="http://schemas.openxmlformats.org/officeDocument/2006/relationships/footnotes" Target="footnotes.xml"/><Relationship Id="rId9" Type="http://schemas.openxmlformats.org/officeDocument/2006/relationships/hyperlink" Target="https://www.lexisnexis.co.uk/legal/glossary/causation" TargetMode="External"/><Relationship Id="rId14" Type="http://schemas.openxmlformats.org/officeDocument/2006/relationships/hyperlink" Target="https://www.studysmarter.co.uk/explanations/law/civil-law/but-for-tes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2</cp:revision>
  <dcterms:created xsi:type="dcterms:W3CDTF">2024-11-08T01:28:00Z</dcterms:created>
  <dcterms:modified xsi:type="dcterms:W3CDTF">2024-11-08T01:28:00Z</dcterms:modified>
</cp:coreProperties>
</file>