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201660810"/>
        <w:docPartObj>
          <w:docPartGallery w:val="Cover Pages"/>
          <w:docPartUnique/>
        </w:docPartObj>
      </w:sdtPr>
      <w:sdtEndPr>
        <w:rPr>
          <w:rFonts w:ascii="Arial" w:eastAsiaTheme="majorEastAsia" w:hAnsi="Arial" w:cs="Arial"/>
          <w:color w:val="4472C4" w:themeColor="accent1"/>
          <w:kern w:val="28"/>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sdtEndPr>
      <w:sdtContent>
        <w:p w14:paraId="66826672" w14:textId="257C121D" w:rsidR="00EE16E2" w:rsidRDefault="00EE16E2">
          <w:pPr>
            <w:pStyle w:val="Nessunaspaziatura"/>
          </w:pPr>
          <w:r>
            <w:rPr>
              <w:noProof/>
            </w:rPr>
            <mc:AlternateContent>
              <mc:Choice Requires="wpg">
                <w:drawing>
                  <wp:anchor distT="0" distB="0" distL="114300" distR="114300" simplePos="0" relativeHeight="251659264" behindDoc="1" locked="0" layoutInCell="1" allowOverlap="1" wp14:anchorId="33A117DB" wp14:editId="461CEA60">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fullDate="2026-08-14T00:00:00Z">
                                      <w:dateFormat w:val="dd/MM/yyyy"/>
                                      <w:lid w:val="en-GB"/>
                                      <w:storeMappedDataAs w:val="dateTime"/>
                                      <w:calendar w:val="gregorian"/>
                                    </w:date>
                                  </w:sdtPr>
                                  <w:sdtContent>
                                    <w:p w14:paraId="773EAE3A" w14:textId="65982275" w:rsidR="00EE16E2" w:rsidRDefault="005B4D3D">
                                      <w:pPr>
                                        <w:pStyle w:val="Nessunaspaziatura"/>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33A117DB" id="Group 26"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fullDate="2026-08-14T00:00:00Z">
                                <w:dateFormat w:val="dd/MM/yyyy"/>
                                <w:lid w:val="en-GB"/>
                                <w:storeMappedDataAs w:val="dateTime"/>
                                <w:calendar w:val="gregorian"/>
                              </w:date>
                            </w:sdtPr>
                            <w:sdtEndPr/>
                            <w:sdtContent>
                              <w:p w14:paraId="773EAE3A" w14:textId="65982275" w:rsidR="00EE16E2" w:rsidRDefault="005B4D3D">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5E583918" wp14:editId="79932DD9">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F64A2C8" w14:textId="5C6911B1" w:rsidR="00EE16E2" w:rsidRDefault="00000000">
                                <w:pPr>
                                  <w:pStyle w:val="Nessunaspaziatura"/>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EE16E2">
                                      <w:rPr>
                                        <w:color w:val="4472C4" w:themeColor="accent1"/>
                                        <w:sz w:val="26"/>
                                        <w:szCs w:val="26"/>
                                      </w:rPr>
                                      <w:t>Mihaela Marcela Bakos</w:t>
                                    </w:r>
                                  </w:sdtContent>
                                </w:sdt>
                              </w:p>
                              <w:p w14:paraId="32C5CF0A" w14:textId="06C6B712" w:rsidR="00EE16E2" w:rsidRDefault="00000000">
                                <w:pPr>
                                  <w:pStyle w:val="Nessunaspaziatura"/>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EE16E2">
                                      <w:rPr>
                                        <w:caps/>
                                        <w:color w:val="595959" w:themeColor="text1" w:themeTint="A6"/>
                                        <w:sz w:val="20"/>
                                        <w:szCs w:val="20"/>
                                      </w:rPr>
                                      <w:t>UWTSD</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5E583918" id="_x0000_t202" coordsize="21600,21600" o:spt="202" path="m,l,21600r21600,l21600,xe">
                    <v:stroke joinstyle="miter"/>
                    <v:path gradientshapeok="t" o:connecttype="rect"/>
                  </v:shapetype>
                  <v:shape id="Text Box 28"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5F64A2C8" w14:textId="5C6911B1" w:rsidR="00EE16E2" w:rsidRDefault="002B6A3A">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EE16E2">
                                <w:rPr>
                                  <w:color w:val="4472C4" w:themeColor="accent1"/>
                                  <w:sz w:val="26"/>
                                  <w:szCs w:val="26"/>
                                </w:rPr>
                                <w:t>Mihaela Marcela Bakos</w:t>
                              </w:r>
                            </w:sdtContent>
                          </w:sdt>
                        </w:p>
                        <w:p w14:paraId="32C5CF0A" w14:textId="06C6B712" w:rsidR="00EE16E2" w:rsidRDefault="002B6A3A">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EE16E2">
                                <w:rPr>
                                  <w:caps/>
                                  <w:color w:val="595959" w:themeColor="text1" w:themeTint="A6"/>
                                  <w:sz w:val="20"/>
                                  <w:szCs w:val="20"/>
                                </w:rPr>
                                <w:t>UWTSD</w:t>
                              </w:r>
                            </w:sdtContent>
                          </w:sdt>
                        </w:p>
                      </w:txbxContent>
                    </v:textbox>
                    <w10:wrap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1E52DFC3" wp14:editId="6C5EEE1D">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30"/>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5F06F2F" w14:textId="453778EA" w:rsidR="00EE16E2" w:rsidRDefault="00000000">
                                <w:pPr>
                                  <w:pStyle w:val="Nessunaspaziatura"/>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EE16E2" w:rsidRPr="00EE16E2">
                                      <w:rPr>
                                        <w:rFonts w:asciiTheme="majorHAnsi" w:eastAsiaTheme="majorEastAsia" w:hAnsiTheme="majorHAnsi" w:cstheme="majorBidi"/>
                                        <w:color w:val="262626" w:themeColor="text1" w:themeTint="D9"/>
                                        <w:sz w:val="72"/>
                                        <w:szCs w:val="72"/>
                                      </w:rPr>
                                      <w:t>The Impact of Dietary Sugar Consumption on Childhood Obesity in the UK</w:t>
                                    </w:r>
                                  </w:sdtContent>
                                </w:sdt>
                              </w:p>
                              <w:p w14:paraId="53E63F8E" w14:textId="18278102" w:rsidR="00EE16E2" w:rsidRDefault="0000000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EE16E2">
                                      <w:rPr>
                                        <w:color w:val="404040" w:themeColor="text1" w:themeTint="BF"/>
                                        <w:sz w:val="36"/>
                                        <w:szCs w:val="36"/>
                                      </w:rPr>
                                      <w:t>A Scoping Review</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1E52DFC3" id="Text Box 30" o:spid="_x0000_s1056"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X4oYw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" filled="f" stroked="f" strokeweight=".5pt">
                    <v:textbox style="mso-fit-shape-to-text:t" inset="0,0,0,0">
                      <w:txbxContent>
                        <w:p w14:paraId="65F06F2F" w14:textId="453778EA" w:rsidR="00EE16E2" w:rsidRDefault="002B6A3A">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EE16E2" w:rsidRPr="00EE16E2">
                                <w:rPr>
                                  <w:rFonts w:asciiTheme="majorHAnsi" w:eastAsiaTheme="majorEastAsia" w:hAnsiTheme="majorHAnsi" w:cstheme="majorBidi"/>
                                  <w:color w:val="262626" w:themeColor="text1" w:themeTint="D9"/>
                                  <w:sz w:val="72"/>
                                  <w:szCs w:val="72"/>
                                </w:rPr>
                                <w:t>The Impact of Dietary Sugar Consumption on Childhood Obesity in the UK</w:t>
                              </w:r>
                            </w:sdtContent>
                          </w:sdt>
                        </w:p>
                        <w:p w14:paraId="53E63F8E" w14:textId="18278102" w:rsidR="00EE16E2" w:rsidRDefault="002B6A3A">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EE16E2">
                                <w:rPr>
                                  <w:color w:val="404040" w:themeColor="text1" w:themeTint="BF"/>
                                  <w:sz w:val="36"/>
                                  <w:szCs w:val="36"/>
                                </w:rPr>
                                <w:t>A Scoping Review</w:t>
                              </w:r>
                            </w:sdtContent>
                          </w:sdt>
                        </w:p>
                      </w:txbxContent>
                    </v:textbox>
                    <w10:wrap anchorx="page" anchory="page"/>
                  </v:shape>
                </w:pict>
              </mc:Fallback>
            </mc:AlternateContent>
          </w:r>
        </w:p>
        <w:p w14:paraId="1C52CB94" w14:textId="792BEEFB" w:rsidR="00EE16E2" w:rsidRDefault="00EE16E2">
          <w:pPr>
            <w:rPr>
              <w:rFonts w:ascii="Arial" w:eastAsiaTheme="majorEastAsia" w:hAnsi="Arial" w:cs="Arial"/>
              <w:color w:val="4472C4" w:themeColor="accent1"/>
              <w:kern w:val="28"/>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Arial" w:eastAsiaTheme="majorEastAsia" w:hAnsi="Arial" w:cs="Arial"/>
              <w:color w:val="4472C4" w:themeColor="accent1"/>
              <w:kern w:val="28"/>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br w:type="page"/>
          </w:r>
        </w:p>
      </w:sdtContent>
    </w:sdt>
    <w:p w14:paraId="18777FD3" w14:textId="5268DF7E" w:rsidR="00C67E2B" w:rsidRDefault="00FD327A" w:rsidP="00041A5A">
      <w:pPr>
        <w:spacing w:line="360" w:lineRule="auto"/>
        <w:jc w:val="center"/>
        <w:rPr>
          <w:rFonts w:ascii="Arial" w:hAnsi="Arial" w:cs="Arial"/>
          <w:b/>
          <w:bCs/>
          <w:sz w:val="28"/>
          <w:szCs w:val="28"/>
        </w:rPr>
      </w:pPr>
      <w:r>
        <w:rPr>
          <w:rFonts w:ascii="Arial" w:hAnsi="Arial" w:cs="Arial"/>
          <w:b/>
          <w:bCs/>
          <w:noProof/>
          <w:sz w:val="28"/>
          <w:szCs w:val="28"/>
        </w:rPr>
        <w:lastRenderedPageBreak/>
        <w:drawing>
          <wp:inline distT="0" distB="0" distL="0" distR="0" wp14:anchorId="1FFCB83A" wp14:editId="794DF1FF">
            <wp:extent cx="5196840" cy="2306782"/>
            <wp:effectExtent l="0" t="0" r="3810" b="0"/>
            <wp:docPr id="17543258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200024" cy="2308195"/>
                    </a:xfrm>
                    <a:prstGeom prst="rect">
                      <a:avLst/>
                    </a:prstGeom>
                    <a:noFill/>
                  </pic:spPr>
                </pic:pic>
              </a:graphicData>
            </a:graphic>
          </wp:inline>
        </w:drawing>
      </w:r>
    </w:p>
    <w:p w14:paraId="3E07237F" w14:textId="77777777" w:rsidR="00C67E2B" w:rsidRDefault="00C67E2B" w:rsidP="00041A5A">
      <w:pPr>
        <w:spacing w:line="360" w:lineRule="auto"/>
        <w:jc w:val="center"/>
        <w:rPr>
          <w:rFonts w:ascii="Arial" w:hAnsi="Arial" w:cs="Arial"/>
          <w:b/>
          <w:bCs/>
          <w:sz w:val="28"/>
          <w:szCs w:val="28"/>
        </w:rPr>
      </w:pPr>
    </w:p>
    <w:p w14:paraId="28C2C11A" w14:textId="77777777" w:rsidR="00FD327A" w:rsidRDefault="00FD327A" w:rsidP="00041A5A">
      <w:pPr>
        <w:spacing w:line="360" w:lineRule="auto"/>
        <w:jc w:val="center"/>
        <w:rPr>
          <w:rFonts w:ascii="Arial" w:hAnsi="Arial" w:cs="Arial"/>
          <w:b/>
          <w:bCs/>
          <w:sz w:val="28"/>
          <w:szCs w:val="28"/>
        </w:rPr>
      </w:pPr>
    </w:p>
    <w:p w14:paraId="2FE02864" w14:textId="77777777" w:rsidR="00FD327A" w:rsidRDefault="00FD327A" w:rsidP="00041A5A">
      <w:pPr>
        <w:spacing w:line="360" w:lineRule="auto"/>
        <w:jc w:val="center"/>
        <w:rPr>
          <w:rFonts w:ascii="Arial" w:hAnsi="Arial" w:cs="Arial"/>
          <w:b/>
          <w:bCs/>
          <w:sz w:val="28"/>
          <w:szCs w:val="28"/>
        </w:rPr>
      </w:pPr>
    </w:p>
    <w:p w14:paraId="7E9E95C7" w14:textId="77777777" w:rsidR="00FD327A" w:rsidRDefault="00FD327A" w:rsidP="00041A5A">
      <w:pPr>
        <w:spacing w:line="360" w:lineRule="auto"/>
        <w:jc w:val="center"/>
        <w:rPr>
          <w:rFonts w:ascii="Arial" w:hAnsi="Arial" w:cs="Arial"/>
          <w:b/>
          <w:bCs/>
          <w:sz w:val="28"/>
          <w:szCs w:val="28"/>
        </w:rPr>
      </w:pPr>
    </w:p>
    <w:p w14:paraId="4047EE27" w14:textId="77777777" w:rsidR="00FD327A" w:rsidRDefault="00FD327A" w:rsidP="00FD327A">
      <w:pPr>
        <w:spacing w:line="360" w:lineRule="auto"/>
        <w:rPr>
          <w:rFonts w:ascii="Arial" w:hAnsi="Arial" w:cs="Arial"/>
          <w:b/>
          <w:bCs/>
          <w:sz w:val="28"/>
          <w:szCs w:val="28"/>
        </w:rPr>
      </w:pPr>
    </w:p>
    <w:p w14:paraId="358C7E62" w14:textId="6B1FDC00" w:rsidR="00AD0E8D" w:rsidRDefault="00715990" w:rsidP="00FD327A">
      <w:pPr>
        <w:spacing w:line="360" w:lineRule="auto"/>
        <w:rPr>
          <w:rFonts w:ascii="Arial" w:hAnsi="Arial" w:cs="Arial"/>
          <w:b/>
          <w:bCs/>
          <w:sz w:val="28"/>
          <w:szCs w:val="28"/>
        </w:rPr>
      </w:pPr>
      <w:r w:rsidRPr="00AD0E8D">
        <w:rPr>
          <w:rFonts w:ascii="Arial" w:hAnsi="Arial" w:cs="Arial"/>
          <w:b/>
          <w:bCs/>
          <w:sz w:val="28"/>
          <w:szCs w:val="28"/>
        </w:rPr>
        <w:t>BSc (Hons) Health and Social Care</w:t>
      </w:r>
    </w:p>
    <w:p w14:paraId="1AD185BB" w14:textId="11987EA4" w:rsidR="00FF5B70" w:rsidRDefault="00715990" w:rsidP="00FD327A">
      <w:pPr>
        <w:spacing w:line="360" w:lineRule="auto"/>
        <w:rPr>
          <w:rFonts w:ascii="Arial" w:hAnsi="Arial" w:cs="Arial"/>
          <w:b/>
          <w:bCs/>
          <w:sz w:val="28"/>
          <w:szCs w:val="28"/>
        </w:rPr>
      </w:pPr>
      <w:r w:rsidRPr="00AD0E8D">
        <w:rPr>
          <w:rFonts w:ascii="Arial" w:hAnsi="Arial" w:cs="Arial"/>
          <w:b/>
          <w:bCs/>
          <w:sz w:val="28"/>
          <w:szCs w:val="28"/>
        </w:rPr>
        <w:t>Module</w:t>
      </w:r>
      <w:r w:rsidR="00FD327A">
        <w:rPr>
          <w:rFonts w:ascii="Arial" w:hAnsi="Arial" w:cs="Arial"/>
          <w:b/>
          <w:bCs/>
          <w:sz w:val="28"/>
          <w:szCs w:val="28"/>
        </w:rPr>
        <w:t xml:space="preserve"> name</w:t>
      </w:r>
      <w:r w:rsidRPr="00AD0E8D">
        <w:rPr>
          <w:rFonts w:ascii="Arial" w:hAnsi="Arial" w:cs="Arial"/>
          <w:b/>
          <w:bCs/>
          <w:sz w:val="28"/>
          <w:szCs w:val="28"/>
        </w:rPr>
        <w:t xml:space="preserve">: </w:t>
      </w:r>
      <w:r w:rsidR="00AD0E8D" w:rsidRPr="00D0488C">
        <w:rPr>
          <w:rFonts w:ascii="Arial" w:hAnsi="Arial" w:cs="Arial"/>
          <w:sz w:val="28"/>
          <w:szCs w:val="28"/>
        </w:rPr>
        <w:t>Introduction to Independent Research Skills</w:t>
      </w:r>
      <w:r w:rsidRPr="00D0488C">
        <w:rPr>
          <w:rFonts w:ascii="Arial" w:hAnsi="Arial" w:cs="Arial"/>
          <w:sz w:val="28"/>
          <w:szCs w:val="28"/>
        </w:rPr>
        <w:t xml:space="preserve"> (BMHP</w:t>
      </w:r>
      <w:r w:rsidR="00AD0E8D" w:rsidRPr="00D0488C">
        <w:rPr>
          <w:rFonts w:ascii="Arial" w:hAnsi="Arial" w:cs="Arial"/>
          <w:sz w:val="28"/>
          <w:szCs w:val="28"/>
        </w:rPr>
        <w:t>5019</w:t>
      </w:r>
      <w:r w:rsidRPr="00D0488C">
        <w:rPr>
          <w:rFonts w:ascii="Arial" w:hAnsi="Arial" w:cs="Arial"/>
          <w:sz w:val="28"/>
          <w:szCs w:val="28"/>
        </w:rPr>
        <w:t>)</w:t>
      </w:r>
    </w:p>
    <w:p w14:paraId="6B00EB6F" w14:textId="792B3F13" w:rsidR="00FD327A" w:rsidRDefault="00FD327A" w:rsidP="00FD327A">
      <w:pPr>
        <w:spacing w:line="360" w:lineRule="auto"/>
        <w:rPr>
          <w:rFonts w:ascii="Arial" w:hAnsi="Arial" w:cs="Arial"/>
          <w:b/>
          <w:bCs/>
          <w:sz w:val="28"/>
          <w:szCs w:val="28"/>
        </w:rPr>
      </w:pPr>
      <w:r>
        <w:rPr>
          <w:rFonts w:ascii="Arial" w:hAnsi="Arial" w:cs="Arial"/>
          <w:b/>
          <w:bCs/>
          <w:sz w:val="28"/>
          <w:szCs w:val="28"/>
        </w:rPr>
        <w:t xml:space="preserve">Lecturer name: </w:t>
      </w:r>
      <w:r w:rsidRPr="00FD327A">
        <w:rPr>
          <w:rFonts w:ascii="Arial" w:hAnsi="Arial" w:cs="Arial"/>
          <w:sz w:val="28"/>
          <w:szCs w:val="28"/>
        </w:rPr>
        <w:t>Muhammad Khan</w:t>
      </w:r>
    </w:p>
    <w:p w14:paraId="57FF51E7" w14:textId="0D04749D" w:rsidR="00FD327A" w:rsidRPr="00FD327A" w:rsidRDefault="00FD327A" w:rsidP="00FD327A">
      <w:pPr>
        <w:spacing w:line="360" w:lineRule="auto"/>
        <w:rPr>
          <w:rFonts w:ascii="Arial" w:hAnsi="Arial" w:cs="Arial"/>
          <w:sz w:val="28"/>
          <w:szCs w:val="28"/>
        </w:rPr>
      </w:pPr>
      <w:r>
        <w:rPr>
          <w:rFonts w:ascii="Arial" w:hAnsi="Arial" w:cs="Arial"/>
          <w:b/>
          <w:bCs/>
          <w:sz w:val="28"/>
          <w:szCs w:val="28"/>
        </w:rPr>
        <w:t xml:space="preserve">Student name: </w:t>
      </w:r>
      <w:r w:rsidRPr="00FD327A">
        <w:rPr>
          <w:rFonts w:ascii="Arial" w:hAnsi="Arial" w:cs="Arial"/>
          <w:sz w:val="28"/>
          <w:szCs w:val="28"/>
        </w:rPr>
        <w:t>Mihaela Marcela Bakos</w:t>
      </w:r>
    </w:p>
    <w:p w14:paraId="3FE66E60" w14:textId="7C924EDB" w:rsidR="00FF5B70" w:rsidRDefault="00715990" w:rsidP="00041A5A">
      <w:pPr>
        <w:spacing w:line="360" w:lineRule="auto"/>
        <w:rPr>
          <w:rFonts w:ascii="Arial" w:hAnsi="Arial" w:cs="Arial"/>
          <w:sz w:val="28"/>
          <w:szCs w:val="28"/>
        </w:rPr>
      </w:pPr>
      <w:r w:rsidRPr="00AD0E8D">
        <w:rPr>
          <w:rFonts w:ascii="Arial" w:hAnsi="Arial" w:cs="Arial"/>
          <w:b/>
          <w:bCs/>
          <w:sz w:val="28"/>
          <w:szCs w:val="28"/>
        </w:rPr>
        <w:t>Student ID</w:t>
      </w:r>
      <w:r w:rsidRPr="00AD0E8D">
        <w:rPr>
          <w:rFonts w:ascii="Arial" w:hAnsi="Arial" w:cs="Arial"/>
          <w:sz w:val="28"/>
          <w:szCs w:val="28"/>
        </w:rPr>
        <w:t xml:space="preserve">: </w:t>
      </w:r>
      <w:r w:rsidR="001E0EA2" w:rsidRPr="00FD327A">
        <w:rPr>
          <w:rFonts w:ascii="Arial" w:hAnsi="Arial" w:cs="Arial"/>
          <w:sz w:val="28"/>
          <w:szCs w:val="28"/>
        </w:rPr>
        <w:t>23</w:t>
      </w:r>
      <w:r w:rsidR="00105E03" w:rsidRPr="00FD327A">
        <w:rPr>
          <w:rFonts w:ascii="Arial" w:hAnsi="Arial" w:cs="Arial"/>
          <w:sz w:val="28"/>
          <w:szCs w:val="28"/>
        </w:rPr>
        <w:t>25464</w:t>
      </w:r>
    </w:p>
    <w:p w14:paraId="584FC19E" w14:textId="77777777" w:rsidR="00EE16E2" w:rsidRDefault="00EE16E2" w:rsidP="00041A5A">
      <w:pPr>
        <w:spacing w:line="360" w:lineRule="auto"/>
        <w:rPr>
          <w:rFonts w:ascii="Arial" w:hAnsi="Arial" w:cs="Arial"/>
          <w:sz w:val="28"/>
          <w:szCs w:val="28"/>
        </w:rPr>
      </w:pPr>
    </w:p>
    <w:p w14:paraId="1E37FF07" w14:textId="77777777" w:rsidR="00EE16E2" w:rsidRDefault="00EE16E2" w:rsidP="00041A5A">
      <w:pPr>
        <w:spacing w:line="360" w:lineRule="auto"/>
        <w:rPr>
          <w:rFonts w:ascii="Arial" w:hAnsi="Arial" w:cs="Arial"/>
          <w:sz w:val="28"/>
          <w:szCs w:val="28"/>
        </w:rPr>
      </w:pPr>
    </w:p>
    <w:p w14:paraId="4E41CBE8" w14:textId="77777777" w:rsidR="00EE16E2" w:rsidRDefault="00EE16E2" w:rsidP="00041A5A">
      <w:pPr>
        <w:spacing w:line="360" w:lineRule="auto"/>
        <w:rPr>
          <w:rFonts w:ascii="Arial" w:hAnsi="Arial" w:cs="Arial"/>
          <w:sz w:val="28"/>
          <w:szCs w:val="28"/>
        </w:rPr>
      </w:pPr>
    </w:p>
    <w:p w14:paraId="07C64F83" w14:textId="77777777" w:rsidR="00EE16E2" w:rsidRDefault="00EE16E2" w:rsidP="00041A5A">
      <w:pPr>
        <w:spacing w:line="360" w:lineRule="auto"/>
        <w:rPr>
          <w:rFonts w:ascii="Arial" w:hAnsi="Arial" w:cs="Arial"/>
          <w:sz w:val="28"/>
          <w:szCs w:val="28"/>
        </w:rPr>
      </w:pPr>
    </w:p>
    <w:p w14:paraId="38700EF5" w14:textId="77777777" w:rsidR="00EE16E2" w:rsidRPr="007008F1" w:rsidRDefault="00EE16E2" w:rsidP="00041A5A">
      <w:pPr>
        <w:spacing w:line="360" w:lineRule="auto"/>
        <w:rPr>
          <w:rFonts w:ascii="Arial" w:hAnsi="Arial" w:cs="Arial"/>
          <w:b/>
          <w:bCs/>
          <w:sz w:val="28"/>
          <w:szCs w:val="28"/>
        </w:rPr>
      </w:pPr>
    </w:p>
    <w:p w14:paraId="5BD313B6" w14:textId="195D859F" w:rsidR="00715990" w:rsidRPr="00D0488C" w:rsidRDefault="00D0488C" w:rsidP="00D0488C">
      <w:pPr>
        <w:pStyle w:val="Titolo1"/>
      </w:pPr>
      <w:r w:rsidRPr="00D0488C">
        <w:lastRenderedPageBreak/>
        <w:t>Table of Contents</w:t>
      </w:r>
    </w:p>
    <w:p w14:paraId="1539DFDE" w14:textId="77777777" w:rsidR="00D0488C" w:rsidRDefault="00D0488C" w:rsidP="00D0488C"/>
    <w:tbl>
      <w:tblPr>
        <w:tblStyle w:val="Grigliatabella"/>
        <w:tblW w:w="9252" w:type="dxa"/>
        <w:tblLook w:val="04A0" w:firstRow="1" w:lastRow="0" w:firstColumn="1" w:lastColumn="0" w:noHBand="0" w:noVBand="1"/>
      </w:tblPr>
      <w:tblGrid>
        <w:gridCol w:w="4626"/>
        <w:gridCol w:w="4626"/>
      </w:tblGrid>
      <w:tr w:rsidR="00D0488C" w14:paraId="6748D2CF" w14:textId="77777777" w:rsidTr="00D0488C">
        <w:trPr>
          <w:trHeight w:val="959"/>
        </w:trPr>
        <w:tc>
          <w:tcPr>
            <w:tcW w:w="4626" w:type="dxa"/>
          </w:tcPr>
          <w:p w14:paraId="4FA465A9" w14:textId="607414B5" w:rsidR="00D0488C" w:rsidRDefault="005D0ABC" w:rsidP="00D0488C">
            <w:pPr>
              <w:rPr>
                <w:rFonts w:ascii="Arial" w:hAnsi="Arial" w:cs="Arial"/>
                <w:sz w:val="22"/>
              </w:rPr>
            </w:pPr>
            <w:r>
              <w:rPr>
                <w:rFonts w:ascii="Arial" w:hAnsi="Arial" w:cs="Arial"/>
                <w:sz w:val="22"/>
              </w:rPr>
              <w:t>ABSTRACT</w:t>
            </w:r>
          </w:p>
        </w:tc>
        <w:tc>
          <w:tcPr>
            <w:tcW w:w="4626" w:type="dxa"/>
          </w:tcPr>
          <w:p w14:paraId="70DCF250" w14:textId="16166DA1" w:rsidR="00D0488C" w:rsidRDefault="00AC63AA" w:rsidP="00D0488C">
            <w:pPr>
              <w:rPr>
                <w:rFonts w:ascii="Arial" w:hAnsi="Arial" w:cs="Arial"/>
                <w:sz w:val="22"/>
              </w:rPr>
            </w:pPr>
            <w:r>
              <w:rPr>
                <w:rFonts w:ascii="Arial" w:hAnsi="Arial" w:cs="Arial"/>
                <w:sz w:val="22"/>
              </w:rPr>
              <w:t xml:space="preserve">                                                                      3</w:t>
            </w:r>
          </w:p>
        </w:tc>
      </w:tr>
      <w:tr w:rsidR="005D0ABC" w14:paraId="7C0602D3" w14:textId="77777777" w:rsidTr="00D0488C">
        <w:trPr>
          <w:trHeight w:val="959"/>
        </w:trPr>
        <w:tc>
          <w:tcPr>
            <w:tcW w:w="4626" w:type="dxa"/>
          </w:tcPr>
          <w:p w14:paraId="2EF3B646" w14:textId="29697575" w:rsidR="005D0ABC" w:rsidRDefault="005D0ABC" w:rsidP="00D0488C">
            <w:pPr>
              <w:rPr>
                <w:rFonts w:ascii="Arial" w:hAnsi="Arial" w:cs="Arial"/>
                <w:sz w:val="22"/>
              </w:rPr>
            </w:pPr>
            <w:r>
              <w:rPr>
                <w:rFonts w:ascii="Arial" w:hAnsi="Arial" w:cs="Arial"/>
                <w:sz w:val="22"/>
              </w:rPr>
              <w:t>INTRODUCTION</w:t>
            </w:r>
          </w:p>
        </w:tc>
        <w:tc>
          <w:tcPr>
            <w:tcW w:w="4626" w:type="dxa"/>
          </w:tcPr>
          <w:p w14:paraId="56A466BB" w14:textId="32320A58" w:rsidR="005D0ABC" w:rsidRDefault="00AC63AA" w:rsidP="00D0488C">
            <w:pPr>
              <w:rPr>
                <w:rFonts w:ascii="Arial" w:hAnsi="Arial" w:cs="Arial"/>
                <w:sz w:val="22"/>
              </w:rPr>
            </w:pPr>
            <w:r>
              <w:rPr>
                <w:rFonts w:ascii="Arial" w:hAnsi="Arial" w:cs="Arial"/>
                <w:sz w:val="22"/>
              </w:rPr>
              <w:t xml:space="preserve">                                                                      3</w:t>
            </w:r>
          </w:p>
        </w:tc>
      </w:tr>
      <w:tr w:rsidR="00D0488C" w14:paraId="747E2C80" w14:textId="77777777" w:rsidTr="00D0488C">
        <w:trPr>
          <w:trHeight w:val="959"/>
        </w:trPr>
        <w:tc>
          <w:tcPr>
            <w:tcW w:w="4626" w:type="dxa"/>
          </w:tcPr>
          <w:p w14:paraId="6FCC30D4" w14:textId="1F11384E" w:rsidR="00D0488C" w:rsidRDefault="00D0488C" w:rsidP="00D0488C">
            <w:pPr>
              <w:rPr>
                <w:rFonts w:ascii="Arial" w:hAnsi="Arial" w:cs="Arial"/>
                <w:sz w:val="22"/>
              </w:rPr>
            </w:pPr>
            <w:r>
              <w:rPr>
                <w:rFonts w:ascii="Arial" w:hAnsi="Arial" w:cs="Arial"/>
                <w:sz w:val="22"/>
              </w:rPr>
              <w:t>BACKGROUND</w:t>
            </w:r>
          </w:p>
        </w:tc>
        <w:tc>
          <w:tcPr>
            <w:tcW w:w="4626" w:type="dxa"/>
          </w:tcPr>
          <w:p w14:paraId="077A28DC" w14:textId="742A8603" w:rsidR="00D0488C" w:rsidRDefault="00AC63AA" w:rsidP="00D0488C">
            <w:pPr>
              <w:rPr>
                <w:rFonts w:ascii="Arial" w:hAnsi="Arial" w:cs="Arial"/>
                <w:sz w:val="22"/>
              </w:rPr>
            </w:pPr>
            <w:r>
              <w:rPr>
                <w:rFonts w:ascii="Arial" w:hAnsi="Arial" w:cs="Arial"/>
                <w:sz w:val="22"/>
              </w:rPr>
              <w:t xml:space="preserve">                                                                      5</w:t>
            </w:r>
          </w:p>
        </w:tc>
      </w:tr>
      <w:tr w:rsidR="00D0488C" w14:paraId="2A76D9AE" w14:textId="77777777" w:rsidTr="00D0488C">
        <w:trPr>
          <w:trHeight w:val="959"/>
        </w:trPr>
        <w:tc>
          <w:tcPr>
            <w:tcW w:w="4626" w:type="dxa"/>
          </w:tcPr>
          <w:p w14:paraId="277E2DA0" w14:textId="526EDFC6" w:rsidR="00D0488C" w:rsidRDefault="00D0488C" w:rsidP="00D0488C">
            <w:pPr>
              <w:rPr>
                <w:rFonts w:ascii="Arial" w:hAnsi="Arial" w:cs="Arial"/>
                <w:sz w:val="22"/>
              </w:rPr>
            </w:pPr>
            <w:r>
              <w:rPr>
                <w:rFonts w:ascii="Arial" w:hAnsi="Arial" w:cs="Arial"/>
                <w:sz w:val="22"/>
              </w:rPr>
              <w:t>METHODS</w:t>
            </w:r>
          </w:p>
        </w:tc>
        <w:tc>
          <w:tcPr>
            <w:tcW w:w="4626" w:type="dxa"/>
          </w:tcPr>
          <w:p w14:paraId="2EA9282C" w14:textId="2B75A469" w:rsidR="00D0488C" w:rsidRDefault="00AC63AA" w:rsidP="00D0488C">
            <w:pPr>
              <w:rPr>
                <w:rFonts w:ascii="Arial" w:hAnsi="Arial" w:cs="Arial"/>
                <w:sz w:val="22"/>
              </w:rPr>
            </w:pPr>
            <w:r>
              <w:rPr>
                <w:rFonts w:ascii="Arial" w:hAnsi="Arial" w:cs="Arial"/>
                <w:sz w:val="22"/>
              </w:rPr>
              <w:t xml:space="preserve">                                                                     7</w:t>
            </w:r>
          </w:p>
        </w:tc>
      </w:tr>
      <w:tr w:rsidR="00D0488C" w14:paraId="63B38DBC" w14:textId="77777777" w:rsidTr="00D0488C">
        <w:trPr>
          <w:trHeight w:val="959"/>
        </w:trPr>
        <w:tc>
          <w:tcPr>
            <w:tcW w:w="4626" w:type="dxa"/>
          </w:tcPr>
          <w:p w14:paraId="2C89BCCE" w14:textId="4269AB71" w:rsidR="00D0488C" w:rsidRDefault="00D0488C" w:rsidP="00D0488C">
            <w:pPr>
              <w:rPr>
                <w:rFonts w:ascii="Arial" w:hAnsi="Arial" w:cs="Arial"/>
                <w:sz w:val="22"/>
              </w:rPr>
            </w:pPr>
            <w:r>
              <w:rPr>
                <w:rFonts w:ascii="Arial" w:hAnsi="Arial" w:cs="Arial"/>
                <w:sz w:val="22"/>
              </w:rPr>
              <w:t>RESULTS</w:t>
            </w:r>
          </w:p>
        </w:tc>
        <w:tc>
          <w:tcPr>
            <w:tcW w:w="4626" w:type="dxa"/>
          </w:tcPr>
          <w:p w14:paraId="3B1D0773" w14:textId="30BE9F9B" w:rsidR="00D0488C" w:rsidRDefault="00292480" w:rsidP="00D0488C">
            <w:pPr>
              <w:rPr>
                <w:rFonts w:ascii="Arial" w:hAnsi="Arial" w:cs="Arial"/>
                <w:sz w:val="22"/>
              </w:rPr>
            </w:pPr>
            <w:r>
              <w:rPr>
                <w:rFonts w:ascii="Arial" w:hAnsi="Arial" w:cs="Arial"/>
                <w:sz w:val="22"/>
              </w:rPr>
              <w:t xml:space="preserve">                                                  </w:t>
            </w:r>
            <w:r w:rsidR="00637E0C">
              <w:rPr>
                <w:rFonts w:ascii="Arial" w:hAnsi="Arial" w:cs="Arial"/>
                <w:sz w:val="22"/>
              </w:rPr>
              <w:t xml:space="preserve">               </w:t>
            </w:r>
            <w:r>
              <w:rPr>
                <w:rFonts w:ascii="Arial" w:hAnsi="Arial" w:cs="Arial"/>
                <w:sz w:val="22"/>
              </w:rPr>
              <w:t xml:space="preserve">    </w:t>
            </w:r>
            <w:r w:rsidR="00637E0C">
              <w:rPr>
                <w:rFonts w:ascii="Arial" w:hAnsi="Arial" w:cs="Arial"/>
                <w:sz w:val="22"/>
              </w:rPr>
              <w:t>7</w:t>
            </w:r>
          </w:p>
        </w:tc>
      </w:tr>
      <w:tr w:rsidR="00D0488C" w14:paraId="2945DBAA" w14:textId="77777777" w:rsidTr="00D0488C">
        <w:trPr>
          <w:trHeight w:val="959"/>
        </w:trPr>
        <w:tc>
          <w:tcPr>
            <w:tcW w:w="4626" w:type="dxa"/>
          </w:tcPr>
          <w:p w14:paraId="7A513FA8" w14:textId="020B290E" w:rsidR="00D0488C" w:rsidRDefault="00D0488C" w:rsidP="00D0488C">
            <w:pPr>
              <w:rPr>
                <w:rFonts w:ascii="Arial" w:hAnsi="Arial" w:cs="Arial"/>
                <w:sz w:val="22"/>
              </w:rPr>
            </w:pPr>
            <w:r>
              <w:rPr>
                <w:rFonts w:ascii="Arial" w:hAnsi="Arial" w:cs="Arial"/>
                <w:sz w:val="22"/>
              </w:rPr>
              <w:t>DISCUSSION</w:t>
            </w:r>
          </w:p>
        </w:tc>
        <w:tc>
          <w:tcPr>
            <w:tcW w:w="4626" w:type="dxa"/>
          </w:tcPr>
          <w:p w14:paraId="1A04127C" w14:textId="74C1FA28" w:rsidR="00D0488C" w:rsidRDefault="00637E0C" w:rsidP="00D0488C">
            <w:pPr>
              <w:rPr>
                <w:rFonts w:ascii="Arial" w:hAnsi="Arial" w:cs="Arial"/>
                <w:sz w:val="22"/>
              </w:rPr>
            </w:pPr>
            <w:r>
              <w:rPr>
                <w:rFonts w:ascii="Arial" w:hAnsi="Arial" w:cs="Arial"/>
                <w:sz w:val="22"/>
              </w:rPr>
              <w:t xml:space="preserve">                                                                      9</w:t>
            </w:r>
          </w:p>
        </w:tc>
      </w:tr>
      <w:tr w:rsidR="00D0488C" w14:paraId="0E6B5891" w14:textId="77777777" w:rsidTr="00D0488C">
        <w:trPr>
          <w:trHeight w:val="959"/>
        </w:trPr>
        <w:tc>
          <w:tcPr>
            <w:tcW w:w="4626" w:type="dxa"/>
          </w:tcPr>
          <w:p w14:paraId="64B26652" w14:textId="5D586CB2" w:rsidR="00D0488C" w:rsidRDefault="00D0488C" w:rsidP="00D0488C">
            <w:pPr>
              <w:rPr>
                <w:rFonts w:ascii="Arial" w:hAnsi="Arial" w:cs="Arial"/>
                <w:sz w:val="22"/>
              </w:rPr>
            </w:pPr>
            <w:r>
              <w:rPr>
                <w:rFonts w:ascii="Arial" w:hAnsi="Arial" w:cs="Arial"/>
                <w:sz w:val="22"/>
              </w:rPr>
              <w:t>RECOMMENDATIONS</w:t>
            </w:r>
          </w:p>
        </w:tc>
        <w:tc>
          <w:tcPr>
            <w:tcW w:w="4626" w:type="dxa"/>
          </w:tcPr>
          <w:p w14:paraId="2B0C3573" w14:textId="5D9C570B" w:rsidR="00D0488C" w:rsidRDefault="00637E0C" w:rsidP="00D0488C">
            <w:pPr>
              <w:rPr>
                <w:rFonts w:ascii="Arial" w:hAnsi="Arial" w:cs="Arial"/>
                <w:sz w:val="22"/>
              </w:rPr>
            </w:pPr>
            <w:r>
              <w:rPr>
                <w:rFonts w:ascii="Arial" w:hAnsi="Arial" w:cs="Arial"/>
                <w:sz w:val="22"/>
              </w:rPr>
              <w:t xml:space="preserve">                                                                    16</w:t>
            </w:r>
          </w:p>
        </w:tc>
      </w:tr>
      <w:tr w:rsidR="00D0488C" w14:paraId="0FD34108" w14:textId="77777777" w:rsidTr="00D0488C">
        <w:trPr>
          <w:trHeight w:val="913"/>
        </w:trPr>
        <w:tc>
          <w:tcPr>
            <w:tcW w:w="4626" w:type="dxa"/>
          </w:tcPr>
          <w:p w14:paraId="7808E092" w14:textId="1F60C8B6" w:rsidR="00D0488C" w:rsidRDefault="00D0488C" w:rsidP="00D0488C">
            <w:pPr>
              <w:rPr>
                <w:rFonts w:ascii="Arial" w:hAnsi="Arial" w:cs="Arial"/>
                <w:sz w:val="22"/>
              </w:rPr>
            </w:pPr>
            <w:r>
              <w:rPr>
                <w:rFonts w:ascii="Arial" w:hAnsi="Arial" w:cs="Arial"/>
                <w:sz w:val="22"/>
              </w:rPr>
              <w:t>CONCLUSION</w:t>
            </w:r>
          </w:p>
        </w:tc>
        <w:tc>
          <w:tcPr>
            <w:tcW w:w="4626" w:type="dxa"/>
          </w:tcPr>
          <w:p w14:paraId="079C3CC0" w14:textId="269A399F" w:rsidR="00D0488C" w:rsidRDefault="00637E0C" w:rsidP="00D0488C">
            <w:pPr>
              <w:rPr>
                <w:rFonts w:ascii="Arial" w:hAnsi="Arial" w:cs="Arial"/>
                <w:sz w:val="22"/>
              </w:rPr>
            </w:pPr>
            <w:r>
              <w:rPr>
                <w:rFonts w:ascii="Arial" w:hAnsi="Arial" w:cs="Arial"/>
                <w:sz w:val="22"/>
              </w:rPr>
              <w:t xml:space="preserve">                                                                    18</w:t>
            </w:r>
          </w:p>
        </w:tc>
      </w:tr>
      <w:tr w:rsidR="00D0488C" w14:paraId="6B2118D7" w14:textId="77777777" w:rsidTr="00D0488C">
        <w:trPr>
          <w:trHeight w:val="913"/>
        </w:trPr>
        <w:tc>
          <w:tcPr>
            <w:tcW w:w="4626" w:type="dxa"/>
          </w:tcPr>
          <w:p w14:paraId="160823FD" w14:textId="19207B07" w:rsidR="00D0488C" w:rsidRDefault="00D0488C" w:rsidP="00D0488C">
            <w:pPr>
              <w:rPr>
                <w:rFonts w:ascii="Arial" w:hAnsi="Arial" w:cs="Arial"/>
                <w:sz w:val="22"/>
              </w:rPr>
            </w:pPr>
            <w:r>
              <w:rPr>
                <w:rFonts w:ascii="Arial" w:hAnsi="Arial" w:cs="Arial"/>
                <w:sz w:val="22"/>
              </w:rPr>
              <w:t>REFERENCES</w:t>
            </w:r>
          </w:p>
        </w:tc>
        <w:tc>
          <w:tcPr>
            <w:tcW w:w="4626" w:type="dxa"/>
          </w:tcPr>
          <w:p w14:paraId="51595510" w14:textId="7B5C4139" w:rsidR="00D0488C" w:rsidRDefault="00637E0C" w:rsidP="00D0488C">
            <w:pPr>
              <w:rPr>
                <w:rFonts w:ascii="Arial" w:hAnsi="Arial" w:cs="Arial"/>
                <w:sz w:val="22"/>
              </w:rPr>
            </w:pPr>
            <w:r>
              <w:rPr>
                <w:rFonts w:ascii="Arial" w:hAnsi="Arial" w:cs="Arial"/>
                <w:sz w:val="22"/>
              </w:rPr>
              <w:t xml:space="preserve">                                                                    20</w:t>
            </w:r>
          </w:p>
        </w:tc>
      </w:tr>
    </w:tbl>
    <w:p w14:paraId="14E0F2B1" w14:textId="77777777" w:rsidR="00D0488C" w:rsidRPr="00D0488C" w:rsidRDefault="00D0488C" w:rsidP="00D0488C">
      <w:pPr>
        <w:rPr>
          <w:rFonts w:ascii="Arial" w:hAnsi="Arial" w:cs="Arial"/>
          <w:sz w:val="22"/>
        </w:rPr>
      </w:pPr>
    </w:p>
    <w:p w14:paraId="07CF3A4D" w14:textId="4AAF8C7D" w:rsidR="00715990" w:rsidRPr="00AD0E8D" w:rsidRDefault="00715990" w:rsidP="00041A5A">
      <w:pPr>
        <w:spacing w:line="360" w:lineRule="auto"/>
        <w:rPr>
          <w:rFonts w:ascii="Arial" w:hAnsi="Arial" w:cs="Arial"/>
          <w:sz w:val="22"/>
        </w:rPr>
      </w:pPr>
      <w:r w:rsidRPr="00AD0E8D">
        <w:rPr>
          <w:rFonts w:ascii="Arial" w:hAnsi="Arial" w:cs="Arial"/>
          <w:sz w:val="22"/>
        </w:rPr>
        <w:br w:type="page"/>
      </w:r>
    </w:p>
    <w:p w14:paraId="752A4DC7" w14:textId="5E9CB295" w:rsidR="00607187" w:rsidRPr="00B644C5" w:rsidRDefault="0088089E" w:rsidP="00CB56A9">
      <w:pPr>
        <w:pStyle w:val="Titolo1"/>
        <w:jc w:val="both"/>
        <w:rPr>
          <w:rFonts w:cs="Arial"/>
        </w:rPr>
      </w:pPr>
      <w:r w:rsidRPr="00B644C5">
        <w:rPr>
          <w:rFonts w:cs="Arial"/>
        </w:rPr>
        <w:lastRenderedPageBreak/>
        <w:t>ABSTRACT</w:t>
      </w:r>
    </w:p>
    <w:p w14:paraId="125C0C8E" w14:textId="77777777" w:rsidR="00357C6B" w:rsidRPr="00B644C5" w:rsidRDefault="00357C6B" w:rsidP="00CB56A9">
      <w:pPr>
        <w:spacing w:line="360" w:lineRule="auto"/>
        <w:jc w:val="both"/>
        <w:rPr>
          <w:rFonts w:ascii="Arial" w:hAnsi="Arial" w:cs="Arial"/>
          <w:sz w:val="22"/>
        </w:rPr>
      </w:pPr>
      <w:r w:rsidRPr="00B644C5">
        <w:rPr>
          <w:rFonts w:ascii="Arial" w:hAnsi="Arial" w:cs="Arial"/>
          <w:sz w:val="22"/>
        </w:rPr>
        <w:t xml:space="preserve">This scoping review examines the impact of dietary sugar consumption on childhood obesity in the UK. Five UK-relevant studies were selected: Rogers et al. (2023), Benton and Young (2024), Rogers et al. (2024), </w:t>
      </w:r>
      <w:proofErr w:type="spellStart"/>
      <w:r w:rsidRPr="00B644C5">
        <w:rPr>
          <w:rFonts w:ascii="Arial" w:hAnsi="Arial" w:cs="Arial"/>
          <w:sz w:val="22"/>
        </w:rPr>
        <w:t>Sekkarie</w:t>
      </w:r>
      <w:proofErr w:type="spellEnd"/>
      <w:r w:rsidRPr="00B644C5">
        <w:rPr>
          <w:rFonts w:ascii="Arial" w:hAnsi="Arial" w:cs="Arial"/>
          <w:sz w:val="22"/>
        </w:rPr>
        <w:t xml:space="preserve"> et al. (2021), and Stanner and Spiro (2020). The findings were synthesised thematically. Three themes emerged: sugary beverages, dietary patterns and adiposity; population-level sugar-reduction policy; and socioeconomic and life-course influences. The Soft Drinks Industry Levy was associated with reduced free-sugar intake and lower obesity prevalence among Year 6 girls, particularly in deprived areas (Rogers et al., 2023; Rogers et al., 2024). Early cola exposure was associated with less-healthy dietary patterns and later adiposity (Benton and Young, 2024), while early sugar intake showed a weak association with adult liver health (</w:t>
      </w:r>
      <w:proofErr w:type="spellStart"/>
      <w:r w:rsidRPr="00B644C5">
        <w:rPr>
          <w:rFonts w:ascii="Arial" w:hAnsi="Arial" w:cs="Arial"/>
          <w:sz w:val="22"/>
        </w:rPr>
        <w:t>Sekkarie</w:t>
      </w:r>
      <w:proofErr w:type="spellEnd"/>
      <w:r w:rsidRPr="00B644C5">
        <w:rPr>
          <w:rFonts w:ascii="Arial" w:hAnsi="Arial" w:cs="Arial"/>
          <w:sz w:val="22"/>
        </w:rPr>
        <w:t xml:space="preserve"> et al., 2021). Reducing free sugars and sugar-sweetened beverages may contribute to prevention, but childhood obesity is multifactorial and requires combined policy, service, school and family action.</w:t>
      </w:r>
    </w:p>
    <w:p w14:paraId="6AE665E2" w14:textId="100F843F" w:rsidR="00607187" w:rsidRPr="00B644C5" w:rsidRDefault="00607187" w:rsidP="00CB56A9">
      <w:pPr>
        <w:spacing w:line="360" w:lineRule="auto"/>
        <w:jc w:val="both"/>
        <w:rPr>
          <w:rFonts w:ascii="Arial" w:hAnsi="Arial" w:cs="Arial"/>
          <w:sz w:val="22"/>
        </w:rPr>
      </w:pPr>
    </w:p>
    <w:p w14:paraId="5D915ED7" w14:textId="6D8037B7" w:rsidR="004522C1" w:rsidRPr="00B644C5" w:rsidRDefault="00D0488C" w:rsidP="00CB56A9">
      <w:pPr>
        <w:pStyle w:val="Titolo1"/>
        <w:jc w:val="both"/>
        <w:rPr>
          <w:rFonts w:cs="Arial"/>
        </w:rPr>
      </w:pPr>
      <w:r w:rsidRPr="00B644C5">
        <w:rPr>
          <w:rFonts w:cs="Arial"/>
        </w:rPr>
        <w:t>INTRODUCTION</w:t>
      </w:r>
    </w:p>
    <w:p w14:paraId="649585E2" w14:textId="77777777" w:rsidR="00EE16E2" w:rsidRPr="00B644C5" w:rsidRDefault="00EE16E2" w:rsidP="00CB56A9">
      <w:pPr>
        <w:spacing w:line="360" w:lineRule="auto"/>
        <w:jc w:val="both"/>
        <w:rPr>
          <w:rFonts w:ascii="Arial" w:hAnsi="Arial" w:cs="Arial"/>
          <w:sz w:val="22"/>
        </w:rPr>
      </w:pPr>
    </w:p>
    <w:p w14:paraId="0BDDBDC1" w14:textId="77777777" w:rsidR="007C721A" w:rsidRPr="00B644C5" w:rsidRDefault="007C721A" w:rsidP="00CB56A9">
      <w:pPr>
        <w:spacing w:before="100" w:beforeAutospacing="1" w:after="100" w:afterAutospacing="1" w:line="360" w:lineRule="auto"/>
        <w:jc w:val="both"/>
        <w:outlineLvl w:val="1"/>
        <w:rPr>
          <w:rFonts w:ascii="Arial" w:eastAsia="Times New Roman" w:hAnsi="Arial" w:cs="Arial"/>
          <w:b/>
          <w:bCs/>
          <w:sz w:val="22"/>
          <w:lang w:eastAsia="en-GB"/>
        </w:rPr>
      </w:pPr>
      <w:r w:rsidRPr="00B644C5">
        <w:rPr>
          <w:rFonts w:ascii="Arial" w:eastAsia="Times New Roman" w:hAnsi="Arial" w:cs="Arial"/>
          <w:b/>
          <w:bCs/>
          <w:sz w:val="22"/>
          <w:lang w:eastAsia="en-GB"/>
        </w:rPr>
        <w:t>Definitions of the main concepts</w:t>
      </w:r>
    </w:p>
    <w:p w14:paraId="54C557F3" w14:textId="77777777" w:rsidR="007C721A" w:rsidRPr="00B644C5" w:rsidRDefault="007C721A" w:rsidP="00CB56A9">
      <w:pPr>
        <w:spacing w:before="100" w:beforeAutospacing="1" w:after="100" w:afterAutospacing="1" w:line="360" w:lineRule="auto"/>
        <w:jc w:val="both"/>
        <w:rPr>
          <w:rFonts w:ascii="Arial" w:eastAsia="Times New Roman" w:hAnsi="Arial" w:cs="Arial"/>
          <w:szCs w:val="24"/>
          <w:lang w:eastAsia="en-GB"/>
        </w:rPr>
      </w:pPr>
      <w:r w:rsidRPr="00B644C5">
        <w:rPr>
          <w:rFonts w:ascii="Arial" w:eastAsia="Times New Roman" w:hAnsi="Arial" w:cs="Arial"/>
          <w:szCs w:val="24"/>
          <w:lang w:eastAsia="en-GB"/>
        </w:rPr>
        <w:t>Childhood obesity is excessive body fat that may adversely affect a child’s health and wellbeing. It is commonly assessed using body mass index (BMI), interpreted through age- and sex-specific growth references. BMI is useful for population surveillance but does not directly measure body fat or explain the biological, behavioural, social and environmental influences on an individual child. Childhood weight trajectories can continue into adolescence and may be associated with later physical and mental-health difficulties (Putra, Daly and Robinson, 2025).</w:t>
      </w:r>
    </w:p>
    <w:p w14:paraId="31CBE004" w14:textId="6CF82087" w:rsidR="007C721A" w:rsidRPr="00B644C5" w:rsidRDefault="007C721A" w:rsidP="00CB56A9">
      <w:pPr>
        <w:spacing w:before="100" w:beforeAutospacing="1" w:after="100" w:afterAutospacing="1" w:line="360" w:lineRule="auto"/>
        <w:jc w:val="both"/>
        <w:rPr>
          <w:rFonts w:ascii="Arial" w:eastAsia="Times New Roman" w:hAnsi="Arial" w:cs="Arial"/>
          <w:szCs w:val="24"/>
          <w:lang w:eastAsia="en-GB"/>
        </w:rPr>
      </w:pPr>
      <w:r w:rsidRPr="00B644C5">
        <w:rPr>
          <w:rFonts w:ascii="Arial" w:eastAsia="Times New Roman" w:hAnsi="Arial" w:cs="Arial"/>
          <w:szCs w:val="24"/>
          <w:lang w:eastAsia="en-GB"/>
        </w:rPr>
        <w:t xml:space="preserve">Dietary sugar includes naturally occurring and added sugars. This review focuses on free sugars and sugar-sweetened beverages (SSBs). Free sugars include sugars added during manufacturing, preparation, or consumption, and those naturally present in honey, syrups, and unsweetened fruit juices. They exclude sugars within intact fruit and vegetables and lactose naturally present in milk. SSBs include regular carbonated drinks and other beverages containing added caloric sweeteners. Higher SSB consumption has been associated with childhood overweight and obesity, although </w:t>
      </w:r>
      <w:r w:rsidRPr="00B644C5">
        <w:rPr>
          <w:rFonts w:ascii="Arial" w:eastAsia="Times New Roman" w:hAnsi="Arial" w:cs="Arial"/>
          <w:szCs w:val="24"/>
          <w:lang w:eastAsia="en-GB"/>
        </w:rPr>
        <w:lastRenderedPageBreak/>
        <w:t xml:space="preserve">obesity has multiple causes (Bleich and Vercammen, 2018; </w:t>
      </w:r>
      <w:proofErr w:type="spellStart"/>
      <w:r w:rsidRPr="00B644C5">
        <w:rPr>
          <w:rFonts w:ascii="Arial" w:eastAsia="Times New Roman" w:hAnsi="Arial" w:cs="Arial"/>
          <w:szCs w:val="24"/>
          <w:lang w:eastAsia="en-GB"/>
        </w:rPr>
        <w:t>Abbasalizad</w:t>
      </w:r>
      <w:proofErr w:type="spellEnd"/>
      <w:r w:rsidRPr="00B644C5">
        <w:rPr>
          <w:rFonts w:ascii="Arial" w:eastAsia="Times New Roman" w:hAnsi="Arial" w:cs="Arial"/>
          <w:szCs w:val="24"/>
          <w:lang w:eastAsia="en-GB"/>
        </w:rPr>
        <w:t xml:space="preserve"> </w:t>
      </w:r>
      <w:proofErr w:type="spellStart"/>
      <w:r w:rsidRPr="00B644C5">
        <w:rPr>
          <w:rFonts w:ascii="Arial" w:eastAsia="Times New Roman" w:hAnsi="Arial" w:cs="Arial"/>
          <w:szCs w:val="24"/>
          <w:lang w:eastAsia="en-GB"/>
        </w:rPr>
        <w:t>Farhangi</w:t>
      </w:r>
      <w:proofErr w:type="spellEnd"/>
      <w:r w:rsidRPr="00B644C5">
        <w:rPr>
          <w:rFonts w:ascii="Arial" w:eastAsia="Times New Roman" w:hAnsi="Arial" w:cs="Arial"/>
          <w:szCs w:val="24"/>
          <w:lang w:eastAsia="en-GB"/>
        </w:rPr>
        <w:t xml:space="preserve"> et al., 2022; Jakobsen, Brader and Bruun, 2023).</w:t>
      </w:r>
    </w:p>
    <w:p w14:paraId="5925417E" w14:textId="16613823" w:rsidR="00B644C5" w:rsidRPr="00B644C5" w:rsidRDefault="007C721A" w:rsidP="00CB56A9">
      <w:pPr>
        <w:spacing w:before="100" w:beforeAutospacing="1" w:after="100" w:afterAutospacing="1" w:line="360" w:lineRule="auto"/>
        <w:jc w:val="both"/>
        <w:rPr>
          <w:rFonts w:ascii="Arial" w:eastAsia="Times New Roman" w:hAnsi="Arial" w:cs="Arial"/>
          <w:szCs w:val="24"/>
          <w:lang w:eastAsia="en-GB"/>
        </w:rPr>
      </w:pPr>
      <w:r w:rsidRPr="00B644C5">
        <w:rPr>
          <w:rFonts w:ascii="Arial" w:eastAsia="Times New Roman" w:hAnsi="Arial" w:cs="Arial"/>
          <w:szCs w:val="24"/>
          <w:lang w:eastAsia="en-GB"/>
        </w:rPr>
        <w:t>A scoping review is secondary research that maps the range and characteristics of published evidence. It is appropriate when studies use different designs, exposures and outcomes. This review does not recruit participants or collect new data; it identifies, compares and thematically analyses existing research to establish what is known and identify gaps.</w:t>
      </w:r>
    </w:p>
    <w:p w14:paraId="0AE447D7" w14:textId="77777777" w:rsidR="00954C1D" w:rsidRPr="00B644C5" w:rsidRDefault="00954C1D" w:rsidP="00CB56A9">
      <w:pPr>
        <w:spacing w:before="100" w:beforeAutospacing="1" w:after="100" w:afterAutospacing="1" w:line="360" w:lineRule="auto"/>
        <w:jc w:val="both"/>
        <w:outlineLvl w:val="1"/>
        <w:rPr>
          <w:rFonts w:ascii="Arial" w:eastAsia="Times New Roman" w:hAnsi="Arial" w:cs="Arial"/>
          <w:b/>
          <w:bCs/>
          <w:sz w:val="22"/>
          <w:lang w:eastAsia="en-GB"/>
        </w:rPr>
      </w:pPr>
      <w:r w:rsidRPr="00B644C5">
        <w:rPr>
          <w:rFonts w:ascii="Arial" w:eastAsia="Times New Roman" w:hAnsi="Arial" w:cs="Arial"/>
          <w:b/>
          <w:bCs/>
          <w:sz w:val="22"/>
          <w:lang w:eastAsia="en-GB"/>
        </w:rPr>
        <w:t>Rationale</w:t>
      </w:r>
    </w:p>
    <w:p w14:paraId="72A4BCB9" w14:textId="77777777" w:rsidR="00954C1D" w:rsidRPr="00B644C5" w:rsidRDefault="00954C1D" w:rsidP="00CB56A9">
      <w:pPr>
        <w:spacing w:before="100" w:beforeAutospacing="1" w:after="100" w:afterAutospacing="1" w:line="360" w:lineRule="auto"/>
        <w:jc w:val="both"/>
        <w:rPr>
          <w:rFonts w:ascii="Arial" w:eastAsia="Times New Roman" w:hAnsi="Arial" w:cs="Arial"/>
          <w:szCs w:val="24"/>
          <w:lang w:eastAsia="en-GB"/>
        </w:rPr>
      </w:pPr>
      <w:r w:rsidRPr="00B644C5">
        <w:rPr>
          <w:rFonts w:ascii="Arial" w:eastAsia="Times New Roman" w:hAnsi="Arial" w:cs="Arial"/>
          <w:szCs w:val="24"/>
          <w:lang w:eastAsia="en-GB"/>
        </w:rPr>
        <w:t>Childhood obesity is important to UK health and social care because it can affect present wellbeing and increase later disease risk. Dietary sugar is modifiable, particularly when consumed through SSBs. Longitudinal evidence associates sugary-drink consumption with later BMI and adiposity (Laverty et al., 2015; Macintyre, Marryat and Chambers, 2018), but sugar is not the sole cause. Overall diet, activity, family circumstances, income, food availability and marketing also influence consumption and weight.</w:t>
      </w:r>
    </w:p>
    <w:p w14:paraId="34E8F932" w14:textId="77777777" w:rsidR="00954C1D" w:rsidRPr="00B644C5" w:rsidRDefault="00954C1D" w:rsidP="00CB56A9">
      <w:pPr>
        <w:spacing w:before="100" w:beforeAutospacing="1" w:after="100" w:afterAutospacing="1" w:line="360" w:lineRule="auto"/>
        <w:jc w:val="both"/>
        <w:rPr>
          <w:rFonts w:ascii="Arial" w:eastAsia="Times New Roman" w:hAnsi="Arial" w:cs="Arial"/>
          <w:sz w:val="22"/>
          <w:lang w:eastAsia="en-GB"/>
        </w:rPr>
      </w:pPr>
      <w:r w:rsidRPr="00B644C5">
        <w:rPr>
          <w:rFonts w:ascii="Arial" w:eastAsia="Times New Roman" w:hAnsi="Arial" w:cs="Arial"/>
          <w:szCs w:val="24"/>
          <w:lang w:eastAsia="en-GB"/>
        </w:rPr>
        <w:t>Children’s food preferences are shaped by supermarket and digital marketing (Harris et al., 2020; Demers-Potvin et al., 2024). Modelling indicates that limiting less-healthy food advertising could benefit population health (</w:t>
      </w:r>
      <w:proofErr w:type="spellStart"/>
      <w:r w:rsidRPr="00B644C5">
        <w:rPr>
          <w:rFonts w:ascii="Arial" w:eastAsia="Times New Roman" w:hAnsi="Arial" w:cs="Arial"/>
          <w:szCs w:val="24"/>
          <w:lang w:eastAsia="en-GB"/>
        </w:rPr>
        <w:t>Mytton</w:t>
      </w:r>
      <w:proofErr w:type="spellEnd"/>
      <w:r w:rsidRPr="00B644C5">
        <w:rPr>
          <w:rFonts w:ascii="Arial" w:eastAsia="Times New Roman" w:hAnsi="Arial" w:cs="Arial"/>
          <w:szCs w:val="24"/>
          <w:lang w:eastAsia="en-GB"/>
        </w:rPr>
        <w:t xml:space="preserve"> et al., 2020). UK responses therefore include reformulation, health promotion and the Soft Drinks Industry Levy (SDIL). Evidence associates the levy with lower sugar consumption and favourable obesity trends in some children (Rogers et al., 2023; Rogers et al., 2024). A review is needed to distinguish association from causation and connect evidence with policy </w:t>
      </w:r>
      <w:r w:rsidRPr="00B644C5">
        <w:rPr>
          <w:rFonts w:ascii="Arial" w:eastAsia="Times New Roman" w:hAnsi="Arial" w:cs="Arial"/>
          <w:sz w:val="22"/>
          <w:lang w:eastAsia="en-GB"/>
        </w:rPr>
        <w:t>and practice.</w:t>
      </w:r>
    </w:p>
    <w:p w14:paraId="68ACD3E5" w14:textId="77777777" w:rsidR="00954C1D" w:rsidRPr="00B644C5" w:rsidRDefault="00954C1D" w:rsidP="00CB56A9">
      <w:pPr>
        <w:spacing w:before="100" w:beforeAutospacing="1" w:after="100" w:afterAutospacing="1" w:line="360" w:lineRule="auto"/>
        <w:jc w:val="both"/>
        <w:outlineLvl w:val="1"/>
        <w:rPr>
          <w:rFonts w:ascii="Arial" w:eastAsia="Times New Roman" w:hAnsi="Arial" w:cs="Arial"/>
          <w:b/>
          <w:bCs/>
          <w:sz w:val="22"/>
          <w:lang w:eastAsia="en-GB"/>
        </w:rPr>
      </w:pPr>
      <w:r w:rsidRPr="00B644C5">
        <w:rPr>
          <w:rFonts w:ascii="Arial" w:eastAsia="Times New Roman" w:hAnsi="Arial" w:cs="Arial"/>
          <w:b/>
          <w:bCs/>
          <w:sz w:val="22"/>
          <w:lang w:eastAsia="en-GB"/>
        </w:rPr>
        <w:t>Review question</w:t>
      </w:r>
    </w:p>
    <w:p w14:paraId="4949E523" w14:textId="77777777" w:rsidR="00954C1D" w:rsidRPr="00B644C5" w:rsidRDefault="00954C1D" w:rsidP="00CB56A9">
      <w:pPr>
        <w:spacing w:before="100" w:beforeAutospacing="1" w:after="100" w:afterAutospacing="1" w:line="360" w:lineRule="auto"/>
        <w:jc w:val="both"/>
        <w:rPr>
          <w:rFonts w:ascii="Arial" w:eastAsia="Times New Roman" w:hAnsi="Arial" w:cs="Arial"/>
          <w:sz w:val="22"/>
          <w:lang w:eastAsia="en-GB"/>
        </w:rPr>
      </w:pPr>
      <w:r w:rsidRPr="00B644C5">
        <w:rPr>
          <w:rFonts w:ascii="Arial" w:eastAsia="Times New Roman" w:hAnsi="Arial" w:cs="Arial"/>
          <w:sz w:val="22"/>
          <w:lang w:eastAsia="en-GB"/>
        </w:rPr>
        <w:t xml:space="preserve">What does </w:t>
      </w:r>
      <w:proofErr w:type="gramStart"/>
      <w:r w:rsidRPr="00B644C5">
        <w:rPr>
          <w:rFonts w:ascii="Arial" w:eastAsia="Times New Roman" w:hAnsi="Arial" w:cs="Arial"/>
          <w:sz w:val="22"/>
          <w:lang w:eastAsia="en-GB"/>
        </w:rPr>
        <w:t>published</w:t>
      </w:r>
      <w:proofErr w:type="gramEnd"/>
      <w:r w:rsidRPr="00B644C5">
        <w:rPr>
          <w:rFonts w:ascii="Arial" w:eastAsia="Times New Roman" w:hAnsi="Arial" w:cs="Arial"/>
          <w:sz w:val="22"/>
          <w:lang w:eastAsia="en-GB"/>
        </w:rPr>
        <w:t xml:space="preserve"> UK-relevant evidence show about the impact of dietary sugar consumption, particularly free sugars and sugar-sweetened beverages, on childhood obesity?</w:t>
      </w:r>
    </w:p>
    <w:p w14:paraId="32E84D9A" w14:textId="77777777" w:rsidR="00954C1D" w:rsidRPr="00B644C5" w:rsidRDefault="00954C1D" w:rsidP="00CB56A9">
      <w:pPr>
        <w:spacing w:before="100" w:beforeAutospacing="1" w:after="100" w:afterAutospacing="1" w:line="360" w:lineRule="auto"/>
        <w:jc w:val="both"/>
        <w:outlineLvl w:val="1"/>
        <w:rPr>
          <w:rFonts w:ascii="Arial" w:eastAsia="Times New Roman" w:hAnsi="Arial" w:cs="Arial"/>
          <w:b/>
          <w:bCs/>
          <w:sz w:val="22"/>
          <w:lang w:eastAsia="en-GB"/>
        </w:rPr>
      </w:pPr>
      <w:r w:rsidRPr="00B644C5">
        <w:rPr>
          <w:rFonts w:ascii="Arial" w:eastAsia="Times New Roman" w:hAnsi="Arial" w:cs="Arial"/>
          <w:b/>
          <w:bCs/>
          <w:sz w:val="22"/>
          <w:lang w:eastAsia="en-GB"/>
        </w:rPr>
        <w:t>Aim and objectives</w:t>
      </w:r>
    </w:p>
    <w:p w14:paraId="14F5D747" w14:textId="77777777" w:rsidR="00954C1D" w:rsidRPr="00B644C5" w:rsidRDefault="00954C1D" w:rsidP="00CB56A9">
      <w:pPr>
        <w:spacing w:before="100" w:beforeAutospacing="1" w:after="100" w:afterAutospacing="1" w:line="360" w:lineRule="auto"/>
        <w:jc w:val="both"/>
        <w:rPr>
          <w:rFonts w:ascii="Arial" w:eastAsia="Times New Roman" w:hAnsi="Arial" w:cs="Arial"/>
          <w:sz w:val="22"/>
          <w:lang w:eastAsia="en-GB"/>
        </w:rPr>
      </w:pPr>
      <w:r w:rsidRPr="00B644C5">
        <w:rPr>
          <w:rFonts w:ascii="Arial" w:eastAsia="Times New Roman" w:hAnsi="Arial" w:cs="Arial"/>
          <w:sz w:val="22"/>
          <w:lang w:eastAsia="en-GB"/>
        </w:rPr>
        <w:t>The aim is to map and critically examine published evidence concerning dietary sugar and childhood obesity in the UK. The objectives are to:</w:t>
      </w:r>
    </w:p>
    <w:p w14:paraId="36507976" w14:textId="77777777" w:rsidR="00954C1D" w:rsidRPr="00B644C5" w:rsidRDefault="00954C1D" w:rsidP="00CB56A9">
      <w:pPr>
        <w:numPr>
          <w:ilvl w:val="0"/>
          <w:numId w:val="12"/>
        </w:numPr>
        <w:spacing w:before="100" w:beforeAutospacing="1" w:after="100" w:afterAutospacing="1" w:line="360" w:lineRule="auto"/>
        <w:jc w:val="both"/>
        <w:rPr>
          <w:rFonts w:ascii="Arial" w:eastAsia="Times New Roman" w:hAnsi="Arial" w:cs="Arial"/>
          <w:sz w:val="22"/>
          <w:lang w:eastAsia="en-GB"/>
        </w:rPr>
      </w:pPr>
      <w:r w:rsidRPr="00B644C5">
        <w:rPr>
          <w:rFonts w:ascii="Arial" w:eastAsia="Times New Roman" w:hAnsi="Arial" w:cs="Arial"/>
          <w:sz w:val="22"/>
          <w:lang w:eastAsia="en-GB"/>
        </w:rPr>
        <w:lastRenderedPageBreak/>
        <w:t>compare the aims, methods, samples and findings of five selected studies;</w:t>
      </w:r>
    </w:p>
    <w:p w14:paraId="48508653" w14:textId="77777777" w:rsidR="00954C1D" w:rsidRPr="00B644C5" w:rsidRDefault="00954C1D" w:rsidP="00CB56A9">
      <w:pPr>
        <w:numPr>
          <w:ilvl w:val="0"/>
          <w:numId w:val="12"/>
        </w:numPr>
        <w:spacing w:before="100" w:beforeAutospacing="1" w:after="100" w:afterAutospacing="1" w:line="360" w:lineRule="auto"/>
        <w:jc w:val="both"/>
        <w:rPr>
          <w:rFonts w:ascii="Arial" w:eastAsia="Times New Roman" w:hAnsi="Arial" w:cs="Arial"/>
          <w:sz w:val="22"/>
          <w:lang w:eastAsia="en-GB"/>
        </w:rPr>
      </w:pPr>
      <w:r w:rsidRPr="00B644C5">
        <w:rPr>
          <w:rFonts w:ascii="Arial" w:eastAsia="Times New Roman" w:hAnsi="Arial" w:cs="Arial"/>
          <w:sz w:val="22"/>
          <w:lang w:eastAsia="en-GB"/>
        </w:rPr>
        <w:t>identify themes across the evidence;</w:t>
      </w:r>
    </w:p>
    <w:p w14:paraId="543DEB8D" w14:textId="77777777" w:rsidR="00954C1D" w:rsidRPr="00B644C5" w:rsidRDefault="00954C1D" w:rsidP="00CB56A9">
      <w:pPr>
        <w:numPr>
          <w:ilvl w:val="0"/>
          <w:numId w:val="12"/>
        </w:numPr>
        <w:spacing w:before="100" w:beforeAutospacing="1" w:after="100" w:afterAutospacing="1" w:line="360" w:lineRule="auto"/>
        <w:jc w:val="both"/>
        <w:rPr>
          <w:rFonts w:ascii="Arial" w:eastAsia="Times New Roman" w:hAnsi="Arial" w:cs="Arial"/>
          <w:sz w:val="22"/>
          <w:lang w:eastAsia="en-GB"/>
        </w:rPr>
      </w:pPr>
      <w:r w:rsidRPr="00B644C5">
        <w:rPr>
          <w:rFonts w:ascii="Arial" w:eastAsia="Times New Roman" w:hAnsi="Arial" w:cs="Arial"/>
          <w:sz w:val="22"/>
          <w:lang w:eastAsia="en-GB"/>
        </w:rPr>
        <w:t>examine dietary, policy, socioeconomic and life-course influences;</w:t>
      </w:r>
    </w:p>
    <w:p w14:paraId="66827269" w14:textId="77777777" w:rsidR="00954C1D" w:rsidRPr="00B644C5" w:rsidRDefault="00954C1D" w:rsidP="00CB56A9">
      <w:pPr>
        <w:numPr>
          <w:ilvl w:val="0"/>
          <w:numId w:val="12"/>
        </w:numPr>
        <w:spacing w:before="100" w:beforeAutospacing="1" w:after="100" w:afterAutospacing="1" w:line="360" w:lineRule="auto"/>
        <w:jc w:val="both"/>
        <w:rPr>
          <w:rFonts w:ascii="Arial" w:eastAsia="Times New Roman" w:hAnsi="Arial" w:cs="Arial"/>
          <w:sz w:val="22"/>
          <w:lang w:eastAsia="en-GB"/>
        </w:rPr>
      </w:pPr>
      <w:r w:rsidRPr="00B644C5">
        <w:rPr>
          <w:rFonts w:ascii="Arial" w:eastAsia="Times New Roman" w:hAnsi="Arial" w:cs="Arial"/>
          <w:sz w:val="22"/>
          <w:lang w:eastAsia="en-GB"/>
        </w:rPr>
        <w:t>evaluate strengths, limitations and evidence gaps; and</w:t>
      </w:r>
    </w:p>
    <w:p w14:paraId="356C1F74" w14:textId="77777777" w:rsidR="00954C1D" w:rsidRPr="00B644C5" w:rsidRDefault="00954C1D" w:rsidP="00CB56A9">
      <w:pPr>
        <w:numPr>
          <w:ilvl w:val="0"/>
          <w:numId w:val="12"/>
        </w:numPr>
        <w:spacing w:before="100" w:beforeAutospacing="1" w:after="100" w:afterAutospacing="1" w:line="360" w:lineRule="auto"/>
        <w:jc w:val="both"/>
        <w:rPr>
          <w:rFonts w:ascii="Arial" w:eastAsia="Times New Roman" w:hAnsi="Arial" w:cs="Arial"/>
          <w:sz w:val="22"/>
          <w:lang w:eastAsia="en-GB"/>
        </w:rPr>
      </w:pPr>
      <w:r w:rsidRPr="00B644C5">
        <w:rPr>
          <w:rFonts w:ascii="Arial" w:eastAsia="Times New Roman" w:hAnsi="Arial" w:cs="Arial"/>
          <w:sz w:val="22"/>
          <w:lang w:eastAsia="en-GB"/>
        </w:rPr>
        <w:t>recommend actions for UK research, policy and practice.</w:t>
      </w:r>
    </w:p>
    <w:p w14:paraId="47F9A664" w14:textId="77777777" w:rsidR="000A20FA" w:rsidRPr="00B644C5" w:rsidRDefault="000A20FA" w:rsidP="00CB56A9">
      <w:pPr>
        <w:spacing w:line="360" w:lineRule="auto"/>
        <w:jc w:val="both"/>
        <w:rPr>
          <w:rFonts w:ascii="Arial" w:hAnsi="Arial" w:cs="Arial"/>
          <w:sz w:val="22"/>
        </w:rPr>
      </w:pPr>
    </w:p>
    <w:p w14:paraId="40888E2F" w14:textId="0B5E57C9" w:rsidR="000A20FA" w:rsidRPr="00B644C5" w:rsidRDefault="000A20FA" w:rsidP="00CB56A9">
      <w:pPr>
        <w:pStyle w:val="Titolo1"/>
        <w:jc w:val="both"/>
        <w:rPr>
          <w:rFonts w:cs="Arial"/>
        </w:rPr>
      </w:pPr>
      <w:r w:rsidRPr="00B644C5">
        <w:rPr>
          <w:rFonts w:cs="Arial"/>
        </w:rPr>
        <w:t>BACKGROUND</w:t>
      </w:r>
    </w:p>
    <w:p w14:paraId="395889F3" w14:textId="01F8BA8C" w:rsidR="00B64E37" w:rsidRPr="00B644C5" w:rsidRDefault="00B64E37" w:rsidP="00CB56A9">
      <w:pPr>
        <w:spacing w:line="360" w:lineRule="auto"/>
        <w:jc w:val="both"/>
        <w:rPr>
          <w:rFonts w:ascii="Arial" w:hAnsi="Arial" w:cs="Arial"/>
          <w:sz w:val="22"/>
        </w:rPr>
      </w:pPr>
    </w:p>
    <w:p w14:paraId="061B3817" w14:textId="77777777" w:rsidR="007A685A" w:rsidRPr="00B644C5" w:rsidRDefault="007A685A" w:rsidP="00CB56A9">
      <w:pPr>
        <w:spacing w:before="100" w:beforeAutospacing="1" w:after="100" w:afterAutospacing="1" w:line="360" w:lineRule="auto"/>
        <w:jc w:val="both"/>
        <w:outlineLvl w:val="1"/>
        <w:rPr>
          <w:rFonts w:ascii="Arial" w:eastAsia="Times New Roman" w:hAnsi="Arial" w:cs="Arial"/>
          <w:b/>
          <w:bCs/>
          <w:sz w:val="22"/>
          <w:lang w:eastAsia="en-GB"/>
        </w:rPr>
      </w:pPr>
      <w:r w:rsidRPr="00B644C5">
        <w:rPr>
          <w:rFonts w:ascii="Arial" w:eastAsia="Times New Roman" w:hAnsi="Arial" w:cs="Arial"/>
          <w:b/>
          <w:bCs/>
          <w:sz w:val="22"/>
          <w:lang w:eastAsia="en-GB"/>
        </w:rPr>
        <w:t>UK context and guidance</w:t>
      </w:r>
    </w:p>
    <w:p w14:paraId="5D437AAF" w14:textId="77777777" w:rsidR="007A685A" w:rsidRPr="00B644C5" w:rsidRDefault="007A685A" w:rsidP="00CB56A9">
      <w:pPr>
        <w:spacing w:before="100" w:beforeAutospacing="1" w:after="100" w:afterAutospacing="1" w:line="360" w:lineRule="auto"/>
        <w:jc w:val="both"/>
        <w:rPr>
          <w:rFonts w:ascii="Arial" w:eastAsia="Times New Roman" w:hAnsi="Arial" w:cs="Arial"/>
          <w:sz w:val="22"/>
          <w:lang w:eastAsia="en-GB"/>
        </w:rPr>
      </w:pPr>
      <w:r w:rsidRPr="00B644C5">
        <w:rPr>
          <w:rFonts w:ascii="Arial" w:eastAsia="Times New Roman" w:hAnsi="Arial" w:cs="Arial"/>
          <w:sz w:val="22"/>
          <w:lang w:eastAsia="en-GB"/>
        </w:rPr>
        <w:t>Childhood obesity results from interacting biological, behavioural, commercial and socioeconomic influences. The National Child Measurement Programme (NCMP) measures children in Reception and Year 6 in England and informs national and local planning (Office for Health Improvement and Disparities, 2026a). In 2024–2025, 10.5% of Reception children and 22.2% of Year 6 children were living with obesity (Office for Health Improvement and Disparities, 2026b). These differences illustrate how prevalence increases during primary school, although BMI surveillance does not explain individual causes and must be communicated without stigma.</w:t>
      </w:r>
    </w:p>
    <w:p w14:paraId="00C66B7D" w14:textId="77777777" w:rsidR="007A685A" w:rsidRPr="00B644C5" w:rsidRDefault="007A685A" w:rsidP="00CB56A9">
      <w:pPr>
        <w:spacing w:before="100" w:beforeAutospacing="1" w:after="100" w:afterAutospacing="1" w:line="360" w:lineRule="auto"/>
        <w:jc w:val="both"/>
        <w:rPr>
          <w:rFonts w:ascii="Arial" w:eastAsia="Times New Roman" w:hAnsi="Arial" w:cs="Arial"/>
          <w:sz w:val="22"/>
          <w:lang w:eastAsia="en-GB"/>
        </w:rPr>
      </w:pPr>
      <w:r w:rsidRPr="00B644C5">
        <w:rPr>
          <w:rFonts w:ascii="Arial" w:eastAsia="Times New Roman" w:hAnsi="Arial" w:cs="Arial"/>
          <w:sz w:val="22"/>
          <w:lang w:eastAsia="en-GB"/>
        </w:rPr>
        <w:t>The Scientific Advisory Committee on Nutrition recommends that free sugars provide no more than 5% of average dietary energy from two years of age and that SSB consumption should be minimised (Scientific Advisory Committee on Nutrition, 2015). Common daily maximums are approximately 19 g for ages four to six, 24 g for ages seven to ten, and 30 g from age 11. These targets provide guidance, but education alone may be insufficient when unhealthy products are inexpensive, prominent and heavily marketed.</w:t>
      </w:r>
    </w:p>
    <w:p w14:paraId="57163AB4" w14:textId="77777777" w:rsidR="007A685A" w:rsidRPr="00B644C5" w:rsidRDefault="007A685A" w:rsidP="00CB56A9">
      <w:pPr>
        <w:spacing w:before="100" w:beforeAutospacing="1" w:after="100" w:afterAutospacing="1" w:line="360" w:lineRule="auto"/>
        <w:jc w:val="both"/>
        <w:outlineLvl w:val="1"/>
        <w:rPr>
          <w:rFonts w:ascii="Arial" w:eastAsia="Times New Roman" w:hAnsi="Arial" w:cs="Arial"/>
          <w:b/>
          <w:bCs/>
          <w:sz w:val="22"/>
          <w:lang w:eastAsia="en-GB"/>
        </w:rPr>
      </w:pPr>
      <w:r w:rsidRPr="00B644C5">
        <w:rPr>
          <w:rFonts w:ascii="Arial" w:eastAsia="Times New Roman" w:hAnsi="Arial" w:cs="Arial"/>
          <w:b/>
          <w:bCs/>
          <w:sz w:val="22"/>
          <w:lang w:eastAsia="en-GB"/>
        </w:rPr>
        <w:t>Policy and legislation</w:t>
      </w:r>
    </w:p>
    <w:p w14:paraId="0AD6F040" w14:textId="77777777" w:rsidR="007A685A" w:rsidRPr="00B644C5" w:rsidRDefault="007A685A" w:rsidP="00CB56A9">
      <w:pPr>
        <w:spacing w:before="100" w:beforeAutospacing="1" w:after="100" w:afterAutospacing="1" w:line="360" w:lineRule="auto"/>
        <w:jc w:val="both"/>
        <w:rPr>
          <w:rFonts w:ascii="Arial" w:eastAsia="Times New Roman" w:hAnsi="Arial" w:cs="Arial"/>
          <w:sz w:val="22"/>
          <w:lang w:eastAsia="en-GB"/>
        </w:rPr>
      </w:pPr>
      <w:r w:rsidRPr="00B644C5">
        <w:rPr>
          <w:rFonts w:ascii="Arial" w:eastAsia="Times New Roman" w:hAnsi="Arial" w:cs="Arial"/>
          <w:sz w:val="22"/>
          <w:lang w:eastAsia="en-GB"/>
        </w:rPr>
        <w:t>The SDIL came into effect in April 2018 and charges manufacturers and importers according to the sugar content of eligible soft drinks. It primarily encourages reformulation, smaller portions and lower-sugar alternatives (HM Treasury, 2018). Rogers et al. (2024) estimated that children’s free-sugar intake was 4.8 g per day below the counterfactual one year after implementation. Rogers et al. (2023) associated the levy with an approximate 8% relative reduction in obesity prevalence among Year 6 girls, greatest in deprived areas, but found no clear association for Year 6 boys or Reception children.</w:t>
      </w:r>
    </w:p>
    <w:p w14:paraId="72CB728E" w14:textId="3CFB3015" w:rsidR="007A685A" w:rsidRPr="00B644C5" w:rsidRDefault="007A685A" w:rsidP="00CB56A9">
      <w:pPr>
        <w:spacing w:before="100" w:beforeAutospacing="1" w:after="100" w:afterAutospacing="1" w:line="360" w:lineRule="auto"/>
        <w:jc w:val="both"/>
        <w:rPr>
          <w:rFonts w:ascii="Arial" w:eastAsia="Times New Roman" w:hAnsi="Arial" w:cs="Arial"/>
          <w:sz w:val="22"/>
          <w:lang w:eastAsia="en-GB"/>
        </w:rPr>
      </w:pPr>
      <w:r w:rsidRPr="00B644C5">
        <w:rPr>
          <w:rFonts w:ascii="Arial" w:eastAsia="Times New Roman" w:hAnsi="Arial" w:cs="Arial"/>
          <w:sz w:val="22"/>
          <w:lang w:eastAsia="en-GB"/>
        </w:rPr>
        <w:lastRenderedPageBreak/>
        <w:t xml:space="preserve">In 2025, </w:t>
      </w:r>
      <w:r w:rsidR="00292480">
        <w:rPr>
          <w:rFonts w:ascii="Arial" w:eastAsia="Times New Roman" w:hAnsi="Arial" w:cs="Arial"/>
          <w:sz w:val="22"/>
          <w:lang w:eastAsia="en-GB"/>
        </w:rPr>
        <w:t xml:space="preserve">the </w:t>
      </w:r>
      <w:r w:rsidRPr="00B644C5">
        <w:rPr>
          <w:rFonts w:ascii="Arial" w:eastAsia="Times New Roman" w:hAnsi="Arial" w:cs="Arial"/>
          <w:sz w:val="22"/>
          <w:lang w:eastAsia="en-GB"/>
        </w:rPr>
        <w:t>government announced a lower levy threshold and future inclusion of certain sugary milk-based drinks, with implementation planned for 2028 (HM Treasury, 2025). This creates an opportunity for further evaluation. The Health and Care Act 2022 amended the Communications Act 2003 to enable restrictions on advertising identifiable less-healthy products. From 5 January 2026, relevant television advertising is restricted before 9 p.m. and paid-for online advertising is restricted continuously (Department of Health and Social Care, 2026). Restrictions on retail placement and volume promotions also aim to reduce impulse purchasing. Together, these measures recognise that choices occur within a commercially structured food environment.</w:t>
      </w:r>
    </w:p>
    <w:p w14:paraId="01F6B158" w14:textId="77777777" w:rsidR="007A685A" w:rsidRPr="00B644C5" w:rsidRDefault="007A685A" w:rsidP="00CB56A9">
      <w:pPr>
        <w:spacing w:before="100" w:beforeAutospacing="1" w:after="100" w:afterAutospacing="1" w:line="360" w:lineRule="auto"/>
        <w:jc w:val="both"/>
        <w:outlineLvl w:val="1"/>
        <w:rPr>
          <w:rFonts w:ascii="Arial" w:eastAsia="Times New Roman" w:hAnsi="Arial" w:cs="Arial"/>
          <w:b/>
          <w:bCs/>
          <w:sz w:val="22"/>
          <w:lang w:eastAsia="en-GB"/>
        </w:rPr>
      </w:pPr>
      <w:r w:rsidRPr="00B644C5">
        <w:rPr>
          <w:rFonts w:ascii="Arial" w:eastAsia="Times New Roman" w:hAnsi="Arial" w:cs="Arial"/>
          <w:b/>
          <w:bCs/>
          <w:sz w:val="22"/>
          <w:lang w:eastAsia="en-GB"/>
        </w:rPr>
        <w:t>Services and practice</w:t>
      </w:r>
    </w:p>
    <w:p w14:paraId="6FFE24E7" w14:textId="77777777" w:rsidR="007A685A" w:rsidRPr="00B644C5" w:rsidRDefault="007A685A" w:rsidP="00CB56A9">
      <w:pPr>
        <w:spacing w:before="100" w:beforeAutospacing="1" w:after="100" w:afterAutospacing="1" w:line="360" w:lineRule="auto"/>
        <w:jc w:val="both"/>
        <w:rPr>
          <w:rFonts w:ascii="Arial" w:eastAsia="Times New Roman" w:hAnsi="Arial" w:cs="Arial"/>
          <w:sz w:val="22"/>
          <w:lang w:eastAsia="en-GB"/>
        </w:rPr>
      </w:pPr>
      <w:r w:rsidRPr="00B644C5">
        <w:rPr>
          <w:rFonts w:ascii="Arial" w:eastAsia="Times New Roman" w:hAnsi="Arial" w:cs="Arial"/>
          <w:sz w:val="22"/>
          <w:lang w:eastAsia="en-GB"/>
        </w:rPr>
        <w:t>Local authorities use NCMP data to plan healthy-weight activity. Support may involve health visitors, school nurses, GPs, dentists, dietitians, paediatric services, schools and commissioned weight-management programmes. NICE Guideline NG246 recommends sensitive assessment, non-stigmatising communication and behavioural interventions with maintenance support (NICE, 2025). Professionals should discuss high-sugar drinks within the whole diet and adapt advice to family culture, income and access to healthier choices. Research with parents and early-years staff shows that interventions are more acceptable when families and practitioners cooperate and recommendations fit daily routines (McSweeney et al., 2016; Bradley et al., 2020).</w:t>
      </w:r>
    </w:p>
    <w:p w14:paraId="03DAAB02" w14:textId="03E88463" w:rsidR="007A685A" w:rsidRPr="00B644C5" w:rsidRDefault="007A685A" w:rsidP="00CB56A9">
      <w:pPr>
        <w:spacing w:before="100" w:beforeAutospacing="1" w:after="100" w:afterAutospacing="1" w:line="360" w:lineRule="auto"/>
        <w:jc w:val="both"/>
        <w:rPr>
          <w:rFonts w:ascii="Arial" w:eastAsia="Times New Roman" w:hAnsi="Arial" w:cs="Arial"/>
          <w:sz w:val="22"/>
          <w:lang w:eastAsia="en-GB"/>
        </w:rPr>
      </w:pPr>
      <w:r w:rsidRPr="00B644C5">
        <w:rPr>
          <w:rFonts w:ascii="Arial" w:eastAsia="Times New Roman" w:hAnsi="Arial" w:cs="Arial"/>
          <w:sz w:val="22"/>
          <w:lang w:eastAsia="en-GB"/>
        </w:rPr>
        <w:t xml:space="preserve">Schools are also central to prevention because children consume food and drinks, learn health-related knowledge and participate in physical activity within the school environment. Food standards, free access to water, breakfast provision and restrictions on high-sugar products can reinforce classroom education. School-based programmes are most likely to be useful when they combine knowledge with environmental change and family participation rather than relying on information alone (Malhotra et al., 2025). Dentists contribute by </w:t>
      </w:r>
      <w:r w:rsidR="00292480">
        <w:rPr>
          <w:rFonts w:ascii="Arial" w:eastAsia="Times New Roman" w:hAnsi="Arial" w:cs="Arial"/>
          <w:sz w:val="22"/>
          <w:lang w:eastAsia="en-GB"/>
        </w:rPr>
        <w:t>linking free-sugar reduction with oral health, while primary-care and community services can recognise comorbidities and refer children who require</w:t>
      </w:r>
      <w:r w:rsidRPr="00B644C5">
        <w:rPr>
          <w:rFonts w:ascii="Arial" w:eastAsia="Times New Roman" w:hAnsi="Arial" w:cs="Arial"/>
          <w:sz w:val="22"/>
          <w:lang w:eastAsia="en-GB"/>
        </w:rPr>
        <w:t xml:space="preserve"> specialist support. Coordination is important so families do not receive inconsistent messages.</w:t>
      </w:r>
    </w:p>
    <w:p w14:paraId="76DF244B" w14:textId="77777777" w:rsidR="007A685A" w:rsidRPr="00B644C5" w:rsidRDefault="007A685A" w:rsidP="00CB56A9">
      <w:pPr>
        <w:spacing w:before="100" w:beforeAutospacing="1" w:after="100" w:afterAutospacing="1" w:line="360" w:lineRule="auto"/>
        <w:jc w:val="both"/>
        <w:rPr>
          <w:rFonts w:ascii="Arial" w:eastAsia="Times New Roman" w:hAnsi="Arial" w:cs="Arial"/>
          <w:sz w:val="22"/>
          <w:lang w:eastAsia="en-GB"/>
        </w:rPr>
      </w:pPr>
      <w:r w:rsidRPr="00B644C5">
        <w:rPr>
          <w:rFonts w:ascii="Arial" w:eastAsia="Times New Roman" w:hAnsi="Arial" w:cs="Arial"/>
          <w:sz w:val="22"/>
          <w:lang w:eastAsia="en-GB"/>
        </w:rPr>
        <w:t>Practice must also address inequality. Families experiencing poverty may have less time, money, transport or local access to healthier products, while commercial exposure may remain high. Universal policies such as reformulation can reduce exposure across the population, but proportionate additional support is needed where barriers are greatest. This approach recognises parental agency without transferring responsibility for structural conditions to individual families.</w:t>
      </w:r>
    </w:p>
    <w:p w14:paraId="5856880A" w14:textId="77777777" w:rsidR="000A20FA" w:rsidRPr="00B644C5" w:rsidRDefault="000A20FA" w:rsidP="00CB56A9">
      <w:pPr>
        <w:spacing w:line="360" w:lineRule="auto"/>
        <w:jc w:val="both"/>
        <w:rPr>
          <w:rFonts w:ascii="Arial" w:hAnsi="Arial" w:cs="Arial"/>
          <w:sz w:val="22"/>
        </w:rPr>
      </w:pPr>
    </w:p>
    <w:p w14:paraId="129D677B" w14:textId="2B69D89C" w:rsidR="000A20FA" w:rsidRPr="00B644C5" w:rsidRDefault="000A20FA" w:rsidP="00CB56A9">
      <w:pPr>
        <w:pStyle w:val="Titolo1"/>
        <w:jc w:val="both"/>
        <w:rPr>
          <w:rFonts w:cs="Arial"/>
        </w:rPr>
      </w:pPr>
    </w:p>
    <w:p w14:paraId="75883B4A" w14:textId="2BD5696A" w:rsidR="00B42A95" w:rsidRDefault="00956F6B" w:rsidP="00B42A95">
      <w:pPr>
        <w:spacing w:before="100" w:beforeAutospacing="1" w:after="100" w:afterAutospacing="1" w:line="360" w:lineRule="auto"/>
        <w:jc w:val="both"/>
        <w:outlineLvl w:val="1"/>
        <w:rPr>
          <w:rFonts w:ascii="Arial" w:eastAsia="Times New Roman" w:hAnsi="Arial" w:cs="Arial"/>
          <w:b/>
          <w:bCs/>
          <w:sz w:val="28"/>
          <w:szCs w:val="28"/>
          <w:u w:val="single"/>
          <w:lang w:eastAsia="en-GB"/>
        </w:rPr>
      </w:pPr>
      <w:r w:rsidRPr="00B644C5">
        <w:rPr>
          <w:rFonts w:ascii="Arial" w:eastAsia="Times New Roman" w:hAnsi="Arial" w:cs="Arial"/>
          <w:b/>
          <w:bCs/>
          <w:sz w:val="28"/>
          <w:szCs w:val="28"/>
          <w:u w:val="single"/>
          <w:lang w:eastAsia="en-GB"/>
        </w:rPr>
        <w:t>METHODS</w:t>
      </w:r>
    </w:p>
    <w:p w14:paraId="1A76C25C" w14:textId="77777777" w:rsidR="00192329" w:rsidRPr="00192329" w:rsidRDefault="00192329" w:rsidP="00192329">
      <w:pPr>
        <w:spacing w:before="100" w:beforeAutospacing="1" w:after="100" w:afterAutospacing="1" w:line="360" w:lineRule="auto"/>
        <w:jc w:val="both"/>
        <w:outlineLvl w:val="1"/>
        <w:rPr>
          <w:rFonts w:ascii="Arial" w:eastAsia="Times New Roman" w:hAnsi="Arial" w:cs="Arial"/>
          <w:b/>
          <w:bCs/>
          <w:sz w:val="22"/>
          <w:lang w:eastAsia="en-GB"/>
        </w:rPr>
      </w:pPr>
      <w:r w:rsidRPr="00192329">
        <w:rPr>
          <w:rFonts w:ascii="Arial" w:eastAsia="Times New Roman" w:hAnsi="Arial" w:cs="Arial"/>
          <w:b/>
          <w:bCs/>
          <w:sz w:val="22"/>
          <w:lang w:eastAsia="en-GB"/>
        </w:rPr>
        <w:t>Research design and data collection</w:t>
      </w:r>
    </w:p>
    <w:p w14:paraId="590AF566" w14:textId="73284A80" w:rsidR="00192329" w:rsidRPr="00192329" w:rsidRDefault="00192329" w:rsidP="00192329">
      <w:pPr>
        <w:spacing w:before="100" w:beforeAutospacing="1" w:after="100" w:afterAutospacing="1" w:line="360" w:lineRule="auto"/>
        <w:jc w:val="both"/>
        <w:rPr>
          <w:rFonts w:ascii="Arial" w:eastAsia="Times New Roman" w:hAnsi="Arial" w:cs="Arial"/>
          <w:sz w:val="22"/>
          <w:lang w:eastAsia="en-GB"/>
        </w:rPr>
      </w:pPr>
      <w:r w:rsidRPr="00192329">
        <w:rPr>
          <w:rFonts w:ascii="Arial" w:eastAsia="Times New Roman" w:hAnsi="Arial" w:cs="Arial"/>
          <w:sz w:val="22"/>
          <w:lang w:eastAsia="en-GB"/>
        </w:rPr>
        <w:t xml:space="preserve">A secondary </w:t>
      </w:r>
      <w:r w:rsidR="00637E0C">
        <w:rPr>
          <w:rFonts w:ascii="Arial" w:eastAsia="Times New Roman" w:hAnsi="Arial" w:cs="Arial"/>
          <w:sz w:val="22"/>
          <w:lang w:eastAsia="en-GB"/>
        </w:rPr>
        <w:t>scoping review</w:t>
      </w:r>
      <w:r w:rsidRPr="00192329">
        <w:rPr>
          <w:rFonts w:ascii="Arial" w:eastAsia="Times New Roman" w:hAnsi="Arial" w:cs="Arial"/>
          <w:sz w:val="22"/>
          <w:lang w:eastAsia="en-GB"/>
        </w:rPr>
        <w:t xml:space="preserve"> design was used because the question included heterogeneous evidence concerning dietary exposure, adiposity, population surveillance and policy. Meta-analysis was inappropriate because the five selected studies differed in design, sample and outcomes.</w:t>
      </w:r>
    </w:p>
    <w:p w14:paraId="147529D1" w14:textId="77777777" w:rsidR="00192329" w:rsidRPr="00192329" w:rsidRDefault="00192329" w:rsidP="00192329">
      <w:pPr>
        <w:spacing w:before="100" w:beforeAutospacing="1" w:after="100" w:afterAutospacing="1" w:line="360" w:lineRule="auto"/>
        <w:jc w:val="both"/>
        <w:rPr>
          <w:rFonts w:ascii="Arial" w:eastAsia="Times New Roman" w:hAnsi="Arial" w:cs="Arial"/>
          <w:sz w:val="22"/>
          <w:lang w:eastAsia="en-GB"/>
        </w:rPr>
      </w:pPr>
      <w:r w:rsidRPr="00192329">
        <w:rPr>
          <w:rFonts w:ascii="Arial" w:eastAsia="Times New Roman" w:hAnsi="Arial" w:cs="Arial"/>
          <w:sz w:val="22"/>
          <w:lang w:eastAsia="en-GB"/>
        </w:rPr>
        <w:t xml:space="preserve">PubMed, Google Scholar, ProQuest and the University of Wales Trinity Saint David library were searched using combinations of “childhood obesity”, “UK”, “dietary sugar”, “free sugar”, “sugar-sweetened beverages”, “soft drinks”, “adiposity” and “Soft Drinks Industry Levy”. Boolean operators AND </w:t>
      </w:r>
      <w:proofErr w:type="spellStart"/>
      <w:r w:rsidRPr="00192329">
        <w:rPr>
          <w:rFonts w:ascii="Arial" w:eastAsia="Times New Roman" w:hAnsi="Arial" w:cs="Arial"/>
          <w:sz w:val="22"/>
          <w:lang w:eastAsia="en-GB"/>
        </w:rPr>
        <w:t>and</w:t>
      </w:r>
      <w:proofErr w:type="spellEnd"/>
      <w:r w:rsidRPr="00192329">
        <w:rPr>
          <w:rFonts w:ascii="Arial" w:eastAsia="Times New Roman" w:hAnsi="Arial" w:cs="Arial"/>
          <w:sz w:val="22"/>
          <w:lang w:eastAsia="en-GB"/>
        </w:rPr>
        <w:t xml:space="preserve"> OR combined concepts. Titles and abstracts were screened before potentially relevant full texts, and reference lists were checked for further sources. Guidance, legislation and policy documents informed the context but were not counted among the five research studies.</w:t>
      </w:r>
    </w:p>
    <w:p w14:paraId="6DD1EFA5" w14:textId="77777777" w:rsidR="00192329" w:rsidRPr="00192329" w:rsidRDefault="00192329" w:rsidP="00192329">
      <w:pPr>
        <w:spacing w:before="100" w:beforeAutospacing="1" w:after="100" w:afterAutospacing="1" w:line="360" w:lineRule="auto"/>
        <w:jc w:val="both"/>
        <w:rPr>
          <w:rFonts w:ascii="Arial" w:eastAsia="Times New Roman" w:hAnsi="Arial" w:cs="Arial"/>
          <w:sz w:val="22"/>
          <w:lang w:eastAsia="en-GB"/>
        </w:rPr>
      </w:pPr>
      <w:r w:rsidRPr="00192329">
        <w:rPr>
          <w:rFonts w:ascii="Arial" w:eastAsia="Times New Roman" w:hAnsi="Arial" w:cs="Arial"/>
          <w:sz w:val="22"/>
          <w:lang w:eastAsia="en-GB"/>
        </w:rPr>
        <w:t>Eligible studies were English-language full-text primary or secondary research published from 2020 to 2024. They concerned children or childhood exposure; examined sugar, SSBs or sugar-reduction policy; reported dietary, obesity, adiposity or related metabolic outcomes; and used a UK population or had direct UK policy relevance. Opinion pieces, non-research material, studies without childhood or sugar relevance, insufficiently reported articles and duplicates were excluded.</w:t>
      </w:r>
    </w:p>
    <w:p w14:paraId="29E37A0A" w14:textId="77777777" w:rsidR="00192329" w:rsidRPr="00192329" w:rsidRDefault="00192329" w:rsidP="00192329">
      <w:pPr>
        <w:spacing w:before="100" w:beforeAutospacing="1" w:after="100" w:afterAutospacing="1" w:line="360" w:lineRule="auto"/>
        <w:jc w:val="both"/>
        <w:rPr>
          <w:rFonts w:ascii="Arial" w:eastAsia="Times New Roman" w:hAnsi="Arial" w:cs="Arial"/>
          <w:sz w:val="22"/>
          <w:lang w:eastAsia="en-GB"/>
        </w:rPr>
      </w:pPr>
      <w:r w:rsidRPr="00192329">
        <w:rPr>
          <w:rFonts w:ascii="Arial" w:eastAsia="Times New Roman" w:hAnsi="Arial" w:cs="Arial"/>
          <w:sz w:val="22"/>
          <w:lang w:eastAsia="en-GB"/>
        </w:rPr>
        <w:t xml:space="preserve">Five studies were selected: Rogers et al. (2023), Benton and Young (2024), Rogers et al. (2024), </w:t>
      </w:r>
      <w:proofErr w:type="spellStart"/>
      <w:r w:rsidRPr="00192329">
        <w:rPr>
          <w:rFonts w:ascii="Arial" w:eastAsia="Times New Roman" w:hAnsi="Arial" w:cs="Arial"/>
          <w:sz w:val="22"/>
          <w:lang w:eastAsia="en-GB"/>
        </w:rPr>
        <w:t>Sekkarie</w:t>
      </w:r>
      <w:proofErr w:type="spellEnd"/>
      <w:r w:rsidRPr="00192329">
        <w:rPr>
          <w:rFonts w:ascii="Arial" w:eastAsia="Times New Roman" w:hAnsi="Arial" w:cs="Arial"/>
          <w:sz w:val="22"/>
          <w:lang w:eastAsia="en-GB"/>
        </w:rPr>
        <w:t xml:space="preserve"> et al. (2021), and Stanner and Spiro (2020). Information was charted under citation, aim, design, sample, exposure or intervention, outcomes, findings and limitations.</w:t>
      </w:r>
    </w:p>
    <w:p w14:paraId="16CD9718" w14:textId="77777777" w:rsidR="00192329" w:rsidRPr="00192329" w:rsidRDefault="00192329" w:rsidP="00192329">
      <w:pPr>
        <w:spacing w:before="100" w:beforeAutospacing="1" w:after="100" w:afterAutospacing="1" w:line="360" w:lineRule="auto"/>
        <w:jc w:val="both"/>
        <w:rPr>
          <w:rFonts w:ascii="Arial" w:eastAsia="Times New Roman" w:hAnsi="Arial" w:cs="Arial"/>
          <w:sz w:val="22"/>
          <w:lang w:eastAsia="en-GB"/>
        </w:rPr>
      </w:pPr>
      <w:r w:rsidRPr="00192329">
        <w:rPr>
          <w:rFonts w:ascii="Arial" w:eastAsia="Times New Roman" w:hAnsi="Arial" w:cs="Arial"/>
          <w:sz w:val="22"/>
          <w:lang w:eastAsia="en-GB"/>
        </w:rPr>
        <w:t xml:space="preserve">The selected studies represented distinct stages in a possible pathway. Rogers et al. (2024) examined whether policy was followed by a change in sugar exposure, whereas Rogers et al. (2023) examined obesity prevalence. Benton and Young (2024) and </w:t>
      </w:r>
      <w:proofErr w:type="spellStart"/>
      <w:r w:rsidRPr="00192329">
        <w:rPr>
          <w:rFonts w:ascii="Arial" w:eastAsia="Times New Roman" w:hAnsi="Arial" w:cs="Arial"/>
          <w:sz w:val="22"/>
          <w:lang w:eastAsia="en-GB"/>
        </w:rPr>
        <w:t>Sekkarie</w:t>
      </w:r>
      <w:proofErr w:type="spellEnd"/>
      <w:r w:rsidRPr="00192329">
        <w:rPr>
          <w:rFonts w:ascii="Arial" w:eastAsia="Times New Roman" w:hAnsi="Arial" w:cs="Arial"/>
          <w:sz w:val="22"/>
          <w:lang w:eastAsia="en-GB"/>
        </w:rPr>
        <w:t xml:space="preserve"> et al. (2021) assessed later outcomes following early-childhood exposure, and Stanner and Spiro (2020) placed the empirical evidence within a broader public-health context. The studies were not </w:t>
      </w:r>
      <w:r w:rsidRPr="00192329">
        <w:rPr>
          <w:rFonts w:ascii="Arial" w:eastAsia="Times New Roman" w:hAnsi="Arial" w:cs="Arial"/>
          <w:sz w:val="22"/>
          <w:lang w:eastAsia="en-GB"/>
        </w:rPr>
        <w:lastRenderedPageBreak/>
        <w:t>treated as equivalent, and adult outcomes were clearly distinguished from direct measurements of childhood obesity.</w:t>
      </w:r>
    </w:p>
    <w:p w14:paraId="682A35CE" w14:textId="77777777" w:rsidR="00192329" w:rsidRPr="00192329" w:rsidRDefault="00192329" w:rsidP="00192329">
      <w:pPr>
        <w:spacing w:before="100" w:beforeAutospacing="1" w:after="100" w:afterAutospacing="1" w:line="360" w:lineRule="auto"/>
        <w:jc w:val="both"/>
        <w:outlineLvl w:val="1"/>
        <w:rPr>
          <w:rFonts w:ascii="Arial" w:eastAsia="Times New Roman" w:hAnsi="Arial" w:cs="Arial"/>
          <w:b/>
          <w:bCs/>
          <w:sz w:val="22"/>
          <w:lang w:eastAsia="en-GB"/>
        </w:rPr>
      </w:pPr>
      <w:r w:rsidRPr="00192329">
        <w:rPr>
          <w:rFonts w:ascii="Arial" w:eastAsia="Times New Roman" w:hAnsi="Arial" w:cs="Arial"/>
          <w:b/>
          <w:bCs/>
          <w:sz w:val="22"/>
          <w:lang w:eastAsia="en-GB"/>
        </w:rPr>
        <w:t>Data analysis</w:t>
      </w:r>
    </w:p>
    <w:p w14:paraId="365F019E" w14:textId="37593D1C" w:rsidR="00192329" w:rsidRPr="00192329" w:rsidRDefault="00192329" w:rsidP="00192329">
      <w:pPr>
        <w:spacing w:before="100" w:beforeAutospacing="1" w:after="100" w:afterAutospacing="1" w:line="360" w:lineRule="auto"/>
        <w:jc w:val="both"/>
        <w:rPr>
          <w:rFonts w:ascii="Arial" w:eastAsia="Times New Roman" w:hAnsi="Arial" w:cs="Arial"/>
          <w:sz w:val="22"/>
          <w:lang w:eastAsia="en-GB"/>
        </w:rPr>
      </w:pPr>
      <w:r w:rsidRPr="00192329">
        <w:rPr>
          <w:rFonts w:ascii="Arial" w:eastAsia="Times New Roman" w:hAnsi="Arial" w:cs="Arial"/>
          <w:sz w:val="22"/>
          <w:lang w:eastAsia="en-GB"/>
        </w:rPr>
        <w:t>The studies were read repeatedly</w:t>
      </w:r>
      <w:r w:rsidR="002015AC">
        <w:rPr>
          <w:rFonts w:ascii="Arial" w:eastAsia="Times New Roman" w:hAnsi="Arial" w:cs="Arial"/>
          <w:sz w:val="22"/>
          <w:lang w:eastAsia="en-GB"/>
        </w:rPr>
        <w:t>,</w:t>
      </w:r>
      <w:r w:rsidRPr="00192329">
        <w:rPr>
          <w:rFonts w:ascii="Arial" w:eastAsia="Times New Roman" w:hAnsi="Arial" w:cs="Arial"/>
          <w:sz w:val="22"/>
          <w:lang w:eastAsia="en-GB"/>
        </w:rPr>
        <w:t xml:space="preserve"> and descriptive codes were assigned to findings. Codes included SSB exposure, free-sugar intake, obesity prevalence, adult adiposity, metabolic health, reformulation, deprivation, sex differences, parental influences and overall diet. Related codes were grouped and checked against all five studies, producing three themes: (1) sugary beverages, dietary patterns and adiposity; (2) population-level sugar-reduction policy and health outcomes; and (3) socioeconomic and life-course influences. Contrasting findings were retained rather than forcing consistency.</w:t>
      </w:r>
    </w:p>
    <w:p w14:paraId="75CDE5CF" w14:textId="77777777" w:rsidR="00192329" w:rsidRPr="00192329" w:rsidRDefault="00192329" w:rsidP="00192329">
      <w:pPr>
        <w:spacing w:before="100" w:beforeAutospacing="1" w:after="100" w:afterAutospacing="1" w:line="360" w:lineRule="auto"/>
        <w:jc w:val="both"/>
        <w:outlineLvl w:val="1"/>
        <w:rPr>
          <w:rFonts w:ascii="Arial" w:eastAsia="Times New Roman" w:hAnsi="Arial" w:cs="Arial"/>
          <w:b/>
          <w:bCs/>
          <w:sz w:val="22"/>
          <w:lang w:eastAsia="en-GB"/>
        </w:rPr>
      </w:pPr>
      <w:r w:rsidRPr="00192329">
        <w:rPr>
          <w:rFonts w:ascii="Arial" w:eastAsia="Times New Roman" w:hAnsi="Arial" w:cs="Arial"/>
          <w:b/>
          <w:bCs/>
          <w:sz w:val="22"/>
          <w:lang w:eastAsia="en-GB"/>
        </w:rPr>
        <w:t>Ethical considerations</w:t>
      </w:r>
    </w:p>
    <w:p w14:paraId="0830A8E3" w14:textId="36F50151" w:rsidR="00B42A95" w:rsidRPr="00292480" w:rsidRDefault="00192329" w:rsidP="00292480">
      <w:pPr>
        <w:spacing w:before="100" w:beforeAutospacing="1" w:after="100" w:afterAutospacing="1" w:line="360" w:lineRule="auto"/>
        <w:jc w:val="both"/>
        <w:rPr>
          <w:rFonts w:ascii="Arial" w:eastAsia="Times New Roman" w:hAnsi="Arial" w:cs="Arial"/>
          <w:sz w:val="22"/>
          <w:lang w:eastAsia="en-GB"/>
        </w:rPr>
      </w:pPr>
      <w:r w:rsidRPr="00192329">
        <w:rPr>
          <w:rFonts w:ascii="Arial" w:eastAsia="Times New Roman" w:hAnsi="Arial" w:cs="Arial"/>
          <w:sz w:val="22"/>
          <w:lang w:eastAsia="en-GB"/>
        </w:rPr>
        <w:t>No participants were recruited</w:t>
      </w:r>
      <w:r w:rsidR="00064179">
        <w:rPr>
          <w:rFonts w:ascii="Arial" w:eastAsia="Times New Roman" w:hAnsi="Arial" w:cs="Arial"/>
          <w:sz w:val="22"/>
          <w:lang w:eastAsia="en-GB"/>
        </w:rPr>
        <w:t>,</w:t>
      </w:r>
      <w:r w:rsidRPr="00192329">
        <w:rPr>
          <w:rFonts w:ascii="Arial" w:eastAsia="Times New Roman" w:hAnsi="Arial" w:cs="Arial"/>
          <w:sz w:val="22"/>
          <w:lang w:eastAsia="en-GB"/>
        </w:rPr>
        <w:t xml:space="preserve"> and no identifiable data were accessed, so participant consent was not required for this review. Sources were cited to avoid plagiarism, findings were represented accurately, and limitations were retained. Associations were distinguished from causal claims. Because childhood obesity is sensitive, person-centred language was used</w:t>
      </w:r>
      <w:r w:rsidR="002015AC">
        <w:rPr>
          <w:rFonts w:ascii="Arial" w:eastAsia="Times New Roman" w:hAnsi="Arial" w:cs="Arial"/>
          <w:sz w:val="22"/>
          <w:lang w:eastAsia="en-GB"/>
        </w:rPr>
        <w:t>,</w:t>
      </w:r>
      <w:r w:rsidRPr="00192329">
        <w:rPr>
          <w:rFonts w:ascii="Arial" w:eastAsia="Times New Roman" w:hAnsi="Arial" w:cs="Arial"/>
          <w:sz w:val="22"/>
          <w:lang w:eastAsia="en-GB"/>
        </w:rPr>
        <w:t xml:space="preserve"> and children or parents were not blamed. The report also acknowledges the restrictions of a single-student review, including English-language selection, five included studies, no duplicate screening and no formal meta-analysis.</w:t>
      </w:r>
    </w:p>
    <w:p w14:paraId="19328D57" w14:textId="461D851B" w:rsidR="00956F6B" w:rsidRPr="00B644C5" w:rsidRDefault="00956F6B" w:rsidP="00CB56A9">
      <w:pPr>
        <w:spacing w:before="100" w:beforeAutospacing="1" w:after="100" w:afterAutospacing="1" w:line="360" w:lineRule="auto"/>
        <w:jc w:val="both"/>
        <w:outlineLvl w:val="2"/>
        <w:rPr>
          <w:rFonts w:ascii="Arial" w:eastAsia="Times New Roman" w:hAnsi="Arial" w:cs="Arial"/>
          <w:b/>
          <w:bCs/>
          <w:sz w:val="22"/>
          <w:lang w:eastAsia="en-GB"/>
        </w:rPr>
      </w:pPr>
      <w:r w:rsidRPr="00B644C5">
        <w:rPr>
          <w:rFonts w:ascii="Arial" w:eastAsia="Times New Roman" w:hAnsi="Arial" w:cs="Arial"/>
          <w:b/>
          <w:bCs/>
          <w:sz w:val="22"/>
          <w:lang w:eastAsia="en-GB"/>
        </w:rPr>
        <w:t>Inclusion and exclusion criteria</w:t>
      </w:r>
    </w:p>
    <w:p w14:paraId="43650FA2" w14:textId="77777777" w:rsidR="00956F6B" w:rsidRPr="00B644C5" w:rsidRDefault="00956F6B" w:rsidP="00CB56A9">
      <w:pPr>
        <w:spacing w:before="100" w:beforeAutospacing="1" w:after="100" w:afterAutospacing="1" w:line="360" w:lineRule="auto"/>
        <w:jc w:val="both"/>
        <w:rPr>
          <w:rFonts w:ascii="Arial" w:eastAsia="Times New Roman" w:hAnsi="Arial" w:cs="Arial"/>
          <w:sz w:val="22"/>
          <w:lang w:eastAsia="en-GB"/>
        </w:rPr>
      </w:pPr>
      <w:r w:rsidRPr="00B644C5">
        <w:rPr>
          <w:rFonts w:ascii="Arial" w:eastAsia="Times New Roman" w:hAnsi="Arial" w:cs="Arial"/>
          <w:sz w:val="22"/>
          <w:lang w:eastAsia="en-GB"/>
        </w:rPr>
        <w:t>Clear eligibility criteria were applied to support a focused and transparent study-selection process. Studies were included when they:</w:t>
      </w:r>
    </w:p>
    <w:p w14:paraId="303D5114" w14:textId="259AF5FB" w:rsidR="00956F6B" w:rsidRPr="0029347C" w:rsidRDefault="00956F6B" w:rsidP="0029347C">
      <w:pPr>
        <w:numPr>
          <w:ilvl w:val="0"/>
          <w:numId w:val="6"/>
        </w:numPr>
        <w:spacing w:before="100" w:beforeAutospacing="1" w:after="100" w:afterAutospacing="1" w:line="360" w:lineRule="auto"/>
        <w:jc w:val="both"/>
        <w:rPr>
          <w:rFonts w:ascii="Arial" w:eastAsia="Times New Roman" w:hAnsi="Arial" w:cs="Arial"/>
          <w:sz w:val="22"/>
          <w:lang w:eastAsia="en-GB"/>
        </w:rPr>
      </w:pPr>
      <w:r w:rsidRPr="00B644C5">
        <w:rPr>
          <w:rFonts w:ascii="Arial" w:eastAsia="Times New Roman" w:hAnsi="Arial" w:cs="Arial"/>
          <w:sz w:val="22"/>
          <w:lang w:eastAsia="en-GB"/>
        </w:rPr>
        <w:t>were published in English;</w:t>
      </w:r>
    </w:p>
    <w:p w14:paraId="3B5C4727" w14:textId="77777777" w:rsidR="00956F6B" w:rsidRPr="00B644C5" w:rsidRDefault="00956F6B" w:rsidP="00CB56A9">
      <w:pPr>
        <w:numPr>
          <w:ilvl w:val="0"/>
          <w:numId w:val="6"/>
        </w:numPr>
        <w:spacing w:before="100" w:beforeAutospacing="1" w:after="100" w:afterAutospacing="1" w:line="360" w:lineRule="auto"/>
        <w:jc w:val="both"/>
        <w:rPr>
          <w:rFonts w:ascii="Arial" w:eastAsia="Times New Roman" w:hAnsi="Arial" w:cs="Arial"/>
          <w:sz w:val="22"/>
          <w:lang w:eastAsia="en-GB"/>
        </w:rPr>
      </w:pPr>
      <w:r w:rsidRPr="00B644C5">
        <w:rPr>
          <w:rFonts w:ascii="Arial" w:eastAsia="Times New Roman" w:hAnsi="Arial" w:cs="Arial"/>
          <w:sz w:val="22"/>
          <w:lang w:eastAsia="en-GB"/>
        </w:rPr>
        <w:t>were published between 2020 and 2024;</w:t>
      </w:r>
    </w:p>
    <w:p w14:paraId="5E2289AB" w14:textId="77777777" w:rsidR="00956F6B" w:rsidRPr="00B644C5" w:rsidRDefault="00956F6B" w:rsidP="00CB56A9">
      <w:pPr>
        <w:numPr>
          <w:ilvl w:val="0"/>
          <w:numId w:val="6"/>
        </w:numPr>
        <w:spacing w:before="100" w:beforeAutospacing="1" w:after="100" w:afterAutospacing="1" w:line="360" w:lineRule="auto"/>
        <w:jc w:val="both"/>
        <w:rPr>
          <w:rFonts w:ascii="Arial" w:eastAsia="Times New Roman" w:hAnsi="Arial" w:cs="Arial"/>
          <w:sz w:val="22"/>
          <w:lang w:eastAsia="en-GB"/>
        </w:rPr>
      </w:pPr>
      <w:r w:rsidRPr="00B644C5">
        <w:rPr>
          <w:rFonts w:ascii="Arial" w:eastAsia="Times New Roman" w:hAnsi="Arial" w:cs="Arial"/>
          <w:sz w:val="22"/>
          <w:lang w:eastAsia="en-GB"/>
        </w:rPr>
        <w:t>reported primary and/or secondary research;</w:t>
      </w:r>
    </w:p>
    <w:p w14:paraId="6E08518A" w14:textId="77777777" w:rsidR="00956F6B" w:rsidRPr="00B644C5" w:rsidRDefault="00956F6B" w:rsidP="00CB56A9">
      <w:pPr>
        <w:numPr>
          <w:ilvl w:val="0"/>
          <w:numId w:val="6"/>
        </w:numPr>
        <w:spacing w:before="100" w:beforeAutospacing="1" w:after="100" w:afterAutospacing="1" w:line="360" w:lineRule="auto"/>
        <w:jc w:val="both"/>
        <w:rPr>
          <w:rFonts w:ascii="Arial" w:eastAsia="Times New Roman" w:hAnsi="Arial" w:cs="Arial"/>
          <w:sz w:val="22"/>
          <w:lang w:eastAsia="en-GB"/>
        </w:rPr>
      </w:pPr>
      <w:r w:rsidRPr="00B644C5">
        <w:rPr>
          <w:rFonts w:ascii="Arial" w:eastAsia="Times New Roman" w:hAnsi="Arial" w:cs="Arial"/>
          <w:sz w:val="22"/>
          <w:lang w:eastAsia="en-GB"/>
        </w:rPr>
        <w:t>examined children or dietary exposure occurring during childhood;</w:t>
      </w:r>
    </w:p>
    <w:p w14:paraId="502D14F7" w14:textId="77777777" w:rsidR="00956F6B" w:rsidRPr="00B644C5" w:rsidRDefault="00956F6B" w:rsidP="00CB56A9">
      <w:pPr>
        <w:numPr>
          <w:ilvl w:val="0"/>
          <w:numId w:val="6"/>
        </w:numPr>
        <w:spacing w:before="100" w:beforeAutospacing="1" w:after="100" w:afterAutospacing="1" w:line="360" w:lineRule="auto"/>
        <w:jc w:val="both"/>
        <w:rPr>
          <w:rFonts w:ascii="Arial" w:eastAsia="Times New Roman" w:hAnsi="Arial" w:cs="Arial"/>
          <w:sz w:val="22"/>
          <w:lang w:eastAsia="en-GB"/>
        </w:rPr>
      </w:pPr>
      <w:r w:rsidRPr="00B644C5">
        <w:rPr>
          <w:rFonts w:ascii="Arial" w:eastAsia="Times New Roman" w:hAnsi="Arial" w:cs="Arial"/>
          <w:sz w:val="22"/>
          <w:lang w:eastAsia="en-GB"/>
        </w:rPr>
        <w:t>investigated dietary sugar, free sugars, sugary drinks or a sugar-reduction policy;</w:t>
      </w:r>
    </w:p>
    <w:p w14:paraId="6C8A2F0E" w14:textId="77777777" w:rsidR="00956F6B" w:rsidRPr="00B644C5" w:rsidRDefault="00956F6B" w:rsidP="00CB56A9">
      <w:pPr>
        <w:numPr>
          <w:ilvl w:val="0"/>
          <w:numId w:val="6"/>
        </w:numPr>
        <w:spacing w:before="100" w:beforeAutospacing="1" w:after="100" w:afterAutospacing="1" w:line="360" w:lineRule="auto"/>
        <w:jc w:val="both"/>
        <w:rPr>
          <w:rFonts w:ascii="Arial" w:eastAsia="Times New Roman" w:hAnsi="Arial" w:cs="Arial"/>
          <w:sz w:val="22"/>
          <w:lang w:eastAsia="en-GB"/>
        </w:rPr>
      </w:pPr>
      <w:r w:rsidRPr="00B644C5">
        <w:rPr>
          <w:rFonts w:ascii="Arial" w:eastAsia="Times New Roman" w:hAnsi="Arial" w:cs="Arial"/>
          <w:sz w:val="22"/>
          <w:lang w:eastAsia="en-GB"/>
        </w:rPr>
        <w:t>reported obesity, BMI, adiposity, dietary intake or a related metabolic outcome; and</w:t>
      </w:r>
    </w:p>
    <w:p w14:paraId="0C3C1870" w14:textId="77777777" w:rsidR="00956F6B" w:rsidRPr="00B644C5" w:rsidRDefault="00956F6B" w:rsidP="00CB56A9">
      <w:pPr>
        <w:numPr>
          <w:ilvl w:val="0"/>
          <w:numId w:val="6"/>
        </w:numPr>
        <w:spacing w:before="100" w:beforeAutospacing="1" w:after="100" w:afterAutospacing="1" w:line="360" w:lineRule="auto"/>
        <w:jc w:val="both"/>
        <w:rPr>
          <w:rFonts w:ascii="Arial" w:eastAsia="Times New Roman" w:hAnsi="Arial" w:cs="Arial"/>
          <w:sz w:val="22"/>
          <w:lang w:eastAsia="en-GB"/>
        </w:rPr>
      </w:pPr>
      <w:r w:rsidRPr="00B644C5">
        <w:rPr>
          <w:rFonts w:ascii="Arial" w:eastAsia="Times New Roman" w:hAnsi="Arial" w:cs="Arial"/>
          <w:sz w:val="22"/>
          <w:lang w:eastAsia="en-GB"/>
        </w:rPr>
        <w:t>involved a UK population or had direct relevance to UK public-health policy.</w:t>
      </w:r>
    </w:p>
    <w:p w14:paraId="341E17B1" w14:textId="6BC9357E" w:rsidR="00956F6B" w:rsidRPr="00B644C5" w:rsidRDefault="00956F6B" w:rsidP="005D0ABC">
      <w:pPr>
        <w:spacing w:before="100" w:beforeAutospacing="1" w:after="100" w:afterAutospacing="1" w:line="360" w:lineRule="auto"/>
        <w:jc w:val="both"/>
        <w:rPr>
          <w:rFonts w:ascii="Arial" w:eastAsia="Times New Roman" w:hAnsi="Arial" w:cs="Arial"/>
          <w:sz w:val="22"/>
          <w:lang w:eastAsia="en-GB"/>
        </w:rPr>
      </w:pPr>
      <w:r w:rsidRPr="00B644C5">
        <w:rPr>
          <w:rFonts w:ascii="Arial" w:eastAsia="Times New Roman" w:hAnsi="Arial" w:cs="Arial"/>
          <w:sz w:val="22"/>
          <w:lang w:eastAsia="en-GB"/>
        </w:rPr>
        <w:t>Studies were excluded when they:</w:t>
      </w:r>
    </w:p>
    <w:p w14:paraId="017FB73F" w14:textId="77777777" w:rsidR="00956F6B" w:rsidRPr="00B644C5" w:rsidRDefault="00956F6B" w:rsidP="00CB56A9">
      <w:pPr>
        <w:numPr>
          <w:ilvl w:val="0"/>
          <w:numId w:val="7"/>
        </w:numPr>
        <w:spacing w:before="100" w:beforeAutospacing="1" w:after="100" w:afterAutospacing="1" w:line="360" w:lineRule="auto"/>
        <w:jc w:val="both"/>
        <w:rPr>
          <w:rFonts w:ascii="Arial" w:eastAsia="Times New Roman" w:hAnsi="Arial" w:cs="Arial"/>
          <w:sz w:val="22"/>
          <w:lang w:eastAsia="en-GB"/>
        </w:rPr>
      </w:pPr>
      <w:r w:rsidRPr="00B644C5">
        <w:rPr>
          <w:rFonts w:ascii="Arial" w:eastAsia="Times New Roman" w:hAnsi="Arial" w:cs="Arial"/>
          <w:sz w:val="22"/>
          <w:lang w:eastAsia="en-GB"/>
        </w:rPr>
        <w:t>did not concern children or exposure during childhood;</w:t>
      </w:r>
    </w:p>
    <w:p w14:paraId="3DD68DD4" w14:textId="0857B76A" w:rsidR="00956F6B" w:rsidRPr="00084DCB" w:rsidRDefault="00956F6B" w:rsidP="00084DCB">
      <w:pPr>
        <w:numPr>
          <w:ilvl w:val="0"/>
          <w:numId w:val="7"/>
        </w:numPr>
        <w:spacing w:before="100" w:beforeAutospacing="1" w:after="100" w:afterAutospacing="1" w:line="360" w:lineRule="auto"/>
        <w:jc w:val="both"/>
        <w:rPr>
          <w:rFonts w:ascii="Arial" w:eastAsia="Times New Roman" w:hAnsi="Arial" w:cs="Arial"/>
          <w:sz w:val="22"/>
          <w:lang w:eastAsia="en-GB"/>
        </w:rPr>
      </w:pPr>
      <w:r w:rsidRPr="00B644C5">
        <w:rPr>
          <w:rFonts w:ascii="Arial" w:eastAsia="Times New Roman" w:hAnsi="Arial" w:cs="Arial"/>
          <w:sz w:val="22"/>
          <w:lang w:eastAsia="en-GB"/>
        </w:rPr>
        <w:lastRenderedPageBreak/>
        <w:t>did not examine sugar, sugar-sweetened beverages or sugar-reduction interventions;</w:t>
      </w:r>
    </w:p>
    <w:p w14:paraId="6B0BC442" w14:textId="77777777" w:rsidR="00956F6B" w:rsidRPr="00B644C5" w:rsidRDefault="00956F6B" w:rsidP="00CB56A9">
      <w:pPr>
        <w:numPr>
          <w:ilvl w:val="0"/>
          <w:numId w:val="7"/>
        </w:numPr>
        <w:spacing w:before="100" w:beforeAutospacing="1" w:after="100" w:afterAutospacing="1" w:line="360" w:lineRule="auto"/>
        <w:jc w:val="both"/>
        <w:rPr>
          <w:rFonts w:ascii="Arial" w:eastAsia="Times New Roman" w:hAnsi="Arial" w:cs="Arial"/>
          <w:sz w:val="22"/>
          <w:lang w:eastAsia="en-GB"/>
        </w:rPr>
      </w:pPr>
      <w:r w:rsidRPr="00B644C5">
        <w:rPr>
          <w:rFonts w:ascii="Arial" w:eastAsia="Times New Roman" w:hAnsi="Arial" w:cs="Arial"/>
          <w:sz w:val="22"/>
          <w:lang w:eastAsia="en-GB"/>
        </w:rPr>
        <w:t>were editorials, opinion pieces or non-research articles;</w:t>
      </w:r>
    </w:p>
    <w:p w14:paraId="3D751003" w14:textId="77777777" w:rsidR="00956F6B" w:rsidRPr="00B644C5" w:rsidRDefault="00956F6B" w:rsidP="00CB56A9">
      <w:pPr>
        <w:numPr>
          <w:ilvl w:val="0"/>
          <w:numId w:val="7"/>
        </w:numPr>
        <w:spacing w:before="100" w:beforeAutospacing="1" w:after="100" w:afterAutospacing="1" w:line="360" w:lineRule="auto"/>
        <w:jc w:val="both"/>
        <w:rPr>
          <w:rFonts w:ascii="Arial" w:eastAsia="Times New Roman" w:hAnsi="Arial" w:cs="Arial"/>
          <w:sz w:val="22"/>
          <w:lang w:eastAsia="en-GB"/>
        </w:rPr>
      </w:pPr>
      <w:r w:rsidRPr="00B644C5">
        <w:rPr>
          <w:rFonts w:ascii="Arial" w:eastAsia="Times New Roman" w:hAnsi="Arial" w:cs="Arial"/>
          <w:sz w:val="22"/>
          <w:lang w:eastAsia="en-GB"/>
        </w:rPr>
        <w:t>provided insufficient methodological or outcome information; or</w:t>
      </w:r>
    </w:p>
    <w:p w14:paraId="0E03DD03" w14:textId="0BBE5340" w:rsidR="00911B59" w:rsidRPr="00911B59" w:rsidRDefault="00956F6B" w:rsidP="00911B59">
      <w:pPr>
        <w:numPr>
          <w:ilvl w:val="0"/>
          <w:numId w:val="7"/>
        </w:numPr>
        <w:spacing w:before="100" w:beforeAutospacing="1" w:after="100" w:afterAutospacing="1" w:line="360" w:lineRule="auto"/>
        <w:jc w:val="both"/>
        <w:rPr>
          <w:rFonts w:ascii="Arial" w:eastAsia="Times New Roman" w:hAnsi="Arial" w:cs="Arial"/>
          <w:sz w:val="22"/>
          <w:lang w:eastAsia="en-GB"/>
        </w:rPr>
      </w:pPr>
      <w:r w:rsidRPr="00B644C5">
        <w:rPr>
          <w:rFonts w:ascii="Arial" w:eastAsia="Times New Roman" w:hAnsi="Arial" w:cs="Arial"/>
          <w:sz w:val="22"/>
          <w:lang w:eastAsia="en-GB"/>
        </w:rPr>
        <w:t>duplicated evidence already represented by a more complete publication.</w:t>
      </w:r>
    </w:p>
    <w:p w14:paraId="6A2BDB61" w14:textId="77777777" w:rsidR="00012D73" w:rsidRDefault="00012D73" w:rsidP="00CB56A9">
      <w:pPr>
        <w:spacing w:line="360" w:lineRule="auto"/>
        <w:jc w:val="both"/>
        <w:rPr>
          <w:rFonts w:ascii="Arial" w:hAnsi="Arial" w:cs="Arial"/>
        </w:rPr>
      </w:pPr>
    </w:p>
    <w:p w14:paraId="7040EF75" w14:textId="77777777" w:rsidR="00292480" w:rsidRDefault="00292480" w:rsidP="00CB56A9">
      <w:pPr>
        <w:spacing w:line="360" w:lineRule="auto"/>
        <w:jc w:val="both"/>
        <w:rPr>
          <w:rFonts w:ascii="Arial" w:hAnsi="Arial" w:cs="Arial"/>
        </w:rPr>
      </w:pPr>
    </w:p>
    <w:p w14:paraId="615406B5" w14:textId="77777777" w:rsidR="00292480" w:rsidRDefault="00292480" w:rsidP="00CB56A9">
      <w:pPr>
        <w:spacing w:line="360" w:lineRule="auto"/>
        <w:jc w:val="both"/>
        <w:rPr>
          <w:rFonts w:ascii="Arial" w:hAnsi="Arial" w:cs="Arial"/>
        </w:rPr>
      </w:pPr>
    </w:p>
    <w:p w14:paraId="7EC565F0" w14:textId="77777777" w:rsidR="00292480" w:rsidRDefault="00292480" w:rsidP="00CB56A9">
      <w:pPr>
        <w:spacing w:line="360" w:lineRule="auto"/>
        <w:jc w:val="both"/>
        <w:rPr>
          <w:rFonts w:ascii="Arial" w:hAnsi="Arial" w:cs="Arial"/>
        </w:rPr>
      </w:pPr>
    </w:p>
    <w:p w14:paraId="5CF7FA49" w14:textId="77777777" w:rsidR="00292480" w:rsidRDefault="00292480" w:rsidP="00CB56A9">
      <w:pPr>
        <w:spacing w:line="360" w:lineRule="auto"/>
        <w:jc w:val="both"/>
        <w:rPr>
          <w:rFonts w:ascii="Arial" w:hAnsi="Arial" w:cs="Arial"/>
        </w:rPr>
      </w:pPr>
    </w:p>
    <w:p w14:paraId="1470368B" w14:textId="77777777" w:rsidR="00292480" w:rsidRDefault="00292480" w:rsidP="00CB56A9">
      <w:pPr>
        <w:spacing w:line="360" w:lineRule="auto"/>
        <w:jc w:val="both"/>
        <w:rPr>
          <w:rFonts w:ascii="Arial" w:hAnsi="Arial" w:cs="Arial"/>
        </w:rPr>
      </w:pPr>
    </w:p>
    <w:p w14:paraId="1FC1435A" w14:textId="77777777" w:rsidR="00292480" w:rsidRDefault="00292480" w:rsidP="00CB56A9">
      <w:pPr>
        <w:spacing w:line="360" w:lineRule="auto"/>
        <w:jc w:val="both"/>
        <w:rPr>
          <w:rFonts w:ascii="Arial" w:hAnsi="Arial" w:cs="Arial"/>
        </w:rPr>
      </w:pPr>
    </w:p>
    <w:p w14:paraId="75FEBA33" w14:textId="77777777" w:rsidR="00292480" w:rsidRDefault="00292480" w:rsidP="00CB56A9">
      <w:pPr>
        <w:spacing w:line="360" w:lineRule="auto"/>
        <w:jc w:val="both"/>
        <w:rPr>
          <w:rFonts w:ascii="Arial" w:hAnsi="Arial" w:cs="Arial"/>
        </w:rPr>
      </w:pPr>
    </w:p>
    <w:p w14:paraId="247B7497" w14:textId="77777777" w:rsidR="00292480" w:rsidRDefault="00292480" w:rsidP="00CB56A9">
      <w:pPr>
        <w:spacing w:line="360" w:lineRule="auto"/>
        <w:jc w:val="both"/>
        <w:rPr>
          <w:rFonts w:ascii="Arial" w:hAnsi="Arial" w:cs="Arial"/>
        </w:rPr>
      </w:pPr>
    </w:p>
    <w:p w14:paraId="102EEA8C" w14:textId="77777777" w:rsidR="00292480" w:rsidRDefault="00292480" w:rsidP="00CB56A9">
      <w:pPr>
        <w:spacing w:line="360" w:lineRule="auto"/>
        <w:jc w:val="both"/>
        <w:rPr>
          <w:rFonts w:ascii="Arial" w:hAnsi="Arial" w:cs="Arial"/>
        </w:rPr>
      </w:pPr>
    </w:p>
    <w:p w14:paraId="64965B58" w14:textId="77777777" w:rsidR="00292480" w:rsidRDefault="00292480" w:rsidP="00CB56A9">
      <w:pPr>
        <w:spacing w:line="360" w:lineRule="auto"/>
        <w:jc w:val="both"/>
        <w:rPr>
          <w:rFonts w:ascii="Arial" w:hAnsi="Arial" w:cs="Arial"/>
        </w:rPr>
      </w:pPr>
    </w:p>
    <w:p w14:paraId="316D0C49" w14:textId="77777777" w:rsidR="00292480" w:rsidRDefault="00292480" w:rsidP="00CB56A9">
      <w:pPr>
        <w:spacing w:line="360" w:lineRule="auto"/>
        <w:jc w:val="both"/>
        <w:rPr>
          <w:rFonts w:ascii="Arial" w:hAnsi="Arial" w:cs="Arial"/>
        </w:rPr>
      </w:pPr>
    </w:p>
    <w:p w14:paraId="7910DB2F" w14:textId="77777777" w:rsidR="00292480" w:rsidRDefault="00292480" w:rsidP="00CB56A9">
      <w:pPr>
        <w:spacing w:line="360" w:lineRule="auto"/>
        <w:jc w:val="both"/>
        <w:rPr>
          <w:rFonts w:ascii="Arial" w:hAnsi="Arial" w:cs="Arial"/>
        </w:rPr>
      </w:pPr>
    </w:p>
    <w:p w14:paraId="56E5CE4B" w14:textId="77777777" w:rsidR="00292480" w:rsidRPr="00B644C5" w:rsidRDefault="00292480" w:rsidP="00CB56A9">
      <w:pPr>
        <w:spacing w:line="360" w:lineRule="auto"/>
        <w:jc w:val="both"/>
        <w:rPr>
          <w:rFonts w:ascii="Arial" w:hAnsi="Arial" w:cs="Arial"/>
        </w:rPr>
      </w:pPr>
    </w:p>
    <w:p w14:paraId="72D1F895" w14:textId="331F9592" w:rsidR="000A20FA" w:rsidRPr="00B644C5" w:rsidRDefault="000A20FA" w:rsidP="00CB56A9">
      <w:pPr>
        <w:pStyle w:val="Titolo1"/>
        <w:jc w:val="both"/>
        <w:rPr>
          <w:rFonts w:cs="Arial"/>
        </w:rPr>
      </w:pPr>
      <w:r w:rsidRPr="00B644C5">
        <w:rPr>
          <w:rFonts w:cs="Arial"/>
        </w:rPr>
        <w:t>RESULTS</w:t>
      </w:r>
    </w:p>
    <w:p w14:paraId="37F9F0C3" w14:textId="77777777" w:rsidR="00AD55F5" w:rsidRPr="00B644C5" w:rsidRDefault="00AD55F5" w:rsidP="00CB56A9">
      <w:pPr>
        <w:spacing w:before="100" w:beforeAutospacing="1" w:after="100" w:afterAutospacing="1" w:line="360" w:lineRule="auto"/>
        <w:jc w:val="both"/>
        <w:outlineLvl w:val="2"/>
        <w:rPr>
          <w:rFonts w:ascii="Arial" w:eastAsia="Times New Roman" w:hAnsi="Arial" w:cs="Arial"/>
          <w:b/>
          <w:bCs/>
          <w:sz w:val="22"/>
          <w:lang w:eastAsia="en-GB"/>
        </w:rPr>
      </w:pPr>
      <w:r w:rsidRPr="00B644C5">
        <w:rPr>
          <w:rFonts w:ascii="Arial" w:eastAsia="Times New Roman" w:hAnsi="Arial" w:cs="Arial"/>
          <w:b/>
          <w:bCs/>
          <w:sz w:val="22"/>
          <w:lang w:eastAsia="en-GB"/>
        </w:rPr>
        <w:t>Overview of the selected studies</w:t>
      </w:r>
    </w:p>
    <w:p w14:paraId="51AE5B47" w14:textId="77777777" w:rsidR="00AC4A80" w:rsidRPr="00AC4A80" w:rsidRDefault="00AC4A80" w:rsidP="00AC4A80">
      <w:pPr>
        <w:spacing w:line="360" w:lineRule="auto"/>
        <w:jc w:val="both"/>
        <w:rPr>
          <w:rFonts w:ascii="Arial" w:hAnsi="Arial" w:cs="Arial"/>
          <w:sz w:val="22"/>
        </w:rPr>
      </w:pPr>
      <w:r w:rsidRPr="00AC4A80">
        <w:rPr>
          <w:rFonts w:ascii="Arial" w:hAnsi="Arial" w:cs="Arial"/>
          <w:sz w:val="22"/>
        </w:rPr>
        <w:t>Five studies published from 2020 to 2024 were included: two interrupted time-series analyses, two longitudinal ALSPAC cohort analyses and one narrative review. They examined different stages between childhood sugar exposure and health outcomes.</w:t>
      </w:r>
    </w:p>
    <w:p w14:paraId="3D4C42E3" w14:textId="1745D542" w:rsidR="000A20FA" w:rsidRPr="00B644C5" w:rsidRDefault="000A20FA" w:rsidP="00CB56A9">
      <w:pPr>
        <w:spacing w:line="360" w:lineRule="auto"/>
        <w:jc w:val="both"/>
        <w:rPr>
          <w:rFonts w:ascii="Arial" w:hAnsi="Arial" w:cs="Arial"/>
          <w:sz w:val="22"/>
        </w:rPr>
      </w:pPr>
    </w:p>
    <w:p w14:paraId="13AD7875" w14:textId="77777777" w:rsidR="009724D1" w:rsidRPr="00B644C5" w:rsidRDefault="009724D1" w:rsidP="00CB56A9">
      <w:pPr>
        <w:spacing w:line="360" w:lineRule="auto"/>
        <w:jc w:val="both"/>
        <w:rPr>
          <w:rFonts w:ascii="Arial" w:hAnsi="Arial" w:cs="Arial"/>
          <w:sz w:val="22"/>
        </w:rPr>
      </w:pPr>
    </w:p>
    <w:p w14:paraId="7DFA7E84" w14:textId="77777777" w:rsidR="009724D1" w:rsidRPr="00B644C5" w:rsidRDefault="009724D1" w:rsidP="00CB56A9">
      <w:pPr>
        <w:spacing w:line="360" w:lineRule="auto"/>
        <w:jc w:val="both"/>
        <w:rPr>
          <w:rFonts w:ascii="Arial" w:hAnsi="Arial" w:cs="Arial"/>
          <w:sz w:val="22"/>
        </w:rPr>
      </w:pPr>
    </w:p>
    <w:p w14:paraId="784F23FB" w14:textId="77777777" w:rsidR="001C7F27" w:rsidRPr="00B644C5" w:rsidRDefault="001C7F27" w:rsidP="00CB56A9">
      <w:pPr>
        <w:spacing w:line="360" w:lineRule="auto"/>
        <w:jc w:val="both"/>
        <w:rPr>
          <w:rFonts w:ascii="Arial" w:hAnsi="Arial" w:cs="Arial"/>
          <w:b/>
          <w:bCs/>
          <w:sz w:val="22"/>
        </w:rPr>
      </w:pPr>
      <w:r w:rsidRPr="00B644C5">
        <w:rPr>
          <w:rFonts w:ascii="Arial" w:hAnsi="Arial" w:cs="Arial"/>
          <w:b/>
          <w:bCs/>
          <w:sz w:val="22"/>
        </w:rPr>
        <w:t>IIRS – Selected Studies Extracted Data Sheet</w:t>
      </w:r>
    </w:p>
    <w:p w14:paraId="0F244E8B" w14:textId="77777777" w:rsidR="001C7F27" w:rsidRPr="00B644C5" w:rsidRDefault="001C7F27" w:rsidP="00CB56A9">
      <w:pPr>
        <w:spacing w:line="360" w:lineRule="auto"/>
        <w:jc w:val="both"/>
        <w:rPr>
          <w:rFonts w:ascii="Arial" w:hAnsi="Arial" w:cs="Arial"/>
          <w:b/>
          <w:bCs/>
          <w:sz w:val="22"/>
        </w:rPr>
      </w:pPr>
    </w:p>
    <w:p w14:paraId="7EE5F5CC" w14:textId="5B32C787" w:rsidR="001C7F27" w:rsidRPr="00B644C5" w:rsidRDefault="001C7F27" w:rsidP="00CB56A9">
      <w:pPr>
        <w:spacing w:line="360" w:lineRule="auto"/>
        <w:jc w:val="both"/>
        <w:rPr>
          <w:rFonts w:ascii="Arial" w:hAnsi="Arial" w:cs="Arial"/>
          <w:sz w:val="22"/>
        </w:rPr>
      </w:pPr>
      <w:r w:rsidRPr="00B644C5">
        <w:rPr>
          <w:rFonts w:ascii="Arial" w:hAnsi="Arial" w:cs="Arial"/>
          <w:b/>
          <w:bCs/>
          <w:sz w:val="22"/>
        </w:rPr>
        <w:t>Name of student:</w:t>
      </w:r>
      <w:r w:rsidR="009724D1" w:rsidRPr="00B644C5">
        <w:rPr>
          <w:rFonts w:ascii="Arial" w:hAnsi="Arial" w:cs="Arial"/>
          <w:sz w:val="22"/>
        </w:rPr>
        <w:t xml:space="preserve">  Mihaela Marcela Bakos</w:t>
      </w:r>
    </w:p>
    <w:p w14:paraId="57138201" w14:textId="77777777" w:rsidR="001C7F27" w:rsidRPr="00B644C5" w:rsidRDefault="001C7F27" w:rsidP="00CB56A9">
      <w:pPr>
        <w:spacing w:line="360" w:lineRule="auto"/>
        <w:jc w:val="both"/>
        <w:rPr>
          <w:rFonts w:ascii="Arial" w:hAnsi="Arial" w:cs="Arial"/>
          <w:sz w:val="22"/>
        </w:rPr>
      </w:pPr>
    </w:p>
    <w:p w14:paraId="0B8297EB" w14:textId="2E5D3821" w:rsidR="001C7F27" w:rsidRPr="00B644C5" w:rsidRDefault="001C7F27" w:rsidP="00CB56A9">
      <w:pPr>
        <w:spacing w:line="360" w:lineRule="auto"/>
        <w:jc w:val="both"/>
        <w:rPr>
          <w:rFonts w:ascii="Arial" w:hAnsi="Arial" w:cs="Arial"/>
          <w:b/>
          <w:bCs/>
          <w:sz w:val="22"/>
        </w:rPr>
      </w:pPr>
      <w:r w:rsidRPr="00B644C5">
        <w:rPr>
          <w:rFonts w:ascii="Arial" w:hAnsi="Arial" w:cs="Arial"/>
          <w:b/>
          <w:bCs/>
          <w:sz w:val="22"/>
        </w:rPr>
        <w:t>Topic/review question:</w:t>
      </w:r>
      <w:r w:rsidRPr="00B644C5">
        <w:rPr>
          <w:rFonts w:ascii="Arial" w:hAnsi="Arial" w:cs="Arial"/>
          <w:sz w:val="22"/>
        </w:rPr>
        <w:t xml:space="preserve"> </w:t>
      </w:r>
      <w:r w:rsidR="001F41A4" w:rsidRPr="00B644C5">
        <w:rPr>
          <w:rFonts w:ascii="Arial" w:hAnsi="Arial" w:cs="Arial"/>
          <w:sz w:val="22"/>
        </w:rPr>
        <w:t xml:space="preserve">The </w:t>
      </w:r>
      <w:r w:rsidR="00C02F9E" w:rsidRPr="00B644C5">
        <w:rPr>
          <w:rFonts w:ascii="Arial" w:hAnsi="Arial" w:cs="Arial"/>
          <w:sz w:val="22"/>
        </w:rPr>
        <w:t>i</w:t>
      </w:r>
      <w:r w:rsidR="001F41A4" w:rsidRPr="00B644C5">
        <w:rPr>
          <w:rFonts w:ascii="Arial" w:hAnsi="Arial" w:cs="Arial"/>
          <w:sz w:val="22"/>
        </w:rPr>
        <w:t xml:space="preserve">mpact of </w:t>
      </w:r>
      <w:r w:rsidR="00C02F9E" w:rsidRPr="00B644C5">
        <w:rPr>
          <w:rFonts w:ascii="Arial" w:hAnsi="Arial" w:cs="Arial"/>
          <w:sz w:val="22"/>
        </w:rPr>
        <w:t>d</w:t>
      </w:r>
      <w:r w:rsidR="001F41A4" w:rsidRPr="00B644C5">
        <w:rPr>
          <w:rFonts w:ascii="Arial" w:hAnsi="Arial" w:cs="Arial"/>
          <w:sz w:val="22"/>
        </w:rPr>
        <w:t xml:space="preserve">ietary </w:t>
      </w:r>
      <w:r w:rsidR="00C02F9E" w:rsidRPr="00B644C5">
        <w:rPr>
          <w:rFonts w:ascii="Arial" w:hAnsi="Arial" w:cs="Arial"/>
          <w:sz w:val="22"/>
        </w:rPr>
        <w:t>s</w:t>
      </w:r>
      <w:r w:rsidR="001F41A4" w:rsidRPr="00B644C5">
        <w:rPr>
          <w:rFonts w:ascii="Arial" w:hAnsi="Arial" w:cs="Arial"/>
          <w:sz w:val="22"/>
        </w:rPr>
        <w:t xml:space="preserve">ugar </w:t>
      </w:r>
      <w:r w:rsidR="00C02F9E" w:rsidRPr="00B644C5">
        <w:rPr>
          <w:rFonts w:ascii="Arial" w:hAnsi="Arial" w:cs="Arial"/>
          <w:sz w:val="22"/>
        </w:rPr>
        <w:t>c</w:t>
      </w:r>
      <w:r w:rsidR="001F41A4" w:rsidRPr="00B644C5">
        <w:rPr>
          <w:rFonts w:ascii="Arial" w:hAnsi="Arial" w:cs="Arial"/>
          <w:sz w:val="22"/>
        </w:rPr>
        <w:t xml:space="preserve">onsumption on </w:t>
      </w:r>
      <w:r w:rsidR="00C02F9E" w:rsidRPr="00B644C5">
        <w:rPr>
          <w:rFonts w:ascii="Arial" w:hAnsi="Arial" w:cs="Arial"/>
          <w:sz w:val="22"/>
        </w:rPr>
        <w:t>c</w:t>
      </w:r>
      <w:r w:rsidR="001F41A4" w:rsidRPr="00B644C5">
        <w:rPr>
          <w:rFonts w:ascii="Arial" w:hAnsi="Arial" w:cs="Arial"/>
          <w:sz w:val="22"/>
        </w:rPr>
        <w:t xml:space="preserve">hildhood obesity </w:t>
      </w:r>
    </w:p>
    <w:p w14:paraId="57433D0F" w14:textId="77777777" w:rsidR="00862A55" w:rsidRPr="00B644C5" w:rsidRDefault="00862A55" w:rsidP="00CB56A9">
      <w:pPr>
        <w:spacing w:line="360" w:lineRule="auto"/>
        <w:jc w:val="both"/>
        <w:rPr>
          <w:rFonts w:ascii="Arial" w:hAnsi="Arial" w:cs="Arial"/>
          <w:sz w:val="22"/>
        </w:rPr>
      </w:pPr>
    </w:p>
    <w:tbl>
      <w:tblPr>
        <w:tblStyle w:val="Grigliatabella"/>
        <w:tblW w:w="9108" w:type="dxa"/>
        <w:tblLook w:val="04A0" w:firstRow="1" w:lastRow="0" w:firstColumn="1" w:lastColumn="0" w:noHBand="0" w:noVBand="1"/>
      </w:tblPr>
      <w:tblGrid>
        <w:gridCol w:w="2277"/>
        <w:gridCol w:w="2277"/>
        <w:gridCol w:w="2277"/>
        <w:gridCol w:w="2277"/>
      </w:tblGrid>
      <w:tr w:rsidR="00862A55" w:rsidRPr="00B644C5" w14:paraId="08E130DE" w14:textId="77777777" w:rsidTr="00862A55">
        <w:trPr>
          <w:trHeight w:val="633"/>
        </w:trPr>
        <w:tc>
          <w:tcPr>
            <w:tcW w:w="2277" w:type="dxa"/>
          </w:tcPr>
          <w:p w14:paraId="25F4F056" w14:textId="4C70C53A" w:rsidR="00862A55" w:rsidRPr="00B644C5" w:rsidRDefault="00BA0FF2" w:rsidP="00CB56A9">
            <w:pPr>
              <w:spacing w:line="360" w:lineRule="auto"/>
              <w:jc w:val="both"/>
              <w:rPr>
                <w:rFonts w:ascii="Arial" w:hAnsi="Arial" w:cs="Arial"/>
                <w:color w:val="0070C0"/>
                <w:sz w:val="22"/>
              </w:rPr>
            </w:pPr>
            <w:r w:rsidRPr="00B644C5">
              <w:rPr>
                <w:rFonts w:ascii="Arial" w:hAnsi="Arial" w:cs="Arial"/>
                <w:color w:val="0070C0"/>
                <w:sz w:val="22"/>
              </w:rPr>
              <w:t xml:space="preserve">Article </w:t>
            </w:r>
            <w:r w:rsidR="004A15CA" w:rsidRPr="00B644C5">
              <w:rPr>
                <w:rFonts w:ascii="Arial" w:hAnsi="Arial" w:cs="Arial"/>
                <w:color w:val="0070C0"/>
                <w:sz w:val="22"/>
              </w:rPr>
              <w:t>citation</w:t>
            </w:r>
          </w:p>
        </w:tc>
        <w:tc>
          <w:tcPr>
            <w:tcW w:w="2277" w:type="dxa"/>
          </w:tcPr>
          <w:p w14:paraId="40B4DFAB" w14:textId="0DD7B1C6" w:rsidR="00862A55" w:rsidRPr="00B644C5" w:rsidRDefault="00BA0FF2" w:rsidP="00CB56A9">
            <w:pPr>
              <w:spacing w:line="360" w:lineRule="auto"/>
              <w:jc w:val="both"/>
              <w:rPr>
                <w:rFonts w:ascii="Arial" w:hAnsi="Arial" w:cs="Arial"/>
                <w:color w:val="0070C0"/>
                <w:sz w:val="22"/>
              </w:rPr>
            </w:pPr>
            <w:r w:rsidRPr="00B644C5">
              <w:rPr>
                <w:rFonts w:ascii="Arial" w:hAnsi="Arial" w:cs="Arial"/>
                <w:color w:val="0070C0"/>
                <w:sz w:val="22"/>
              </w:rPr>
              <w:t>Aim</w:t>
            </w:r>
            <w:r w:rsidR="009724D1" w:rsidRPr="00B644C5">
              <w:rPr>
                <w:rFonts w:ascii="Arial" w:hAnsi="Arial" w:cs="Arial"/>
                <w:color w:val="0070C0"/>
                <w:sz w:val="22"/>
              </w:rPr>
              <w:t xml:space="preserve"> of the study</w:t>
            </w:r>
          </w:p>
        </w:tc>
        <w:tc>
          <w:tcPr>
            <w:tcW w:w="2277" w:type="dxa"/>
          </w:tcPr>
          <w:p w14:paraId="75F58772" w14:textId="06EB8BFC" w:rsidR="00862A55" w:rsidRPr="00B644C5" w:rsidRDefault="00D4370A" w:rsidP="00CB56A9">
            <w:pPr>
              <w:spacing w:line="360" w:lineRule="auto"/>
              <w:jc w:val="both"/>
              <w:rPr>
                <w:rFonts w:ascii="Arial" w:hAnsi="Arial" w:cs="Arial"/>
                <w:color w:val="0070C0"/>
                <w:sz w:val="22"/>
              </w:rPr>
            </w:pPr>
            <w:r w:rsidRPr="00B644C5">
              <w:rPr>
                <w:rFonts w:ascii="Arial" w:hAnsi="Arial" w:cs="Arial"/>
                <w:color w:val="0070C0"/>
                <w:sz w:val="22"/>
              </w:rPr>
              <w:t>Methods</w:t>
            </w:r>
            <w:r w:rsidR="006C65EA" w:rsidRPr="00B644C5">
              <w:rPr>
                <w:rFonts w:ascii="Arial" w:hAnsi="Arial" w:cs="Arial"/>
                <w:color w:val="0070C0"/>
                <w:sz w:val="22"/>
              </w:rPr>
              <w:t>, Sample</w:t>
            </w:r>
            <w:r w:rsidR="004A15CA" w:rsidRPr="00B644C5">
              <w:rPr>
                <w:rFonts w:ascii="Arial" w:hAnsi="Arial" w:cs="Arial"/>
                <w:color w:val="0070C0"/>
                <w:sz w:val="22"/>
              </w:rPr>
              <w:t xml:space="preserve"> and characteristics </w:t>
            </w:r>
            <w:r w:rsidR="006C65EA" w:rsidRPr="00B644C5">
              <w:rPr>
                <w:rFonts w:ascii="Arial" w:hAnsi="Arial" w:cs="Arial"/>
                <w:color w:val="0070C0"/>
                <w:sz w:val="22"/>
              </w:rPr>
              <w:t xml:space="preserve"> </w:t>
            </w:r>
          </w:p>
        </w:tc>
        <w:tc>
          <w:tcPr>
            <w:tcW w:w="2277" w:type="dxa"/>
          </w:tcPr>
          <w:p w14:paraId="675A28EE" w14:textId="7A55906A" w:rsidR="00862A55" w:rsidRPr="00B644C5" w:rsidRDefault="001C7F27" w:rsidP="00CB56A9">
            <w:pPr>
              <w:spacing w:line="360" w:lineRule="auto"/>
              <w:jc w:val="both"/>
              <w:rPr>
                <w:rFonts w:ascii="Arial" w:hAnsi="Arial" w:cs="Arial"/>
                <w:color w:val="0070C0"/>
                <w:sz w:val="22"/>
              </w:rPr>
            </w:pPr>
            <w:r w:rsidRPr="00B644C5">
              <w:rPr>
                <w:rFonts w:ascii="Arial" w:hAnsi="Arial" w:cs="Arial"/>
                <w:color w:val="0070C0"/>
                <w:sz w:val="22"/>
              </w:rPr>
              <w:t>Summary of main find</w:t>
            </w:r>
            <w:r w:rsidR="009724D1" w:rsidRPr="00B644C5">
              <w:rPr>
                <w:rFonts w:ascii="Arial" w:hAnsi="Arial" w:cs="Arial"/>
                <w:color w:val="0070C0"/>
                <w:sz w:val="22"/>
              </w:rPr>
              <w:t>ings</w:t>
            </w:r>
          </w:p>
        </w:tc>
      </w:tr>
      <w:tr w:rsidR="00862A55" w:rsidRPr="00B644C5" w14:paraId="47026EA2" w14:textId="77777777" w:rsidTr="00862A55">
        <w:trPr>
          <w:trHeight w:val="1005"/>
        </w:trPr>
        <w:tc>
          <w:tcPr>
            <w:tcW w:w="2277" w:type="dxa"/>
          </w:tcPr>
          <w:p w14:paraId="421C7889" w14:textId="543BB65D" w:rsidR="00862A55" w:rsidRPr="00B644C5" w:rsidRDefault="00D4370A" w:rsidP="00CB56A9">
            <w:pPr>
              <w:spacing w:line="360" w:lineRule="auto"/>
              <w:jc w:val="both"/>
              <w:rPr>
                <w:rFonts w:ascii="Arial" w:hAnsi="Arial" w:cs="Arial"/>
                <w:sz w:val="22"/>
                <w:szCs w:val="22"/>
              </w:rPr>
            </w:pPr>
            <w:r w:rsidRPr="00B644C5">
              <w:rPr>
                <w:rFonts w:ascii="Arial" w:hAnsi="Arial" w:cs="Arial"/>
                <w:sz w:val="22"/>
                <w:szCs w:val="22"/>
              </w:rPr>
              <w:t>1.</w:t>
            </w:r>
            <w:r w:rsidR="00595474" w:rsidRPr="00B644C5">
              <w:rPr>
                <w:rFonts w:ascii="Arial" w:hAnsi="Arial" w:cs="Arial"/>
                <w:sz w:val="22"/>
                <w:szCs w:val="22"/>
              </w:rPr>
              <w:t xml:space="preserve"> Rogers, N.T. et al. (2023) ‘Associations between trajectories of obesity prevalence in English primary school children and the UK soft drinks industry levy: an interrupted time series analysis of surveillance data’, </w:t>
            </w:r>
            <w:r w:rsidR="00595474" w:rsidRPr="00B644C5">
              <w:rPr>
                <w:rFonts w:ascii="Arial" w:hAnsi="Arial" w:cs="Arial"/>
                <w:i/>
                <w:iCs/>
                <w:sz w:val="22"/>
                <w:szCs w:val="22"/>
              </w:rPr>
              <w:t>PLOS Medicine</w:t>
            </w:r>
            <w:r w:rsidR="00595474" w:rsidRPr="00B644C5">
              <w:rPr>
                <w:rFonts w:ascii="Arial" w:hAnsi="Arial" w:cs="Arial"/>
                <w:sz w:val="22"/>
                <w:szCs w:val="22"/>
              </w:rPr>
              <w:t>, 20(1), e1004160.</w:t>
            </w:r>
          </w:p>
        </w:tc>
        <w:tc>
          <w:tcPr>
            <w:tcW w:w="2277" w:type="dxa"/>
          </w:tcPr>
          <w:p w14:paraId="5948E8F9" w14:textId="392D2CAD" w:rsidR="00862A55" w:rsidRPr="00B644C5" w:rsidRDefault="00C32A3F" w:rsidP="00CB56A9">
            <w:pPr>
              <w:spacing w:line="360" w:lineRule="auto"/>
              <w:jc w:val="both"/>
              <w:rPr>
                <w:rFonts w:ascii="Arial" w:hAnsi="Arial" w:cs="Arial"/>
                <w:sz w:val="22"/>
              </w:rPr>
            </w:pPr>
            <w:r w:rsidRPr="00B644C5">
              <w:rPr>
                <w:rFonts w:ascii="Arial" w:hAnsi="Arial" w:cs="Arial"/>
                <w:sz w:val="22"/>
              </w:rPr>
              <w:t>To examine whether implementation of the UK Soft Drinks Industry Levy (SDIL) was associated with changes in obesity prevalence among primary-school children in England.</w:t>
            </w:r>
          </w:p>
        </w:tc>
        <w:tc>
          <w:tcPr>
            <w:tcW w:w="2277" w:type="dxa"/>
          </w:tcPr>
          <w:p w14:paraId="3D1E67C5" w14:textId="77777777" w:rsidR="00B97639" w:rsidRPr="00B644C5" w:rsidRDefault="00C32A3F" w:rsidP="00CB56A9">
            <w:pPr>
              <w:spacing w:line="360" w:lineRule="auto"/>
              <w:jc w:val="both"/>
              <w:rPr>
                <w:rFonts w:ascii="Arial" w:hAnsi="Arial" w:cs="Arial"/>
                <w:sz w:val="22"/>
                <w:szCs w:val="22"/>
              </w:rPr>
            </w:pPr>
            <w:r w:rsidRPr="00B644C5">
              <w:rPr>
                <w:rFonts w:ascii="Arial" w:hAnsi="Arial" w:cs="Arial"/>
                <w:sz w:val="22"/>
                <w:szCs w:val="22"/>
              </w:rPr>
              <w:t xml:space="preserve">Interrupted time-series analysis using routinely collected National Child Measurement Programme data. The study examined obesity prevalence among children aged 4–5 years (Reception) and 10–11 years (Year 6) in England. </w:t>
            </w:r>
          </w:p>
          <w:p w14:paraId="5D1E840D" w14:textId="71700D92" w:rsidR="00862A55" w:rsidRPr="00B644C5" w:rsidRDefault="00C32A3F" w:rsidP="00CB56A9">
            <w:pPr>
              <w:spacing w:line="360" w:lineRule="auto"/>
              <w:jc w:val="both"/>
              <w:rPr>
                <w:rFonts w:ascii="Arial" w:hAnsi="Arial" w:cs="Arial"/>
                <w:sz w:val="22"/>
                <w:szCs w:val="22"/>
              </w:rPr>
            </w:pPr>
            <w:r w:rsidRPr="00B644C5">
              <w:rPr>
                <w:rFonts w:ascii="Arial" w:hAnsi="Arial" w:cs="Arial"/>
                <w:sz w:val="22"/>
                <w:szCs w:val="22"/>
              </w:rPr>
              <w:t xml:space="preserve">The dataset contained over one million children per year, with analyses examining differences </w:t>
            </w:r>
            <w:r w:rsidR="00B97639" w:rsidRPr="00B644C5">
              <w:rPr>
                <w:rFonts w:ascii="Arial" w:hAnsi="Arial" w:cs="Arial"/>
                <w:sz w:val="22"/>
                <w:szCs w:val="22"/>
              </w:rPr>
              <w:t>by age, sex,</w:t>
            </w:r>
            <w:r w:rsidRPr="00B644C5">
              <w:rPr>
                <w:rFonts w:ascii="Arial" w:hAnsi="Arial" w:cs="Arial"/>
                <w:sz w:val="22"/>
                <w:szCs w:val="22"/>
              </w:rPr>
              <w:t xml:space="preserve"> and deprivation.</w:t>
            </w:r>
          </w:p>
        </w:tc>
        <w:tc>
          <w:tcPr>
            <w:tcW w:w="2277" w:type="dxa"/>
          </w:tcPr>
          <w:p w14:paraId="76BCE0A1" w14:textId="7F4E0A66" w:rsidR="00862A55" w:rsidRPr="00B644C5" w:rsidRDefault="001308BE" w:rsidP="00CB56A9">
            <w:pPr>
              <w:spacing w:line="360" w:lineRule="auto"/>
              <w:jc w:val="both"/>
              <w:rPr>
                <w:rFonts w:ascii="Arial" w:hAnsi="Arial" w:cs="Arial"/>
                <w:sz w:val="22"/>
                <w:szCs w:val="22"/>
              </w:rPr>
            </w:pPr>
            <w:r w:rsidRPr="00B644C5">
              <w:rPr>
                <w:rFonts w:ascii="Arial" w:hAnsi="Arial" w:cs="Arial"/>
                <w:sz w:val="22"/>
                <w:szCs w:val="22"/>
              </w:rPr>
              <w:t xml:space="preserve">The SDIL was associated with a reduction in obesity prevalence among Year 6 girls aged 10–11, equivalent to an approximately 8% relative reduction compared with the expected prevalence. Reductions were greatest among girls living in more deprived areas. There was no clear evidence of an association among Year 6 boys or younger Reception children. The findings suggest that population-level policies targeting </w:t>
            </w:r>
            <w:r w:rsidRPr="00B644C5">
              <w:rPr>
                <w:rFonts w:ascii="Arial" w:hAnsi="Arial" w:cs="Arial"/>
                <w:sz w:val="22"/>
                <w:szCs w:val="22"/>
              </w:rPr>
              <w:lastRenderedPageBreak/>
              <w:t>sugary drinks may contribute to reducing childhood obesity, although effects differ by sex and age.</w:t>
            </w:r>
          </w:p>
        </w:tc>
      </w:tr>
      <w:tr w:rsidR="00862A55" w:rsidRPr="00B644C5" w14:paraId="3F79C727" w14:textId="77777777" w:rsidTr="00862A55">
        <w:trPr>
          <w:trHeight w:val="1005"/>
        </w:trPr>
        <w:tc>
          <w:tcPr>
            <w:tcW w:w="2277" w:type="dxa"/>
          </w:tcPr>
          <w:p w14:paraId="435B174A" w14:textId="7C85C509" w:rsidR="00862A55" w:rsidRPr="00B644C5" w:rsidRDefault="00987E6A" w:rsidP="00CB56A9">
            <w:pPr>
              <w:spacing w:line="360" w:lineRule="auto"/>
              <w:jc w:val="both"/>
              <w:rPr>
                <w:rFonts w:ascii="Arial" w:hAnsi="Arial" w:cs="Arial"/>
                <w:sz w:val="22"/>
                <w:szCs w:val="22"/>
              </w:rPr>
            </w:pPr>
            <w:r w:rsidRPr="00B644C5">
              <w:rPr>
                <w:rFonts w:ascii="Arial" w:hAnsi="Arial" w:cs="Arial"/>
                <w:sz w:val="22"/>
                <w:szCs w:val="22"/>
              </w:rPr>
              <w:lastRenderedPageBreak/>
              <w:t>2.</w:t>
            </w:r>
            <w:r w:rsidR="00757C70" w:rsidRPr="00B644C5">
              <w:rPr>
                <w:rFonts w:ascii="Arial" w:hAnsi="Arial" w:cs="Arial"/>
                <w:sz w:val="22"/>
                <w:szCs w:val="22"/>
              </w:rPr>
              <w:t xml:space="preserve"> Benton, D. and Young, H.A. (2024) ‘Early exposure to </w:t>
            </w:r>
            <w:r w:rsidR="00A12115" w:rsidRPr="00B644C5">
              <w:rPr>
                <w:rFonts w:ascii="Arial" w:hAnsi="Arial" w:cs="Arial"/>
                <w:sz w:val="22"/>
                <w:szCs w:val="22"/>
              </w:rPr>
              <w:t>sugar-sweetened</w:t>
            </w:r>
            <w:r w:rsidR="00757C70" w:rsidRPr="00B644C5">
              <w:rPr>
                <w:rFonts w:ascii="Arial" w:hAnsi="Arial" w:cs="Arial"/>
                <w:sz w:val="22"/>
                <w:szCs w:val="22"/>
              </w:rPr>
              <w:t xml:space="preserve"> beverages or fruit juice differentially influences adult adiposity’, </w:t>
            </w:r>
            <w:r w:rsidR="00757C70" w:rsidRPr="00B644C5">
              <w:rPr>
                <w:rFonts w:ascii="Arial" w:hAnsi="Arial" w:cs="Arial"/>
                <w:i/>
                <w:iCs/>
                <w:sz w:val="22"/>
                <w:szCs w:val="22"/>
              </w:rPr>
              <w:t>European Journal of Clinical Nutrition</w:t>
            </w:r>
            <w:r w:rsidR="00757C70" w:rsidRPr="00B644C5">
              <w:rPr>
                <w:rFonts w:ascii="Arial" w:hAnsi="Arial" w:cs="Arial"/>
                <w:sz w:val="22"/>
                <w:szCs w:val="22"/>
              </w:rPr>
              <w:t>, 78(6), pp. 521–526.</w:t>
            </w:r>
          </w:p>
        </w:tc>
        <w:tc>
          <w:tcPr>
            <w:tcW w:w="2277" w:type="dxa"/>
          </w:tcPr>
          <w:p w14:paraId="189954F1" w14:textId="2BA16787" w:rsidR="00862A55" w:rsidRPr="00B644C5" w:rsidRDefault="00312A6E" w:rsidP="00CB56A9">
            <w:pPr>
              <w:spacing w:line="360" w:lineRule="auto"/>
              <w:jc w:val="both"/>
              <w:rPr>
                <w:rFonts w:ascii="Arial" w:hAnsi="Arial" w:cs="Arial"/>
                <w:sz w:val="22"/>
                <w:szCs w:val="22"/>
              </w:rPr>
            </w:pPr>
            <w:r w:rsidRPr="00B644C5">
              <w:rPr>
                <w:rFonts w:ascii="Arial" w:hAnsi="Arial" w:cs="Arial"/>
                <w:sz w:val="22"/>
                <w:szCs w:val="22"/>
              </w:rPr>
              <w:t>To examine the association between different types of sweet drinks consumed during early childhood and adiposity in adulthood</w:t>
            </w:r>
            <w:r w:rsidR="003A4C7D" w:rsidRPr="00B644C5">
              <w:rPr>
                <w:rFonts w:ascii="Arial" w:hAnsi="Arial" w:cs="Arial"/>
                <w:sz w:val="22"/>
                <w:szCs w:val="22"/>
              </w:rPr>
              <w:t>,</w:t>
            </w:r>
            <w:r w:rsidR="00B02E91" w:rsidRPr="00B644C5">
              <w:rPr>
                <w:rFonts w:ascii="Arial" w:hAnsi="Arial" w:cs="Arial"/>
                <w:sz w:val="22"/>
                <w:szCs w:val="22"/>
              </w:rPr>
              <w:t xml:space="preserve"> </w:t>
            </w:r>
            <w:r w:rsidR="003A4C7D" w:rsidRPr="00B644C5">
              <w:rPr>
                <w:rFonts w:ascii="Arial" w:hAnsi="Arial" w:cs="Arial"/>
                <w:sz w:val="22"/>
                <w:szCs w:val="22"/>
              </w:rPr>
              <w:t>and whether the associations differed between males and females.</w:t>
            </w:r>
          </w:p>
        </w:tc>
        <w:tc>
          <w:tcPr>
            <w:tcW w:w="2277" w:type="dxa"/>
          </w:tcPr>
          <w:p w14:paraId="4D5C59F9" w14:textId="53270C82" w:rsidR="00862A55" w:rsidRPr="00B644C5" w:rsidRDefault="00040C08" w:rsidP="00CB56A9">
            <w:pPr>
              <w:spacing w:line="360" w:lineRule="auto"/>
              <w:jc w:val="both"/>
              <w:rPr>
                <w:rFonts w:ascii="Arial" w:hAnsi="Arial" w:cs="Arial"/>
                <w:sz w:val="22"/>
                <w:szCs w:val="22"/>
              </w:rPr>
            </w:pPr>
            <w:r w:rsidRPr="00B644C5">
              <w:rPr>
                <w:rFonts w:ascii="Arial" w:hAnsi="Arial" w:cs="Arial"/>
                <w:sz w:val="22"/>
                <w:szCs w:val="22"/>
              </w:rPr>
              <w:t xml:space="preserve">Longitudinal cohort secondary-data analysis using the UK Avon Longitudinal Study of Parents and Children (ALSPAC). The original cohort comprised 14,541 pregnancies resulting in 13,988 children alive at one year, recruited in the Bristol area. Early exposure was defined as consumption of sugar-sweetened beverages or 100% fruit juice before age 2. Diet was subsequently assessed through food-frequency questionnaires and dietary diaries. At age 24, adiposity was assessed using BMI and DXA, including total and </w:t>
            </w:r>
            <w:r w:rsidRPr="00B644C5">
              <w:rPr>
                <w:rFonts w:ascii="Arial" w:hAnsi="Arial" w:cs="Arial"/>
                <w:sz w:val="22"/>
                <w:szCs w:val="22"/>
              </w:rPr>
              <w:lastRenderedPageBreak/>
              <w:t>android fat mass. Regression analyses examined relationships between early beverage exposure, later diet, socioeconomic factors and adiposity.</w:t>
            </w:r>
          </w:p>
        </w:tc>
        <w:tc>
          <w:tcPr>
            <w:tcW w:w="2277" w:type="dxa"/>
          </w:tcPr>
          <w:p w14:paraId="6AF476AD" w14:textId="5F145EFB" w:rsidR="00040C08" w:rsidRPr="00B644C5" w:rsidRDefault="00040C08" w:rsidP="00CB56A9">
            <w:pPr>
              <w:spacing w:line="360" w:lineRule="auto"/>
              <w:jc w:val="both"/>
              <w:rPr>
                <w:rFonts w:ascii="Arial" w:hAnsi="Arial" w:cs="Arial"/>
                <w:sz w:val="22"/>
                <w:szCs w:val="22"/>
              </w:rPr>
            </w:pPr>
            <w:r w:rsidRPr="00B644C5">
              <w:rPr>
                <w:rFonts w:ascii="Arial" w:hAnsi="Arial" w:cs="Arial"/>
                <w:sz w:val="22"/>
                <w:szCs w:val="22"/>
              </w:rPr>
              <w:lastRenderedPageBreak/>
              <w:t xml:space="preserve">Early exposure to cola was associated with greater fat mass, android fat mass and BMI at age 24. Early cola consumption was also associated with a less healthy dietary pattern, including greater energy, fat and sugar intake and lower fruit intake. In contrast, early apple-juice consumption was associated with a healthier dietary pattern and lower adult adiposity among females. Socioeconomic deprivation and parental characteristics influenced beverage choices. The authors concluded that sugary drinks should be considered within the context of the </w:t>
            </w:r>
            <w:r w:rsidRPr="00B644C5">
              <w:rPr>
                <w:rFonts w:ascii="Arial" w:hAnsi="Arial" w:cs="Arial"/>
                <w:sz w:val="22"/>
                <w:szCs w:val="22"/>
              </w:rPr>
              <w:lastRenderedPageBreak/>
              <w:t>overall childhood dietary pattern and socioeconomic circumstances, rather than sugar intake alone.</w:t>
            </w:r>
          </w:p>
        </w:tc>
      </w:tr>
      <w:tr w:rsidR="00862A55" w:rsidRPr="00B644C5" w14:paraId="33EE9C38" w14:textId="77777777" w:rsidTr="00862A55">
        <w:trPr>
          <w:trHeight w:val="1005"/>
        </w:trPr>
        <w:tc>
          <w:tcPr>
            <w:tcW w:w="2277" w:type="dxa"/>
          </w:tcPr>
          <w:p w14:paraId="3DDA0A32" w14:textId="228EA200" w:rsidR="00862A55" w:rsidRPr="00B644C5" w:rsidRDefault="00987E6A" w:rsidP="00CB56A9">
            <w:pPr>
              <w:spacing w:line="360" w:lineRule="auto"/>
              <w:jc w:val="both"/>
              <w:rPr>
                <w:rFonts w:ascii="Arial" w:hAnsi="Arial" w:cs="Arial"/>
                <w:sz w:val="22"/>
                <w:szCs w:val="22"/>
              </w:rPr>
            </w:pPr>
            <w:r w:rsidRPr="00B644C5">
              <w:rPr>
                <w:rFonts w:ascii="Arial" w:hAnsi="Arial" w:cs="Arial"/>
                <w:sz w:val="22"/>
                <w:szCs w:val="22"/>
              </w:rPr>
              <w:lastRenderedPageBreak/>
              <w:t>3.</w:t>
            </w:r>
            <w:r w:rsidR="00DD517E" w:rsidRPr="00B644C5">
              <w:rPr>
                <w:rFonts w:ascii="Arial" w:hAnsi="Arial" w:cs="Arial"/>
                <w:sz w:val="22"/>
                <w:szCs w:val="22"/>
              </w:rPr>
              <w:t xml:space="preserve"> Rogers, N.T. et al. (2024) ‘Estimated changes in free sugar consumption one year after the UK soft drinks industry levy came into force: controlled interrupted time series analysis of the National Diet and Nutrition Survey (2011–2019)’, </w:t>
            </w:r>
            <w:r w:rsidR="00DD517E" w:rsidRPr="00B644C5">
              <w:rPr>
                <w:rFonts w:ascii="Arial" w:hAnsi="Arial" w:cs="Arial"/>
                <w:i/>
                <w:iCs/>
                <w:sz w:val="22"/>
                <w:szCs w:val="22"/>
              </w:rPr>
              <w:t>Journal of Epidemiology and Community Health</w:t>
            </w:r>
            <w:r w:rsidR="00DD517E" w:rsidRPr="00B644C5">
              <w:rPr>
                <w:rFonts w:ascii="Arial" w:hAnsi="Arial" w:cs="Arial"/>
                <w:sz w:val="22"/>
                <w:szCs w:val="22"/>
              </w:rPr>
              <w:t>, 78(9), pp. 578–584.</w:t>
            </w:r>
          </w:p>
        </w:tc>
        <w:tc>
          <w:tcPr>
            <w:tcW w:w="2277" w:type="dxa"/>
          </w:tcPr>
          <w:p w14:paraId="70C5F0A2" w14:textId="6EF6A01E" w:rsidR="00862A55" w:rsidRPr="00B644C5" w:rsidRDefault="00DD517E" w:rsidP="00CB56A9">
            <w:pPr>
              <w:spacing w:line="360" w:lineRule="auto"/>
              <w:jc w:val="both"/>
              <w:rPr>
                <w:rFonts w:ascii="Arial" w:hAnsi="Arial" w:cs="Arial"/>
                <w:sz w:val="22"/>
                <w:szCs w:val="22"/>
              </w:rPr>
            </w:pPr>
            <w:r w:rsidRPr="00B644C5">
              <w:rPr>
                <w:rFonts w:ascii="Arial" w:hAnsi="Arial" w:cs="Arial"/>
                <w:sz w:val="22"/>
                <w:szCs w:val="22"/>
              </w:rPr>
              <w:t>To investigate changes in free-sugar consumption among children and adults following implementation of the UK Soft Drinks Industry Levy.</w:t>
            </w:r>
          </w:p>
        </w:tc>
        <w:tc>
          <w:tcPr>
            <w:tcW w:w="2277" w:type="dxa"/>
          </w:tcPr>
          <w:p w14:paraId="74AD7A33" w14:textId="4F1ECE7A" w:rsidR="00862A55" w:rsidRPr="00B644C5" w:rsidRDefault="00077AB9" w:rsidP="00CB56A9">
            <w:pPr>
              <w:spacing w:line="360" w:lineRule="auto"/>
              <w:jc w:val="both"/>
              <w:rPr>
                <w:rFonts w:ascii="Arial" w:hAnsi="Arial" w:cs="Arial"/>
                <w:sz w:val="22"/>
                <w:szCs w:val="22"/>
              </w:rPr>
            </w:pPr>
            <w:r w:rsidRPr="00B644C5">
              <w:rPr>
                <w:rFonts w:ascii="Arial" w:hAnsi="Arial" w:cs="Arial"/>
                <w:sz w:val="22"/>
                <w:szCs w:val="22"/>
              </w:rPr>
              <w:t>Controlled interrupted time-series analysis using data from the UK National Diet and Nutrition Survey. The analysis included 7,656 children aged 1.5–19 years and examined dietary free-sugar consumption before and after implementation of the SDIL. Dietary information was used to estimate total free-sugar intake and sugar obtained specifically from soft drinks.</w:t>
            </w:r>
          </w:p>
        </w:tc>
        <w:tc>
          <w:tcPr>
            <w:tcW w:w="2277" w:type="dxa"/>
          </w:tcPr>
          <w:p w14:paraId="3E35E067" w14:textId="062E724B" w:rsidR="00862A55" w:rsidRPr="00B644C5" w:rsidRDefault="00077AB9" w:rsidP="00CB56A9">
            <w:pPr>
              <w:spacing w:line="360" w:lineRule="auto"/>
              <w:jc w:val="both"/>
              <w:rPr>
                <w:rFonts w:ascii="Arial" w:hAnsi="Arial" w:cs="Arial"/>
                <w:sz w:val="22"/>
                <w:szCs w:val="22"/>
              </w:rPr>
            </w:pPr>
            <w:r w:rsidRPr="00B644C5">
              <w:rPr>
                <w:rFonts w:ascii="Arial" w:hAnsi="Arial" w:cs="Arial"/>
                <w:sz w:val="22"/>
                <w:szCs w:val="22"/>
              </w:rPr>
              <w:t>One year after implementation of the levy, children's daily free-sugar intake was approximately 4.8 g lower than the estimated counterfactual. Free sugar obtained specifically from soft drinks was approximately 3 g/day lower. The study provides evidence that the SDIL was associated with meaningful reductions in children's sugar consumption, although sugar intake remained above recommended levels.</w:t>
            </w:r>
          </w:p>
        </w:tc>
      </w:tr>
      <w:tr w:rsidR="00862A55" w:rsidRPr="00B644C5" w14:paraId="4CFB6520" w14:textId="77777777" w:rsidTr="00862A55">
        <w:trPr>
          <w:trHeight w:val="1005"/>
        </w:trPr>
        <w:tc>
          <w:tcPr>
            <w:tcW w:w="2277" w:type="dxa"/>
          </w:tcPr>
          <w:p w14:paraId="63EBF126" w14:textId="7B129F03" w:rsidR="00862A55" w:rsidRPr="00B644C5" w:rsidRDefault="00987E6A" w:rsidP="00CB56A9">
            <w:pPr>
              <w:spacing w:line="360" w:lineRule="auto"/>
              <w:jc w:val="both"/>
              <w:rPr>
                <w:rFonts w:ascii="Arial" w:hAnsi="Arial" w:cs="Arial"/>
                <w:sz w:val="22"/>
                <w:szCs w:val="22"/>
              </w:rPr>
            </w:pPr>
            <w:r w:rsidRPr="00B644C5">
              <w:rPr>
                <w:rFonts w:ascii="Arial" w:hAnsi="Arial" w:cs="Arial"/>
                <w:sz w:val="22"/>
                <w:szCs w:val="22"/>
              </w:rPr>
              <w:t>4.</w:t>
            </w:r>
            <w:r w:rsidR="003347BB" w:rsidRPr="00B644C5">
              <w:rPr>
                <w:rFonts w:ascii="Arial" w:hAnsi="Arial" w:cs="Arial"/>
                <w:sz w:val="22"/>
                <w:szCs w:val="22"/>
              </w:rPr>
              <w:t xml:space="preserve"> Sekkarie, A., Welsh, J.A., </w:t>
            </w:r>
            <w:proofErr w:type="spellStart"/>
            <w:r w:rsidR="003347BB" w:rsidRPr="00B644C5">
              <w:rPr>
                <w:rFonts w:ascii="Arial" w:hAnsi="Arial" w:cs="Arial"/>
                <w:sz w:val="22"/>
                <w:szCs w:val="22"/>
              </w:rPr>
              <w:lastRenderedPageBreak/>
              <w:t>Northstone</w:t>
            </w:r>
            <w:proofErr w:type="spellEnd"/>
            <w:r w:rsidR="003347BB" w:rsidRPr="00B644C5">
              <w:rPr>
                <w:rFonts w:ascii="Arial" w:hAnsi="Arial" w:cs="Arial"/>
                <w:sz w:val="22"/>
                <w:szCs w:val="22"/>
              </w:rPr>
              <w:t xml:space="preserve">, K., Stein, A.D., Ramakrishnan, U. and Vos, M.B. (2021) ‘Associations between free sugar and sugary beverage intake in early childhood and adult NAFLD in a population-based UK cohort’, </w:t>
            </w:r>
            <w:r w:rsidR="003347BB" w:rsidRPr="00B644C5">
              <w:rPr>
                <w:rFonts w:ascii="Arial" w:hAnsi="Arial" w:cs="Arial"/>
                <w:i/>
                <w:iCs/>
                <w:sz w:val="22"/>
                <w:szCs w:val="22"/>
              </w:rPr>
              <w:t>Children</w:t>
            </w:r>
            <w:r w:rsidR="003347BB" w:rsidRPr="00B644C5">
              <w:rPr>
                <w:rFonts w:ascii="Arial" w:hAnsi="Arial" w:cs="Arial"/>
                <w:sz w:val="22"/>
                <w:szCs w:val="22"/>
              </w:rPr>
              <w:t>, 8(4), p. 290</w:t>
            </w:r>
          </w:p>
        </w:tc>
        <w:tc>
          <w:tcPr>
            <w:tcW w:w="2277" w:type="dxa"/>
          </w:tcPr>
          <w:p w14:paraId="6D8F32B7" w14:textId="4959B8F5" w:rsidR="00862A55" w:rsidRPr="00B644C5" w:rsidRDefault="009638D7" w:rsidP="00CB56A9">
            <w:pPr>
              <w:spacing w:line="360" w:lineRule="auto"/>
              <w:jc w:val="both"/>
              <w:rPr>
                <w:rFonts w:ascii="Arial" w:hAnsi="Arial" w:cs="Arial"/>
                <w:sz w:val="22"/>
                <w:szCs w:val="22"/>
              </w:rPr>
            </w:pPr>
            <w:r w:rsidRPr="00B644C5">
              <w:rPr>
                <w:rFonts w:ascii="Arial" w:hAnsi="Arial" w:cs="Arial"/>
                <w:sz w:val="22"/>
                <w:szCs w:val="22"/>
              </w:rPr>
              <w:lastRenderedPageBreak/>
              <w:t>To describe free-sugar and sugary-</w:t>
            </w:r>
            <w:r w:rsidRPr="00B644C5">
              <w:rPr>
                <w:rFonts w:ascii="Arial" w:hAnsi="Arial" w:cs="Arial"/>
                <w:sz w:val="22"/>
                <w:szCs w:val="22"/>
              </w:rPr>
              <w:lastRenderedPageBreak/>
              <w:t>beverage intake at age 3 and determine whether high consumption during early childhood was associated with hepatic steatosis/NAFLD in early adulthood at age 24.</w:t>
            </w:r>
          </w:p>
        </w:tc>
        <w:tc>
          <w:tcPr>
            <w:tcW w:w="2277" w:type="dxa"/>
          </w:tcPr>
          <w:p w14:paraId="2999969C" w14:textId="327AA68E" w:rsidR="00862A55" w:rsidRPr="00B644C5" w:rsidRDefault="00A83605" w:rsidP="00CB56A9">
            <w:pPr>
              <w:spacing w:line="360" w:lineRule="auto"/>
              <w:jc w:val="both"/>
              <w:rPr>
                <w:rFonts w:ascii="Arial" w:hAnsi="Arial" w:cs="Arial"/>
                <w:sz w:val="22"/>
                <w:szCs w:val="22"/>
              </w:rPr>
            </w:pPr>
            <w:r w:rsidRPr="00B644C5">
              <w:rPr>
                <w:rFonts w:ascii="Arial" w:hAnsi="Arial" w:cs="Arial"/>
                <w:sz w:val="22"/>
                <w:szCs w:val="22"/>
              </w:rPr>
              <w:lastRenderedPageBreak/>
              <w:t xml:space="preserve">Longitudinal population-based </w:t>
            </w:r>
            <w:r w:rsidRPr="00B644C5">
              <w:rPr>
                <w:rFonts w:ascii="Arial" w:hAnsi="Arial" w:cs="Arial"/>
                <w:sz w:val="22"/>
                <w:szCs w:val="22"/>
              </w:rPr>
              <w:lastRenderedPageBreak/>
              <w:t>cohort analysis using data from the UK ALSPAC cohort. Dietary intake at age 3 was assessed using a food-frequency questionnaire. At age 24, 3,095 participants were assessed for severe hepatic steatosis. Multiple logistic regression models were used, adjusting for total energy intake, potential confounding factors and BMI at age 24. The study examined both free-sugar intake and frequency of sugary-beverage consumption.</w:t>
            </w:r>
          </w:p>
        </w:tc>
        <w:tc>
          <w:tcPr>
            <w:tcW w:w="2277" w:type="dxa"/>
          </w:tcPr>
          <w:p w14:paraId="0433A987" w14:textId="32FF582B" w:rsidR="00862A55" w:rsidRPr="00B644C5" w:rsidRDefault="00A83605" w:rsidP="00CB56A9">
            <w:pPr>
              <w:spacing w:line="360" w:lineRule="auto"/>
              <w:jc w:val="both"/>
              <w:rPr>
                <w:rFonts w:ascii="Arial" w:hAnsi="Arial" w:cs="Arial"/>
                <w:sz w:val="22"/>
                <w:szCs w:val="22"/>
              </w:rPr>
            </w:pPr>
            <w:r w:rsidRPr="00B644C5">
              <w:rPr>
                <w:rFonts w:ascii="Arial" w:hAnsi="Arial" w:cs="Arial"/>
                <w:sz w:val="22"/>
                <w:szCs w:val="22"/>
              </w:rPr>
              <w:lastRenderedPageBreak/>
              <w:t xml:space="preserve">Longitudinal population-based </w:t>
            </w:r>
            <w:r w:rsidRPr="00B644C5">
              <w:rPr>
                <w:rFonts w:ascii="Arial" w:hAnsi="Arial" w:cs="Arial"/>
                <w:sz w:val="22"/>
                <w:szCs w:val="22"/>
              </w:rPr>
              <w:lastRenderedPageBreak/>
              <w:t>cohort analysis using data from the UK ALSPAC cohort. Dietary intake at age 3 was assessed using a food-frequency questionnaire. At age 24, 3,095 participants were assessed for severe hepatic steatosis. Multiple logistic regression models were used, adjusting for total energy intake, potential confounding factors and BMI at age 24. The study examined both free-sugar intake and frequency of sugary-beverage consumption.</w:t>
            </w:r>
          </w:p>
        </w:tc>
      </w:tr>
      <w:tr w:rsidR="00862A55" w:rsidRPr="00B644C5" w14:paraId="32A63E05" w14:textId="77777777" w:rsidTr="00862A55">
        <w:trPr>
          <w:trHeight w:val="958"/>
        </w:trPr>
        <w:tc>
          <w:tcPr>
            <w:tcW w:w="2277" w:type="dxa"/>
          </w:tcPr>
          <w:p w14:paraId="63636898" w14:textId="25A58E5B" w:rsidR="00862A55" w:rsidRPr="00B644C5" w:rsidRDefault="00987E6A" w:rsidP="00CB56A9">
            <w:pPr>
              <w:spacing w:line="360" w:lineRule="auto"/>
              <w:jc w:val="both"/>
              <w:rPr>
                <w:rFonts w:ascii="Arial" w:hAnsi="Arial" w:cs="Arial"/>
                <w:sz w:val="22"/>
                <w:szCs w:val="22"/>
              </w:rPr>
            </w:pPr>
            <w:r w:rsidRPr="00B644C5">
              <w:rPr>
                <w:rFonts w:ascii="Arial" w:hAnsi="Arial" w:cs="Arial"/>
                <w:sz w:val="22"/>
                <w:szCs w:val="22"/>
              </w:rPr>
              <w:lastRenderedPageBreak/>
              <w:t>5.</w:t>
            </w:r>
            <w:r w:rsidR="008A7FE7" w:rsidRPr="00B644C5">
              <w:rPr>
                <w:rFonts w:ascii="Arial" w:hAnsi="Arial" w:cs="Arial"/>
                <w:sz w:val="22"/>
                <w:szCs w:val="22"/>
              </w:rPr>
              <w:t xml:space="preserve"> Stanner, S.A. and Spiro, A. (2020) ‘Public health rationale for reducing sugar: Strategies and challenges’, </w:t>
            </w:r>
            <w:r w:rsidR="008A7FE7" w:rsidRPr="00B644C5">
              <w:rPr>
                <w:rFonts w:ascii="Arial" w:hAnsi="Arial" w:cs="Arial"/>
                <w:i/>
                <w:iCs/>
                <w:sz w:val="22"/>
                <w:szCs w:val="22"/>
              </w:rPr>
              <w:t>Nutrition Bulletin</w:t>
            </w:r>
            <w:r w:rsidR="008A7FE7" w:rsidRPr="00B644C5">
              <w:rPr>
                <w:rFonts w:ascii="Arial" w:hAnsi="Arial" w:cs="Arial"/>
                <w:sz w:val="22"/>
                <w:szCs w:val="22"/>
              </w:rPr>
              <w:t>, 45(3), pp. 253–270.</w:t>
            </w:r>
          </w:p>
        </w:tc>
        <w:tc>
          <w:tcPr>
            <w:tcW w:w="2277" w:type="dxa"/>
          </w:tcPr>
          <w:p w14:paraId="77B0859A" w14:textId="7448B964" w:rsidR="00862A55" w:rsidRPr="00B644C5" w:rsidRDefault="009B2EED" w:rsidP="00CB56A9">
            <w:pPr>
              <w:spacing w:line="360" w:lineRule="auto"/>
              <w:jc w:val="both"/>
              <w:rPr>
                <w:rFonts w:ascii="Arial" w:hAnsi="Arial" w:cs="Arial"/>
                <w:sz w:val="22"/>
                <w:szCs w:val="22"/>
              </w:rPr>
            </w:pPr>
            <w:r w:rsidRPr="00B644C5">
              <w:rPr>
                <w:rFonts w:ascii="Arial" w:hAnsi="Arial" w:cs="Arial"/>
                <w:sz w:val="22"/>
                <w:szCs w:val="22"/>
              </w:rPr>
              <w:t xml:space="preserve">To examine the public-health rationale for reducing sugar intake, including definitions and recommendations for free/added sugars, major dietary sources, trends in consumption, and strategies that could </w:t>
            </w:r>
            <w:r w:rsidRPr="00B644C5">
              <w:rPr>
                <w:rFonts w:ascii="Arial" w:hAnsi="Arial" w:cs="Arial"/>
                <w:sz w:val="22"/>
                <w:szCs w:val="22"/>
              </w:rPr>
              <w:lastRenderedPageBreak/>
              <w:t>reduce population sugar intake. The paper particularly considers food reformulation, low-calorie sweeteners and fiscal/public-health measures.</w:t>
            </w:r>
          </w:p>
        </w:tc>
        <w:tc>
          <w:tcPr>
            <w:tcW w:w="2277" w:type="dxa"/>
          </w:tcPr>
          <w:p w14:paraId="4A0264D9" w14:textId="15930A3C" w:rsidR="00862A55" w:rsidRPr="00B644C5" w:rsidRDefault="009B2EED" w:rsidP="00CB56A9">
            <w:pPr>
              <w:spacing w:line="360" w:lineRule="auto"/>
              <w:jc w:val="both"/>
              <w:rPr>
                <w:rFonts w:ascii="Arial" w:hAnsi="Arial" w:cs="Arial"/>
                <w:sz w:val="22"/>
                <w:szCs w:val="22"/>
              </w:rPr>
            </w:pPr>
            <w:r w:rsidRPr="00B644C5">
              <w:rPr>
                <w:rFonts w:ascii="Arial" w:hAnsi="Arial" w:cs="Arial"/>
                <w:sz w:val="22"/>
                <w:szCs w:val="22"/>
              </w:rPr>
              <w:lastRenderedPageBreak/>
              <w:t>Narrative/review article rather than primary research. The authors synthesised existing research, dietary recommendations, population dietary data and public-health evidence relating to free sugars, sugar-</w:t>
            </w:r>
            <w:r w:rsidRPr="00B644C5">
              <w:rPr>
                <w:rFonts w:ascii="Arial" w:hAnsi="Arial" w:cs="Arial"/>
                <w:sz w:val="22"/>
                <w:szCs w:val="22"/>
              </w:rPr>
              <w:lastRenderedPageBreak/>
              <w:t>sweetened beverages, obesity and sugar-reduction strategies. The article discusses UK evidence including Public Health England's sugar-reduction programme and National Diet and Nutrition Survey data, alongside international evidence. There is therefore no single participant sample or sample size.</w:t>
            </w:r>
          </w:p>
        </w:tc>
        <w:tc>
          <w:tcPr>
            <w:tcW w:w="2277" w:type="dxa"/>
          </w:tcPr>
          <w:p w14:paraId="58E3B511" w14:textId="41A3C2D2" w:rsidR="00862A55" w:rsidRPr="00B644C5" w:rsidRDefault="00FC3DF3" w:rsidP="00CB56A9">
            <w:pPr>
              <w:spacing w:line="360" w:lineRule="auto"/>
              <w:jc w:val="both"/>
              <w:rPr>
                <w:rFonts w:ascii="Arial" w:hAnsi="Arial" w:cs="Arial"/>
                <w:sz w:val="22"/>
                <w:szCs w:val="22"/>
              </w:rPr>
            </w:pPr>
            <w:r w:rsidRPr="00B644C5">
              <w:rPr>
                <w:rFonts w:ascii="Arial" w:hAnsi="Arial" w:cs="Arial"/>
                <w:sz w:val="22"/>
                <w:szCs w:val="22"/>
              </w:rPr>
              <w:lastRenderedPageBreak/>
              <w:t xml:space="preserve">The review concludes that excessive intake of sugar-sweetened beverages and high-sugar foods contributes to excessive energy intake and increased obesity risk, including among children. Reducing population </w:t>
            </w:r>
            <w:r w:rsidRPr="00B644C5">
              <w:rPr>
                <w:rFonts w:ascii="Arial" w:hAnsi="Arial" w:cs="Arial"/>
                <w:sz w:val="22"/>
                <w:szCs w:val="22"/>
              </w:rPr>
              <w:lastRenderedPageBreak/>
              <w:t>sugar intake requires multiple approaches rather than relying solely on individual behaviour. Strategies include food reformulation, reducing portion sizes, fiscal measures such as taxation, public-health campaigns and replacement of sugars with low-calorie sweeteners where appropriate. Reformulation is easier for sugary drinks than for some solid foods because sugar has structural and functional roles in food production. The authors emphasise that sugar reduction should form part of a broader healthy dietary approach because obesity has multiple dietary, behavioural and environmental determinants</w:t>
            </w:r>
          </w:p>
        </w:tc>
      </w:tr>
    </w:tbl>
    <w:p w14:paraId="67D0335E" w14:textId="77777777" w:rsidR="00C30FAD" w:rsidRPr="00B644C5" w:rsidRDefault="00C30FAD" w:rsidP="00CB56A9">
      <w:pPr>
        <w:spacing w:line="360" w:lineRule="auto"/>
        <w:jc w:val="both"/>
        <w:rPr>
          <w:rFonts w:ascii="Arial" w:hAnsi="Arial" w:cs="Arial"/>
        </w:rPr>
      </w:pPr>
    </w:p>
    <w:p w14:paraId="44BC01B0" w14:textId="77777777" w:rsidR="00551486" w:rsidRPr="00B644C5" w:rsidRDefault="00551486" w:rsidP="00CB56A9">
      <w:pPr>
        <w:spacing w:line="360" w:lineRule="auto"/>
        <w:jc w:val="both"/>
        <w:rPr>
          <w:rFonts w:ascii="Arial" w:hAnsi="Arial" w:cs="Arial"/>
        </w:rPr>
      </w:pPr>
    </w:p>
    <w:p w14:paraId="50D503F6" w14:textId="77777777" w:rsidR="00551486" w:rsidRPr="00B644C5" w:rsidRDefault="00551486" w:rsidP="00CB56A9">
      <w:pPr>
        <w:spacing w:line="360" w:lineRule="auto"/>
        <w:jc w:val="both"/>
        <w:rPr>
          <w:rFonts w:ascii="Arial" w:hAnsi="Arial" w:cs="Arial"/>
        </w:rPr>
      </w:pPr>
    </w:p>
    <w:p w14:paraId="17AE6F47" w14:textId="77777777" w:rsidR="00E9100B" w:rsidRPr="00B644C5" w:rsidRDefault="00E9100B" w:rsidP="00CB56A9">
      <w:pPr>
        <w:spacing w:before="100" w:beforeAutospacing="1" w:after="100" w:afterAutospacing="1" w:line="360" w:lineRule="auto"/>
        <w:jc w:val="both"/>
        <w:outlineLvl w:val="1"/>
        <w:rPr>
          <w:rFonts w:ascii="Arial" w:eastAsia="Times New Roman" w:hAnsi="Arial" w:cs="Arial"/>
          <w:b/>
          <w:bCs/>
          <w:sz w:val="22"/>
          <w:lang w:eastAsia="en-GB"/>
        </w:rPr>
      </w:pPr>
      <w:r w:rsidRPr="00B644C5">
        <w:rPr>
          <w:rFonts w:ascii="Arial" w:eastAsia="Times New Roman" w:hAnsi="Arial" w:cs="Arial"/>
          <w:b/>
          <w:bCs/>
          <w:sz w:val="22"/>
          <w:lang w:eastAsia="en-GB"/>
        </w:rPr>
        <w:t>Theme 1: Sugary beverages, dietary patterns and adiposity</w:t>
      </w:r>
    </w:p>
    <w:p w14:paraId="19EFB49D" w14:textId="77777777" w:rsidR="00E9100B" w:rsidRPr="00B644C5" w:rsidRDefault="00E9100B" w:rsidP="00CB56A9">
      <w:pPr>
        <w:spacing w:before="100" w:beforeAutospacing="1" w:after="100" w:afterAutospacing="1" w:line="360" w:lineRule="auto"/>
        <w:jc w:val="both"/>
        <w:rPr>
          <w:rFonts w:ascii="Arial" w:eastAsia="Times New Roman" w:hAnsi="Arial" w:cs="Arial"/>
          <w:sz w:val="22"/>
          <w:lang w:eastAsia="en-GB"/>
        </w:rPr>
      </w:pPr>
      <w:r w:rsidRPr="00B644C5">
        <w:rPr>
          <w:rFonts w:ascii="Arial" w:eastAsia="Times New Roman" w:hAnsi="Arial" w:cs="Arial"/>
          <w:sz w:val="22"/>
          <w:lang w:eastAsia="en-GB"/>
        </w:rPr>
        <w:t xml:space="preserve">Benton and Young (2024) associated early cola exposure with higher BMI and fat mass at 24 and a diet containing more energy, fat and sugar and less fruit. Apple-juice exposure showed a different pattern, indicating that sweet-tasting beverages should not be treated identically. Stanner and Spiro (2020) connected SSBs with excess energy intake but situated them within overall diet. </w:t>
      </w:r>
      <w:proofErr w:type="spellStart"/>
      <w:r w:rsidRPr="00B644C5">
        <w:rPr>
          <w:rFonts w:ascii="Arial" w:eastAsia="Times New Roman" w:hAnsi="Arial" w:cs="Arial"/>
          <w:sz w:val="22"/>
          <w:lang w:eastAsia="en-GB"/>
        </w:rPr>
        <w:t>Sekkarie</w:t>
      </w:r>
      <w:proofErr w:type="spellEnd"/>
      <w:r w:rsidRPr="00B644C5">
        <w:rPr>
          <w:rFonts w:ascii="Arial" w:eastAsia="Times New Roman" w:hAnsi="Arial" w:cs="Arial"/>
          <w:sz w:val="22"/>
          <w:lang w:eastAsia="en-GB"/>
        </w:rPr>
        <w:t xml:space="preserve"> et al. (2021) extended findings beyond weight: early sugar exposure showed a weak association with adult liver health, although this was not a childhood-obesity outcome.</w:t>
      </w:r>
    </w:p>
    <w:p w14:paraId="1BF098E5" w14:textId="77777777" w:rsidR="00E9100B" w:rsidRPr="00B644C5" w:rsidRDefault="00E9100B" w:rsidP="00CB56A9">
      <w:pPr>
        <w:spacing w:before="100" w:beforeAutospacing="1" w:after="100" w:afterAutospacing="1" w:line="360" w:lineRule="auto"/>
        <w:jc w:val="both"/>
        <w:outlineLvl w:val="1"/>
        <w:rPr>
          <w:rFonts w:ascii="Arial" w:eastAsia="Times New Roman" w:hAnsi="Arial" w:cs="Arial"/>
          <w:b/>
          <w:bCs/>
          <w:sz w:val="22"/>
          <w:lang w:eastAsia="en-GB"/>
        </w:rPr>
      </w:pPr>
      <w:r w:rsidRPr="00B644C5">
        <w:rPr>
          <w:rFonts w:ascii="Arial" w:eastAsia="Times New Roman" w:hAnsi="Arial" w:cs="Arial"/>
          <w:b/>
          <w:bCs/>
          <w:sz w:val="22"/>
          <w:lang w:eastAsia="en-GB"/>
        </w:rPr>
        <w:t>Theme 2: Population-level sugar-reduction policy</w:t>
      </w:r>
    </w:p>
    <w:p w14:paraId="782642F5" w14:textId="77777777" w:rsidR="00E9100B" w:rsidRPr="00B644C5" w:rsidRDefault="00E9100B" w:rsidP="00CB56A9">
      <w:pPr>
        <w:spacing w:before="100" w:beforeAutospacing="1" w:after="100" w:afterAutospacing="1" w:line="360" w:lineRule="auto"/>
        <w:jc w:val="both"/>
        <w:rPr>
          <w:rFonts w:ascii="Arial" w:eastAsia="Times New Roman" w:hAnsi="Arial" w:cs="Arial"/>
          <w:sz w:val="22"/>
          <w:lang w:eastAsia="en-GB"/>
        </w:rPr>
      </w:pPr>
      <w:r w:rsidRPr="00B644C5">
        <w:rPr>
          <w:rFonts w:ascii="Arial" w:eastAsia="Times New Roman" w:hAnsi="Arial" w:cs="Arial"/>
          <w:sz w:val="22"/>
          <w:lang w:eastAsia="en-GB"/>
        </w:rPr>
        <w:t>Rogers et al. (2024) identified reduced free-sugar intake after the SDIL, while Rogers et al. (2023) identified a favourable obesity trend among Year 6 girls. The effect differed by age and sex, and intake remained above guidance. Stanner and Spiro (2020) reported that taxation should accompany reformulation, portion control and public-health communication.</w:t>
      </w:r>
    </w:p>
    <w:p w14:paraId="6EE3B2ED" w14:textId="77777777" w:rsidR="00E9100B" w:rsidRPr="00B644C5" w:rsidRDefault="00E9100B" w:rsidP="00CB56A9">
      <w:pPr>
        <w:spacing w:before="100" w:beforeAutospacing="1" w:after="100" w:afterAutospacing="1" w:line="360" w:lineRule="auto"/>
        <w:jc w:val="both"/>
        <w:outlineLvl w:val="1"/>
        <w:rPr>
          <w:rFonts w:ascii="Arial" w:eastAsia="Times New Roman" w:hAnsi="Arial" w:cs="Arial"/>
          <w:b/>
          <w:bCs/>
          <w:sz w:val="22"/>
          <w:lang w:eastAsia="en-GB"/>
        </w:rPr>
      </w:pPr>
      <w:r w:rsidRPr="00B644C5">
        <w:rPr>
          <w:rFonts w:ascii="Arial" w:eastAsia="Times New Roman" w:hAnsi="Arial" w:cs="Arial"/>
          <w:b/>
          <w:bCs/>
          <w:sz w:val="22"/>
          <w:lang w:eastAsia="en-GB"/>
        </w:rPr>
        <w:t>Theme 3: Socioeconomic and life-course influences</w:t>
      </w:r>
    </w:p>
    <w:p w14:paraId="30542D1A" w14:textId="77777777" w:rsidR="00E9100B" w:rsidRPr="00B644C5" w:rsidRDefault="00E9100B" w:rsidP="00CB56A9">
      <w:pPr>
        <w:spacing w:before="100" w:beforeAutospacing="1" w:after="100" w:afterAutospacing="1" w:line="360" w:lineRule="auto"/>
        <w:jc w:val="both"/>
        <w:rPr>
          <w:rFonts w:ascii="Arial" w:eastAsia="Times New Roman" w:hAnsi="Arial" w:cs="Arial"/>
          <w:sz w:val="22"/>
          <w:lang w:eastAsia="en-GB"/>
        </w:rPr>
      </w:pPr>
      <w:r w:rsidRPr="00B644C5">
        <w:rPr>
          <w:rFonts w:ascii="Arial" w:eastAsia="Times New Roman" w:hAnsi="Arial" w:cs="Arial"/>
          <w:sz w:val="22"/>
          <w:lang w:eastAsia="en-GB"/>
        </w:rPr>
        <w:t xml:space="preserve">The largest estimated obesity reduction occurred among Year 6 girls in deprived areas (Rogers et al., 2023). Benton and Young (2024) reported that parental and socioeconomic factors influenced beverage choices. Benton and Young (2024) and </w:t>
      </w:r>
      <w:proofErr w:type="spellStart"/>
      <w:r w:rsidRPr="00B644C5">
        <w:rPr>
          <w:rFonts w:ascii="Arial" w:eastAsia="Times New Roman" w:hAnsi="Arial" w:cs="Arial"/>
          <w:sz w:val="22"/>
          <w:lang w:eastAsia="en-GB"/>
        </w:rPr>
        <w:t>Sekkarie</w:t>
      </w:r>
      <w:proofErr w:type="spellEnd"/>
      <w:r w:rsidRPr="00B644C5">
        <w:rPr>
          <w:rFonts w:ascii="Arial" w:eastAsia="Times New Roman" w:hAnsi="Arial" w:cs="Arial"/>
          <w:sz w:val="22"/>
          <w:lang w:eastAsia="en-GB"/>
        </w:rPr>
        <w:t xml:space="preserve"> et al. (2021) linked early exposure with outcomes at 24, indicating a life-course dimension while allowing for later dietary and social influences.</w:t>
      </w:r>
    </w:p>
    <w:p w14:paraId="552C1445" w14:textId="77777777" w:rsidR="00551486" w:rsidRDefault="00551486" w:rsidP="00CB56A9">
      <w:pPr>
        <w:spacing w:line="360" w:lineRule="auto"/>
        <w:jc w:val="both"/>
        <w:rPr>
          <w:rFonts w:ascii="Arial" w:hAnsi="Arial" w:cs="Arial"/>
        </w:rPr>
      </w:pPr>
    </w:p>
    <w:p w14:paraId="06CD6CD5" w14:textId="77777777" w:rsidR="00B644C5" w:rsidRDefault="00B644C5" w:rsidP="00CB56A9">
      <w:pPr>
        <w:spacing w:line="360" w:lineRule="auto"/>
        <w:jc w:val="both"/>
        <w:rPr>
          <w:rFonts w:ascii="Arial" w:hAnsi="Arial" w:cs="Arial"/>
        </w:rPr>
      </w:pPr>
    </w:p>
    <w:p w14:paraId="62B6F8AC" w14:textId="77777777" w:rsidR="00637E0C" w:rsidRDefault="00637E0C" w:rsidP="00CB56A9">
      <w:pPr>
        <w:spacing w:line="360" w:lineRule="auto"/>
        <w:jc w:val="both"/>
        <w:rPr>
          <w:rFonts w:ascii="Arial" w:hAnsi="Arial" w:cs="Arial"/>
        </w:rPr>
      </w:pPr>
    </w:p>
    <w:p w14:paraId="58115B3B" w14:textId="77777777" w:rsidR="00637E0C" w:rsidRDefault="00637E0C" w:rsidP="00CB56A9">
      <w:pPr>
        <w:spacing w:line="360" w:lineRule="auto"/>
        <w:jc w:val="both"/>
        <w:rPr>
          <w:rFonts w:ascii="Arial" w:hAnsi="Arial" w:cs="Arial"/>
        </w:rPr>
      </w:pPr>
    </w:p>
    <w:p w14:paraId="05084F5D" w14:textId="77777777" w:rsidR="00637E0C" w:rsidRDefault="00637E0C" w:rsidP="00CB56A9">
      <w:pPr>
        <w:spacing w:line="360" w:lineRule="auto"/>
        <w:jc w:val="both"/>
        <w:rPr>
          <w:rFonts w:ascii="Arial" w:hAnsi="Arial" w:cs="Arial"/>
        </w:rPr>
      </w:pPr>
    </w:p>
    <w:p w14:paraId="6FFA0C8F" w14:textId="77777777" w:rsidR="00637E0C" w:rsidRDefault="00637E0C" w:rsidP="00CB56A9">
      <w:pPr>
        <w:spacing w:line="360" w:lineRule="auto"/>
        <w:jc w:val="both"/>
        <w:rPr>
          <w:rFonts w:ascii="Arial" w:hAnsi="Arial" w:cs="Arial"/>
        </w:rPr>
      </w:pPr>
    </w:p>
    <w:p w14:paraId="0C09D813" w14:textId="77777777" w:rsidR="00637E0C" w:rsidRDefault="00637E0C" w:rsidP="00CB56A9">
      <w:pPr>
        <w:spacing w:line="360" w:lineRule="auto"/>
        <w:jc w:val="both"/>
        <w:rPr>
          <w:rFonts w:ascii="Arial" w:hAnsi="Arial" w:cs="Arial"/>
        </w:rPr>
      </w:pPr>
    </w:p>
    <w:p w14:paraId="2CEE3FF7" w14:textId="77777777" w:rsidR="00B644C5" w:rsidRPr="00B644C5" w:rsidRDefault="00B644C5" w:rsidP="00CB56A9">
      <w:pPr>
        <w:spacing w:line="360" w:lineRule="auto"/>
        <w:jc w:val="both"/>
        <w:rPr>
          <w:rFonts w:ascii="Arial" w:hAnsi="Arial" w:cs="Arial"/>
        </w:rPr>
      </w:pPr>
    </w:p>
    <w:p w14:paraId="54B6AAF1" w14:textId="1A78754F" w:rsidR="000832E7" w:rsidRPr="00B644C5" w:rsidRDefault="000832E7" w:rsidP="00CB56A9">
      <w:pPr>
        <w:pStyle w:val="Titolo1"/>
        <w:jc w:val="both"/>
        <w:rPr>
          <w:rFonts w:cs="Arial"/>
        </w:rPr>
      </w:pPr>
      <w:r w:rsidRPr="00B644C5">
        <w:rPr>
          <w:rFonts w:cs="Arial"/>
        </w:rPr>
        <w:lastRenderedPageBreak/>
        <w:t>DISCUSSION</w:t>
      </w:r>
    </w:p>
    <w:p w14:paraId="0984C347" w14:textId="77777777" w:rsidR="00306AF5" w:rsidRPr="00B644C5" w:rsidRDefault="00306AF5" w:rsidP="00CB56A9">
      <w:pPr>
        <w:spacing w:line="360" w:lineRule="auto"/>
        <w:jc w:val="both"/>
        <w:rPr>
          <w:rFonts w:ascii="Arial" w:hAnsi="Arial" w:cs="Arial"/>
          <w:sz w:val="22"/>
        </w:rPr>
      </w:pPr>
    </w:p>
    <w:p w14:paraId="0E5792D5" w14:textId="05A273C4" w:rsidR="00306AF5" w:rsidRPr="00B644C5" w:rsidRDefault="00306AF5" w:rsidP="00CB56A9">
      <w:pPr>
        <w:pStyle w:val="NormaleWeb"/>
        <w:spacing w:line="360" w:lineRule="auto"/>
        <w:jc w:val="both"/>
        <w:rPr>
          <w:rFonts w:ascii="Arial" w:hAnsi="Arial" w:cs="Arial"/>
        </w:rPr>
      </w:pPr>
      <w:r w:rsidRPr="00B644C5">
        <w:rPr>
          <w:rFonts w:ascii="Arial" w:hAnsi="Arial" w:cs="Arial"/>
        </w:rPr>
        <w:t xml:space="preserve">The evidence suggests that reducing free sugars and SSBs can contribute to </w:t>
      </w:r>
      <w:r w:rsidR="00B644C5">
        <w:rPr>
          <w:rFonts w:ascii="Arial" w:hAnsi="Arial" w:cs="Arial"/>
        </w:rPr>
        <w:t>childhood obesity</w:t>
      </w:r>
      <w:r w:rsidRPr="00B644C5">
        <w:rPr>
          <w:rFonts w:ascii="Arial" w:hAnsi="Arial" w:cs="Arial"/>
        </w:rPr>
        <w:t xml:space="preserve"> prevention, but it does not establish sugar as the sole cause. Benton and Young (2024) </w:t>
      </w:r>
      <w:r w:rsidR="0029347C">
        <w:rPr>
          <w:rFonts w:ascii="Arial" w:hAnsi="Arial" w:cs="Arial"/>
        </w:rPr>
        <w:t>linked early cola exposure with later adiposity, yet the same exposure clustered with a less healthy</w:t>
      </w:r>
      <w:r w:rsidRPr="00B644C5">
        <w:rPr>
          <w:rFonts w:ascii="Arial" w:hAnsi="Arial" w:cs="Arial"/>
        </w:rPr>
        <w:t xml:space="preserve"> diet and socioeconomic factors. Residual confounding remains possible even after statistical adjustment. </w:t>
      </w:r>
      <w:proofErr w:type="spellStart"/>
      <w:r w:rsidRPr="00B644C5">
        <w:rPr>
          <w:rFonts w:ascii="Arial" w:hAnsi="Arial" w:cs="Arial"/>
        </w:rPr>
        <w:t>Sekkarie</w:t>
      </w:r>
      <w:proofErr w:type="spellEnd"/>
      <w:r w:rsidRPr="00B644C5">
        <w:rPr>
          <w:rFonts w:ascii="Arial" w:hAnsi="Arial" w:cs="Arial"/>
        </w:rPr>
        <w:t xml:space="preserve"> et al. (2021) similarly reported only a weak association with an adult metabolic outcome. These findings support early prevention but provide indirect rather than causal evidence about childhood obesity.</w:t>
      </w:r>
    </w:p>
    <w:p w14:paraId="50A8AE79" w14:textId="77777777" w:rsidR="00306AF5" w:rsidRPr="00B644C5" w:rsidRDefault="00306AF5" w:rsidP="00CB56A9">
      <w:pPr>
        <w:pStyle w:val="NormaleWeb"/>
        <w:spacing w:line="360" w:lineRule="auto"/>
        <w:jc w:val="both"/>
        <w:rPr>
          <w:rFonts w:ascii="Arial" w:hAnsi="Arial" w:cs="Arial"/>
        </w:rPr>
      </w:pPr>
      <w:r w:rsidRPr="00B644C5">
        <w:rPr>
          <w:rFonts w:ascii="Arial" w:hAnsi="Arial" w:cs="Arial"/>
        </w:rPr>
        <w:t>Theme 1 shows why beverage consumption should be interpreted as both a dietary exposure and a possible marker of wider behaviour. Liquid sugar may increase energy intake, but children who frequently consume cola may also experience different meal patterns, marketing exposure and household food environments. The contrast between cola and apple juice reported by Benton and Young (2024) further shows that beverage categories, portion sizes and associated behaviours matter. Interventions should therefore reduce SSBs without implying that changing one drink will independently resolve obesity.</w:t>
      </w:r>
    </w:p>
    <w:p w14:paraId="723A4187" w14:textId="77777777" w:rsidR="00306AF5" w:rsidRPr="00B644C5" w:rsidRDefault="00306AF5" w:rsidP="00CB56A9">
      <w:pPr>
        <w:pStyle w:val="NormaleWeb"/>
        <w:spacing w:line="360" w:lineRule="auto"/>
        <w:jc w:val="both"/>
        <w:rPr>
          <w:rFonts w:ascii="Arial" w:hAnsi="Arial" w:cs="Arial"/>
        </w:rPr>
      </w:pPr>
      <w:r w:rsidRPr="00B644C5">
        <w:rPr>
          <w:rFonts w:ascii="Arial" w:hAnsi="Arial" w:cs="Arial"/>
        </w:rPr>
        <w:t>The two Rogers studies are complementary. Reduced free-sugar intake after the levy provides a plausible exposure pathway (Rogers et al., 2024), while reduced obesity prevalence among Year 6 girls represents an associated health outcome (Rogers et al., 2023). Interrupted time-series analysis accounts for pre-existing trends, but contemporaneous policy, economic and behavioural changes cannot be excluded. Moreover, the absence of clear effects among boys and younger children shows that one measure does not benefit every group equally.</w:t>
      </w:r>
    </w:p>
    <w:p w14:paraId="3FF0D5A0" w14:textId="77777777" w:rsidR="00306AF5" w:rsidRPr="00B644C5" w:rsidRDefault="00306AF5" w:rsidP="00CB56A9">
      <w:pPr>
        <w:pStyle w:val="NormaleWeb"/>
        <w:spacing w:line="360" w:lineRule="auto"/>
        <w:jc w:val="both"/>
        <w:rPr>
          <w:rFonts w:ascii="Arial" w:hAnsi="Arial" w:cs="Arial"/>
        </w:rPr>
      </w:pPr>
      <w:r w:rsidRPr="00B644C5">
        <w:rPr>
          <w:rFonts w:ascii="Arial" w:hAnsi="Arial" w:cs="Arial"/>
        </w:rPr>
        <w:t>The findings favour structural action alongside family support. Reformulation can lower exposure without requiring repeated individual decisions, potentially benefiting disadvantaged groups. Nevertheless, persistent intake above guidance supports combining the levy with marketing restrictions, healthy school environments and affordable food access. Professionals should provide practical, non-stigmatising advice rather than framing obesity as parental failure (NICE, 2025).</w:t>
      </w:r>
    </w:p>
    <w:p w14:paraId="15401F17" w14:textId="77777777" w:rsidR="00306AF5" w:rsidRPr="00B644C5" w:rsidRDefault="00306AF5" w:rsidP="00CB56A9">
      <w:pPr>
        <w:pStyle w:val="NormaleWeb"/>
        <w:spacing w:line="360" w:lineRule="auto"/>
        <w:jc w:val="both"/>
        <w:rPr>
          <w:rFonts w:ascii="Arial" w:hAnsi="Arial" w:cs="Arial"/>
        </w:rPr>
      </w:pPr>
      <w:r w:rsidRPr="00B644C5">
        <w:rPr>
          <w:rFonts w:ascii="Arial" w:hAnsi="Arial" w:cs="Arial"/>
        </w:rPr>
        <w:lastRenderedPageBreak/>
        <w:t>Theme 3 strengthens the equity argument. The larger estimated effect among deprived Year 6 girls suggests that population measures can sometimes benefit groups with greater baseline risk. However, results should not be generalised to all deprived children because effects were not detected uniformly by age or sex. Services should use local surveillance to identify need, while research should examine why responses differ. The life-course findings also justify early action, but long follow-up increases opportunities for later diet, activity and social change to affect outcomes.</w:t>
      </w:r>
    </w:p>
    <w:p w14:paraId="57F55F2A" w14:textId="77777777" w:rsidR="00306AF5" w:rsidRPr="00B644C5" w:rsidRDefault="00306AF5" w:rsidP="00CB56A9">
      <w:pPr>
        <w:pStyle w:val="NormaleWeb"/>
        <w:spacing w:line="360" w:lineRule="auto"/>
        <w:jc w:val="both"/>
        <w:rPr>
          <w:rFonts w:ascii="Arial" w:hAnsi="Arial" w:cs="Arial"/>
        </w:rPr>
      </w:pPr>
      <w:r w:rsidRPr="00B644C5">
        <w:rPr>
          <w:rFonts w:ascii="Arial" w:hAnsi="Arial" w:cs="Arial"/>
        </w:rPr>
        <w:t>This review’s UK focus and inclusion of exposure, policy and outcome evidence are strengths. The summary table makes differences between designs visible, and thematic analysis integrates rather than statistically combines heterogeneous findings. Large national datasets strengthened the Rogers studies, and ALSPAC enabled life-course analysis.</w:t>
      </w:r>
    </w:p>
    <w:p w14:paraId="7B50B5BB" w14:textId="77777777" w:rsidR="00306AF5" w:rsidRPr="00B644C5" w:rsidRDefault="00306AF5" w:rsidP="00CB56A9">
      <w:pPr>
        <w:pStyle w:val="NormaleWeb"/>
        <w:spacing w:line="360" w:lineRule="auto"/>
        <w:jc w:val="both"/>
        <w:rPr>
          <w:rFonts w:ascii="Arial" w:hAnsi="Arial" w:cs="Arial"/>
        </w:rPr>
      </w:pPr>
      <w:r w:rsidRPr="00B644C5">
        <w:rPr>
          <w:rFonts w:ascii="Arial" w:hAnsi="Arial" w:cs="Arial"/>
        </w:rPr>
        <w:t xml:space="preserve">Limitations include the small sample of studies, English-language restriction, single-reviewer selection and absence of formal risk-of-bias assessment. Two studies used ALSPAC and measured adult rather than child outcomes. Stanner and Spiro (2020) </w:t>
      </w:r>
      <w:proofErr w:type="gramStart"/>
      <w:r w:rsidRPr="00B644C5">
        <w:rPr>
          <w:rFonts w:ascii="Arial" w:hAnsi="Arial" w:cs="Arial"/>
        </w:rPr>
        <w:t>was</w:t>
      </w:r>
      <w:proofErr w:type="gramEnd"/>
      <w:r w:rsidRPr="00B644C5">
        <w:rPr>
          <w:rFonts w:ascii="Arial" w:hAnsi="Arial" w:cs="Arial"/>
        </w:rPr>
        <w:t xml:space="preserve"> a narrative review, and interrupted time-series evidence cannot prove causality. Different exposures and outcomes prevented meta-analysis. Evidence concerning ethnicity, disability, food insecurity, regional service variation and family experience was limited.</w:t>
      </w:r>
    </w:p>
    <w:p w14:paraId="6258C137" w14:textId="77777777" w:rsidR="00306AF5" w:rsidRPr="00B644C5" w:rsidRDefault="00306AF5" w:rsidP="00CB56A9">
      <w:pPr>
        <w:pStyle w:val="NormaleWeb"/>
        <w:spacing w:line="360" w:lineRule="auto"/>
        <w:jc w:val="both"/>
        <w:rPr>
          <w:rFonts w:ascii="Arial" w:hAnsi="Arial" w:cs="Arial"/>
        </w:rPr>
      </w:pPr>
      <w:r w:rsidRPr="00B644C5">
        <w:rPr>
          <w:rFonts w:ascii="Arial" w:hAnsi="Arial" w:cs="Arial"/>
        </w:rPr>
        <w:t>These limitations affect confidence rather than making the findings unusable. Convergence between lower sugar intake and a favourable obesity trend increases plausibility, while the inconsistent subgroup effects prevent overstatement. The review therefore supports continued, evaluated intervention alongside more robust evidence rather than either rejecting sugar reduction or presenting it as a complete solution.</w:t>
      </w:r>
    </w:p>
    <w:p w14:paraId="64A433BE" w14:textId="77777777" w:rsidR="00306AF5" w:rsidRDefault="00306AF5" w:rsidP="00CB56A9">
      <w:pPr>
        <w:spacing w:line="360" w:lineRule="auto"/>
        <w:jc w:val="both"/>
        <w:rPr>
          <w:rFonts w:ascii="Arial" w:hAnsi="Arial" w:cs="Arial"/>
          <w:sz w:val="22"/>
        </w:rPr>
      </w:pPr>
    </w:p>
    <w:p w14:paraId="20459D32" w14:textId="77777777" w:rsidR="00637E0C" w:rsidRDefault="00637E0C" w:rsidP="00CB56A9">
      <w:pPr>
        <w:spacing w:line="360" w:lineRule="auto"/>
        <w:jc w:val="both"/>
        <w:rPr>
          <w:rFonts w:ascii="Arial" w:hAnsi="Arial" w:cs="Arial"/>
          <w:sz w:val="22"/>
        </w:rPr>
      </w:pPr>
    </w:p>
    <w:p w14:paraId="50E4E525" w14:textId="77777777" w:rsidR="00637E0C" w:rsidRPr="00B644C5" w:rsidRDefault="00637E0C" w:rsidP="00CB56A9">
      <w:pPr>
        <w:spacing w:line="360" w:lineRule="auto"/>
        <w:jc w:val="both"/>
        <w:rPr>
          <w:rFonts w:ascii="Arial" w:hAnsi="Arial" w:cs="Arial"/>
          <w:sz w:val="22"/>
        </w:rPr>
      </w:pPr>
    </w:p>
    <w:p w14:paraId="716C4168" w14:textId="77777777" w:rsidR="0077214F" w:rsidRPr="00B644C5" w:rsidRDefault="0077214F" w:rsidP="00CB56A9">
      <w:pPr>
        <w:pStyle w:val="Titolo1"/>
        <w:jc w:val="both"/>
        <w:rPr>
          <w:rFonts w:cs="Arial"/>
        </w:rPr>
      </w:pPr>
    </w:p>
    <w:p w14:paraId="71DD9DB0" w14:textId="68E15298" w:rsidR="000832E7" w:rsidRPr="00B644C5" w:rsidRDefault="000832E7" w:rsidP="00CB56A9">
      <w:pPr>
        <w:pStyle w:val="Titolo1"/>
        <w:jc w:val="both"/>
        <w:rPr>
          <w:rFonts w:cs="Arial"/>
        </w:rPr>
      </w:pPr>
      <w:r w:rsidRPr="00B644C5">
        <w:rPr>
          <w:rFonts w:cs="Arial"/>
        </w:rPr>
        <w:t>CONCLUSION AND RECOMMENDATIONS</w:t>
      </w:r>
    </w:p>
    <w:p w14:paraId="307FFEF8" w14:textId="1FAED899" w:rsidR="00B03879" w:rsidRPr="002828B3" w:rsidRDefault="00B03879" w:rsidP="00CB56A9">
      <w:pPr>
        <w:spacing w:before="100" w:beforeAutospacing="1" w:after="100" w:afterAutospacing="1" w:line="360" w:lineRule="auto"/>
        <w:jc w:val="both"/>
        <w:outlineLvl w:val="1"/>
        <w:rPr>
          <w:rFonts w:ascii="Arial" w:eastAsia="Times New Roman" w:hAnsi="Arial" w:cs="Arial"/>
          <w:b/>
          <w:bCs/>
          <w:sz w:val="22"/>
          <w:lang w:eastAsia="en-GB"/>
        </w:rPr>
      </w:pPr>
      <w:r w:rsidRPr="002828B3">
        <w:rPr>
          <w:rFonts w:ascii="Arial" w:eastAsia="Times New Roman" w:hAnsi="Arial" w:cs="Arial"/>
          <w:b/>
          <w:bCs/>
          <w:sz w:val="22"/>
          <w:lang w:eastAsia="en-GB"/>
        </w:rPr>
        <w:t>Conclusio</w:t>
      </w:r>
      <w:r w:rsidR="00A05231">
        <w:rPr>
          <w:rFonts w:ascii="Arial" w:eastAsia="Times New Roman" w:hAnsi="Arial" w:cs="Arial"/>
          <w:b/>
          <w:bCs/>
          <w:sz w:val="22"/>
          <w:lang w:eastAsia="en-GB"/>
        </w:rPr>
        <w:t>n</w:t>
      </w:r>
    </w:p>
    <w:p w14:paraId="3965430A" w14:textId="77777777" w:rsidR="00B03879" w:rsidRPr="002828B3" w:rsidRDefault="00B03879" w:rsidP="00CB56A9">
      <w:pPr>
        <w:spacing w:before="100" w:beforeAutospacing="1" w:after="100" w:afterAutospacing="1" w:line="360" w:lineRule="auto"/>
        <w:jc w:val="both"/>
        <w:rPr>
          <w:rFonts w:ascii="Arial" w:eastAsia="Times New Roman" w:hAnsi="Arial" w:cs="Arial"/>
          <w:sz w:val="22"/>
          <w:lang w:eastAsia="en-GB"/>
        </w:rPr>
      </w:pPr>
      <w:r w:rsidRPr="002828B3">
        <w:rPr>
          <w:rFonts w:ascii="Arial" w:eastAsia="Times New Roman" w:hAnsi="Arial" w:cs="Arial"/>
          <w:sz w:val="22"/>
          <w:lang w:eastAsia="en-GB"/>
        </w:rPr>
        <w:t>This review answered the question by identifying evidence that free sugars and SSBs contribute to obesity-related risk within a wider system of dietary, commercial and socioeconomic influences. The SDIL was associated with lower children’s sugar intake and reduced obesity prevalence among Year 6 girls, especially in deprived areas (Rogers et al., 2023; Rogers et al., 2024). Early cola exposure was associated with later adiposity (Benton and Young, 2024), while early sugar intake showed a weak relationship with adult liver health (</w:t>
      </w:r>
      <w:proofErr w:type="spellStart"/>
      <w:r w:rsidRPr="002828B3">
        <w:rPr>
          <w:rFonts w:ascii="Arial" w:eastAsia="Times New Roman" w:hAnsi="Arial" w:cs="Arial"/>
          <w:sz w:val="22"/>
          <w:lang w:eastAsia="en-GB"/>
        </w:rPr>
        <w:t>Sekkarie</w:t>
      </w:r>
      <w:proofErr w:type="spellEnd"/>
      <w:r w:rsidRPr="002828B3">
        <w:rPr>
          <w:rFonts w:ascii="Arial" w:eastAsia="Times New Roman" w:hAnsi="Arial" w:cs="Arial"/>
          <w:sz w:val="22"/>
          <w:lang w:eastAsia="en-GB"/>
        </w:rPr>
        <w:t xml:space="preserve"> et al., 2021). Sugar is therefore an important modifiable exposure but not the sole cause of childhood obesity. Prevention requires coordinated research, policy, healthcare, school and family action.</w:t>
      </w:r>
    </w:p>
    <w:p w14:paraId="7CC9B364" w14:textId="77777777" w:rsidR="00B03879" w:rsidRPr="002828B3" w:rsidRDefault="00B03879" w:rsidP="00CB56A9">
      <w:pPr>
        <w:spacing w:before="100" w:beforeAutospacing="1" w:after="100" w:afterAutospacing="1" w:line="360" w:lineRule="auto"/>
        <w:jc w:val="both"/>
        <w:outlineLvl w:val="1"/>
        <w:rPr>
          <w:rFonts w:ascii="Arial" w:eastAsia="Times New Roman" w:hAnsi="Arial" w:cs="Arial"/>
          <w:b/>
          <w:bCs/>
          <w:sz w:val="22"/>
          <w:lang w:eastAsia="en-GB"/>
        </w:rPr>
      </w:pPr>
      <w:r w:rsidRPr="002828B3">
        <w:rPr>
          <w:rFonts w:ascii="Arial" w:eastAsia="Times New Roman" w:hAnsi="Arial" w:cs="Arial"/>
          <w:b/>
          <w:bCs/>
          <w:sz w:val="22"/>
          <w:lang w:eastAsia="en-GB"/>
        </w:rPr>
        <w:t>Recommendations for healthcare</w:t>
      </w:r>
    </w:p>
    <w:p w14:paraId="60F3FE95" w14:textId="318902E8" w:rsidR="00B03879" w:rsidRPr="002828B3" w:rsidRDefault="00B03879" w:rsidP="00CB56A9">
      <w:pPr>
        <w:spacing w:before="100" w:beforeAutospacing="1" w:after="100" w:afterAutospacing="1" w:line="360" w:lineRule="auto"/>
        <w:jc w:val="both"/>
        <w:rPr>
          <w:rFonts w:ascii="Arial" w:eastAsia="Times New Roman" w:hAnsi="Arial" w:cs="Arial"/>
          <w:sz w:val="22"/>
          <w:lang w:eastAsia="en-GB"/>
        </w:rPr>
      </w:pPr>
      <w:r w:rsidRPr="002828B3">
        <w:rPr>
          <w:rFonts w:ascii="Arial" w:eastAsia="Times New Roman" w:hAnsi="Arial" w:cs="Arial"/>
          <w:sz w:val="22"/>
          <w:lang w:eastAsia="en-GB"/>
        </w:rPr>
        <w:t>Healthcare professionals should provide consistent, age-appropriate advice promoting water and unsweetened milk</w:t>
      </w:r>
      <w:r w:rsidR="00A05231">
        <w:rPr>
          <w:rFonts w:ascii="Arial" w:eastAsia="Times New Roman" w:hAnsi="Arial" w:cs="Arial"/>
          <w:sz w:val="22"/>
          <w:lang w:eastAsia="en-GB"/>
        </w:rPr>
        <w:t>, and explain free sugars within the whole</w:t>
      </w:r>
      <w:r w:rsidRPr="002828B3">
        <w:rPr>
          <w:rFonts w:ascii="Arial" w:eastAsia="Times New Roman" w:hAnsi="Arial" w:cs="Arial"/>
          <w:sz w:val="22"/>
          <w:lang w:eastAsia="en-GB"/>
        </w:rPr>
        <w:t>. Assessment should also address activity, sleep, oral health, family routines and socioeconomic barriers. Communication must be respectful and non-stigmatising, and children with severe obesity or related conditions should receive appropriate multidisciplinary assessment and referral (NICE, 2025). Routine health and dental contacts should reinforce consistent prevention messages.</w:t>
      </w:r>
    </w:p>
    <w:p w14:paraId="0B7A92B1" w14:textId="77777777" w:rsidR="00B03879" w:rsidRPr="002828B3" w:rsidRDefault="00B03879" w:rsidP="00CB56A9">
      <w:pPr>
        <w:spacing w:before="100" w:beforeAutospacing="1" w:after="100" w:afterAutospacing="1" w:line="360" w:lineRule="auto"/>
        <w:jc w:val="both"/>
        <w:outlineLvl w:val="1"/>
        <w:rPr>
          <w:rFonts w:ascii="Arial" w:eastAsia="Times New Roman" w:hAnsi="Arial" w:cs="Arial"/>
          <w:b/>
          <w:bCs/>
          <w:sz w:val="22"/>
          <w:lang w:eastAsia="en-GB"/>
        </w:rPr>
      </w:pPr>
      <w:r w:rsidRPr="002828B3">
        <w:rPr>
          <w:rFonts w:ascii="Arial" w:eastAsia="Times New Roman" w:hAnsi="Arial" w:cs="Arial"/>
          <w:b/>
          <w:bCs/>
          <w:sz w:val="22"/>
          <w:lang w:eastAsia="en-GB"/>
        </w:rPr>
        <w:t>Recommendations for schools</w:t>
      </w:r>
    </w:p>
    <w:p w14:paraId="785A4DBD" w14:textId="380E9DF5" w:rsidR="00B03879" w:rsidRPr="002828B3" w:rsidRDefault="00B03879" w:rsidP="00CB56A9">
      <w:pPr>
        <w:spacing w:before="100" w:beforeAutospacing="1" w:after="100" w:afterAutospacing="1" w:line="360" w:lineRule="auto"/>
        <w:jc w:val="both"/>
        <w:rPr>
          <w:rFonts w:ascii="Arial" w:eastAsia="Times New Roman" w:hAnsi="Arial" w:cs="Arial"/>
          <w:sz w:val="22"/>
          <w:lang w:eastAsia="en-GB"/>
        </w:rPr>
      </w:pPr>
      <w:r w:rsidRPr="002828B3">
        <w:rPr>
          <w:rFonts w:ascii="Arial" w:eastAsia="Times New Roman" w:hAnsi="Arial" w:cs="Arial"/>
          <w:sz w:val="22"/>
          <w:lang w:eastAsia="en-GB"/>
        </w:rPr>
        <w:t>Schools should provide accessible drinking water, consistently apply food standards and limit routine provision of SSBs. Practical nutrition education should teach label reading and healthier drink choices, supported by changes to food provision. Parents should be involved because cooperation between families and early-years or school staff improves acceptability (McSweeney et al., 2016). High-sugar products should not be routine rewards, and weight-related communication must remain confidential and sensitive. Schools in deprived areas may require additional resources.</w:t>
      </w:r>
    </w:p>
    <w:p w14:paraId="3B6549C4" w14:textId="77777777" w:rsidR="00B03879" w:rsidRPr="002828B3" w:rsidRDefault="00B03879" w:rsidP="00CB56A9">
      <w:pPr>
        <w:spacing w:before="100" w:beforeAutospacing="1" w:after="100" w:afterAutospacing="1" w:line="360" w:lineRule="auto"/>
        <w:jc w:val="both"/>
        <w:outlineLvl w:val="1"/>
        <w:rPr>
          <w:rFonts w:ascii="Arial" w:eastAsia="Times New Roman" w:hAnsi="Arial" w:cs="Arial"/>
          <w:b/>
          <w:bCs/>
          <w:sz w:val="22"/>
          <w:lang w:eastAsia="en-GB"/>
        </w:rPr>
      </w:pPr>
      <w:r w:rsidRPr="002828B3">
        <w:rPr>
          <w:rFonts w:ascii="Arial" w:eastAsia="Times New Roman" w:hAnsi="Arial" w:cs="Arial"/>
          <w:b/>
          <w:bCs/>
          <w:sz w:val="22"/>
          <w:lang w:eastAsia="en-GB"/>
        </w:rPr>
        <w:t>Recommendations for families</w:t>
      </w:r>
    </w:p>
    <w:p w14:paraId="37CBB2A7" w14:textId="77608D79" w:rsidR="00B03879" w:rsidRPr="002828B3" w:rsidRDefault="00B03879" w:rsidP="00CB56A9">
      <w:pPr>
        <w:spacing w:before="100" w:beforeAutospacing="1" w:after="100" w:afterAutospacing="1" w:line="360" w:lineRule="auto"/>
        <w:jc w:val="both"/>
        <w:rPr>
          <w:rFonts w:ascii="Arial" w:eastAsia="Times New Roman" w:hAnsi="Arial" w:cs="Arial"/>
          <w:sz w:val="22"/>
          <w:lang w:eastAsia="en-GB"/>
        </w:rPr>
      </w:pPr>
      <w:r w:rsidRPr="002828B3">
        <w:rPr>
          <w:rFonts w:ascii="Arial" w:eastAsia="Times New Roman" w:hAnsi="Arial" w:cs="Arial"/>
          <w:sz w:val="22"/>
          <w:lang w:eastAsia="en-GB"/>
        </w:rPr>
        <w:t>Families should gradually replace SSBs with water or unsweetened alternatives, limit juice and smoothies, compare labels and consider the complete diet</w:t>
      </w:r>
      <w:r w:rsidR="00DD4CDB">
        <w:rPr>
          <w:rFonts w:ascii="Arial" w:eastAsia="Times New Roman" w:hAnsi="Arial" w:cs="Arial"/>
          <w:sz w:val="22"/>
          <w:lang w:eastAsia="en-GB"/>
        </w:rPr>
        <w:t xml:space="preserve">. </w:t>
      </w:r>
      <w:r w:rsidRPr="002828B3">
        <w:rPr>
          <w:rFonts w:ascii="Arial" w:eastAsia="Times New Roman" w:hAnsi="Arial" w:cs="Arial"/>
          <w:sz w:val="22"/>
          <w:lang w:eastAsia="en-GB"/>
        </w:rPr>
        <w:t xml:space="preserve">Healthier routines should </w:t>
      </w:r>
      <w:r w:rsidRPr="002828B3">
        <w:rPr>
          <w:rFonts w:ascii="Arial" w:eastAsia="Times New Roman" w:hAnsi="Arial" w:cs="Arial"/>
          <w:sz w:val="22"/>
          <w:lang w:eastAsia="en-GB"/>
        </w:rPr>
        <w:lastRenderedPageBreak/>
        <w:t>begin early because beverage patterns may track into later life (Benton and Young, 2024; Costa, Warkentin and Oliveira, 2021). Parents can model healthier choices, keep water available and involve children in food preparation. Changes should be realistic, culturally appropriate and non-punitive. Families concerned about weight, diet, dental health or related symptoms should seek professional support (NICE, 2025).</w:t>
      </w:r>
    </w:p>
    <w:p w14:paraId="1C919154" w14:textId="77777777" w:rsidR="00B03879" w:rsidRPr="002828B3" w:rsidRDefault="00B03879" w:rsidP="00CB56A9">
      <w:pPr>
        <w:spacing w:before="100" w:beforeAutospacing="1" w:after="100" w:afterAutospacing="1" w:line="360" w:lineRule="auto"/>
        <w:jc w:val="both"/>
        <w:outlineLvl w:val="1"/>
        <w:rPr>
          <w:rFonts w:ascii="Arial" w:eastAsia="Times New Roman" w:hAnsi="Arial" w:cs="Arial"/>
          <w:b/>
          <w:bCs/>
          <w:sz w:val="22"/>
          <w:lang w:eastAsia="en-GB"/>
        </w:rPr>
      </w:pPr>
      <w:r w:rsidRPr="002828B3">
        <w:rPr>
          <w:rFonts w:ascii="Arial" w:eastAsia="Times New Roman" w:hAnsi="Arial" w:cs="Arial"/>
          <w:b/>
          <w:bCs/>
          <w:sz w:val="22"/>
          <w:lang w:eastAsia="en-GB"/>
        </w:rPr>
        <w:t>Recommendations for policy and future research</w:t>
      </w:r>
    </w:p>
    <w:p w14:paraId="17810322" w14:textId="77777777" w:rsidR="00B03879" w:rsidRPr="002828B3" w:rsidRDefault="00B03879" w:rsidP="00CB56A9">
      <w:pPr>
        <w:spacing w:before="100" w:beforeAutospacing="1" w:after="100" w:afterAutospacing="1" w:line="360" w:lineRule="auto"/>
        <w:jc w:val="both"/>
        <w:rPr>
          <w:rFonts w:ascii="Arial" w:eastAsia="Times New Roman" w:hAnsi="Arial" w:cs="Arial"/>
          <w:sz w:val="22"/>
          <w:lang w:eastAsia="en-GB"/>
        </w:rPr>
      </w:pPr>
      <w:r w:rsidRPr="002828B3">
        <w:rPr>
          <w:rFonts w:ascii="Arial" w:eastAsia="Times New Roman" w:hAnsi="Arial" w:cs="Arial"/>
          <w:sz w:val="22"/>
          <w:lang w:eastAsia="en-GB"/>
        </w:rPr>
        <w:t xml:space="preserve">The UK should maintain, strengthen and independently evaluate the SDIL by age, sex, deprivation and ethnicity. Advertising and promotion restrictions should be enforced and evaluated using children’s actual exposure. Fiscal measures should be combined with policies improving affordable </w:t>
      </w:r>
      <w:proofErr w:type="spellStart"/>
      <w:r w:rsidRPr="002828B3">
        <w:rPr>
          <w:rFonts w:ascii="Arial" w:eastAsia="Times New Roman" w:hAnsi="Arial" w:cs="Arial"/>
          <w:sz w:val="22"/>
          <w:lang w:eastAsia="en-GB"/>
        </w:rPr>
        <w:t>healthy</w:t>
      </w:r>
      <w:proofErr w:type="spellEnd"/>
      <w:r w:rsidRPr="002828B3">
        <w:rPr>
          <w:rFonts w:ascii="Arial" w:eastAsia="Times New Roman" w:hAnsi="Arial" w:cs="Arial"/>
          <w:sz w:val="22"/>
          <w:lang w:eastAsia="en-GB"/>
        </w:rPr>
        <w:t>-food access. Future longitudinal research should repeatedly measure beverage type, free-sugar intake, overall diet, BMI and adiposity and examine substitution effects. Qualitative research should explore affordability, culture, marketing and service barriers. Future reviews should use registered protocols, duplicate screening, comprehensive searches and formal quality appraisal.</w:t>
      </w:r>
    </w:p>
    <w:p w14:paraId="2E9FA851" w14:textId="3E9EEEFA" w:rsidR="00B644C5" w:rsidRDefault="00B03879" w:rsidP="00CB56A9">
      <w:pPr>
        <w:spacing w:before="100" w:beforeAutospacing="1" w:after="100" w:afterAutospacing="1" w:line="360" w:lineRule="auto"/>
        <w:jc w:val="both"/>
        <w:rPr>
          <w:rFonts w:ascii="Arial" w:eastAsia="Times New Roman" w:hAnsi="Arial" w:cs="Arial"/>
          <w:szCs w:val="24"/>
          <w:lang w:eastAsia="en-GB"/>
        </w:rPr>
      </w:pPr>
      <w:r w:rsidRPr="002828B3">
        <w:rPr>
          <w:rFonts w:ascii="Arial" w:eastAsia="Times New Roman" w:hAnsi="Arial" w:cs="Arial"/>
          <w:sz w:val="22"/>
          <w:lang w:eastAsia="en-GB"/>
        </w:rPr>
        <w:t>Evaluation should also examine unintended effects, including substitution towards other high-sugar foods or increased reliance on low- or no-calorie sweeteners. Studies should include sufficient participants to compare regions and population groups and should report both absolute and relative effects. Children, parents, schools and practitioners should be involved in designing interventions so that recommendations</w:t>
      </w:r>
      <w:r w:rsidRPr="00B644C5">
        <w:rPr>
          <w:rFonts w:ascii="Arial" w:eastAsia="Times New Roman" w:hAnsi="Arial" w:cs="Arial"/>
          <w:szCs w:val="24"/>
          <w:lang w:eastAsia="en-GB"/>
        </w:rPr>
        <w:t xml:space="preserve"> are acceptable, feasible and sensitive to lived circumstances.</w:t>
      </w:r>
    </w:p>
    <w:p w14:paraId="048D2CEF" w14:textId="77777777" w:rsidR="00CB56A9" w:rsidRDefault="00CB56A9" w:rsidP="00CB56A9">
      <w:pPr>
        <w:spacing w:before="100" w:beforeAutospacing="1" w:after="100" w:afterAutospacing="1" w:line="360" w:lineRule="auto"/>
        <w:jc w:val="both"/>
        <w:rPr>
          <w:rFonts w:ascii="Arial" w:eastAsia="Times New Roman" w:hAnsi="Arial" w:cs="Arial"/>
          <w:szCs w:val="24"/>
          <w:lang w:eastAsia="en-GB"/>
        </w:rPr>
      </w:pPr>
    </w:p>
    <w:p w14:paraId="52613C17" w14:textId="77777777" w:rsidR="00CB56A9" w:rsidRDefault="00CB56A9" w:rsidP="00CB56A9">
      <w:pPr>
        <w:spacing w:before="100" w:beforeAutospacing="1" w:after="100" w:afterAutospacing="1" w:line="360" w:lineRule="auto"/>
        <w:jc w:val="both"/>
        <w:rPr>
          <w:rFonts w:ascii="Arial" w:eastAsia="Times New Roman" w:hAnsi="Arial" w:cs="Arial"/>
          <w:szCs w:val="24"/>
          <w:lang w:eastAsia="en-GB"/>
        </w:rPr>
      </w:pPr>
    </w:p>
    <w:p w14:paraId="15A45695" w14:textId="77777777" w:rsidR="00CB56A9" w:rsidRDefault="00CB56A9" w:rsidP="00CB56A9">
      <w:pPr>
        <w:spacing w:before="100" w:beforeAutospacing="1" w:after="100" w:afterAutospacing="1" w:line="360" w:lineRule="auto"/>
        <w:jc w:val="both"/>
        <w:rPr>
          <w:rFonts w:ascii="Arial" w:eastAsia="Times New Roman" w:hAnsi="Arial" w:cs="Arial"/>
          <w:szCs w:val="24"/>
          <w:lang w:eastAsia="en-GB"/>
        </w:rPr>
      </w:pPr>
    </w:p>
    <w:p w14:paraId="26C60D77" w14:textId="77777777" w:rsidR="00CB56A9" w:rsidRDefault="00CB56A9" w:rsidP="00CB56A9">
      <w:pPr>
        <w:spacing w:before="100" w:beforeAutospacing="1" w:after="100" w:afterAutospacing="1" w:line="360" w:lineRule="auto"/>
        <w:jc w:val="both"/>
        <w:rPr>
          <w:rFonts w:ascii="Arial" w:eastAsia="Times New Roman" w:hAnsi="Arial" w:cs="Arial"/>
          <w:szCs w:val="24"/>
          <w:lang w:eastAsia="en-GB"/>
        </w:rPr>
      </w:pPr>
    </w:p>
    <w:p w14:paraId="38314700" w14:textId="77777777" w:rsidR="00CB56A9" w:rsidRDefault="00CB56A9" w:rsidP="00CB56A9">
      <w:pPr>
        <w:spacing w:before="100" w:beforeAutospacing="1" w:after="100" w:afterAutospacing="1" w:line="360" w:lineRule="auto"/>
        <w:jc w:val="both"/>
        <w:rPr>
          <w:rFonts w:ascii="Arial" w:eastAsia="Times New Roman" w:hAnsi="Arial" w:cs="Arial"/>
          <w:szCs w:val="24"/>
          <w:lang w:eastAsia="en-GB"/>
        </w:rPr>
      </w:pPr>
    </w:p>
    <w:p w14:paraId="50CA9689" w14:textId="77777777" w:rsidR="00CB56A9" w:rsidRDefault="00CB56A9" w:rsidP="00CB56A9">
      <w:pPr>
        <w:spacing w:before="100" w:beforeAutospacing="1" w:after="100" w:afterAutospacing="1" w:line="360" w:lineRule="auto"/>
        <w:jc w:val="both"/>
        <w:rPr>
          <w:rFonts w:ascii="Arial" w:eastAsia="Times New Roman" w:hAnsi="Arial" w:cs="Arial"/>
          <w:szCs w:val="24"/>
          <w:lang w:eastAsia="en-GB"/>
        </w:rPr>
      </w:pPr>
    </w:p>
    <w:p w14:paraId="544FF727" w14:textId="77777777" w:rsidR="00CB56A9" w:rsidRDefault="00CB56A9" w:rsidP="00CB56A9">
      <w:pPr>
        <w:spacing w:before="100" w:beforeAutospacing="1" w:after="100" w:afterAutospacing="1" w:line="360" w:lineRule="auto"/>
        <w:jc w:val="both"/>
        <w:rPr>
          <w:rFonts w:ascii="Arial" w:eastAsia="Times New Roman" w:hAnsi="Arial" w:cs="Arial"/>
          <w:szCs w:val="24"/>
          <w:lang w:eastAsia="en-GB"/>
        </w:rPr>
      </w:pPr>
    </w:p>
    <w:p w14:paraId="3F3C16CF" w14:textId="77777777" w:rsidR="00CB56A9" w:rsidRPr="00CB56A9" w:rsidRDefault="00CB56A9" w:rsidP="00CB56A9">
      <w:pPr>
        <w:spacing w:before="100" w:beforeAutospacing="1" w:after="100" w:afterAutospacing="1" w:line="360" w:lineRule="auto"/>
        <w:jc w:val="both"/>
        <w:rPr>
          <w:rFonts w:ascii="Arial" w:eastAsia="Times New Roman" w:hAnsi="Arial" w:cs="Arial"/>
          <w:szCs w:val="24"/>
          <w:lang w:eastAsia="en-GB"/>
        </w:rPr>
      </w:pPr>
    </w:p>
    <w:p w14:paraId="19B5EF62" w14:textId="6DFA190B" w:rsidR="000A20FA" w:rsidRDefault="000A20FA" w:rsidP="00B644C5">
      <w:pPr>
        <w:pStyle w:val="Titolo1"/>
      </w:pPr>
      <w:r>
        <w:lastRenderedPageBreak/>
        <w:t>REFERENCES</w:t>
      </w:r>
    </w:p>
    <w:p w14:paraId="69570F0D" w14:textId="77777777" w:rsidR="000A20FA" w:rsidRPr="000A20FA" w:rsidRDefault="000A20FA" w:rsidP="00B644C5">
      <w:pPr>
        <w:spacing w:line="360" w:lineRule="auto"/>
        <w:jc w:val="both"/>
        <w:rPr>
          <w:rFonts w:ascii="Arial" w:hAnsi="Arial" w:cs="Arial"/>
          <w:sz w:val="22"/>
        </w:rPr>
      </w:pPr>
    </w:p>
    <w:p w14:paraId="7ABF6D8E" w14:textId="77777777" w:rsidR="00FB326F" w:rsidRPr="000D0327" w:rsidRDefault="00FB326F" w:rsidP="00B644C5">
      <w:pPr>
        <w:spacing w:line="360" w:lineRule="auto"/>
        <w:jc w:val="both"/>
        <w:rPr>
          <w:rFonts w:ascii="Arial" w:hAnsi="Arial" w:cs="Arial"/>
          <w:sz w:val="22"/>
        </w:rPr>
      </w:pPr>
      <w:r w:rsidRPr="000D0327">
        <w:rPr>
          <w:rFonts w:ascii="Arial" w:hAnsi="Arial" w:cs="Arial"/>
          <w:sz w:val="22"/>
        </w:rPr>
        <w:t xml:space="preserve">Benton, D. and Young, H.A. (2024) ‘Early exposure to sugar-sweetened beverages or fruit juice differentially influences adult adiposity’, </w:t>
      </w:r>
      <w:r w:rsidRPr="000D0327">
        <w:rPr>
          <w:rFonts w:ascii="Arial" w:hAnsi="Arial" w:cs="Arial"/>
          <w:i/>
          <w:iCs/>
          <w:sz w:val="22"/>
        </w:rPr>
        <w:t>European Journal of Clinical Nutrition</w:t>
      </w:r>
      <w:r w:rsidRPr="000D0327">
        <w:rPr>
          <w:rFonts w:ascii="Arial" w:hAnsi="Arial" w:cs="Arial"/>
          <w:sz w:val="22"/>
        </w:rPr>
        <w:t xml:space="preserve">, 78, pp. 521–526. </w:t>
      </w:r>
      <w:proofErr w:type="spellStart"/>
      <w:r w:rsidRPr="000D0327">
        <w:rPr>
          <w:rFonts w:ascii="Arial" w:hAnsi="Arial" w:cs="Arial"/>
          <w:sz w:val="22"/>
        </w:rPr>
        <w:t>doi</w:t>
      </w:r>
      <w:proofErr w:type="spellEnd"/>
      <w:r w:rsidRPr="000D0327">
        <w:rPr>
          <w:rFonts w:ascii="Arial" w:hAnsi="Arial" w:cs="Arial"/>
          <w:sz w:val="22"/>
        </w:rPr>
        <w:t xml:space="preserve">: 10.1038/s41430-024-01430-y. Available at: </w:t>
      </w:r>
      <w:hyperlink r:id="rId12" w:history="1">
        <w:r w:rsidRPr="000D0327">
          <w:rPr>
            <w:rStyle w:val="Collegamentoipertestuale"/>
            <w:rFonts w:ascii="Arial" w:hAnsi="Arial" w:cs="Arial"/>
            <w:sz w:val="22"/>
          </w:rPr>
          <w:t>https://www.nature.com/articles/s41430-024-01430-y?utm</w:t>
        </w:r>
      </w:hyperlink>
      <w:r w:rsidRPr="000D0327">
        <w:rPr>
          <w:rFonts w:ascii="Arial" w:hAnsi="Arial" w:cs="Arial"/>
          <w:sz w:val="22"/>
        </w:rPr>
        <w:t xml:space="preserve">. </w:t>
      </w:r>
    </w:p>
    <w:p w14:paraId="0746CCA9" w14:textId="723BD22B" w:rsidR="00C45129" w:rsidRPr="000D0327" w:rsidRDefault="00C45129" w:rsidP="00B644C5">
      <w:pPr>
        <w:spacing w:after="0" w:line="360" w:lineRule="auto"/>
        <w:jc w:val="both"/>
        <w:rPr>
          <w:rFonts w:ascii="Arial" w:eastAsia="Times New Roman" w:hAnsi="Arial" w:cs="Arial"/>
          <w:sz w:val="22"/>
          <w:lang w:eastAsia="en-GB"/>
        </w:rPr>
      </w:pPr>
      <w:r w:rsidRPr="006E5632">
        <w:rPr>
          <w:rFonts w:ascii="Arial" w:eastAsia="Times New Roman" w:hAnsi="Arial" w:cs="Arial"/>
          <w:sz w:val="22"/>
          <w:lang w:val="it-IT" w:eastAsia="en-GB"/>
        </w:rPr>
        <w:t xml:space="preserve">Abbasalizad Farhangi, M. </w:t>
      </w:r>
      <w:r w:rsidRPr="006E5632">
        <w:rPr>
          <w:rFonts w:ascii="Arial" w:eastAsia="Times New Roman" w:hAnsi="Arial" w:cs="Arial"/>
          <w:i/>
          <w:iCs/>
          <w:sz w:val="22"/>
          <w:lang w:val="it-IT" w:eastAsia="en-GB"/>
        </w:rPr>
        <w:t>et al.</w:t>
      </w:r>
      <w:r w:rsidRPr="006E5632">
        <w:rPr>
          <w:rFonts w:ascii="Arial" w:eastAsia="Times New Roman" w:hAnsi="Arial" w:cs="Arial"/>
          <w:sz w:val="22"/>
          <w:lang w:val="it-IT" w:eastAsia="en-GB"/>
        </w:rPr>
        <w:t xml:space="preserve"> </w:t>
      </w:r>
      <w:r w:rsidRPr="000D0327">
        <w:rPr>
          <w:rFonts w:ascii="Arial" w:eastAsia="Times New Roman" w:hAnsi="Arial" w:cs="Arial"/>
          <w:sz w:val="22"/>
          <w:lang w:eastAsia="en-GB"/>
        </w:rPr>
        <w:t>(2022) “Sugar</w:t>
      </w:r>
      <w:r w:rsidRPr="000D0327">
        <w:rPr>
          <w:rFonts w:ascii="Cambria Math" w:eastAsia="Times New Roman" w:hAnsi="Cambria Math" w:cs="Cambria Math"/>
          <w:sz w:val="22"/>
          <w:lang w:eastAsia="en-GB"/>
        </w:rPr>
        <w:t>‐</w:t>
      </w:r>
      <w:r w:rsidRPr="000D0327">
        <w:rPr>
          <w:rFonts w:ascii="Arial" w:eastAsia="Times New Roman" w:hAnsi="Arial" w:cs="Arial"/>
          <w:sz w:val="22"/>
          <w:lang w:eastAsia="en-GB"/>
        </w:rPr>
        <w:t>sweetened beverages intake and the risk of obesity in children: An updated systematic review and dose–response meta</w:t>
      </w:r>
      <w:r w:rsidRPr="000D0327">
        <w:rPr>
          <w:rFonts w:ascii="Cambria Math" w:eastAsia="Times New Roman" w:hAnsi="Cambria Math" w:cs="Cambria Math"/>
          <w:sz w:val="22"/>
          <w:lang w:eastAsia="en-GB"/>
        </w:rPr>
        <w:t>‐</w:t>
      </w:r>
      <w:r w:rsidRPr="000D0327">
        <w:rPr>
          <w:rFonts w:ascii="Arial" w:eastAsia="Times New Roman" w:hAnsi="Arial" w:cs="Arial"/>
          <w:sz w:val="22"/>
          <w:lang w:eastAsia="en-GB"/>
        </w:rPr>
        <w:t xml:space="preserve">analysis,” </w:t>
      </w:r>
      <w:proofErr w:type="spellStart"/>
      <w:r w:rsidRPr="000D0327">
        <w:rPr>
          <w:rFonts w:ascii="Arial" w:eastAsia="Times New Roman" w:hAnsi="Arial" w:cs="Arial"/>
          <w:i/>
          <w:iCs/>
          <w:sz w:val="22"/>
          <w:lang w:eastAsia="en-GB"/>
        </w:rPr>
        <w:t>Pediatric</w:t>
      </w:r>
      <w:proofErr w:type="spellEnd"/>
      <w:r w:rsidRPr="000D0327">
        <w:rPr>
          <w:rFonts w:ascii="Arial" w:eastAsia="Times New Roman" w:hAnsi="Arial" w:cs="Arial"/>
          <w:i/>
          <w:iCs/>
          <w:sz w:val="22"/>
          <w:lang w:eastAsia="en-GB"/>
        </w:rPr>
        <w:t xml:space="preserve"> obesity</w:t>
      </w:r>
      <w:r w:rsidRPr="000D0327">
        <w:rPr>
          <w:rFonts w:ascii="Arial" w:eastAsia="Times New Roman" w:hAnsi="Arial" w:cs="Arial"/>
          <w:sz w:val="22"/>
          <w:lang w:eastAsia="en-GB"/>
        </w:rPr>
        <w:t xml:space="preserve">, 17(8), pp. e12914-n/a. Available at: </w:t>
      </w:r>
      <w:hyperlink r:id="rId13" w:history="1">
        <w:r w:rsidRPr="000D0327">
          <w:rPr>
            <w:rStyle w:val="Collegamentoipertestuale"/>
            <w:rFonts w:ascii="Arial" w:eastAsia="Times New Roman" w:hAnsi="Arial" w:cs="Arial"/>
            <w:sz w:val="22"/>
            <w:lang w:eastAsia="en-GB"/>
          </w:rPr>
          <w:t>https://doi.org/10.1111/ijpo.12914</w:t>
        </w:r>
      </w:hyperlink>
      <w:r w:rsidRPr="000D0327">
        <w:rPr>
          <w:rFonts w:ascii="Arial" w:eastAsia="Times New Roman" w:hAnsi="Arial" w:cs="Arial"/>
          <w:sz w:val="22"/>
          <w:lang w:eastAsia="en-GB"/>
        </w:rPr>
        <w:t xml:space="preserve">. </w:t>
      </w:r>
    </w:p>
    <w:p w14:paraId="04A260FA" w14:textId="35DBC158" w:rsidR="002079CA" w:rsidRPr="000D0327" w:rsidRDefault="002079CA" w:rsidP="00B644C5">
      <w:pPr>
        <w:spacing w:after="0" w:line="360" w:lineRule="auto"/>
        <w:jc w:val="both"/>
        <w:rPr>
          <w:rFonts w:ascii="Arial" w:eastAsia="Times New Roman" w:hAnsi="Arial" w:cs="Arial"/>
          <w:sz w:val="22"/>
          <w:lang w:eastAsia="en-GB"/>
        </w:rPr>
      </w:pPr>
      <w:r w:rsidRPr="000D0327">
        <w:rPr>
          <w:rFonts w:ascii="Arial" w:eastAsia="Times New Roman" w:hAnsi="Arial" w:cs="Arial"/>
          <w:sz w:val="22"/>
          <w:lang w:eastAsia="en-GB"/>
        </w:rPr>
        <w:t xml:space="preserve">Bleich, S.N. and Vercammen, K.A. (2018) “The negative impact of sugar-sweetened beverages on children’s health: an update of the literature,” </w:t>
      </w:r>
      <w:r w:rsidRPr="000D0327">
        <w:rPr>
          <w:rFonts w:ascii="Arial" w:eastAsia="Times New Roman" w:hAnsi="Arial" w:cs="Arial"/>
          <w:i/>
          <w:iCs/>
          <w:sz w:val="22"/>
          <w:lang w:eastAsia="en-GB"/>
        </w:rPr>
        <w:t>BMC obesity</w:t>
      </w:r>
      <w:r w:rsidRPr="000D0327">
        <w:rPr>
          <w:rFonts w:ascii="Arial" w:eastAsia="Times New Roman" w:hAnsi="Arial" w:cs="Arial"/>
          <w:sz w:val="22"/>
          <w:lang w:eastAsia="en-GB"/>
        </w:rPr>
        <w:t xml:space="preserve">, 5(1). Available at: </w:t>
      </w:r>
      <w:hyperlink r:id="rId14" w:history="1">
        <w:r w:rsidRPr="000D0327">
          <w:rPr>
            <w:rStyle w:val="Collegamentoipertestuale"/>
            <w:rFonts w:ascii="Arial" w:eastAsia="Times New Roman" w:hAnsi="Arial" w:cs="Arial"/>
            <w:sz w:val="22"/>
            <w:lang w:eastAsia="en-GB"/>
          </w:rPr>
          <w:t>https://doi.org/10.1186/s40608-017-0178-9</w:t>
        </w:r>
      </w:hyperlink>
      <w:r w:rsidRPr="000D0327">
        <w:rPr>
          <w:rFonts w:ascii="Arial" w:eastAsia="Times New Roman" w:hAnsi="Arial" w:cs="Arial"/>
          <w:sz w:val="22"/>
          <w:lang w:eastAsia="en-GB"/>
        </w:rPr>
        <w:t xml:space="preserve">. </w:t>
      </w:r>
    </w:p>
    <w:p w14:paraId="10C99B58" w14:textId="1871E64E" w:rsidR="00FB326F" w:rsidRPr="000D0327" w:rsidRDefault="00FB326F" w:rsidP="00B644C5">
      <w:pPr>
        <w:spacing w:line="360" w:lineRule="auto"/>
        <w:jc w:val="both"/>
        <w:rPr>
          <w:rFonts w:ascii="Arial" w:hAnsi="Arial" w:cs="Arial"/>
          <w:sz w:val="22"/>
        </w:rPr>
      </w:pPr>
      <w:r w:rsidRPr="000D0327">
        <w:rPr>
          <w:rFonts w:ascii="Arial" w:hAnsi="Arial" w:cs="Arial"/>
          <w:sz w:val="22"/>
        </w:rPr>
        <w:t xml:space="preserve">Bradley, J., Gardner, G., Rowland, M.K., Fay, M., Mann, K., Holmes, R., Foster, E., Exley, C., Don Bosco, A., </w:t>
      </w:r>
      <w:proofErr w:type="spellStart"/>
      <w:r w:rsidRPr="000D0327">
        <w:rPr>
          <w:rFonts w:ascii="Arial" w:hAnsi="Arial" w:cs="Arial"/>
          <w:sz w:val="22"/>
        </w:rPr>
        <w:t>Hugueniot</w:t>
      </w:r>
      <w:proofErr w:type="spellEnd"/>
      <w:r w:rsidRPr="000D0327">
        <w:rPr>
          <w:rFonts w:ascii="Arial" w:hAnsi="Arial" w:cs="Arial"/>
          <w:sz w:val="22"/>
        </w:rPr>
        <w:t xml:space="preserve">, O. and Moynihan, P. (2020) ‘Impact of a health marketing campaign on sugars intake by children aged 5–11 years and parental views on reducing children’s consumption’, </w:t>
      </w:r>
      <w:r w:rsidRPr="000D0327">
        <w:rPr>
          <w:rFonts w:ascii="Arial" w:hAnsi="Arial" w:cs="Arial"/>
          <w:i/>
          <w:iCs/>
          <w:sz w:val="22"/>
        </w:rPr>
        <w:t>BMC Public Health</w:t>
      </w:r>
      <w:r w:rsidRPr="000D0327">
        <w:rPr>
          <w:rFonts w:ascii="Arial" w:hAnsi="Arial" w:cs="Arial"/>
          <w:sz w:val="22"/>
        </w:rPr>
        <w:t>, 20(1), Article 331.</w:t>
      </w:r>
      <w:r w:rsidR="003C62A4" w:rsidRPr="000D0327">
        <w:rPr>
          <w:rFonts w:ascii="Arial" w:hAnsi="Arial" w:cs="Arial"/>
          <w:sz w:val="22"/>
        </w:rPr>
        <w:t xml:space="preserve"> </w:t>
      </w:r>
      <w:r w:rsidRPr="000D0327">
        <w:rPr>
          <w:rFonts w:ascii="Arial" w:hAnsi="Arial" w:cs="Arial"/>
          <w:sz w:val="22"/>
        </w:rPr>
        <w:t xml:space="preserve">Available at: </w:t>
      </w:r>
      <w:hyperlink r:id="rId15" w:history="1">
        <w:r w:rsidRPr="000D0327">
          <w:rPr>
            <w:rStyle w:val="Collegamentoipertestuale"/>
            <w:rFonts w:ascii="Arial" w:hAnsi="Arial" w:cs="Arial"/>
            <w:sz w:val="22"/>
          </w:rPr>
          <w:t>https://link.springer.com/article/10.1186/s12889-020-8422-5?utm</w:t>
        </w:r>
      </w:hyperlink>
      <w:r w:rsidRPr="000D0327">
        <w:rPr>
          <w:rFonts w:ascii="Arial" w:hAnsi="Arial" w:cs="Arial"/>
          <w:sz w:val="22"/>
        </w:rPr>
        <w:t xml:space="preserve">.  </w:t>
      </w:r>
    </w:p>
    <w:p w14:paraId="21593BF6" w14:textId="77777777" w:rsidR="00FB326F" w:rsidRPr="000D0327" w:rsidRDefault="00FB326F" w:rsidP="00B644C5">
      <w:pPr>
        <w:spacing w:line="360" w:lineRule="auto"/>
        <w:jc w:val="both"/>
        <w:rPr>
          <w:rFonts w:ascii="Arial" w:hAnsi="Arial" w:cs="Arial"/>
          <w:sz w:val="22"/>
        </w:rPr>
      </w:pPr>
      <w:r w:rsidRPr="000D0327">
        <w:rPr>
          <w:rFonts w:ascii="Arial" w:hAnsi="Arial" w:cs="Arial"/>
          <w:sz w:val="22"/>
        </w:rPr>
        <w:t xml:space="preserve"> Costa, D., Warkentin, S. and Oliveira, A. (2021) “The effect of sugar-sweetened beverages at 4 years of age on appetitive behaviours of 7-year-olds from the Generation XXI birth cohort,” </w:t>
      </w:r>
      <w:r w:rsidRPr="000D0327">
        <w:rPr>
          <w:rFonts w:ascii="Arial" w:hAnsi="Arial" w:cs="Arial"/>
          <w:i/>
          <w:iCs/>
          <w:sz w:val="22"/>
        </w:rPr>
        <w:t>British Journal of Nutrition</w:t>
      </w:r>
      <w:r w:rsidRPr="000D0327">
        <w:rPr>
          <w:rFonts w:ascii="Arial" w:hAnsi="Arial" w:cs="Arial"/>
          <w:sz w:val="22"/>
        </w:rPr>
        <w:t xml:space="preserve">, 126(5), pp. 790–800. Available at: </w:t>
      </w:r>
      <w:hyperlink r:id="rId16" w:history="1">
        <w:r w:rsidRPr="000D0327">
          <w:rPr>
            <w:rStyle w:val="Collegamentoipertestuale"/>
            <w:rFonts w:ascii="Arial" w:hAnsi="Arial" w:cs="Arial"/>
            <w:sz w:val="22"/>
          </w:rPr>
          <w:t>https://doi.org/10.1017/S000711452000447X</w:t>
        </w:r>
      </w:hyperlink>
      <w:r w:rsidRPr="000D0327">
        <w:rPr>
          <w:rFonts w:ascii="Arial" w:hAnsi="Arial" w:cs="Arial"/>
          <w:sz w:val="22"/>
        </w:rPr>
        <w:t xml:space="preserve">. </w:t>
      </w:r>
    </w:p>
    <w:p w14:paraId="5E6086F2" w14:textId="69A51B7A" w:rsidR="002A1E2F" w:rsidRPr="000D0327" w:rsidRDefault="002A1E2F" w:rsidP="00B644C5">
      <w:pPr>
        <w:spacing w:after="0" w:line="360" w:lineRule="auto"/>
        <w:jc w:val="both"/>
        <w:rPr>
          <w:rFonts w:ascii="Arial" w:eastAsia="Times New Roman" w:hAnsi="Arial" w:cs="Arial"/>
          <w:sz w:val="22"/>
          <w:lang w:eastAsia="en-GB"/>
        </w:rPr>
      </w:pPr>
      <w:proofErr w:type="spellStart"/>
      <w:r w:rsidRPr="000D0327">
        <w:rPr>
          <w:rFonts w:ascii="Arial" w:eastAsia="Times New Roman" w:hAnsi="Arial" w:cs="Arial"/>
          <w:sz w:val="22"/>
          <w:lang w:eastAsia="en-GB"/>
        </w:rPr>
        <w:t>Chilet</w:t>
      </w:r>
      <w:proofErr w:type="spellEnd"/>
      <w:r w:rsidRPr="000D0327">
        <w:rPr>
          <w:rFonts w:ascii="Arial" w:eastAsia="Times New Roman" w:hAnsi="Arial" w:cs="Arial"/>
          <w:sz w:val="22"/>
          <w:lang w:eastAsia="en-GB"/>
        </w:rPr>
        <w:t xml:space="preserve">-Rosell, E. and Lumbreras, B. (2023) “Contextual Factors That May Impact on the Development and Implementation of the Sugary Drinks Policy; Comment on ‘Understanding Marketing Responses to a Tax on Sugary Drinks: A Qualitative Interview Study in the United Kingdom, 2019,’” </w:t>
      </w:r>
      <w:r w:rsidRPr="000D0327">
        <w:rPr>
          <w:rFonts w:ascii="Arial" w:eastAsia="Times New Roman" w:hAnsi="Arial" w:cs="Arial"/>
          <w:i/>
          <w:iCs/>
          <w:sz w:val="22"/>
          <w:lang w:eastAsia="en-GB"/>
        </w:rPr>
        <w:t xml:space="preserve">International </w:t>
      </w:r>
      <w:r w:rsidR="000D0327" w:rsidRPr="000D0327">
        <w:rPr>
          <w:rFonts w:ascii="Arial" w:eastAsia="Times New Roman" w:hAnsi="Arial" w:cs="Arial"/>
          <w:i/>
          <w:iCs/>
          <w:sz w:val="22"/>
          <w:lang w:eastAsia="en-GB"/>
        </w:rPr>
        <w:t>Journal</w:t>
      </w:r>
      <w:r w:rsidRPr="000D0327">
        <w:rPr>
          <w:rFonts w:ascii="Arial" w:eastAsia="Times New Roman" w:hAnsi="Arial" w:cs="Arial"/>
          <w:i/>
          <w:iCs/>
          <w:sz w:val="22"/>
          <w:lang w:eastAsia="en-GB"/>
        </w:rPr>
        <w:t xml:space="preserve"> of health policy and management</w:t>
      </w:r>
      <w:r w:rsidRPr="000D0327">
        <w:rPr>
          <w:rFonts w:ascii="Arial" w:eastAsia="Times New Roman" w:hAnsi="Arial" w:cs="Arial"/>
          <w:sz w:val="22"/>
          <w:lang w:eastAsia="en-GB"/>
        </w:rPr>
        <w:t xml:space="preserve">, 12(1), pp. 7713–3. Available at: </w:t>
      </w:r>
      <w:hyperlink r:id="rId17" w:history="1">
        <w:r w:rsidRPr="000D0327">
          <w:rPr>
            <w:rStyle w:val="Collegamentoipertestuale"/>
            <w:rFonts w:ascii="Arial" w:eastAsia="Times New Roman" w:hAnsi="Arial" w:cs="Arial"/>
            <w:sz w:val="22"/>
            <w:lang w:eastAsia="en-GB"/>
          </w:rPr>
          <w:t>https://doi.org/10.34172/ijhpm.2023.7713</w:t>
        </w:r>
      </w:hyperlink>
      <w:r w:rsidRPr="000D0327">
        <w:rPr>
          <w:rFonts w:ascii="Arial" w:eastAsia="Times New Roman" w:hAnsi="Arial" w:cs="Arial"/>
          <w:sz w:val="22"/>
          <w:lang w:eastAsia="en-GB"/>
        </w:rPr>
        <w:t xml:space="preserve">. </w:t>
      </w:r>
    </w:p>
    <w:p w14:paraId="336C0300" w14:textId="7DC6DE3F" w:rsidR="00472991" w:rsidRPr="000D0327" w:rsidRDefault="00472991" w:rsidP="00B644C5">
      <w:pPr>
        <w:spacing w:line="360" w:lineRule="auto"/>
        <w:jc w:val="both"/>
        <w:rPr>
          <w:rFonts w:ascii="Arial" w:hAnsi="Arial" w:cs="Arial"/>
          <w:sz w:val="22"/>
        </w:rPr>
      </w:pPr>
      <w:r w:rsidRPr="000D0327">
        <w:rPr>
          <w:rFonts w:ascii="Arial" w:hAnsi="Arial" w:cs="Arial"/>
          <w:color w:val="3A3A3A"/>
          <w:sz w:val="22"/>
          <w:shd w:val="clear" w:color="auto" w:fill="FFFFFF"/>
        </w:rPr>
        <w:t>Davies, S. (2018) “Young people’s consumption of sugar-sweetened beverages,” </w:t>
      </w:r>
      <w:r w:rsidRPr="000D0327">
        <w:rPr>
          <w:rFonts w:ascii="Arial" w:hAnsi="Arial" w:cs="Arial"/>
          <w:i/>
          <w:iCs/>
          <w:color w:val="3A3A3A"/>
          <w:sz w:val="22"/>
          <w:shd w:val="clear" w:color="auto" w:fill="FFFFFF"/>
        </w:rPr>
        <w:t>Primary health care</w:t>
      </w:r>
      <w:r w:rsidRPr="000D0327">
        <w:rPr>
          <w:rFonts w:ascii="Arial" w:hAnsi="Arial" w:cs="Arial"/>
          <w:color w:val="3A3A3A"/>
          <w:sz w:val="22"/>
          <w:shd w:val="clear" w:color="auto" w:fill="FFFFFF"/>
        </w:rPr>
        <w:t xml:space="preserve">, 28(5), pp. 12–12. Available at: </w:t>
      </w:r>
      <w:hyperlink r:id="rId18" w:history="1">
        <w:r w:rsidRPr="000D0327">
          <w:rPr>
            <w:rStyle w:val="Collegamentoipertestuale"/>
            <w:rFonts w:ascii="Arial" w:hAnsi="Arial" w:cs="Arial"/>
            <w:sz w:val="22"/>
            <w:shd w:val="clear" w:color="auto" w:fill="FFFFFF"/>
          </w:rPr>
          <w:t>https://doi.org/10.7748/phc.28.5.12.s12</w:t>
        </w:r>
      </w:hyperlink>
      <w:r w:rsidRPr="000D0327">
        <w:rPr>
          <w:rFonts w:ascii="Arial" w:hAnsi="Arial" w:cs="Arial"/>
          <w:color w:val="3A3A3A"/>
          <w:sz w:val="22"/>
          <w:shd w:val="clear" w:color="auto" w:fill="FFFFFF"/>
        </w:rPr>
        <w:t xml:space="preserve">. </w:t>
      </w:r>
    </w:p>
    <w:p w14:paraId="396C01CD" w14:textId="2E02B0E3" w:rsidR="00F54D47" w:rsidRPr="000D0327" w:rsidRDefault="00F54D47" w:rsidP="00B644C5">
      <w:pPr>
        <w:spacing w:after="0" w:line="360" w:lineRule="auto"/>
        <w:jc w:val="both"/>
        <w:rPr>
          <w:rFonts w:ascii="Arial" w:eastAsia="Times New Roman" w:hAnsi="Arial" w:cs="Arial"/>
          <w:sz w:val="22"/>
          <w:lang w:eastAsia="en-GB"/>
        </w:rPr>
      </w:pPr>
      <w:r w:rsidRPr="000D0327">
        <w:rPr>
          <w:rFonts w:ascii="Arial" w:eastAsia="Times New Roman" w:hAnsi="Arial" w:cs="Arial"/>
          <w:sz w:val="22"/>
          <w:lang w:eastAsia="en-GB"/>
        </w:rPr>
        <w:t xml:space="preserve">Demers-Potvin, É. </w:t>
      </w:r>
      <w:r w:rsidRPr="000D0327">
        <w:rPr>
          <w:rFonts w:ascii="Arial" w:eastAsia="Times New Roman" w:hAnsi="Arial" w:cs="Arial"/>
          <w:i/>
          <w:iCs/>
          <w:sz w:val="22"/>
          <w:lang w:eastAsia="en-GB"/>
        </w:rPr>
        <w:t>et al.</w:t>
      </w:r>
      <w:r w:rsidRPr="000D0327">
        <w:rPr>
          <w:rFonts w:ascii="Arial" w:eastAsia="Times New Roman" w:hAnsi="Arial" w:cs="Arial"/>
          <w:sz w:val="22"/>
          <w:lang w:eastAsia="en-GB"/>
        </w:rPr>
        <w:t xml:space="preserve"> (2024) “Children’s self-reported exposure to sugary beverage advertisements and association with intake across six countries before and during the COVID-19 pandemic: a repeat cross-sectional study,” </w:t>
      </w:r>
      <w:r w:rsidRPr="000D0327">
        <w:rPr>
          <w:rFonts w:ascii="Arial" w:eastAsia="Times New Roman" w:hAnsi="Arial" w:cs="Arial"/>
          <w:i/>
          <w:iCs/>
          <w:sz w:val="22"/>
          <w:lang w:eastAsia="en-GB"/>
        </w:rPr>
        <w:t xml:space="preserve">BMC </w:t>
      </w:r>
      <w:r w:rsidR="002952D3" w:rsidRPr="000D0327">
        <w:rPr>
          <w:rFonts w:ascii="Arial" w:eastAsia="Times New Roman" w:hAnsi="Arial" w:cs="Arial"/>
          <w:i/>
          <w:iCs/>
          <w:sz w:val="22"/>
          <w:lang w:eastAsia="en-GB"/>
        </w:rPr>
        <w:t>Public Health</w:t>
      </w:r>
      <w:r w:rsidRPr="000D0327">
        <w:rPr>
          <w:rFonts w:ascii="Arial" w:eastAsia="Times New Roman" w:hAnsi="Arial" w:cs="Arial"/>
          <w:sz w:val="22"/>
          <w:lang w:eastAsia="en-GB"/>
        </w:rPr>
        <w:t xml:space="preserve">, 24(1). Available at: </w:t>
      </w:r>
      <w:hyperlink r:id="rId19" w:history="1">
        <w:r w:rsidRPr="000D0327">
          <w:rPr>
            <w:rStyle w:val="Collegamentoipertestuale"/>
            <w:rFonts w:ascii="Arial" w:eastAsia="Times New Roman" w:hAnsi="Arial" w:cs="Arial"/>
            <w:sz w:val="22"/>
            <w:lang w:eastAsia="en-GB"/>
          </w:rPr>
          <w:t>https://doi.org/10.1186/s12889-024-20210-8</w:t>
        </w:r>
      </w:hyperlink>
      <w:r w:rsidRPr="000D0327">
        <w:rPr>
          <w:rFonts w:ascii="Arial" w:eastAsia="Times New Roman" w:hAnsi="Arial" w:cs="Arial"/>
          <w:sz w:val="22"/>
          <w:lang w:eastAsia="en-GB"/>
        </w:rPr>
        <w:t xml:space="preserve">. </w:t>
      </w:r>
    </w:p>
    <w:p w14:paraId="775E20A9" w14:textId="77777777" w:rsidR="00FB326F" w:rsidRPr="000D0327" w:rsidRDefault="00FB326F" w:rsidP="00B644C5">
      <w:pPr>
        <w:spacing w:line="360" w:lineRule="auto"/>
        <w:jc w:val="both"/>
        <w:rPr>
          <w:rFonts w:ascii="Arial" w:hAnsi="Arial" w:cs="Arial"/>
          <w:sz w:val="22"/>
        </w:rPr>
      </w:pPr>
      <w:r w:rsidRPr="000D0327">
        <w:rPr>
          <w:rFonts w:ascii="Arial" w:hAnsi="Arial" w:cs="Arial"/>
          <w:sz w:val="22"/>
        </w:rPr>
        <w:lastRenderedPageBreak/>
        <w:t xml:space="preserve">Evans, C.E.L. (2017) “Sugars and health: a review of current evidence and future policy,” </w:t>
      </w:r>
      <w:r w:rsidRPr="000D0327">
        <w:rPr>
          <w:rFonts w:ascii="Arial" w:hAnsi="Arial" w:cs="Arial"/>
          <w:i/>
          <w:iCs/>
          <w:sz w:val="22"/>
        </w:rPr>
        <w:t>Proceedings of the Nutrition Society</w:t>
      </w:r>
      <w:r w:rsidRPr="000D0327">
        <w:rPr>
          <w:rFonts w:ascii="Arial" w:hAnsi="Arial" w:cs="Arial"/>
          <w:sz w:val="22"/>
        </w:rPr>
        <w:t xml:space="preserve">, 76(3), pp. 400–407. Available at: </w:t>
      </w:r>
      <w:hyperlink r:id="rId20" w:history="1">
        <w:r w:rsidRPr="000D0327">
          <w:rPr>
            <w:rStyle w:val="Collegamentoipertestuale"/>
            <w:rFonts w:ascii="Arial" w:hAnsi="Arial" w:cs="Arial"/>
            <w:sz w:val="22"/>
          </w:rPr>
          <w:t>https://doi.org/10.1017/S0029665116002846</w:t>
        </w:r>
      </w:hyperlink>
      <w:r w:rsidRPr="000D0327">
        <w:rPr>
          <w:rFonts w:ascii="Arial" w:hAnsi="Arial" w:cs="Arial"/>
          <w:sz w:val="22"/>
        </w:rPr>
        <w:t xml:space="preserve">. </w:t>
      </w:r>
    </w:p>
    <w:p w14:paraId="2432200A" w14:textId="2E11738B" w:rsidR="002952D3" w:rsidRPr="000D0327" w:rsidRDefault="002952D3" w:rsidP="00B644C5">
      <w:pPr>
        <w:spacing w:after="0" w:line="360" w:lineRule="auto"/>
        <w:jc w:val="both"/>
        <w:rPr>
          <w:rFonts w:ascii="Arial" w:eastAsia="Times New Roman" w:hAnsi="Arial" w:cs="Arial"/>
          <w:sz w:val="22"/>
          <w:lang w:eastAsia="en-GB"/>
        </w:rPr>
      </w:pPr>
      <w:r w:rsidRPr="000D0327">
        <w:rPr>
          <w:rFonts w:ascii="Arial" w:eastAsia="Times New Roman" w:hAnsi="Arial" w:cs="Arial"/>
          <w:sz w:val="22"/>
          <w:lang w:eastAsia="en-GB"/>
        </w:rPr>
        <w:t xml:space="preserve">Gage, R. </w:t>
      </w:r>
      <w:r w:rsidRPr="000D0327">
        <w:rPr>
          <w:rFonts w:ascii="Arial" w:eastAsia="Times New Roman" w:hAnsi="Arial" w:cs="Arial"/>
          <w:i/>
          <w:iCs/>
          <w:sz w:val="22"/>
          <w:lang w:eastAsia="en-GB"/>
        </w:rPr>
        <w:t>et al.</w:t>
      </w:r>
      <w:r w:rsidRPr="000D0327">
        <w:rPr>
          <w:rFonts w:ascii="Arial" w:eastAsia="Times New Roman" w:hAnsi="Arial" w:cs="Arial"/>
          <w:sz w:val="22"/>
          <w:lang w:eastAsia="en-GB"/>
        </w:rPr>
        <w:t xml:space="preserve"> (2024) “Comparison of ten policy options to equitably reduce children’s exposure to unhealthy food marketing,” </w:t>
      </w:r>
      <w:r w:rsidRPr="000D0327">
        <w:rPr>
          <w:rFonts w:ascii="Arial" w:eastAsia="Times New Roman" w:hAnsi="Arial" w:cs="Arial"/>
          <w:i/>
          <w:iCs/>
          <w:sz w:val="22"/>
          <w:lang w:eastAsia="en-GB"/>
        </w:rPr>
        <w:t>Public Health Nutrition</w:t>
      </w:r>
      <w:r w:rsidRPr="000D0327">
        <w:rPr>
          <w:rFonts w:ascii="Arial" w:eastAsia="Times New Roman" w:hAnsi="Arial" w:cs="Arial"/>
          <w:sz w:val="22"/>
          <w:lang w:eastAsia="en-GB"/>
        </w:rPr>
        <w:t xml:space="preserve">, 27(1). Available at: </w:t>
      </w:r>
      <w:hyperlink r:id="rId21" w:history="1">
        <w:r w:rsidRPr="000D0327">
          <w:rPr>
            <w:rStyle w:val="Collegamentoipertestuale"/>
            <w:rFonts w:ascii="Arial" w:eastAsia="Times New Roman" w:hAnsi="Arial" w:cs="Arial"/>
            <w:sz w:val="22"/>
            <w:lang w:eastAsia="en-GB"/>
          </w:rPr>
          <w:t>https://doi.org/10.1017/S1368980024000958</w:t>
        </w:r>
      </w:hyperlink>
      <w:r w:rsidRPr="000D0327">
        <w:rPr>
          <w:rFonts w:ascii="Arial" w:eastAsia="Times New Roman" w:hAnsi="Arial" w:cs="Arial"/>
          <w:sz w:val="22"/>
          <w:lang w:eastAsia="en-GB"/>
        </w:rPr>
        <w:t xml:space="preserve">. </w:t>
      </w:r>
    </w:p>
    <w:p w14:paraId="7117DA7E" w14:textId="77777777" w:rsidR="00FB326F" w:rsidRPr="000D0327" w:rsidRDefault="00FB326F" w:rsidP="00B644C5">
      <w:pPr>
        <w:spacing w:line="360" w:lineRule="auto"/>
        <w:jc w:val="both"/>
        <w:rPr>
          <w:rFonts w:ascii="Arial" w:hAnsi="Arial" w:cs="Arial"/>
          <w:sz w:val="22"/>
        </w:rPr>
      </w:pPr>
      <w:r w:rsidRPr="000D0327">
        <w:rPr>
          <w:rFonts w:ascii="Arial" w:hAnsi="Arial" w:cs="Arial"/>
          <w:sz w:val="22"/>
        </w:rPr>
        <w:t xml:space="preserve">Jakobsen, D.D., Brader, L. and Bruun, J.M. (2023) “Association between Food, Beverages and Overweight/Obesity in Children and Adolescents—A Systematic Review and Meta-Analysis of Observational Studies,” </w:t>
      </w:r>
      <w:r w:rsidRPr="000D0327">
        <w:rPr>
          <w:rFonts w:ascii="Arial" w:hAnsi="Arial" w:cs="Arial"/>
          <w:i/>
          <w:iCs/>
          <w:sz w:val="22"/>
        </w:rPr>
        <w:t>Nutrients</w:t>
      </w:r>
      <w:r w:rsidRPr="000D0327">
        <w:rPr>
          <w:rFonts w:ascii="Arial" w:hAnsi="Arial" w:cs="Arial"/>
          <w:sz w:val="22"/>
        </w:rPr>
        <w:t xml:space="preserve">, 15(3), p. 764. Available at: </w:t>
      </w:r>
      <w:hyperlink r:id="rId22" w:history="1">
        <w:r w:rsidRPr="000D0327">
          <w:rPr>
            <w:rStyle w:val="Collegamentoipertestuale"/>
            <w:rFonts w:ascii="Arial" w:hAnsi="Arial" w:cs="Arial"/>
            <w:sz w:val="22"/>
          </w:rPr>
          <w:t>https://doi.org/10.3390/nu15030764</w:t>
        </w:r>
      </w:hyperlink>
      <w:r w:rsidRPr="000D0327">
        <w:rPr>
          <w:rFonts w:ascii="Arial" w:hAnsi="Arial" w:cs="Arial"/>
          <w:sz w:val="22"/>
        </w:rPr>
        <w:t xml:space="preserve">. </w:t>
      </w:r>
    </w:p>
    <w:p w14:paraId="3B261194" w14:textId="0E820FBF" w:rsidR="00FB326F" w:rsidRPr="000D0327" w:rsidRDefault="00FB326F" w:rsidP="00B644C5">
      <w:pPr>
        <w:spacing w:line="360" w:lineRule="auto"/>
        <w:jc w:val="both"/>
        <w:rPr>
          <w:rFonts w:ascii="Arial" w:hAnsi="Arial" w:cs="Arial"/>
          <w:sz w:val="22"/>
        </w:rPr>
      </w:pPr>
      <w:r w:rsidRPr="000D0327">
        <w:rPr>
          <w:rFonts w:ascii="Arial" w:hAnsi="Arial" w:cs="Arial"/>
          <w:sz w:val="22"/>
        </w:rPr>
        <w:t xml:space="preserve">Jørgensen, M.E., Pauls, D.D., Ibsen, D.B. and Bruun, J.M. (2026) ‘Impact of lifestyle intervention on long-term beverage intake in children with overweight and obesity: A 3-year follow-up study’, </w:t>
      </w:r>
      <w:r w:rsidRPr="000D0327">
        <w:rPr>
          <w:rFonts w:ascii="Arial" w:hAnsi="Arial" w:cs="Arial"/>
          <w:i/>
          <w:iCs/>
          <w:sz w:val="22"/>
        </w:rPr>
        <w:t>Nutrients</w:t>
      </w:r>
      <w:r w:rsidRPr="000D0327">
        <w:rPr>
          <w:rFonts w:ascii="Arial" w:hAnsi="Arial" w:cs="Arial"/>
          <w:sz w:val="22"/>
        </w:rPr>
        <w:t xml:space="preserve">, 18(1), Article 147. </w:t>
      </w:r>
      <w:r w:rsidR="006B2BD8" w:rsidRPr="000D0327">
        <w:rPr>
          <w:rFonts w:ascii="Arial" w:hAnsi="Arial" w:cs="Arial"/>
          <w:sz w:val="22"/>
        </w:rPr>
        <w:t>Doi</w:t>
      </w:r>
      <w:r w:rsidRPr="000D0327">
        <w:rPr>
          <w:rFonts w:ascii="Arial" w:hAnsi="Arial" w:cs="Arial"/>
          <w:sz w:val="22"/>
        </w:rPr>
        <w:t xml:space="preserve">: 10.3390/nu18010147. Available at: </w:t>
      </w:r>
      <w:hyperlink r:id="rId23" w:history="1">
        <w:r w:rsidRPr="000D0327">
          <w:rPr>
            <w:rStyle w:val="Collegamentoipertestuale"/>
            <w:rFonts w:ascii="Arial" w:hAnsi="Arial" w:cs="Arial"/>
            <w:sz w:val="22"/>
          </w:rPr>
          <w:t>https://www.mdpi.com/2072-6643/18/1/147?utm</w:t>
        </w:r>
      </w:hyperlink>
      <w:r w:rsidRPr="000D0327">
        <w:rPr>
          <w:rFonts w:ascii="Arial" w:hAnsi="Arial" w:cs="Arial"/>
          <w:sz w:val="22"/>
        </w:rPr>
        <w:t xml:space="preserve">.  </w:t>
      </w:r>
    </w:p>
    <w:p w14:paraId="3E7D33B5" w14:textId="77777777" w:rsidR="00FB326F" w:rsidRPr="000D0327" w:rsidRDefault="00FB326F" w:rsidP="00B644C5">
      <w:pPr>
        <w:spacing w:line="360" w:lineRule="auto"/>
        <w:jc w:val="both"/>
        <w:rPr>
          <w:rFonts w:ascii="Arial" w:hAnsi="Arial" w:cs="Arial"/>
          <w:sz w:val="22"/>
        </w:rPr>
      </w:pPr>
      <w:r w:rsidRPr="000D0327">
        <w:rPr>
          <w:rFonts w:ascii="Arial" w:hAnsi="Arial" w:cs="Arial"/>
          <w:sz w:val="22"/>
        </w:rPr>
        <w:t xml:space="preserve">Laverty, A.A., Magee, L., Monteiro, C.A., Saxena, S. and Millett, C. (2015) ‘Sugar and artificially sweetened beverage consumption and adiposity changes: National longitudinal study’, </w:t>
      </w:r>
      <w:r w:rsidRPr="000D0327">
        <w:rPr>
          <w:rFonts w:ascii="Arial" w:hAnsi="Arial" w:cs="Arial"/>
          <w:i/>
          <w:iCs/>
          <w:sz w:val="22"/>
        </w:rPr>
        <w:t>International Journal of Behavioural Nutrition and Physical Activity</w:t>
      </w:r>
      <w:r w:rsidRPr="000D0327">
        <w:rPr>
          <w:rFonts w:ascii="Arial" w:hAnsi="Arial" w:cs="Arial"/>
          <w:sz w:val="22"/>
        </w:rPr>
        <w:t xml:space="preserve">, 12, 137. Available at: </w:t>
      </w:r>
      <w:hyperlink r:id="rId24" w:history="1">
        <w:r w:rsidRPr="000D0327">
          <w:rPr>
            <w:rStyle w:val="Collegamentoipertestuale"/>
            <w:rFonts w:ascii="Arial" w:hAnsi="Arial" w:cs="Arial"/>
            <w:sz w:val="22"/>
          </w:rPr>
          <w:t>https://pmc.ncbi.nlm.nih.gov/articles/PMC4624385/?utm.</w:t>
        </w:r>
      </w:hyperlink>
    </w:p>
    <w:p w14:paraId="167559B5" w14:textId="21C4A650" w:rsidR="009C6E91" w:rsidRPr="000D0327" w:rsidRDefault="009C6E91" w:rsidP="00B644C5">
      <w:pPr>
        <w:spacing w:after="0" w:line="360" w:lineRule="auto"/>
        <w:jc w:val="both"/>
        <w:rPr>
          <w:rFonts w:ascii="Arial" w:eastAsia="Times New Roman" w:hAnsi="Arial" w:cs="Arial"/>
          <w:sz w:val="22"/>
          <w:lang w:eastAsia="en-GB"/>
        </w:rPr>
      </w:pPr>
      <w:r w:rsidRPr="000D0327">
        <w:rPr>
          <w:rFonts w:ascii="Arial" w:eastAsia="Times New Roman" w:hAnsi="Arial" w:cs="Arial"/>
          <w:sz w:val="22"/>
          <w:lang w:eastAsia="en-GB"/>
        </w:rPr>
        <w:t xml:space="preserve">L. Harris, J. </w:t>
      </w:r>
      <w:r w:rsidRPr="000D0327">
        <w:rPr>
          <w:rFonts w:ascii="Arial" w:eastAsia="Times New Roman" w:hAnsi="Arial" w:cs="Arial"/>
          <w:i/>
          <w:iCs/>
          <w:sz w:val="22"/>
          <w:lang w:eastAsia="en-GB"/>
        </w:rPr>
        <w:t>et al.</w:t>
      </w:r>
      <w:r w:rsidRPr="000D0327">
        <w:rPr>
          <w:rFonts w:ascii="Arial" w:eastAsia="Times New Roman" w:hAnsi="Arial" w:cs="Arial"/>
          <w:sz w:val="22"/>
          <w:lang w:eastAsia="en-GB"/>
        </w:rPr>
        <w:t xml:space="preserve"> (2020) “Marketing to Children in Supermarkets: An Opportunity for Public Policy to Improve Children’s Diets,” </w:t>
      </w:r>
      <w:r w:rsidRPr="000D0327">
        <w:rPr>
          <w:rFonts w:ascii="Arial" w:eastAsia="Times New Roman" w:hAnsi="Arial" w:cs="Arial"/>
          <w:i/>
          <w:iCs/>
          <w:sz w:val="22"/>
          <w:lang w:eastAsia="en-GB"/>
        </w:rPr>
        <w:t>International Journal of Environmental Research and Public Health</w:t>
      </w:r>
      <w:r w:rsidRPr="000D0327">
        <w:rPr>
          <w:rFonts w:ascii="Arial" w:eastAsia="Times New Roman" w:hAnsi="Arial" w:cs="Arial"/>
          <w:sz w:val="22"/>
          <w:lang w:eastAsia="en-GB"/>
        </w:rPr>
        <w:t xml:space="preserve">, 17(4), p. 1284. Available at: </w:t>
      </w:r>
      <w:hyperlink r:id="rId25" w:history="1">
        <w:r w:rsidRPr="000D0327">
          <w:rPr>
            <w:rStyle w:val="Collegamentoipertestuale"/>
            <w:rFonts w:ascii="Arial" w:eastAsia="Times New Roman" w:hAnsi="Arial" w:cs="Arial"/>
            <w:sz w:val="22"/>
            <w:lang w:eastAsia="en-GB"/>
          </w:rPr>
          <w:t>https://doi.org/10.3390/ijerph17041284</w:t>
        </w:r>
      </w:hyperlink>
      <w:r w:rsidRPr="000D0327">
        <w:rPr>
          <w:rFonts w:ascii="Arial" w:eastAsia="Times New Roman" w:hAnsi="Arial" w:cs="Arial"/>
          <w:sz w:val="22"/>
          <w:lang w:eastAsia="en-GB"/>
        </w:rPr>
        <w:t xml:space="preserve">. </w:t>
      </w:r>
    </w:p>
    <w:p w14:paraId="7BC48B64" w14:textId="6058C425" w:rsidR="00566B68" w:rsidRPr="000D0327" w:rsidRDefault="00566B68" w:rsidP="00B644C5">
      <w:pPr>
        <w:spacing w:after="0" w:line="360" w:lineRule="auto"/>
        <w:jc w:val="both"/>
        <w:rPr>
          <w:rFonts w:ascii="Arial" w:eastAsia="Times New Roman" w:hAnsi="Arial" w:cs="Arial"/>
          <w:sz w:val="22"/>
          <w:lang w:eastAsia="en-GB"/>
        </w:rPr>
      </w:pPr>
      <w:r w:rsidRPr="000D0327">
        <w:rPr>
          <w:rFonts w:ascii="Arial" w:eastAsia="Times New Roman" w:hAnsi="Arial" w:cs="Arial"/>
          <w:sz w:val="22"/>
          <w:lang w:eastAsia="en-GB"/>
        </w:rPr>
        <w:t>Macintyre, A.K., Marryat, L. and Chambers, S. (2018) “Exposure to liquid sweetness in early childhood: artificially</w:t>
      </w:r>
      <w:r w:rsidRPr="000D0327">
        <w:rPr>
          <w:rFonts w:ascii="Cambria Math" w:eastAsia="Times New Roman" w:hAnsi="Cambria Math" w:cs="Cambria Math"/>
          <w:sz w:val="22"/>
          <w:lang w:eastAsia="en-GB"/>
        </w:rPr>
        <w:t>‐</w:t>
      </w:r>
      <w:r w:rsidRPr="000D0327">
        <w:rPr>
          <w:rFonts w:ascii="Arial" w:eastAsia="Times New Roman" w:hAnsi="Arial" w:cs="Arial"/>
          <w:sz w:val="22"/>
          <w:lang w:eastAsia="en-GB"/>
        </w:rPr>
        <w:t>sweetened and sugar</w:t>
      </w:r>
      <w:r w:rsidRPr="000D0327">
        <w:rPr>
          <w:rFonts w:ascii="Cambria Math" w:eastAsia="Times New Roman" w:hAnsi="Cambria Math" w:cs="Cambria Math"/>
          <w:sz w:val="22"/>
          <w:lang w:eastAsia="en-GB"/>
        </w:rPr>
        <w:t>‐</w:t>
      </w:r>
      <w:r w:rsidRPr="000D0327">
        <w:rPr>
          <w:rFonts w:ascii="Arial" w:eastAsia="Times New Roman" w:hAnsi="Arial" w:cs="Arial"/>
          <w:sz w:val="22"/>
          <w:lang w:eastAsia="en-GB"/>
        </w:rPr>
        <w:t xml:space="preserve">sweetened beverage consumption at 4–5 years and risk of overweight and obesity at 7–8 years,” </w:t>
      </w:r>
      <w:proofErr w:type="spellStart"/>
      <w:r w:rsidRPr="000D0327">
        <w:rPr>
          <w:rFonts w:ascii="Arial" w:eastAsia="Times New Roman" w:hAnsi="Arial" w:cs="Arial"/>
          <w:i/>
          <w:iCs/>
          <w:sz w:val="22"/>
          <w:lang w:eastAsia="en-GB"/>
        </w:rPr>
        <w:t>Pediatric</w:t>
      </w:r>
      <w:proofErr w:type="spellEnd"/>
      <w:r w:rsidRPr="000D0327">
        <w:rPr>
          <w:rFonts w:ascii="Arial" w:eastAsia="Times New Roman" w:hAnsi="Arial" w:cs="Arial"/>
          <w:i/>
          <w:iCs/>
          <w:sz w:val="22"/>
          <w:lang w:eastAsia="en-GB"/>
        </w:rPr>
        <w:t xml:space="preserve"> obesity</w:t>
      </w:r>
      <w:r w:rsidRPr="000D0327">
        <w:rPr>
          <w:rFonts w:ascii="Arial" w:eastAsia="Times New Roman" w:hAnsi="Arial" w:cs="Arial"/>
          <w:sz w:val="22"/>
          <w:lang w:eastAsia="en-GB"/>
        </w:rPr>
        <w:t xml:space="preserve">, 13(12), pp. 755–765. Available at: </w:t>
      </w:r>
      <w:hyperlink r:id="rId26" w:history="1">
        <w:r w:rsidRPr="000D0327">
          <w:rPr>
            <w:rStyle w:val="Collegamentoipertestuale"/>
            <w:rFonts w:ascii="Arial" w:eastAsia="Times New Roman" w:hAnsi="Arial" w:cs="Arial"/>
            <w:sz w:val="22"/>
            <w:lang w:eastAsia="en-GB"/>
          </w:rPr>
          <w:t>https://doi.org/10.1111/ijpo.12284</w:t>
        </w:r>
      </w:hyperlink>
      <w:r w:rsidRPr="000D0327">
        <w:rPr>
          <w:rFonts w:ascii="Arial" w:eastAsia="Times New Roman" w:hAnsi="Arial" w:cs="Arial"/>
          <w:sz w:val="22"/>
          <w:lang w:eastAsia="en-GB"/>
        </w:rPr>
        <w:t xml:space="preserve">. </w:t>
      </w:r>
    </w:p>
    <w:p w14:paraId="64357188" w14:textId="77777777" w:rsidR="00FB326F" w:rsidRPr="000D0327" w:rsidRDefault="00FB326F" w:rsidP="00B644C5">
      <w:pPr>
        <w:spacing w:line="360" w:lineRule="auto"/>
        <w:jc w:val="both"/>
        <w:rPr>
          <w:rFonts w:ascii="Arial" w:hAnsi="Arial" w:cs="Arial"/>
          <w:sz w:val="22"/>
        </w:rPr>
      </w:pPr>
      <w:r w:rsidRPr="000D0327">
        <w:rPr>
          <w:rFonts w:ascii="Arial" w:hAnsi="Arial" w:cs="Arial"/>
          <w:sz w:val="22"/>
        </w:rPr>
        <w:t xml:space="preserve">Malhotra, S. </w:t>
      </w:r>
      <w:r w:rsidRPr="000D0327">
        <w:rPr>
          <w:rFonts w:ascii="Arial" w:hAnsi="Arial" w:cs="Arial"/>
          <w:i/>
          <w:iCs/>
          <w:sz w:val="22"/>
        </w:rPr>
        <w:t>et al.</w:t>
      </w:r>
      <w:r w:rsidRPr="000D0327">
        <w:rPr>
          <w:rFonts w:ascii="Arial" w:hAnsi="Arial" w:cs="Arial"/>
          <w:sz w:val="22"/>
        </w:rPr>
        <w:t xml:space="preserve"> (2025) “Effectiveness of school-based approaches for reduction of sugar and sugar-sweetened beverages in children: a systematic review and meta-analysis,” </w:t>
      </w:r>
      <w:r w:rsidRPr="000D0327">
        <w:rPr>
          <w:rFonts w:ascii="Arial" w:hAnsi="Arial" w:cs="Arial"/>
          <w:i/>
          <w:iCs/>
          <w:sz w:val="22"/>
        </w:rPr>
        <w:t>Evidence-based dentistry</w:t>
      </w:r>
      <w:r w:rsidRPr="000D0327">
        <w:rPr>
          <w:rFonts w:ascii="Arial" w:hAnsi="Arial" w:cs="Arial"/>
          <w:sz w:val="22"/>
        </w:rPr>
        <w:t xml:space="preserve">, 26(2), pp. 113–113. Available at: </w:t>
      </w:r>
      <w:hyperlink r:id="rId27" w:history="1">
        <w:r w:rsidRPr="000D0327">
          <w:rPr>
            <w:rStyle w:val="Collegamentoipertestuale"/>
            <w:rFonts w:ascii="Arial" w:hAnsi="Arial" w:cs="Arial"/>
            <w:sz w:val="22"/>
          </w:rPr>
          <w:t>https://doi.org/10.1038/s41432-024-01103-6</w:t>
        </w:r>
      </w:hyperlink>
      <w:r w:rsidRPr="000D0327">
        <w:rPr>
          <w:rFonts w:ascii="Arial" w:hAnsi="Arial" w:cs="Arial"/>
          <w:sz w:val="22"/>
        </w:rPr>
        <w:t xml:space="preserve">. </w:t>
      </w:r>
    </w:p>
    <w:p w14:paraId="715152E2" w14:textId="77777777" w:rsidR="00FB326F" w:rsidRPr="000D0327" w:rsidRDefault="00FB326F" w:rsidP="00B644C5">
      <w:pPr>
        <w:spacing w:line="360" w:lineRule="auto"/>
        <w:jc w:val="both"/>
        <w:rPr>
          <w:rFonts w:ascii="Arial" w:hAnsi="Arial" w:cs="Arial"/>
          <w:sz w:val="22"/>
        </w:rPr>
      </w:pPr>
      <w:r w:rsidRPr="000D0327">
        <w:rPr>
          <w:rFonts w:ascii="Arial" w:hAnsi="Arial" w:cs="Arial"/>
          <w:sz w:val="22"/>
        </w:rPr>
        <w:t xml:space="preserve">McSweeney, L.A. </w:t>
      </w:r>
      <w:r w:rsidRPr="000D0327">
        <w:rPr>
          <w:rFonts w:ascii="Arial" w:hAnsi="Arial" w:cs="Arial"/>
          <w:i/>
          <w:iCs/>
          <w:sz w:val="22"/>
        </w:rPr>
        <w:t>et al.</w:t>
      </w:r>
      <w:r w:rsidRPr="000D0327">
        <w:rPr>
          <w:rFonts w:ascii="Arial" w:hAnsi="Arial" w:cs="Arial"/>
          <w:sz w:val="22"/>
        </w:rPr>
        <w:t xml:space="preserve"> (2016) “Perceptions of nursery staff and parent views of healthy eating promotion in preschool settings: an exploratory qualitative study,” </w:t>
      </w:r>
      <w:r w:rsidRPr="000D0327">
        <w:rPr>
          <w:rFonts w:ascii="Arial" w:hAnsi="Arial" w:cs="Arial"/>
          <w:i/>
          <w:iCs/>
          <w:sz w:val="22"/>
        </w:rPr>
        <w:t>BMC Public Health</w:t>
      </w:r>
      <w:r w:rsidRPr="000D0327">
        <w:rPr>
          <w:rFonts w:ascii="Arial" w:hAnsi="Arial" w:cs="Arial"/>
          <w:sz w:val="22"/>
        </w:rPr>
        <w:t xml:space="preserve">, 16(1). Available at: </w:t>
      </w:r>
      <w:hyperlink r:id="rId28" w:history="1">
        <w:r w:rsidRPr="000D0327">
          <w:rPr>
            <w:rStyle w:val="Collegamentoipertestuale"/>
            <w:rFonts w:ascii="Arial" w:hAnsi="Arial" w:cs="Arial"/>
            <w:sz w:val="22"/>
          </w:rPr>
          <w:t>https://doi.org/10.1186/s12889-016-3507-x</w:t>
        </w:r>
      </w:hyperlink>
      <w:r w:rsidRPr="000D0327">
        <w:rPr>
          <w:rFonts w:ascii="Arial" w:hAnsi="Arial" w:cs="Arial"/>
          <w:sz w:val="22"/>
        </w:rPr>
        <w:t xml:space="preserve">. </w:t>
      </w:r>
    </w:p>
    <w:p w14:paraId="57E59831" w14:textId="2E9E5FA5" w:rsidR="00FB326F" w:rsidRPr="000D0327" w:rsidRDefault="00FB326F" w:rsidP="00B644C5">
      <w:pPr>
        <w:spacing w:line="360" w:lineRule="auto"/>
        <w:jc w:val="both"/>
        <w:rPr>
          <w:rFonts w:ascii="Arial" w:hAnsi="Arial" w:cs="Arial"/>
          <w:sz w:val="22"/>
        </w:rPr>
      </w:pPr>
      <w:proofErr w:type="spellStart"/>
      <w:r w:rsidRPr="000D0327">
        <w:rPr>
          <w:rFonts w:ascii="Arial" w:hAnsi="Arial" w:cs="Arial"/>
          <w:sz w:val="22"/>
        </w:rPr>
        <w:t>Mytton</w:t>
      </w:r>
      <w:proofErr w:type="spellEnd"/>
      <w:r w:rsidRPr="000D0327">
        <w:rPr>
          <w:rFonts w:ascii="Arial" w:hAnsi="Arial" w:cs="Arial"/>
          <w:sz w:val="22"/>
        </w:rPr>
        <w:t xml:space="preserve">, O.T. </w:t>
      </w:r>
      <w:r w:rsidRPr="000D0327">
        <w:rPr>
          <w:rFonts w:ascii="Arial" w:hAnsi="Arial" w:cs="Arial"/>
          <w:i/>
          <w:iCs/>
          <w:sz w:val="22"/>
        </w:rPr>
        <w:t>et al.</w:t>
      </w:r>
      <w:r w:rsidRPr="000D0327">
        <w:rPr>
          <w:rFonts w:ascii="Arial" w:hAnsi="Arial" w:cs="Arial"/>
          <w:sz w:val="22"/>
        </w:rPr>
        <w:t xml:space="preserve"> (2020) “The potential health impact of restricting less-healthy food and beverage advertising on UK television between 05.30 and 21.00 hours: A modelling study,” </w:t>
      </w:r>
      <w:proofErr w:type="spellStart"/>
      <w:r w:rsidRPr="000D0327">
        <w:rPr>
          <w:rFonts w:ascii="Arial" w:hAnsi="Arial" w:cs="Arial"/>
          <w:i/>
          <w:iCs/>
          <w:sz w:val="22"/>
        </w:rPr>
        <w:lastRenderedPageBreak/>
        <w:t>PLoS</w:t>
      </w:r>
      <w:proofErr w:type="spellEnd"/>
      <w:r w:rsidRPr="000D0327">
        <w:rPr>
          <w:rFonts w:ascii="Arial" w:hAnsi="Arial" w:cs="Arial"/>
          <w:i/>
          <w:iCs/>
          <w:sz w:val="22"/>
        </w:rPr>
        <w:t xml:space="preserve"> </w:t>
      </w:r>
      <w:r w:rsidR="000D0327">
        <w:rPr>
          <w:rFonts w:ascii="Arial" w:hAnsi="Arial" w:cs="Arial"/>
          <w:i/>
          <w:iCs/>
          <w:sz w:val="22"/>
        </w:rPr>
        <w:t>Medicine</w:t>
      </w:r>
      <w:r w:rsidRPr="000D0327">
        <w:rPr>
          <w:rFonts w:ascii="Arial" w:hAnsi="Arial" w:cs="Arial"/>
          <w:sz w:val="22"/>
        </w:rPr>
        <w:t xml:space="preserve">, 17(10), p. e1003212. Available at: </w:t>
      </w:r>
      <w:hyperlink r:id="rId29" w:history="1">
        <w:r w:rsidRPr="000D0327">
          <w:rPr>
            <w:rStyle w:val="Collegamentoipertestuale"/>
            <w:rFonts w:ascii="Arial" w:hAnsi="Arial" w:cs="Arial"/>
            <w:sz w:val="22"/>
          </w:rPr>
          <w:t>https://doi.org/10.1371/journal.pmed.1003212</w:t>
        </w:r>
      </w:hyperlink>
      <w:r w:rsidRPr="000D0327">
        <w:rPr>
          <w:rFonts w:ascii="Arial" w:hAnsi="Arial" w:cs="Arial"/>
          <w:sz w:val="22"/>
        </w:rPr>
        <w:t xml:space="preserve">. </w:t>
      </w:r>
    </w:p>
    <w:p w14:paraId="1E0C85D1" w14:textId="77777777" w:rsidR="00FB326F" w:rsidRPr="000D0327" w:rsidRDefault="00FB326F" w:rsidP="00B644C5">
      <w:pPr>
        <w:spacing w:line="360" w:lineRule="auto"/>
        <w:jc w:val="both"/>
        <w:rPr>
          <w:rFonts w:ascii="Arial" w:hAnsi="Arial" w:cs="Arial"/>
          <w:sz w:val="22"/>
        </w:rPr>
      </w:pPr>
      <w:proofErr w:type="spellStart"/>
      <w:r w:rsidRPr="000D0327">
        <w:rPr>
          <w:rFonts w:ascii="Arial" w:hAnsi="Arial" w:cs="Arial"/>
          <w:sz w:val="22"/>
        </w:rPr>
        <w:t>Premaratnam</w:t>
      </w:r>
      <w:proofErr w:type="spellEnd"/>
      <w:r w:rsidRPr="000D0327">
        <w:rPr>
          <w:rFonts w:ascii="Arial" w:hAnsi="Arial" w:cs="Arial"/>
          <w:sz w:val="22"/>
        </w:rPr>
        <w:t>, J. (2026) “IFPHOR0011</w:t>
      </w:r>
      <w:r w:rsidRPr="000D0327">
        <w:t> </w:t>
      </w:r>
      <w:r w:rsidRPr="000D0327">
        <w:rPr>
          <w:rFonts w:ascii="Arial" w:hAnsi="Arial" w:cs="Arial"/>
          <w:sz w:val="22"/>
        </w:rPr>
        <w:t xml:space="preserve">How did the UK Soft Drinks Industry Levy (SDIL) Influence Consumer and Producer Behaviours, and what Aspects of the Policy Contributed to these Impacts? - A Narrative Literature Review,” </w:t>
      </w:r>
      <w:r w:rsidRPr="000D0327">
        <w:rPr>
          <w:rFonts w:ascii="Arial" w:hAnsi="Arial" w:cs="Arial"/>
          <w:i/>
          <w:iCs/>
          <w:sz w:val="22"/>
        </w:rPr>
        <w:t>European journal of public health</w:t>
      </w:r>
      <w:r w:rsidRPr="000D0327">
        <w:rPr>
          <w:rFonts w:ascii="Arial" w:hAnsi="Arial" w:cs="Arial"/>
          <w:sz w:val="22"/>
        </w:rPr>
        <w:t xml:space="preserve">, 36(Supplement_4). Available at: </w:t>
      </w:r>
      <w:hyperlink r:id="rId30" w:history="1">
        <w:r w:rsidRPr="000D0327">
          <w:rPr>
            <w:rStyle w:val="Collegamentoipertestuale"/>
            <w:rFonts w:ascii="Arial" w:hAnsi="Arial" w:cs="Arial"/>
            <w:sz w:val="22"/>
          </w:rPr>
          <w:t>https://doi.org/10.1093/eurpub/ckag113.011</w:t>
        </w:r>
      </w:hyperlink>
      <w:r w:rsidRPr="000D0327">
        <w:rPr>
          <w:rFonts w:ascii="Arial" w:hAnsi="Arial" w:cs="Arial"/>
          <w:sz w:val="22"/>
        </w:rPr>
        <w:t xml:space="preserve">. </w:t>
      </w:r>
    </w:p>
    <w:p w14:paraId="6176599F" w14:textId="77777777" w:rsidR="00FB326F" w:rsidRPr="000D0327" w:rsidRDefault="00FB326F" w:rsidP="00B644C5">
      <w:pPr>
        <w:spacing w:line="360" w:lineRule="auto"/>
        <w:jc w:val="both"/>
        <w:rPr>
          <w:rFonts w:ascii="Arial" w:hAnsi="Arial" w:cs="Arial"/>
          <w:sz w:val="22"/>
        </w:rPr>
      </w:pPr>
      <w:r w:rsidRPr="000D0327">
        <w:rPr>
          <w:rFonts w:ascii="Arial" w:hAnsi="Arial" w:cs="Arial"/>
          <w:sz w:val="22"/>
        </w:rPr>
        <w:t xml:space="preserve">Putra, I.G.N.E., Daly, M. and Robinson, E. (2025) “Childhood obesity trajectories and adolescent mental health: A UK cohort study,” </w:t>
      </w:r>
      <w:proofErr w:type="spellStart"/>
      <w:r w:rsidRPr="000D0327">
        <w:rPr>
          <w:rFonts w:ascii="Arial" w:hAnsi="Arial" w:cs="Arial"/>
          <w:i/>
          <w:iCs/>
          <w:sz w:val="22"/>
        </w:rPr>
        <w:t>Pediatric</w:t>
      </w:r>
      <w:proofErr w:type="spellEnd"/>
      <w:r w:rsidRPr="000D0327">
        <w:rPr>
          <w:rFonts w:ascii="Arial" w:hAnsi="Arial" w:cs="Arial"/>
          <w:i/>
          <w:iCs/>
          <w:sz w:val="22"/>
        </w:rPr>
        <w:t xml:space="preserve"> obesity</w:t>
      </w:r>
      <w:r w:rsidRPr="000D0327">
        <w:rPr>
          <w:rFonts w:ascii="Arial" w:hAnsi="Arial" w:cs="Arial"/>
          <w:sz w:val="22"/>
        </w:rPr>
        <w:t xml:space="preserve">, 20(3), pp. e13206-n/a. Available at: </w:t>
      </w:r>
      <w:hyperlink r:id="rId31" w:history="1">
        <w:r w:rsidRPr="000D0327">
          <w:rPr>
            <w:rStyle w:val="Collegamentoipertestuale"/>
            <w:rFonts w:ascii="Arial" w:hAnsi="Arial" w:cs="Arial"/>
            <w:sz w:val="22"/>
          </w:rPr>
          <w:t>https://doi.org/10.1111/ijpo.13206</w:t>
        </w:r>
      </w:hyperlink>
      <w:r w:rsidRPr="000D0327">
        <w:rPr>
          <w:rFonts w:ascii="Arial" w:hAnsi="Arial" w:cs="Arial"/>
          <w:sz w:val="22"/>
        </w:rPr>
        <w:t xml:space="preserve">. </w:t>
      </w:r>
    </w:p>
    <w:p w14:paraId="14591988" w14:textId="77777777" w:rsidR="00FB326F" w:rsidRPr="000D0327" w:rsidRDefault="00FB326F" w:rsidP="00B644C5">
      <w:pPr>
        <w:spacing w:line="360" w:lineRule="auto"/>
        <w:jc w:val="both"/>
        <w:rPr>
          <w:rFonts w:ascii="Arial" w:hAnsi="Arial" w:cs="Arial"/>
          <w:sz w:val="22"/>
        </w:rPr>
      </w:pPr>
      <w:r w:rsidRPr="000D0327">
        <w:rPr>
          <w:rFonts w:ascii="Arial" w:hAnsi="Arial" w:cs="Arial"/>
          <w:sz w:val="22"/>
        </w:rPr>
        <w:t xml:space="preserve">Rogers, N.T. </w:t>
      </w:r>
      <w:r w:rsidRPr="000D0327">
        <w:rPr>
          <w:rFonts w:ascii="Arial" w:hAnsi="Arial" w:cs="Arial"/>
          <w:i/>
          <w:iCs/>
          <w:sz w:val="22"/>
        </w:rPr>
        <w:t>et al.</w:t>
      </w:r>
      <w:r w:rsidRPr="000D0327">
        <w:rPr>
          <w:rFonts w:ascii="Arial" w:hAnsi="Arial" w:cs="Arial"/>
          <w:sz w:val="22"/>
        </w:rPr>
        <w:t xml:space="preserve"> (2023) “Associations between trajectories of obesity prevalence in English primary school children and the UK soft drinks industry levy: An interrupted time series analysis of surveillance data,” </w:t>
      </w:r>
      <w:proofErr w:type="spellStart"/>
      <w:r w:rsidRPr="000D0327">
        <w:rPr>
          <w:rFonts w:ascii="Arial" w:hAnsi="Arial" w:cs="Arial"/>
          <w:i/>
          <w:iCs/>
          <w:sz w:val="22"/>
        </w:rPr>
        <w:t>PLoS</w:t>
      </w:r>
      <w:proofErr w:type="spellEnd"/>
      <w:r w:rsidRPr="000D0327">
        <w:rPr>
          <w:rFonts w:ascii="Arial" w:hAnsi="Arial" w:cs="Arial"/>
          <w:i/>
          <w:iCs/>
          <w:sz w:val="22"/>
        </w:rPr>
        <w:t xml:space="preserve"> Medicine</w:t>
      </w:r>
      <w:r w:rsidRPr="000D0327">
        <w:rPr>
          <w:rFonts w:ascii="Arial" w:hAnsi="Arial" w:cs="Arial"/>
          <w:sz w:val="22"/>
        </w:rPr>
        <w:t xml:space="preserve">, 20(1), p. e1004160. Available at: </w:t>
      </w:r>
      <w:hyperlink r:id="rId32" w:history="1">
        <w:r w:rsidRPr="000D0327">
          <w:rPr>
            <w:rStyle w:val="Collegamentoipertestuale"/>
            <w:rFonts w:ascii="Arial" w:hAnsi="Arial" w:cs="Arial"/>
            <w:sz w:val="22"/>
          </w:rPr>
          <w:t>https://doi.org/10.1371/journal.pmed.1004160</w:t>
        </w:r>
      </w:hyperlink>
      <w:r w:rsidRPr="000D0327">
        <w:rPr>
          <w:rFonts w:ascii="Arial" w:hAnsi="Arial" w:cs="Arial"/>
          <w:sz w:val="22"/>
        </w:rPr>
        <w:t xml:space="preserve">. </w:t>
      </w:r>
    </w:p>
    <w:p w14:paraId="3935380B" w14:textId="77777777" w:rsidR="00FB326F" w:rsidRPr="000D0327" w:rsidRDefault="00FB326F" w:rsidP="00B644C5">
      <w:pPr>
        <w:spacing w:line="360" w:lineRule="auto"/>
        <w:jc w:val="both"/>
        <w:rPr>
          <w:rFonts w:ascii="Arial" w:hAnsi="Arial" w:cs="Arial"/>
          <w:sz w:val="22"/>
        </w:rPr>
      </w:pPr>
      <w:r w:rsidRPr="000D0327">
        <w:rPr>
          <w:rFonts w:ascii="Arial" w:hAnsi="Arial" w:cs="Arial"/>
          <w:sz w:val="22"/>
        </w:rPr>
        <w:t xml:space="preserve">Rogers, N.T., Cummins, S., Jones, C.P., </w:t>
      </w:r>
      <w:proofErr w:type="spellStart"/>
      <w:r w:rsidRPr="000D0327">
        <w:rPr>
          <w:rFonts w:ascii="Arial" w:hAnsi="Arial" w:cs="Arial"/>
          <w:sz w:val="22"/>
        </w:rPr>
        <w:t>Mytton</w:t>
      </w:r>
      <w:proofErr w:type="spellEnd"/>
      <w:r w:rsidRPr="000D0327">
        <w:rPr>
          <w:rFonts w:ascii="Arial" w:hAnsi="Arial" w:cs="Arial"/>
          <w:sz w:val="22"/>
        </w:rPr>
        <w:t xml:space="preserve">, O., Rayner, M., Rutter, H., White, M. and Adams, J. (2024) ‘Estimated changes in free sugar consumption one year after the UK soft drinks industry levy came into force: controlled interrupted time series analysis of the National Diet and Nutrition Survey (2011–2019)’, </w:t>
      </w:r>
      <w:r w:rsidRPr="000D0327">
        <w:rPr>
          <w:rFonts w:ascii="Arial" w:hAnsi="Arial" w:cs="Arial"/>
          <w:i/>
          <w:iCs/>
          <w:sz w:val="22"/>
        </w:rPr>
        <w:t>Journal of Epidemiology and Community Health</w:t>
      </w:r>
      <w:r w:rsidRPr="000D0327">
        <w:rPr>
          <w:rFonts w:ascii="Arial" w:hAnsi="Arial" w:cs="Arial"/>
          <w:sz w:val="22"/>
        </w:rPr>
        <w:t xml:space="preserve">, 78(9), pp. 578–584. </w:t>
      </w:r>
      <w:proofErr w:type="spellStart"/>
      <w:r w:rsidRPr="000D0327">
        <w:rPr>
          <w:rFonts w:ascii="Arial" w:hAnsi="Arial" w:cs="Arial"/>
          <w:sz w:val="22"/>
        </w:rPr>
        <w:t>doi</w:t>
      </w:r>
      <w:proofErr w:type="spellEnd"/>
      <w:r w:rsidRPr="000D0327">
        <w:rPr>
          <w:rFonts w:ascii="Arial" w:hAnsi="Arial" w:cs="Arial"/>
          <w:sz w:val="22"/>
        </w:rPr>
        <w:t xml:space="preserve">: 10.1136/jech-2023-221051. Available at: </w:t>
      </w:r>
      <w:hyperlink r:id="rId33" w:history="1">
        <w:r w:rsidRPr="000D0327">
          <w:rPr>
            <w:rStyle w:val="Collegamentoipertestuale"/>
            <w:rFonts w:ascii="Arial" w:hAnsi="Arial" w:cs="Arial"/>
            <w:sz w:val="22"/>
          </w:rPr>
          <w:t>https://pmc.ncbi.nlm.nih.gov/articles/PMC11347969/?utm</w:t>
        </w:r>
      </w:hyperlink>
      <w:r w:rsidRPr="000D0327">
        <w:rPr>
          <w:rFonts w:ascii="Arial" w:hAnsi="Arial" w:cs="Arial"/>
          <w:sz w:val="22"/>
        </w:rPr>
        <w:t xml:space="preserve">. </w:t>
      </w:r>
    </w:p>
    <w:p w14:paraId="49B3DC55" w14:textId="77777777" w:rsidR="00FB326F" w:rsidRPr="000D0327" w:rsidRDefault="00FB326F" w:rsidP="00B644C5">
      <w:pPr>
        <w:spacing w:line="360" w:lineRule="auto"/>
        <w:jc w:val="both"/>
        <w:rPr>
          <w:rFonts w:ascii="Arial" w:hAnsi="Arial" w:cs="Arial"/>
          <w:sz w:val="22"/>
        </w:rPr>
      </w:pPr>
      <w:proofErr w:type="spellStart"/>
      <w:r w:rsidRPr="000D0327">
        <w:rPr>
          <w:rFonts w:ascii="Arial" w:hAnsi="Arial" w:cs="Arial"/>
          <w:sz w:val="22"/>
        </w:rPr>
        <w:t>Seferidi</w:t>
      </w:r>
      <w:proofErr w:type="spellEnd"/>
      <w:r w:rsidRPr="000D0327">
        <w:rPr>
          <w:rFonts w:ascii="Arial" w:hAnsi="Arial" w:cs="Arial"/>
          <w:sz w:val="22"/>
        </w:rPr>
        <w:t xml:space="preserve">, P., Millett, C. and Laverty, A.A. (2018) ‘Sweetened beverage intake in association to energy and sugar consumption and cardiometabolic markers in children’, </w:t>
      </w:r>
      <w:proofErr w:type="spellStart"/>
      <w:r w:rsidRPr="000D0327">
        <w:rPr>
          <w:rFonts w:ascii="Arial" w:hAnsi="Arial" w:cs="Arial"/>
          <w:i/>
          <w:iCs/>
          <w:sz w:val="22"/>
        </w:rPr>
        <w:t>Pediatric</w:t>
      </w:r>
      <w:proofErr w:type="spellEnd"/>
      <w:r w:rsidRPr="000D0327">
        <w:rPr>
          <w:rFonts w:ascii="Arial" w:hAnsi="Arial" w:cs="Arial"/>
          <w:i/>
          <w:iCs/>
          <w:sz w:val="22"/>
        </w:rPr>
        <w:t xml:space="preserve"> Obesity</w:t>
      </w:r>
      <w:r w:rsidRPr="000D0327">
        <w:rPr>
          <w:rFonts w:ascii="Arial" w:hAnsi="Arial" w:cs="Arial"/>
          <w:sz w:val="22"/>
        </w:rPr>
        <w:t xml:space="preserve">, 13(4), pp. 195–203. Available at: </w:t>
      </w:r>
      <w:hyperlink r:id="rId34" w:history="1">
        <w:r w:rsidRPr="000D0327">
          <w:rPr>
            <w:rStyle w:val="Collegamentoipertestuale"/>
            <w:rFonts w:ascii="Arial" w:hAnsi="Arial" w:cs="Arial"/>
            <w:sz w:val="22"/>
          </w:rPr>
          <w:t>https://doi.org/10.1111/ijpo.12194</w:t>
        </w:r>
      </w:hyperlink>
      <w:r w:rsidRPr="000D0327">
        <w:rPr>
          <w:rFonts w:ascii="Arial" w:hAnsi="Arial" w:cs="Arial"/>
          <w:sz w:val="22"/>
        </w:rPr>
        <w:t xml:space="preserve"> (Accessed: 11 August 2026). </w:t>
      </w:r>
    </w:p>
    <w:p w14:paraId="141876A8" w14:textId="77777777" w:rsidR="00FB326F" w:rsidRPr="000D0327" w:rsidRDefault="00FB326F" w:rsidP="00B644C5">
      <w:pPr>
        <w:spacing w:line="360" w:lineRule="auto"/>
        <w:jc w:val="both"/>
        <w:rPr>
          <w:rFonts w:ascii="Arial" w:hAnsi="Arial" w:cs="Arial"/>
          <w:sz w:val="22"/>
        </w:rPr>
      </w:pPr>
      <w:r w:rsidRPr="000D0327">
        <w:rPr>
          <w:rFonts w:ascii="Arial" w:hAnsi="Arial" w:cs="Arial"/>
          <w:sz w:val="22"/>
        </w:rPr>
        <w:t xml:space="preserve">Sekkarie, A. </w:t>
      </w:r>
      <w:r w:rsidRPr="000D0327">
        <w:rPr>
          <w:rFonts w:ascii="Arial" w:hAnsi="Arial" w:cs="Arial"/>
          <w:i/>
          <w:iCs/>
          <w:sz w:val="22"/>
        </w:rPr>
        <w:t>et al.</w:t>
      </w:r>
      <w:r w:rsidRPr="000D0327">
        <w:rPr>
          <w:rFonts w:ascii="Arial" w:hAnsi="Arial" w:cs="Arial"/>
          <w:sz w:val="22"/>
        </w:rPr>
        <w:t xml:space="preserve"> (2021) “Associations between Free Sugar and Sugary Beverage Intake in Early Childhood and Adult NAFLD in a Population-Based UK Cohort,” </w:t>
      </w:r>
      <w:r w:rsidRPr="000D0327">
        <w:rPr>
          <w:rFonts w:ascii="Arial" w:hAnsi="Arial" w:cs="Arial"/>
          <w:i/>
          <w:iCs/>
          <w:sz w:val="22"/>
        </w:rPr>
        <w:t>Children (Basel)</w:t>
      </w:r>
      <w:r w:rsidRPr="000D0327">
        <w:rPr>
          <w:rFonts w:ascii="Arial" w:hAnsi="Arial" w:cs="Arial"/>
          <w:sz w:val="22"/>
        </w:rPr>
        <w:t xml:space="preserve">, 8(4), p. 290. Available at: </w:t>
      </w:r>
      <w:hyperlink r:id="rId35" w:history="1">
        <w:r w:rsidRPr="000D0327">
          <w:rPr>
            <w:rStyle w:val="Collegamentoipertestuale"/>
            <w:rFonts w:ascii="Arial" w:hAnsi="Arial" w:cs="Arial"/>
            <w:sz w:val="22"/>
          </w:rPr>
          <w:t>https://doi.org/10.3390/children8040290</w:t>
        </w:r>
      </w:hyperlink>
      <w:r w:rsidRPr="000D0327">
        <w:rPr>
          <w:rFonts w:ascii="Arial" w:hAnsi="Arial" w:cs="Arial"/>
          <w:sz w:val="22"/>
        </w:rPr>
        <w:t xml:space="preserve">. </w:t>
      </w:r>
    </w:p>
    <w:p w14:paraId="043AA3AC" w14:textId="7C939E70" w:rsidR="00982C41" w:rsidRPr="000D0327" w:rsidRDefault="00FB326F" w:rsidP="00B644C5">
      <w:pPr>
        <w:spacing w:line="360" w:lineRule="auto"/>
        <w:jc w:val="both"/>
        <w:rPr>
          <w:rFonts w:ascii="Arial" w:hAnsi="Arial" w:cs="Arial"/>
          <w:sz w:val="22"/>
        </w:rPr>
      </w:pPr>
      <w:r w:rsidRPr="000D0327">
        <w:rPr>
          <w:rFonts w:ascii="Arial" w:hAnsi="Arial" w:cs="Arial"/>
          <w:b/>
          <w:bCs/>
          <w:sz w:val="22"/>
        </w:rPr>
        <w:t>Stanner, S.A. and Spiro, A. (2020)</w:t>
      </w:r>
      <w:r w:rsidRPr="000D0327">
        <w:rPr>
          <w:rFonts w:ascii="Arial" w:hAnsi="Arial" w:cs="Arial"/>
          <w:sz w:val="22"/>
        </w:rPr>
        <w:t xml:space="preserve"> ‘Public health rationale for reducing sugar: Strategies and challenges’, </w:t>
      </w:r>
      <w:r w:rsidRPr="000D0327">
        <w:rPr>
          <w:rFonts w:ascii="Arial" w:hAnsi="Arial" w:cs="Arial"/>
          <w:i/>
          <w:iCs/>
          <w:sz w:val="22"/>
        </w:rPr>
        <w:t>Nutrition Bulletin</w:t>
      </w:r>
      <w:r w:rsidRPr="000D0327">
        <w:rPr>
          <w:rFonts w:ascii="Arial" w:hAnsi="Arial" w:cs="Arial"/>
          <w:sz w:val="22"/>
        </w:rPr>
        <w:t xml:space="preserve">, 45(3), pp. 253–270. </w:t>
      </w:r>
      <w:proofErr w:type="spellStart"/>
      <w:r w:rsidRPr="000D0327">
        <w:rPr>
          <w:rFonts w:ascii="Arial" w:hAnsi="Arial" w:cs="Arial"/>
          <w:sz w:val="22"/>
        </w:rPr>
        <w:t>doi</w:t>
      </w:r>
      <w:proofErr w:type="spellEnd"/>
      <w:r w:rsidRPr="000D0327">
        <w:rPr>
          <w:rFonts w:ascii="Arial" w:hAnsi="Arial" w:cs="Arial"/>
          <w:sz w:val="22"/>
        </w:rPr>
        <w:t xml:space="preserve">: 10.1111/nbu.12460. </w:t>
      </w:r>
    </w:p>
    <w:p w14:paraId="00F03983" w14:textId="15B1334E" w:rsidR="00131482" w:rsidRPr="000D0327" w:rsidRDefault="00982C41" w:rsidP="00B644C5">
      <w:pPr>
        <w:spacing w:line="360" w:lineRule="auto"/>
        <w:jc w:val="both"/>
        <w:rPr>
          <w:rFonts w:ascii="Arial" w:hAnsi="Arial" w:cs="Arial"/>
          <w:sz w:val="22"/>
        </w:rPr>
      </w:pPr>
      <w:r w:rsidRPr="000D0327">
        <w:rPr>
          <w:rFonts w:ascii="Arial" w:hAnsi="Arial" w:cs="Arial"/>
          <w:sz w:val="22"/>
        </w:rPr>
        <w:t xml:space="preserve">  Scharf, R.J. and DeBoer, M.D. (2016) “Sugar-Sweetened Beverages and Children’s Health,” </w:t>
      </w:r>
      <w:r w:rsidRPr="000D0327">
        <w:rPr>
          <w:rFonts w:ascii="Arial" w:hAnsi="Arial" w:cs="Arial"/>
          <w:i/>
          <w:iCs/>
          <w:sz w:val="22"/>
        </w:rPr>
        <w:t xml:space="preserve">Annual </w:t>
      </w:r>
      <w:r w:rsidR="00B05CA5" w:rsidRPr="000D0327">
        <w:rPr>
          <w:rFonts w:ascii="Arial" w:hAnsi="Arial" w:cs="Arial"/>
          <w:i/>
          <w:iCs/>
          <w:sz w:val="22"/>
        </w:rPr>
        <w:t>Review of Public Health</w:t>
      </w:r>
      <w:r w:rsidRPr="000D0327">
        <w:rPr>
          <w:rFonts w:ascii="Arial" w:hAnsi="Arial" w:cs="Arial"/>
          <w:i/>
          <w:iCs/>
          <w:sz w:val="22"/>
        </w:rPr>
        <w:t>,</w:t>
      </w:r>
      <w:r w:rsidRPr="000D0327">
        <w:rPr>
          <w:rFonts w:ascii="Arial" w:hAnsi="Arial" w:cs="Arial"/>
          <w:sz w:val="22"/>
        </w:rPr>
        <w:t xml:space="preserve"> 37(1), pp. 273–293. Available at: </w:t>
      </w:r>
      <w:hyperlink r:id="rId36" w:history="1">
        <w:r w:rsidRPr="000D0327">
          <w:rPr>
            <w:rStyle w:val="Collegamentoipertestuale"/>
            <w:rFonts w:ascii="Arial" w:hAnsi="Arial" w:cs="Arial"/>
            <w:sz w:val="22"/>
          </w:rPr>
          <w:t>https://doi.org/10.1146/annurev-publhealth-032315-021528</w:t>
        </w:r>
      </w:hyperlink>
      <w:r w:rsidRPr="000D0327">
        <w:rPr>
          <w:rFonts w:ascii="Arial" w:hAnsi="Arial" w:cs="Arial"/>
          <w:sz w:val="22"/>
        </w:rPr>
        <w:t xml:space="preserve">. </w:t>
      </w:r>
    </w:p>
    <w:p w14:paraId="0A67CCAC" w14:textId="68CE0F69" w:rsidR="00396F23" w:rsidRPr="000D0327" w:rsidRDefault="00396F23" w:rsidP="00B644C5">
      <w:pPr>
        <w:spacing w:after="0" w:line="360" w:lineRule="auto"/>
        <w:jc w:val="both"/>
        <w:rPr>
          <w:rFonts w:ascii="Arial" w:eastAsia="Times New Roman" w:hAnsi="Arial" w:cs="Arial"/>
          <w:sz w:val="22"/>
          <w:lang w:eastAsia="en-GB"/>
        </w:rPr>
      </w:pPr>
      <w:r w:rsidRPr="000D0327">
        <w:rPr>
          <w:rFonts w:ascii="Arial" w:eastAsia="Times New Roman" w:hAnsi="Arial" w:cs="Arial"/>
          <w:sz w:val="22"/>
          <w:lang w:eastAsia="en-GB"/>
        </w:rPr>
        <w:lastRenderedPageBreak/>
        <w:t xml:space="preserve">Khaled, K. </w:t>
      </w:r>
      <w:r w:rsidRPr="000D0327">
        <w:rPr>
          <w:rFonts w:ascii="Arial" w:eastAsia="Times New Roman" w:hAnsi="Arial" w:cs="Arial"/>
          <w:i/>
          <w:iCs/>
          <w:sz w:val="22"/>
          <w:lang w:eastAsia="en-GB"/>
        </w:rPr>
        <w:t>et al.</w:t>
      </w:r>
      <w:r w:rsidRPr="000D0327">
        <w:rPr>
          <w:rFonts w:ascii="Arial" w:eastAsia="Times New Roman" w:hAnsi="Arial" w:cs="Arial"/>
          <w:sz w:val="22"/>
          <w:lang w:eastAsia="en-GB"/>
        </w:rPr>
        <w:t xml:space="preserve"> (2026) “Sugar</w:t>
      </w:r>
      <w:r w:rsidRPr="000D0327">
        <w:rPr>
          <w:rFonts w:ascii="Cambria Math" w:eastAsia="Times New Roman" w:hAnsi="Cambria Math" w:cs="Cambria Math"/>
          <w:sz w:val="22"/>
          <w:lang w:eastAsia="en-GB"/>
        </w:rPr>
        <w:t>‐</w:t>
      </w:r>
      <w:r w:rsidRPr="000D0327">
        <w:rPr>
          <w:rFonts w:ascii="Arial" w:eastAsia="Times New Roman" w:hAnsi="Arial" w:cs="Arial"/>
          <w:sz w:val="22"/>
          <w:lang w:eastAsia="en-GB"/>
        </w:rPr>
        <w:t>Sweetened Beverage Consumption and Anxiety Disorders in Adolescents: A Systematic Review and Meta</w:t>
      </w:r>
      <w:r w:rsidRPr="000D0327">
        <w:rPr>
          <w:rFonts w:ascii="Cambria Math" w:eastAsia="Times New Roman" w:hAnsi="Cambria Math" w:cs="Cambria Math"/>
          <w:sz w:val="22"/>
          <w:lang w:eastAsia="en-GB"/>
        </w:rPr>
        <w:t>‐</w:t>
      </w:r>
      <w:r w:rsidRPr="000D0327">
        <w:rPr>
          <w:rFonts w:ascii="Arial" w:eastAsia="Times New Roman" w:hAnsi="Arial" w:cs="Arial"/>
          <w:sz w:val="22"/>
          <w:lang w:eastAsia="en-GB"/>
        </w:rPr>
        <w:t xml:space="preserve">Analysis,” </w:t>
      </w:r>
      <w:r w:rsidRPr="000D0327">
        <w:rPr>
          <w:rFonts w:ascii="Arial" w:eastAsia="Times New Roman" w:hAnsi="Arial" w:cs="Arial"/>
          <w:i/>
          <w:iCs/>
          <w:sz w:val="22"/>
          <w:lang w:eastAsia="en-GB"/>
        </w:rPr>
        <w:t>Journal of Human Nutrition and Dietetics</w:t>
      </w:r>
      <w:r w:rsidRPr="000D0327">
        <w:rPr>
          <w:rFonts w:ascii="Arial" w:eastAsia="Times New Roman" w:hAnsi="Arial" w:cs="Arial"/>
          <w:sz w:val="22"/>
          <w:lang w:eastAsia="en-GB"/>
        </w:rPr>
        <w:t xml:space="preserve">, 39(1), pp. e70217-n/a. Available at: </w:t>
      </w:r>
      <w:hyperlink r:id="rId37" w:history="1">
        <w:r w:rsidRPr="000D0327">
          <w:rPr>
            <w:rStyle w:val="Collegamentoipertestuale"/>
            <w:rFonts w:ascii="Arial" w:eastAsia="Times New Roman" w:hAnsi="Arial" w:cs="Arial"/>
            <w:sz w:val="22"/>
            <w:lang w:eastAsia="en-GB"/>
          </w:rPr>
          <w:t>https://doi.org/10.1111/jhn.70217</w:t>
        </w:r>
      </w:hyperlink>
      <w:r w:rsidRPr="000D0327">
        <w:rPr>
          <w:rFonts w:ascii="Arial" w:eastAsia="Times New Roman" w:hAnsi="Arial" w:cs="Arial"/>
          <w:sz w:val="22"/>
          <w:lang w:eastAsia="en-GB"/>
        </w:rPr>
        <w:t xml:space="preserve">. </w:t>
      </w:r>
    </w:p>
    <w:p w14:paraId="177A12F8" w14:textId="61BCE53C" w:rsidR="00DC504A" w:rsidRPr="000D0327" w:rsidRDefault="00DC504A" w:rsidP="00B644C5">
      <w:pPr>
        <w:spacing w:after="0" w:line="360" w:lineRule="auto"/>
        <w:jc w:val="both"/>
        <w:rPr>
          <w:rFonts w:ascii="Arial" w:eastAsia="Times New Roman" w:hAnsi="Arial" w:cs="Arial"/>
          <w:sz w:val="22"/>
          <w:lang w:eastAsia="en-GB"/>
        </w:rPr>
      </w:pPr>
      <w:r w:rsidRPr="000D0327">
        <w:rPr>
          <w:rFonts w:ascii="Arial" w:eastAsia="Times New Roman" w:hAnsi="Arial" w:cs="Arial"/>
          <w:sz w:val="22"/>
          <w:lang w:eastAsia="en-GB"/>
        </w:rPr>
        <w:t xml:space="preserve">Lee, S.J. and Lee, K.W. (2025) “Association Between the Consumption of Sugar-Sweetened Beverages and High-Caffeine Drinks and Self-Reported Mental Health Conditions Among Korean Adolescents,” </w:t>
      </w:r>
      <w:r w:rsidRPr="000D0327">
        <w:rPr>
          <w:rFonts w:ascii="Arial" w:eastAsia="Times New Roman" w:hAnsi="Arial" w:cs="Arial"/>
          <w:i/>
          <w:iCs/>
          <w:sz w:val="22"/>
          <w:lang w:eastAsia="en-GB"/>
        </w:rPr>
        <w:t>Nutrients</w:t>
      </w:r>
      <w:r w:rsidRPr="000D0327">
        <w:rPr>
          <w:rFonts w:ascii="Arial" w:eastAsia="Times New Roman" w:hAnsi="Arial" w:cs="Arial"/>
          <w:sz w:val="22"/>
          <w:lang w:eastAsia="en-GB"/>
        </w:rPr>
        <w:t xml:space="preserve">, 17(16), p. 2652. Available at: </w:t>
      </w:r>
      <w:hyperlink r:id="rId38" w:history="1">
        <w:r w:rsidRPr="000D0327">
          <w:rPr>
            <w:rStyle w:val="Collegamentoipertestuale"/>
            <w:rFonts w:ascii="Arial" w:eastAsia="Times New Roman" w:hAnsi="Arial" w:cs="Arial"/>
            <w:sz w:val="22"/>
            <w:lang w:eastAsia="en-GB"/>
          </w:rPr>
          <w:t>https://doi.org/10.3390/nu17162652</w:t>
        </w:r>
      </w:hyperlink>
      <w:r w:rsidRPr="000D0327">
        <w:rPr>
          <w:rFonts w:ascii="Arial" w:eastAsia="Times New Roman" w:hAnsi="Arial" w:cs="Arial"/>
          <w:sz w:val="22"/>
          <w:lang w:eastAsia="en-GB"/>
        </w:rPr>
        <w:t xml:space="preserve">. </w:t>
      </w:r>
    </w:p>
    <w:p w14:paraId="51357B04" w14:textId="21B72566" w:rsidR="00CC2FF2" w:rsidRDefault="00CC2FF2" w:rsidP="00B644C5">
      <w:pPr>
        <w:spacing w:after="0" w:line="360" w:lineRule="auto"/>
        <w:jc w:val="both"/>
        <w:rPr>
          <w:rFonts w:ascii="Arial" w:eastAsia="Times New Roman" w:hAnsi="Arial" w:cs="Arial"/>
          <w:sz w:val="22"/>
          <w:lang w:eastAsia="en-GB"/>
        </w:rPr>
      </w:pPr>
      <w:proofErr w:type="spellStart"/>
      <w:r w:rsidRPr="000D0327">
        <w:rPr>
          <w:rFonts w:ascii="Arial" w:eastAsia="Times New Roman" w:hAnsi="Arial" w:cs="Arial"/>
          <w:sz w:val="22"/>
          <w:lang w:eastAsia="en-GB"/>
        </w:rPr>
        <w:t>Kleppang</w:t>
      </w:r>
      <w:proofErr w:type="spellEnd"/>
      <w:r w:rsidRPr="000D0327">
        <w:rPr>
          <w:rFonts w:ascii="Arial" w:eastAsia="Times New Roman" w:hAnsi="Arial" w:cs="Arial"/>
          <w:sz w:val="22"/>
          <w:lang w:eastAsia="en-GB"/>
        </w:rPr>
        <w:t xml:space="preserve">, A.L. </w:t>
      </w:r>
      <w:r w:rsidRPr="000D0327">
        <w:rPr>
          <w:rFonts w:ascii="Arial" w:eastAsia="Times New Roman" w:hAnsi="Arial" w:cs="Arial"/>
          <w:i/>
          <w:iCs/>
          <w:sz w:val="22"/>
          <w:lang w:eastAsia="en-GB"/>
        </w:rPr>
        <w:t>et al.</w:t>
      </w:r>
      <w:r w:rsidRPr="000D0327">
        <w:rPr>
          <w:rFonts w:ascii="Arial" w:eastAsia="Times New Roman" w:hAnsi="Arial" w:cs="Arial"/>
          <w:sz w:val="22"/>
          <w:lang w:eastAsia="en-GB"/>
        </w:rPr>
        <w:t xml:space="preserve"> (2021) “Physical activity, sugar-sweetened beverages, whole grain bread and insomnia among adolescents and psychological distress in adulthood: prospective data from the population-based HUNT study,” </w:t>
      </w:r>
      <w:r w:rsidRPr="000D0327">
        <w:rPr>
          <w:rFonts w:ascii="Arial" w:eastAsia="Times New Roman" w:hAnsi="Arial" w:cs="Arial"/>
          <w:i/>
          <w:iCs/>
          <w:sz w:val="22"/>
          <w:lang w:eastAsia="en-GB"/>
        </w:rPr>
        <w:t>The International Journal of Behavioural Nutrition and Physical Activity</w:t>
      </w:r>
      <w:r w:rsidRPr="000D0327">
        <w:rPr>
          <w:rFonts w:ascii="Arial" w:eastAsia="Times New Roman" w:hAnsi="Arial" w:cs="Arial"/>
          <w:sz w:val="22"/>
          <w:lang w:eastAsia="en-GB"/>
        </w:rPr>
        <w:t xml:space="preserve">, 18(1). Available at: </w:t>
      </w:r>
      <w:hyperlink r:id="rId39" w:history="1">
        <w:r w:rsidRPr="000D0327">
          <w:rPr>
            <w:rStyle w:val="Collegamentoipertestuale"/>
            <w:rFonts w:ascii="Arial" w:eastAsia="Times New Roman" w:hAnsi="Arial" w:cs="Arial"/>
            <w:sz w:val="22"/>
            <w:lang w:eastAsia="en-GB"/>
          </w:rPr>
          <w:t>https://doi.org/10.1186/s12966-021-01215-7</w:t>
        </w:r>
      </w:hyperlink>
      <w:r w:rsidRPr="000D0327">
        <w:rPr>
          <w:rFonts w:ascii="Arial" w:eastAsia="Times New Roman" w:hAnsi="Arial" w:cs="Arial"/>
          <w:sz w:val="22"/>
          <w:lang w:eastAsia="en-GB"/>
        </w:rPr>
        <w:t xml:space="preserve">. </w:t>
      </w:r>
    </w:p>
    <w:p w14:paraId="083365C5" w14:textId="77777777" w:rsidR="00B940D9" w:rsidRPr="00B940D9" w:rsidRDefault="00B940D9" w:rsidP="00B644C5">
      <w:pPr>
        <w:spacing w:after="0" w:line="360" w:lineRule="auto"/>
        <w:jc w:val="both"/>
        <w:rPr>
          <w:rFonts w:ascii="Arial" w:eastAsia="Times New Roman" w:hAnsi="Arial" w:cs="Arial"/>
          <w:sz w:val="22"/>
          <w:lang w:eastAsia="en-GB"/>
        </w:rPr>
      </w:pPr>
      <w:r w:rsidRPr="00B940D9">
        <w:rPr>
          <w:rFonts w:ascii="Arial" w:eastAsia="Times New Roman" w:hAnsi="Arial" w:cs="Arial"/>
          <w:sz w:val="22"/>
          <w:lang w:eastAsia="en-GB"/>
        </w:rPr>
        <w:t xml:space="preserve">Use </w:t>
      </w:r>
      <w:r w:rsidRPr="00B940D9">
        <w:rPr>
          <w:rFonts w:ascii="Arial" w:eastAsia="Times New Roman" w:hAnsi="Arial" w:cs="Arial"/>
          <w:b/>
          <w:bCs/>
          <w:sz w:val="22"/>
          <w:lang w:eastAsia="en-GB"/>
        </w:rPr>
        <w:t>2026a</w:t>
      </w:r>
      <w:r w:rsidRPr="00B940D9">
        <w:rPr>
          <w:rFonts w:ascii="Arial" w:eastAsia="Times New Roman" w:hAnsi="Arial" w:cs="Arial"/>
          <w:sz w:val="22"/>
          <w:lang w:eastAsia="en-GB"/>
        </w:rPr>
        <w:t xml:space="preserve"> and </w:t>
      </w:r>
      <w:r w:rsidRPr="00B940D9">
        <w:rPr>
          <w:rFonts w:ascii="Arial" w:eastAsia="Times New Roman" w:hAnsi="Arial" w:cs="Arial"/>
          <w:b/>
          <w:bCs/>
          <w:sz w:val="22"/>
          <w:lang w:eastAsia="en-GB"/>
        </w:rPr>
        <w:t>2026b</w:t>
      </w:r>
      <w:r w:rsidRPr="00B940D9">
        <w:rPr>
          <w:rFonts w:ascii="Arial" w:eastAsia="Times New Roman" w:hAnsi="Arial" w:cs="Arial"/>
          <w:sz w:val="22"/>
          <w:lang w:eastAsia="en-GB"/>
        </w:rPr>
        <w:t xml:space="preserve"> for the two Office for Health Improvement and Disparities sources, including in the corresponding in-text citations.</w:t>
      </w:r>
    </w:p>
    <w:p w14:paraId="36D3E52C" w14:textId="77777777" w:rsidR="00B940D9" w:rsidRPr="00B940D9" w:rsidRDefault="00B940D9" w:rsidP="00B644C5">
      <w:pPr>
        <w:spacing w:after="0" w:line="360" w:lineRule="auto"/>
        <w:jc w:val="both"/>
        <w:rPr>
          <w:rFonts w:ascii="Arial" w:eastAsia="Times New Roman" w:hAnsi="Arial" w:cs="Arial"/>
          <w:sz w:val="22"/>
          <w:lang w:eastAsia="en-GB"/>
        </w:rPr>
      </w:pPr>
      <w:r w:rsidRPr="00B940D9">
        <w:rPr>
          <w:rFonts w:ascii="Arial" w:eastAsia="Times New Roman" w:hAnsi="Arial" w:cs="Arial"/>
          <w:sz w:val="22"/>
          <w:lang w:eastAsia="en-GB"/>
        </w:rPr>
        <w:t xml:space="preserve">Department of Health and Social Care (2026) ‘Landmark junk food ad ban to protect kids’ health’. Available at: </w:t>
      </w:r>
      <w:hyperlink r:id="rId40" w:history="1">
        <w:r w:rsidRPr="00B940D9">
          <w:rPr>
            <w:rStyle w:val="Collegamentoipertestuale"/>
            <w:rFonts w:ascii="Arial" w:eastAsia="Times New Roman" w:hAnsi="Arial" w:cs="Arial"/>
            <w:sz w:val="22"/>
            <w:lang w:eastAsia="en-GB"/>
          </w:rPr>
          <w:t>https://www.gov.uk/government/news/landmark-junk-food-ad-ban-to-protect-kids-health</w:t>
        </w:r>
      </w:hyperlink>
      <w:r w:rsidRPr="00B940D9">
        <w:rPr>
          <w:rFonts w:ascii="Arial" w:eastAsia="Times New Roman" w:hAnsi="Arial" w:cs="Arial"/>
          <w:sz w:val="22"/>
          <w:lang w:eastAsia="en-GB"/>
        </w:rPr>
        <w:t xml:space="preserve"> (Accessed: 12 August 2026).</w:t>
      </w:r>
    </w:p>
    <w:p w14:paraId="7A0BA212" w14:textId="77777777" w:rsidR="00B940D9" w:rsidRPr="00B940D9" w:rsidRDefault="00B940D9" w:rsidP="00B644C5">
      <w:pPr>
        <w:spacing w:after="0" w:line="360" w:lineRule="auto"/>
        <w:jc w:val="both"/>
        <w:rPr>
          <w:rFonts w:ascii="Arial" w:eastAsia="Times New Roman" w:hAnsi="Arial" w:cs="Arial"/>
          <w:sz w:val="22"/>
          <w:lang w:eastAsia="en-GB"/>
        </w:rPr>
      </w:pPr>
      <w:r w:rsidRPr="00B940D9">
        <w:rPr>
          <w:rFonts w:ascii="Arial" w:eastAsia="Times New Roman" w:hAnsi="Arial" w:cs="Arial"/>
          <w:sz w:val="22"/>
          <w:lang w:eastAsia="en-GB"/>
        </w:rPr>
        <w:t xml:space="preserve">HM Treasury (2018) ‘Soft Drinks Industry Levy comes into effect’. Available at: </w:t>
      </w:r>
      <w:hyperlink r:id="rId41" w:history="1">
        <w:r w:rsidRPr="00B940D9">
          <w:rPr>
            <w:rStyle w:val="Collegamentoipertestuale"/>
            <w:rFonts w:ascii="Arial" w:eastAsia="Times New Roman" w:hAnsi="Arial" w:cs="Arial"/>
            <w:sz w:val="22"/>
            <w:lang w:eastAsia="en-GB"/>
          </w:rPr>
          <w:t>https://www.gov.uk/government/news/soft-drinks-industry-levy-comes-into-effect</w:t>
        </w:r>
      </w:hyperlink>
      <w:r w:rsidRPr="00B940D9">
        <w:rPr>
          <w:rFonts w:ascii="Arial" w:eastAsia="Times New Roman" w:hAnsi="Arial" w:cs="Arial"/>
          <w:sz w:val="22"/>
          <w:lang w:eastAsia="en-GB"/>
        </w:rPr>
        <w:t xml:space="preserve"> (Accessed: 12 August 2026).</w:t>
      </w:r>
    </w:p>
    <w:p w14:paraId="2B558B9E" w14:textId="77777777" w:rsidR="00B940D9" w:rsidRPr="00B940D9" w:rsidRDefault="00B940D9" w:rsidP="00B644C5">
      <w:pPr>
        <w:spacing w:after="0" w:line="360" w:lineRule="auto"/>
        <w:jc w:val="both"/>
        <w:rPr>
          <w:rFonts w:ascii="Arial" w:eastAsia="Times New Roman" w:hAnsi="Arial" w:cs="Arial"/>
          <w:sz w:val="22"/>
          <w:lang w:eastAsia="en-GB"/>
        </w:rPr>
      </w:pPr>
      <w:r w:rsidRPr="00B940D9">
        <w:rPr>
          <w:rFonts w:ascii="Arial" w:eastAsia="Times New Roman" w:hAnsi="Arial" w:cs="Arial"/>
          <w:sz w:val="22"/>
          <w:lang w:eastAsia="en-GB"/>
        </w:rPr>
        <w:t xml:space="preserve">HM Treasury (2025) ‘Soft drinks levy extended to protect children and improve health’. Available at: </w:t>
      </w:r>
      <w:hyperlink r:id="rId42" w:history="1">
        <w:r w:rsidRPr="00B940D9">
          <w:rPr>
            <w:rStyle w:val="Collegamentoipertestuale"/>
            <w:rFonts w:ascii="Arial" w:eastAsia="Times New Roman" w:hAnsi="Arial" w:cs="Arial"/>
            <w:sz w:val="22"/>
            <w:lang w:eastAsia="en-GB"/>
          </w:rPr>
          <w:t>https://www.gov.uk/government/news/soft-drink-levy-extended-to-protect-children-and-improve-health</w:t>
        </w:r>
      </w:hyperlink>
      <w:r w:rsidRPr="00B940D9">
        <w:rPr>
          <w:rFonts w:ascii="Arial" w:eastAsia="Times New Roman" w:hAnsi="Arial" w:cs="Arial"/>
          <w:sz w:val="22"/>
          <w:lang w:eastAsia="en-GB"/>
        </w:rPr>
        <w:t xml:space="preserve"> (Accessed: 12 August 2026).</w:t>
      </w:r>
    </w:p>
    <w:p w14:paraId="0BDA08A4" w14:textId="77777777" w:rsidR="00B940D9" w:rsidRPr="00B940D9" w:rsidRDefault="00B940D9" w:rsidP="00B644C5">
      <w:pPr>
        <w:spacing w:after="0" w:line="360" w:lineRule="auto"/>
        <w:jc w:val="both"/>
        <w:rPr>
          <w:rFonts w:ascii="Arial" w:eastAsia="Times New Roman" w:hAnsi="Arial" w:cs="Arial"/>
          <w:sz w:val="22"/>
          <w:lang w:eastAsia="en-GB"/>
        </w:rPr>
      </w:pPr>
      <w:r w:rsidRPr="00B940D9">
        <w:rPr>
          <w:rFonts w:ascii="Arial" w:eastAsia="Times New Roman" w:hAnsi="Arial" w:cs="Arial"/>
          <w:sz w:val="22"/>
          <w:lang w:eastAsia="en-GB"/>
        </w:rPr>
        <w:t xml:space="preserve">National Institute for Health and Care Excellence (NICE) (2025) </w:t>
      </w:r>
      <w:r w:rsidRPr="00B940D9">
        <w:rPr>
          <w:rFonts w:ascii="Arial" w:eastAsia="Times New Roman" w:hAnsi="Arial" w:cs="Arial"/>
          <w:i/>
          <w:iCs/>
          <w:sz w:val="22"/>
          <w:lang w:eastAsia="en-GB"/>
        </w:rPr>
        <w:t>Overweight and obesity management</w:t>
      </w:r>
      <w:r w:rsidRPr="00B940D9">
        <w:rPr>
          <w:rFonts w:ascii="Arial" w:eastAsia="Times New Roman" w:hAnsi="Arial" w:cs="Arial"/>
          <w:sz w:val="22"/>
          <w:lang w:eastAsia="en-GB"/>
        </w:rPr>
        <w:t xml:space="preserve">. NICE guideline NG246. Available at: </w:t>
      </w:r>
      <w:hyperlink r:id="rId43" w:history="1">
        <w:r w:rsidRPr="00B940D9">
          <w:rPr>
            <w:rStyle w:val="Collegamentoipertestuale"/>
            <w:rFonts w:ascii="Arial" w:eastAsia="Times New Roman" w:hAnsi="Arial" w:cs="Arial"/>
            <w:sz w:val="22"/>
            <w:lang w:eastAsia="en-GB"/>
          </w:rPr>
          <w:t>https://www.nice.org.uk/guidance/ng246</w:t>
        </w:r>
      </w:hyperlink>
      <w:r w:rsidRPr="00B940D9">
        <w:rPr>
          <w:rFonts w:ascii="Arial" w:eastAsia="Times New Roman" w:hAnsi="Arial" w:cs="Arial"/>
          <w:sz w:val="22"/>
          <w:lang w:eastAsia="en-GB"/>
        </w:rPr>
        <w:t xml:space="preserve"> (Accessed: 12 August 2026).</w:t>
      </w:r>
    </w:p>
    <w:p w14:paraId="468A1FB2" w14:textId="77777777" w:rsidR="00B940D9" w:rsidRPr="00B940D9" w:rsidRDefault="00B940D9" w:rsidP="00B644C5">
      <w:pPr>
        <w:spacing w:after="0" w:line="360" w:lineRule="auto"/>
        <w:jc w:val="both"/>
        <w:rPr>
          <w:rFonts w:ascii="Arial" w:eastAsia="Times New Roman" w:hAnsi="Arial" w:cs="Arial"/>
          <w:sz w:val="22"/>
          <w:lang w:eastAsia="en-GB"/>
        </w:rPr>
      </w:pPr>
      <w:r w:rsidRPr="00B940D9">
        <w:rPr>
          <w:rFonts w:ascii="Arial" w:eastAsia="Times New Roman" w:hAnsi="Arial" w:cs="Arial"/>
          <w:sz w:val="22"/>
          <w:lang w:eastAsia="en-GB"/>
        </w:rPr>
        <w:t xml:space="preserve">Office for Health Improvement and Disparities (2026a) </w:t>
      </w:r>
      <w:r w:rsidRPr="00B940D9">
        <w:rPr>
          <w:rFonts w:ascii="Arial" w:eastAsia="Times New Roman" w:hAnsi="Arial" w:cs="Arial"/>
          <w:i/>
          <w:iCs/>
          <w:sz w:val="22"/>
          <w:lang w:eastAsia="en-GB"/>
        </w:rPr>
        <w:t>National Child Measurement Programme: information for schools 2025</w:t>
      </w:r>
      <w:r w:rsidRPr="00B940D9">
        <w:rPr>
          <w:rFonts w:ascii="Arial" w:eastAsia="Times New Roman" w:hAnsi="Arial" w:cs="Arial"/>
          <w:sz w:val="22"/>
          <w:lang w:eastAsia="en-GB"/>
        </w:rPr>
        <w:t xml:space="preserve">. Available at: </w:t>
      </w:r>
      <w:hyperlink r:id="rId44" w:history="1">
        <w:r w:rsidRPr="00B940D9">
          <w:rPr>
            <w:rStyle w:val="Collegamentoipertestuale"/>
            <w:rFonts w:ascii="Arial" w:eastAsia="Times New Roman" w:hAnsi="Arial" w:cs="Arial"/>
            <w:sz w:val="22"/>
            <w:lang w:eastAsia="en-GB"/>
          </w:rPr>
          <w:t>https://www.gov.uk/government/publications/national-child-measurement-programme-information-for-schools/national-child-measurement-programme-information-for-schools-2025</w:t>
        </w:r>
      </w:hyperlink>
      <w:r w:rsidRPr="00B940D9">
        <w:rPr>
          <w:rFonts w:ascii="Arial" w:eastAsia="Times New Roman" w:hAnsi="Arial" w:cs="Arial"/>
          <w:sz w:val="22"/>
          <w:lang w:eastAsia="en-GB"/>
        </w:rPr>
        <w:t xml:space="preserve"> (Accessed: 12 August 2026).</w:t>
      </w:r>
    </w:p>
    <w:p w14:paraId="3BEEB845" w14:textId="77777777" w:rsidR="00B940D9" w:rsidRPr="00B940D9" w:rsidRDefault="00B940D9" w:rsidP="00B644C5">
      <w:pPr>
        <w:spacing w:after="0" w:line="360" w:lineRule="auto"/>
        <w:jc w:val="both"/>
        <w:rPr>
          <w:rFonts w:ascii="Arial" w:eastAsia="Times New Roman" w:hAnsi="Arial" w:cs="Arial"/>
          <w:sz w:val="22"/>
          <w:lang w:eastAsia="en-GB"/>
        </w:rPr>
      </w:pPr>
      <w:r w:rsidRPr="00B940D9">
        <w:rPr>
          <w:rFonts w:ascii="Arial" w:eastAsia="Times New Roman" w:hAnsi="Arial" w:cs="Arial"/>
          <w:sz w:val="22"/>
          <w:lang w:eastAsia="en-GB"/>
        </w:rPr>
        <w:t xml:space="preserve">Office for Health Improvement and Disparities (2026b) </w:t>
      </w:r>
      <w:r w:rsidRPr="00B940D9">
        <w:rPr>
          <w:rFonts w:ascii="Arial" w:eastAsia="Times New Roman" w:hAnsi="Arial" w:cs="Arial"/>
          <w:i/>
          <w:iCs/>
          <w:sz w:val="22"/>
          <w:lang w:eastAsia="en-GB"/>
        </w:rPr>
        <w:t>National Child Measurement Programme: operational guidance 2024</w:t>
      </w:r>
      <w:r w:rsidRPr="00B940D9">
        <w:rPr>
          <w:rFonts w:ascii="Arial" w:eastAsia="Times New Roman" w:hAnsi="Arial" w:cs="Arial"/>
          <w:sz w:val="22"/>
          <w:lang w:eastAsia="en-GB"/>
        </w:rPr>
        <w:t xml:space="preserve">. Available at: </w:t>
      </w:r>
      <w:hyperlink r:id="rId45" w:history="1">
        <w:r w:rsidRPr="00B940D9">
          <w:rPr>
            <w:rStyle w:val="Collegamentoipertestuale"/>
            <w:rFonts w:ascii="Arial" w:eastAsia="Times New Roman" w:hAnsi="Arial" w:cs="Arial"/>
            <w:sz w:val="22"/>
            <w:lang w:eastAsia="en-GB"/>
          </w:rPr>
          <w:t>https://www.gov.uk/government/publications/national-child-measurement-programme-operational-guidance/national-child-measurement-programme-operational-guidance-2024</w:t>
        </w:r>
      </w:hyperlink>
      <w:r w:rsidRPr="00B940D9">
        <w:rPr>
          <w:rFonts w:ascii="Arial" w:eastAsia="Times New Roman" w:hAnsi="Arial" w:cs="Arial"/>
          <w:sz w:val="22"/>
          <w:lang w:eastAsia="en-GB"/>
        </w:rPr>
        <w:t xml:space="preserve"> (Accessed: 12 August 2026).</w:t>
      </w:r>
    </w:p>
    <w:p w14:paraId="50200948" w14:textId="77777777" w:rsidR="00B940D9" w:rsidRPr="00B940D9" w:rsidRDefault="00B940D9" w:rsidP="00B644C5">
      <w:pPr>
        <w:spacing w:after="0" w:line="360" w:lineRule="auto"/>
        <w:jc w:val="both"/>
        <w:rPr>
          <w:rFonts w:ascii="Arial" w:eastAsia="Times New Roman" w:hAnsi="Arial" w:cs="Arial"/>
          <w:sz w:val="22"/>
          <w:lang w:eastAsia="en-GB"/>
        </w:rPr>
      </w:pPr>
      <w:r w:rsidRPr="00B940D9">
        <w:rPr>
          <w:rFonts w:ascii="Arial" w:eastAsia="Times New Roman" w:hAnsi="Arial" w:cs="Arial"/>
          <w:sz w:val="22"/>
          <w:lang w:eastAsia="en-GB"/>
        </w:rPr>
        <w:lastRenderedPageBreak/>
        <w:t xml:space="preserve">Scientific Advisory Committee on Nutrition (2015) </w:t>
      </w:r>
      <w:r w:rsidRPr="00B940D9">
        <w:rPr>
          <w:rFonts w:ascii="Arial" w:eastAsia="Times New Roman" w:hAnsi="Arial" w:cs="Arial"/>
          <w:i/>
          <w:iCs/>
          <w:sz w:val="22"/>
          <w:lang w:eastAsia="en-GB"/>
        </w:rPr>
        <w:t>Carbohydrates and health</w:t>
      </w:r>
      <w:r w:rsidRPr="00B940D9">
        <w:rPr>
          <w:rFonts w:ascii="Arial" w:eastAsia="Times New Roman" w:hAnsi="Arial" w:cs="Arial"/>
          <w:sz w:val="22"/>
          <w:lang w:eastAsia="en-GB"/>
        </w:rPr>
        <w:t xml:space="preserve">. London: The Stationery Office. Available at: </w:t>
      </w:r>
      <w:hyperlink r:id="rId46" w:history="1">
        <w:r w:rsidRPr="00B940D9">
          <w:rPr>
            <w:rStyle w:val="Collegamentoipertestuale"/>
            <w:rFonts w:ascii="Arial" w:eastAsia="Times New Roman" w:hAnsi="Arial" w:cs="Arial"/>
            <w:sz w:val="22"/>
            <w:lang w:eastAsia="en-GB"/>
          </w:rPr>
          <w:t>https://www.gov.uk/government/publications/sacn-carbohydrates-and-health-report</w:t>
        </w:r>
      </w:hyperlink>
      <w:r w:rsidRPr="00B940D9">
        <w:rPr>
          <w:rFonts w:ascii="Arial" w:eastAsia="Times New Roman" w:hAnsi="Arial" w:cs="Arial"/>
          <w:sz w:val="22"/>
          <w:lang w:eastAsia="en-GB"/>
        </w:rPr>
        <w:t xml:space="preserve"> (Accessed: 12 August 2026).</w:t>
      </w:r>
    </w:p>
    <w:p w14:paraId="43917F87" w14:textId="77777777" w:rsidR="00B940D9" w:rsidRPr="000D0327" w:rsidRDefault="00B940D9" w:rsidP="00B644C5">
      <w:pPr>
        <w:spacing w:after="0" w:line="360" w:lineRule="auto"/>
        <w:jc w:val="both"/>
        <w:rPr>
          <w:rFonts w:ascii="Arial" w:eastAsia="Times New Roman" w:hAnsi="Arial" w:cs="Arial"/>
          <w:sz w:val="22"/>
          <w:lang w:eastAsia="en-GB"/>
        </w:rPr>
      </w:pPr>
    </w:p>
    <w:p w14:paraId="70A7BC51" w14:textId="77777777" w:rsidR="00AB6ABE" w:rsidRPr="000D0327" w:rsidRDefault="00AB6ABE" w:rsidP="00B644C5">
      <w:pPr>
        <w:spacing w:line="360" w:lineRule="auto"/>
        <w:jc w:val="both"/>
        <w:rPr>
          <w:rFonts w:ascii="Arial" w:hAnsi="Arial" w:cs="Arial"/>
          <w:sz w:val="22"/>
        </w:rPr>
      </w:pPr>
    </w:p>
    <w:sectPr w:rsidR="00AB6ABE" w:rsidRPr="000D0327" w:rsidSect="00EE16E2">
      <w:headerReference w:type="default" r:id="rId47"/>
      <w:footerReference w:type="default" r:id="rId48"/>
      <w:pgSz w:w="11906" w:h="16838" w:code="9"/>
      <w:pgMar w:top="1440" w:right="1440" w:bottom="1440" w:left="1440" w:header="709" w:footer="709"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FE6BC8C" w14:textId="77777777" w:rsidR="001F5A2D" w:rsidRDefault="001F5A2D" w:rsidP="00545684">
      <w:pPr>
        <w:spacing w:after="0" w:line="240" w:lineRule="auto"/>
      </w:pPr>
      <w:r>
        <w:separator/>
      </w:r>
    </w:p>
  </w:endnote>
  <w:endnote w:type="continuationSeparator" w:id="0">
    <w:p w14:paraId="54EAC42E" w14:textId="77777777" w:rsidR="001F5A2D" w:rsidRDefault="001F5A2D" w:rsidP="005456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07048174"/>
      <w:docPartObj>
        <w:docPartGallery w:val="Page Numbers (Bottom of Page)"/>
        <w:docPartUnique/>
      </w:docPartObj>
    </w:sdtPr>
    <w:sdtEndPr>
      <w:rPr>
        <w:rFonts w:ascii="Arial" w:hAnsi="Arial" w:cs="Arial"/>
        <w:noProof/>
        <w:sz w:val="22"/>
      </w:rPr>
    </w:sdtEndPr>
    <w:sdtContent>
      <w:p w14:paraId="4459FC94" w14:textId="4721B869" w:rsidR="00545684" w:rsidRPr="00AD0E8D" w:rsidRDefault="00545684">
        <w:pPr>
          <w:pStyle w:val="Pidipagina"/>
          <w:jc w:val="center"/>
          <w:rPr>
            <w:rFonts w:ascii="Arial" w:hAnsi="Arial" w:cs="Arial"/>
            <w:sz w:val="22"/>
          </w:rPr>
        </w:pPr>
        <w:r w:rsidRPr="00AD0E8D">
          <w:rPr>
            <w:rFonts w:ascii="Arial" w:hAnsi="Arial" w:cs="Arial"/>
            <w:sz w:val="22"/>
          </w:rPr>
          <w:fldChar w:fldCharType="begin"/>
        </w:r>
        <w:r w:rsidRPr="00AD0E8D">
          <w:rPr>
            <w:rFonts w:ascii="Arial" w:hAnsi="Arial" w:cs="Arial"/>
            <w:sz w:val="22"/>
          </w:rPr>
          <w:instrText xml:space="preserve"> PAGE   \* MERGEFORMAT </w:instrText>
        </w:r>
        <w:r w:rsidRPr="00AD0E8D">
          <w:rPr>
            <w:rFonts w:ascii="Arial" w:hAnsi="Arial" w:cs="Arial"/>
            <w:sz w:val="22"/>
          </w:rPr>
          <w:fldChar w:fldCharType="separate"/>
        </w:r>
        <w:r w:rsidRPr="00AD0E8D">
          <w:rPr>
            <w:rFonts w:ascii="Arial" w:hAnsi="Arial" w:cs="Arial"/>
            <w:noProof/>
            <w:sz w:val="22"/>
          </w:rPr>
          <w:t>2</w:t>
        </w:r>
        <w:r w:rsidRPr="00AD0E8D">
          <w:rPr>
            <w:rFonts w:ascii="Arial" w:hAnsi="Arial" w:cs="Arial"/>
            <w:noProof/>
            <w:sz w:val="22"/>
          </w:rPr>
          <w:fldChar w:fldCharType="end"/>
        </w:r>
      </w:p>
    </w:sdtContent>
  </w:sdt>
  <w:p w14:paraId="0C825DF6" w14:textId="77777777" w:rsidR="00545684" w:rsidRDefault="00545684">
    <w:pPr>
      <w:pStyle w:val="Pidipagina"/>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0B2E759" w14:textId="77777777" w:rsidR="001F5A2D" w:rsidRDefault="001F5A2D" w:rsidP="00545684">
      <w:pPr>
        <w:spacing w:after="0" w:line="240" w:lineRule="auto"/>
      </w:pPr>
      <w:r>
        <w:separator/>
      </w:r>
    </w:p>
  </w:footnote>
  <w:footnote w:type="continuationSeparator" w:id="0">
    <w:p w14:paraId="0F746746" w14:textId="77777777" w:rsidR="001F5A2D" w:rsidRDefault="001F5A2D" w:rsidP="0054568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89196561"/>
      <w:docPartObj>
        <w:docPartGallery w:val="Page Numbers (Top of Page)"/>
        <w:docPartUnique/>
      </w:docPartObj>
    </w:sdtPr>
    <w:sdtContent>
      <w:p w14:paraId="32B7DDE3" w14:textId="05F34380" w:rsidR="00D0488C" w:rsidRDefault="00D0488C">
        <w:pPr>
          <w:pStyle w:val="Intestazione"/>
          <w:jc w:val="center"/>
        </w:pPr>
        <w:r>
          <w:fldChar w:fldCharType="begin"/>
        </w:r>
        <w:r>
          <w:instrText>PAGE   \* MERGEFORMAT</w:instrText>
        </w:r>
        <w:r>
          <w:fldChar w:fldCharType="separate"/>
        </w:r>
        <w:r>
          <w:t>2</w:t>
        </w:r>
        <w:r>
          <w:fldChar w:fldCharType="end"/>
        </w:r>
      </w:p>
    </w:sdtContent>
  </w:sdt>
  <w:p w14:paraId="42F9AF1B" w14:textId="77777777" w:rsidR="00D0488C" w:rsidRDefault="00D0488C">
    <w:pPr>
      <w:pStyle w:val="Intestazione"/>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489466D"/>
    <w:multiLevelType w:val="multilevel"/>
    <w:tmpl w:val="3138AC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F9E69EB"/>
    <w:multiLevelType w:val="multilevel"/>
    <w:tmpl w:val="383A78B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4B82B22"/>
    <w:multiLevelType w:val="multilevel"/>
    <w:tmpl w:val="ECA283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123251A"/>
    <w:multiLevelType w:val="multilevel"/>
    <w:tmpl w:val="1736B6A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4B6B0031"/>
    <w:multiLevelType w:val="multilevel"/>
    <w:tmpl w:val="02188F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95A1326"/>
    <w:multiLevelType w:val="multilevel"/>
    <w:tmpl w:val="BA782C8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68DD4561"/>
    <w:multiLevelType w:val="multilevel"/>
    <w:tmpl w:val="C2DABC5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726C73CB"/>
    <w:multiLevelType w:val="hybridMultilevel"/>
    <w:tmpl w:val="2148238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2A57747"/>
    <w:multiLevelType w:val="multilevel"/>
    <w:tmpl w:val="5E8A37B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74053DAB"/>
    <w:multiLevelType w:val="hybridMultilevel"/>
    <w:tmpl w:val="FE4C32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9237CB6"/>
    <w:multiLevelType w:val="multilevel"/>
    <w:tmpl w:val="34DC6B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FA41052"/>
    <w:multiLevelType w:val="hybridMultilevel"/>
    <w:tmpl w:val="D556EB6E"/>
    <w:lvl w:ilvl="0" w:tplc="EBFE2320">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22099292">
    <w:abstractNumId w:val="11"/>
  </w:num>
  <w:num w:numId="2" w16cid:durableId="1184516043">
    <w:abstractNumId w:val="7"/>
  </w:num>
  <w:num w:numId="3" w16cid:durableId="725840566">
    <w:abstractNumId w:val="9"/>
  </w:num>
  <w:num w:numId="4" w16cid:durableId="624845359">
    <w:abstractNumId w:val="1"/>
  </w:num>
  <w:num w:numId="5" w16cid:durableId="1877234514">
    <w:abstractNumId w:val="4"/>
  </w:num>
  <w:num w:numId="6" w16cid:durableId="142503045">
    <w:abstractNumId w:val="2"/>
  </w:num>
  <w:num w:numId="7" w16cid:durableId="1449592118">
    <w:abstractNumId w:val="10"/>
  </w:num>
  <w:num w:numId="8" w16cid:durableId="1824660840">
    <w:abstractNumId w:val="0"/>
  </w:num>
  <w:num w:numId="9" w16cid:durableId="1316714694">
    <w:abstractNumId w:val="5"/>
  </w:num>
  <w:num w:numId="10" w16cid:durableId="76678561">
    <w:abstractNumId w:val="8"/>
  </w:num>
  <w:num w:numId="11" w16cid:durableId="1644117009">
    <w:abstractNumId w:val="3"/>
  </w:num>
  <w:num w:numId="12" w16cid:durableId="157142670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hyphenationZone w:val="283"/>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5990"/>
    <w:rsid w:val="00000135"/>
    <w:rsid w:val="000058C5"/>
    <w:rsid w:val="00012D73"/>
    <w:rsid w:val="00040C08"/>
    <w:rsid w:val="00041A5A"/>
    <w:rsid w:val="00064179"/>
    <w:rsid w:val="00077AB9"/>
    <w:rsid w:val="000832E7"/>
    <w:rsid w:val="00084DCB"/>
    <w:rsid w:val="00096DF3"/>
    <w:rsid w:val="000A20FA"/>
    <w:rsid w:val="000A4E70"/>
    <w:rsid w:val="000A5161"/>
    <w:rsid w:val="000B58B2"/>
    <w:rsid w:val="000B7CD5"/>
    <w:rsid w:val="000C73A9"/>
    <w:rsid w:val="000D0327"/>
    <w:rsid w:val="000E7586"/>
    <w:rsid w:val="000F69CA"/>
    <w:rsid w:val="00105E03"/>
    <w:rsid w:val="001308BE"/>
    <w:rsid w:val="00131482"/>
    <w:rsid w:val="00135B00"/>
    <w:rsid w:val="00135BFD"/>
    <w:rsid w:val="0014525B"/>
    <w:rsid w:val="00165640"/>
    <w:rsid w:val="00175288"/>
    <w:rsid w:val="0018373A"/>
    <w:rsid w:val="00192329"/>
    <w:rsid w:val="0019259C"/>
    <w:rsid w:val="001C7F27"/>
    <w:rsid w:val="001E0EA2"/>
    <w:rsid w:val="001E7AFA"/>
    <w:rsid w:val="001F41A4"/>
    <w:rsid w:val="001F5A2D"/>
    <w:rsid w:val="002015AC"/>
    <w:rsid w:val="002079CA"/>
    <w:rsid w:val="00213D97"/>
    <w:rsid w:val="00216C85"/>
    <w:rsid w:val="00260277"/>
    <w:rsid w:val="00262A55"/>
    <w:rsid w:val="00273EDD"/>
    <w:rsid w:val="002828B3"/>
    <w:rsid w:val="00292480"/>
    <w:rsid w:val="0029347C"/>
    <w:rsid w:val="002952D3"/>
    <w:rsid w:val="002A15DA"/>
    <w:rsid w:val="002A1E2F"/>
    <w:rsid w:val="002B11B2"/>
    <w:rsid w:val="002B6A3A"/>
    <w:rsid w:val="002C3965"/>
    <w:rsid w:val="002C5A2D"/>
    <w:rsid w:val="002D6881"/>
    <w:rsid w:val="002E08CB"/>
    <w:rsid w:val="002F2CAA"/>
    <w:rsid w:val="00300A7D"/>
    <w:rsid w:val="00303B3D"/>
    <w:rsid w:val="00306AF5"/>
    <w:rsid w:val="00312A6E"/>
    <w:rsid w:val="00321C4C"/>
    <w:rsid w:val="00321FC4"/>
    <w:rsid w:val="003347BB"/>
    <w:rsid w:val="00355EA2"/>
    <w:rsid w:val="00357C6B"/>
    <w:rsid w:val="00372BC6"/>
    <w:rsid w:val="00380294"/>
    <w:rsid w:val="00384088"/>
    <w:rsid w:val="003910BC"/>
    <w:rsid w:val="00396F23"/>
    <w:rsid w:val="003A220F"/>
    <w:rsid w:val="003A4C7D"/>
    <w:rsid w:val="003B5B7F"/>
    <w:rsid w:val="003C0B20"/>
    <w:rsid w:val="003C62A4"/>
    <w:rsid w:val="003C79E3"/>
    <w:rsid w:val="003D3AEF"/>
    <w:rsid w:val="004061F5"/>
    <w:rsid w:val="0041121B"/>
    <w:rsid w:val="004522C1"/>
    <w:rsid w:val="00472991"/>
    <w:rsid w:val="00473C7D"/>
    <w:rsid w:val="00475E67"/>
    <w:rsid w:val="004903AA"/>
    <w:rsid w:val="004905B5"/>
    <w:rsid w:val="0049614D"/>
    <w:rsid w:val="004A15CA"/>
    <w:rsid w:val="004C1293"/>
    <w:rsid w:val="004D6C0F"/>
    <w:rsid w:val="004E6C3B"/>
    <w:rsid w:val="00506E32"/>
    <w:rsid w:val="00524093"/>
    <w:rsid w:val="00541E4D"/>
    <w:rsid w:val="00544882"/>
    <w:rsid w:val="00545684"/>
    <w:rsid w:val="00551486"/>
    <w:rsid w:val="00554912"/>
    <w:rsid w:val="00566B68"/>
    <w:rsid w:val="00571F18"/>
    <w:rsid w:val="00581F44"/>
    <w:rsid w:val="00586E2D"/>
    <w:rsid w:val="00595474"/>
    <w:rsid w:val="005A15BF"/>
    <w:rsid w:val="005B4D3D"/>
    <w:rsid w:val="005D0ABC"/>
    <w:rsid w:val="005E1C90"/>
    <w:rsid w:val="005E4452"/>
    <w:rsid w:val="00607187"/>
    <w:rsid w:val="0061260B"/>
    <w:rsid w:val="00625D4E"/>
    <w:rsid w:val="00637E0C"/>
    <w:rsid w:val="0065421E"/>
    <w:rsid w:val="00691744"/>
    <w:rsid w:val="006A263C"/>
    <w:rsid w:val="006B2BD8"/>
    <w:rsid w:val="006C0AD8"/>
    <w:rsid w:val="006C14D4"/>
    <w:rsid w:val="006C3BEF"/>
    <w:rsid w:val="006C65EA"/>
    <w:rsid w:val="006E5632"/>
    <w:rsid w:val="006F1093"/>
    <w:rsid w:val="007008F1"/>
    <w:rsid w:val="007043E2"/>
    <w:rsid w:val="007052F6"/>
    <w:rsid w:val="00705D32"/>
    <w:rsid w:val="00710C0C"/>
    <w:rsid w:val="00715990"/>
    <w:rsid w:val="00717FC8"/>
    <w:rsid w:val="00722C76"/>
    <w:rsid w:val="00730F0A"/>
    <w:rsid w:val="00747246"/>
    <w:rsid w:val="00757C70"/>
    <w:rsid w:val="0076197E"/>
    <w:rsid w:val="00767BDE"/>
    <w:rsid w:val="0077214F"/>
    <w:rsid w:val="00784670"/>
    <w:rsid w:val="00790B71"/>
    <w:rsid w:val="00792527"/>
    <w:rsid w:val="007A685A"/>
    <w:rsid w:val="007B27C9"/>
    <w:rsid w:val="007C1F8D"/>
    <w:rsid w:val="007C721A"/>
    <w:rsid w:val="007D3E43"/>
    <w:rsid w:val="00801234"/>
    <w:rsid w:val="00830DD1"/>
    <w:rsid w:val="00843FB0"/>
    <w:rsid w:val="0085512A"/>
    <w:rsid w:val="00862A55"/>
    <w:rsid w:val="00866B7B"/>
    <w:rsid w:val="0088089E"/>
    <w:rsid w:val="00890952"/>
    <w:rsid w:val="008A1F00"/>
    <w:rsid w:val="008A5F00"/>
    <w:rsid w:val="008A7FE7"/>
    <w:rsid w:val="008C1E19"/>
    <w:rsid w:val="008D5E7B"/>
    <w:rsid w:val="008D6FBA"/>
    <w:rsid w:val="008E5015"/>
    <w:rsid w:val="008F46CC"/>
    <w:rsid w:val="00911B59"/>
    <w:rsid w:val="0092077C"/>
    <w:rsid w:val="00954C1D"/>
    <w:rsid w:val="00956F6B"/>
    <w:rsid w:val="009638D7"/>
    <w:rsid w:val="009661CF"/>
    <w:rsid w:val="009724D1"/>
    <w:rsid w:val="009770F5"/>
    <w:rsid w:val="00982C41"/>
    <w:rsid w:val="009850A2"/>
    <w:rsid w:val="00987E6A"/>
    <w:rsid w:val="00992A03"/>
    <w:rsid w:val="009B20EF"/>
    <w:rsid w:val="009B2EED"/>
    <w:rsid w:val="009B40F7"/>
    <w:rsid w:val="009C6E91"/>
    <w:rsid w:val="009D1D1E"/>
    <w:rsid w:val="009E291A"/>
    <w:rsid w:val="009F62D9"/>
    <w:rsid w:val="00A00FC0"/>
    <w:rsid w:val="00A01E9F"/>
    <w:rsid w:val="00A03464"/>
    <w:rsid w:val="00A035FD"/>
    <w:rsid w:val="00A05231"/>
    <w:rsid w:val="00A12115"/>
    <w:rsid w:val="00A402BC"/>
    <w:rsid w:val="00A74C8A"/>
    <w:rsid w:val="00A83605"/>
    <w:rsid w:val="00A8649A"/>
    <w:rsid w:val="00A87459"/>
    <w:rsid w:val="00A90786"/>
    <w:rsid w:val="00AB4795"/>
    <w:rsid w:val="00AB6ABE"/>
    <w:rsid w:val="00AC4A80"/>
    <w:rsid w:val="00AC63AA"/>
    <w:rsid w:val="00AD0E8D"/>
    <w:rsid w:val="00AD2D19"/>
    <w:rsid w:val="00AD4CB2"/>
    <w:rsid w:val="00AD55F5"/>
    <w:rsid w:val="00AE07AA"/>
    <w:rsid w:val="00AF263C"/>
    <w:rsid w:val="00B02E91"/>
    <w:rsid w:val="00B03879"/>
    <w:rsid w:val="00B05CA5"/>
    <w:rsid w:val="00B10A20"/>
    <w:rsid w:val="00B146BC"/>
    <w:rsid w:val="00B16944"/>
    <w:rsid w:val="00B3428E"/>
    <w:rsid w:val="00B42A95"/>
    <w:rsid w:val="00B644C5"/>
    <w:rsid w:val="00B64E37"/>
    <w:rsid w:val="00B940D9"/>
    <w:rsid w:val="00B97639"/>
    <w:rsid w:val="00BA0FF2"/>
    <w:rsid w:val="00BB6E95"/>
    <w:rsid w:val="00BB7B2E"/>
    <w:rsid w:val="00BD37EC"/>
    <w:rsid w:val="00BD7CF6"/>
    <w:rsid w:val="00BF1496"/>
    <w:rsid w:val="00C02F9E"/>
    <w:rsid w:val="00C30FAD"/>
    <w:rsid w:val="00C32A3F"/>
    <w:rsid w:val="00C41E88"/>
    <w:rsid w:val="00C44BF3"/>
    <w:rsid w:val="00C45129"/>
    <w:rsid w:val="00C67E2B"/>
    <w:rsid w:val="00CB56A9"/>
    <w:rsid w:val="00CB66F8"/>
    <w:rsid w:val="00CC25D7"/>
    <w:rsid w:val="00CC2FF2"/>
    <w:rsid w:val="00CD5DC1"/>
    <w:rsid w:val="00CE74AE"/>
    <w:rsid w:val="00D0488C"/>
    <w:rsid w:val="00D23C69"/>
    <w:rsid w:val="00D35208"/>
    <w:rsid w:val="00D4370A"/>
    <w:rsid w:val="00D5687A"/>
    <w:rsid w:val="00D56911"/>
    <w:rsid w:val="00D6350A"/>
    <w:rsid w:val="00D650D3"/>
    <w:rsid w:val="00D769F0"/>
    <w:rsid w:val="00D83873"/>
    <w:rsid w:val="00D902D8"/>
    <w:rsid w:val="00DA67A6"/>
    <w:rsid w:val="00DB4107"/>
    <w:rsid w:val="00DC504A"/>
    <w:rsid w:val="00DD4CDB"/>
    <w:rsid w:val="00DD517E"/>
    <w:rsid w:val="00DE5333"/>
    <w:rsid w:val="00DF2662"/>
    <w:rsid w:val="00E112AC"/>
    <w:rsid w:val="00E4060D"/>
    <w:rsid w:val="00E4657F"/>
    <w:rsid w:val="00E614D4"/>
    <w:rsid w:val="00E62B7C"/>
    <w:rsid w:val="00E8567D"/>
    <w:rsid w:val="00E9100B"/>
    <w:rsid w:val="00EA1B58"/>
    <w:rsid w:val="00EA38B3"/>
    <w:rsid w:val="00ED39AB"/>
    <w:rsid w:val="00EE16E2"/>
    <w:rsid w:val="00EF4B3B"/>
    <w:rsid w:val="00F0104E"/>
    <w:rsid w:val="00F278D4"/>
    <w:rsid w:val="00F50250"/>
    <w:rsid w:val="00F54D47"/>
    <w:rsid w:val="00F6502B"/>
    <w:rsid w:val="00F6676A"/>
    <w:rsid w:val="00F85600"/>
    <w:rsid w:val="00F94656"/>
    <w:rsid w:val="00FB087F"/>
    <w:rsid w:val="00FB326F"/>
    <w:rsid w:val="00FB51BB"/>
    <w:rsid w:val="00FB7B14"/>
    <w:rsid w:val="00FC3DF3"/>
    <w:rsid w:val="00FC4B3B"/>
    <w:rsid w:val="00FD327A"/>
    <w:rsid w:val="00FE27F1"/>
    <w:rsid w:val="00FE3121"/>
    <w:rsid w:val="00FE3EC8"/>
    <w:rsid w:val="00FF5B7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6C00B62"/>
  <w15:chartTrackingRefBased/>
  <w15:docId w15:val="{CAABA8F5-0C7C-4625-9176-F71A31CE54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e">
    <w:name w:val="Normal"/>
    <w:qFormat/>
  </w:style>
  <w:style w:type="paragraph" w:styleId="Titolo1">
    <w:name w:val="heading 1"/>
    <w:basedOn w:val="Normale"/>
    <w:next w:val="Normale"/>
    <w:link w:val="Titolo1Carattere"/>
    <w:autoRedefine/>
    <w:uiPriority w:val="9"/>
    <w:qFormat/>
    <w:rsid w:val="00D0488C"/>
    <w:pPr>
      <w:keepNext/>
      <w:keepLines/>
      <w:spacing w:before="240" w:after="0" w:line="360" w:lineRule="auto"/>
      <w:jc w:val="center"/>
      <w:outlineLvl w:val="0"/>
    </w:pPr>
    <w:rPr>
      <w:rFonts w:ascii="Arial" w:eastAsiaTheme="majorEastAsia" w:hAnsi="Arial" w:cstheme="majorBidi"/>
      <w:b/>
      <w:sz w:val="28"/>
      <w:u w:val="single"/>
    </w:rPr>
  </w:style>
  <w:style w:type="paragraph" w:styleId="Titolo2">
    <w:name w:val="heading 2"/>
    <w:basedOn w:val="Normale"/>
    <w:next w:val="Normale"/>
    <w:link w:val="Titolo2Carattere"/>
    <w:autoRedefine/>
    <w:uiPriority w:val="9"/>
    <w:unhideWhenUsed/>
    <w:qFormat/>
    <w:rsid w:val="00BD7CF6"/>
    <w:pPr>
      <w:keepNext/>
      <w:keepLines/>
      <w:spacing w:before="40" w:after="0" w:line="360" w:lineRule="auto"/>
      <w:jc w:val="both"/>
      <w:outlineLvl w:val="1"/>
    </w:pPr>
    <w:rPr>
      <w:rFonts w:ascii="Arial" w:eastAsiaTheme="majorEastAsia" w:hAnsi="Arial" w:cs="Arial"/>
      <w:i/>
      <w:sz w:val="22"/>
    </w:rPr>
  </w:style>
  <w:style w:type="paragraph" w:styleId="Titolo3">
    <w:name w:val="heading 3"/>
    <w:basedOn w:val="Normale"/>
    <w:link w:val="Titolo3Carattere"/>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Carpredefinitoparagrafo">
    <w:name w:val="Default Paragraph Font"/>
    <w:uiPriority w:val="1"/>
    <w:semiHidden/>
    <w:unhideWhenUsed/>
  </w:style>
  <w:style w:type="table" w:default="1" w:styleId="Tabellanormale">
    <w:name w:val="Normal Table"/>
    <w:uiPriority w:val="99"/>
    <w:semiHidden/>
    <w:unhideWhenUsed/>
    <w:tblPr>
      <w:tblInd w:w="0" w:type="dxa"/>
      <w:tblCellMar>
        <w:top w:w="0" w:type="dxa"/>
        <w:left w:w="108" w:type="dxa"/>
        <w:bottom w:w="0" w:type="dxa"/>
        <w:right w:w="108" w:type="dxa"/>
      </w:tblCellMar>
    </w:tblPr>
  </w:style>
  <w:style w:type="numbering" w:default="1" w:styleId="Nessunelenco">
    <w:name w:val="No List"/>
    <w:uiPriority w:val="99"/>
    <w:semiHidden/>
    <w:unhideWhenUsed/>
  </w:style>
  <w:style w:type="character" w:customStyle="1" w:styleId="Titolo1Carattere">
    <w:name w:val="Titolo 1 Carattere"/>
    <w:basedOn w:val="Carpredefinitoparagrafo"/>
    <w:link w:val="Titolo1"/>
    <w:uiPriority w:val="9"/>
    <w:rsid w:val="00D0488C"/>
    <w:rPr>
      <w:rFonts w:ascii="Arial" w:eastAsiaTheme="majorEastAsia" w:hAnsi="Arial" w:cstheme="majorBidi"/>
      <w:b/>
      <w:sz w:val="28"/>
      <w:u w:val="single"/>
    </w:rPr>
  </w:style>
  <w:style w:type="character" w:customStyle="1" w:styleId="Titolo2Carattere">
    <w:name w:val="Titolo 2 Carattere"/>
    <w:basedOn w:val="Carpredefinitoparagrafo"/>
    <w:link w:val="Titolo2"/>
    <w:uiPriority w:val="9"/>
    <w:rsid w:val="00BD7CF6"/>
    <w:rPr>
      <w:rFonts w:ascii="Arial" w:eastAsiaTheme="majorEastAsia" w:hAnsi="Arial" w:cs="Arial"/>
      <w:i/>
      <w:sz w:val="22"/>
    </w:rPr>
  </w:style>
  <w:style w:type="character" w:customStyle="1" w:styleId="Titolo3Carattere">
    <w:name w:val="Titolo 3 Carattere"/>
    <w:basedOn w:val="Carpredefinitoparagrafo"/>
    <w:link w:val="Titolo3"/>
    <w:uiPriority w:val="9"/>
    <w:rsid w:val="002C3965"/>
    <w:rPr>
      <w:rFonts w:ascii="Arial" w:eastAsia="Times New Roman" w:hAnsi="Arial" w:cs="Times New Roman"/>
      <w:b/>
      <w:bCs/>
      <w:szCs w:val="27"/>
      <w:lang w:eastAsia="en-GB"/>
    </w:rPr>
  </w:style>
  <w:style w:type="table" w:styleId="Grigliatabella">
    <w:name w:val="Table Grid"/>
    <w:basedOn w:val="Tabellanormale"/>
    <w:uiPriority w:val="39"/>
    <w:rsid w:val="00715990"/>
    <w:pPr>
      <w:spacing w:after="0" w:line="240" w:lineRule="auto"/>
    </w:pPr>
    <w:rPr>
      <w:rFonts w:asciiTheme="minorHAnsi" w:hAnsiTheme="minorHAnsi"/>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Intestazione">
    <w:name w:val="header"/>
    <w:basedOn w:val="Normale"/>
    <w:link w:val="IntestazioneCarattere"/>
    <w:uiPriority w:val="99"/>
    <w:unhideWhenUsed/>
    <w:rsid w:val="00545684"/>
    <w:pPr>
      <w:tabs>
        <w:tab w:val="center" w:pos="4513"/>
        <w:tab w:val="right" w:pos="9026"/>
      </w:tabs>
      <w:spacing w:after="0" w:line="240" w:lineRule="auto"/>
    </w:pPr>
  </w:style>
  <w:style w:type="character" w:customStyle="1" w:styleId="IntestazioneCarattere">
    <w:name w:val="Intestazione Carattere"/>
    <w:basedOn w:val="Carpredefinitoparagrafo"/>
    <w:link w:val="Intestazione"/>
    <w:uiPriority w:val="99"/>
    <w:rsid w:val="00545684"/>
  </w:style>
  <w:style w:type="paragraph" w:styleId="Pidipagina">
    <w:name w:val="footer"/>
    <w:basedOn w:val="Normale"/>
    <w:link w:val="PidipaginaCarattere"/>
    <w:uiPriority w:val="99"/>
    <w:unhideWhenUsed/>
    <w:rsid w:val="00545684"/>
    <w:pPr>
      <w:tabs>
        <w:tab w:val="center" w:pos="4513"/>
        <w:tab w:val="right" w:pos="9026"/>
      </w:tabs>
      <w:spacing w:after="0" w:line="240" w:lineRule="auto"/>
    </w:pPr>
  </w:style>
  <w:style w:type="character" w:customStyle="1" w:styleId="PidipaginaCarattere">
    <w:name w:val="Piè di pagina Carattere"/>
    <w:basedOn w:val="Carpredefinitoparagrafo"/>
    <w:link w:val="Pidipagina"/>
    <w:uiPriority w:val="99"/>
    <w:rsid w:val="00545684"/>
  </w:style>
  <w:style w:type="paragraph" w:styleId="Nessunaspaziatura">
    <w:name w:val="No Spacing"/>
    <w:link w:val="NessunaspaziaturaCarattere"/>
    <w:uiPriority w:val="1"/>
    <w:qFormat/>
    <w:rsid w:val="00096DF3"/>
    <w:pPr>
      <w:spacing w:after="0" w:line="240" w:lineRule="auto"/>
    </w:pPr>
  </w:style>
  <w:style w:type="character" w:styleId="Collegamentoipertestuale">
    <w:name w:val="Hyperlink"/>
    <w:basedOn w:val="Carpredefinitoparagrafo"/>
    <w:uiPriority w:val="99"/>
    <w:unhideWhenUsed/>
    <w:rsid w:val="00EA1B58"/>
    <w:rPr>
      <w:color w:val="0563C1" w:themeColor="hyperlink"/>
      <w:u w:val="single"/>
    </w:rPr>
  </w:style>
  <w:style w:type="character" w:styleId="Menzionenonrisolta">
    <w:name w:val="Unresolved Mention"/>
    <w:basedOn w:val="Carpredefinitoparagrafo"/>
    <w:uiPriority w:val="99"/>
    <w:semiHidden/>
    <w:unhideWhenUsed/>
    <w:rsid w:val="00EA1B58"/>
    <w:rPr>
      <w:color w:val="605E5C"/>
      <w:shd w:val="clear" w:color="auto" w:fill="E1DFDD"/>
    </w:rPr>
  </w:style>
  <w:style w:type="paragraph" w:styleId="Titolo">
    <w:name w:val="Title"/>
    <w:basedOn w:val="Normale"/>
    <w:next w:val="Normale"/>
    <w:link w:val="TitoloCarattere"/>
    <w:uiPriority w:val="10"/>
    <w:qFormat/>
    <w:rsid w:val="00FD327A"/>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oloCarattere">
    <w:name w:val="Titolo Carattere"/>
    <w:basedOn w:val="Carpredefinitoparagrafo"/>
    <w:link w:val="Titolo"/>
    <w:uiPriority w:val="10"/>
    <w:rsid w:val="00FD327A"/>
    <w:rPr>
      <w:rFonts w:asciiTheme="majorHAnsi" w:eastAsiaTheme="majorEastAsia" w:hAnsiTheme="majorHAnsi" w:cstheme="majorBidi"/>
      <w:spacing w:val="-10"/>
      <w:kern w:val="28"/>
      <w:sz w:val="56"/>
      <w:szCs w:val="56"/>
    </w:rPr>
  </w:style>
  <w:style w:type="character" w:customStyle="1" w:styleId="NessunaspaziaturaCarattere">
    <w:name w:val="Nessuna spaziatura Carattere"/>
    <w:basedOn w:val="Carpredefinitoparagrafo"/>
    <w:link w:val="Nessunaspaziatura"/>
    <w:uiPriority w:val="1"/>
    <w:rsid w:val="00EE16E2"/>
  </w:style>
  <w:style w:type="character" w:styleId="Collegamentovisitato">
    <w:name w:val="FollowedHyperlink"/>
    <w:basedOn w:val="Carpredefinitoparagrafo"/>
    <w:uiPriority w:val="99"/>
    <w:semiHidden/>
    <w:unhideWhenUsed/>
    <w:rsid w:val="00CE74AE"/>
    <w:rPr>
      <w:color w:val="954F72" w:themeColor="followedHyperlink"/>
      <w:u w:val="single"/>
    </w:rPr>
  </w:style>
  <w:style w:type="paragraph" w:styleId="Paragrafoelenco">
    <w:name w:val="List Paragraph"/>
    <w:basedOn w:val="Normale"/>
    <w:uiPriority w:val="34"/>
    <w:qFormat/>
    <w:rsid w:val="009661CF"/>
    <w:pPr>
      <w:ind w:left="720"/>
      <w:contextualSpacing/>
    </w:pPr>
  </w:style>
  <w:style w:type="paragraph" w:styleId="NormaleWeb">
    <w:name w:val="Normal (Web)"/>
    <w:basedOn w:val="Normale"/>
    <w:uiPriority w:val="99"/>
    <w:semiHidden/>
    <w:unhideWhenUsed/>
    <w:rsid w:val="00306AF5"/>
    <w:pPr>
      <w:spacing w:before="100" w:beforeAutospacing="1" w:after="100" w:afterAutospacing="1" w:line="240" w:lineRule="auto"/>
    </w:pPr>
    <w:rPr>
      <w:rFonts w:eastAsia="Times New Roman" w:cs="Times New Roman"/>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111/ijpo.12914" TargetMode="External"/><Relationship Id="rId18" Type="http://schemas.openxmlformats.org/officeDocument/2006/relationships/hyperlink" Target="https://doi.org/10.7748/phc.28.5.12.s12" TargetMode="External"/><Relationship Id="rId26" Type="http://schemas.openxmlformats.org/officeDocument/2006/relationships/hyperlink" Target="https://doi.org/10.1111/ijpo.12284" TargetMode="External"/><Relationship Id="rId39" Type="http://schemas.openxmlformats.org/officeDocument/2006/relationships/hyperlink" Target="https://doi.org/10.1186/s12966-021-01215-7" TargetMode="External"/><Relationship Id="rId21" Type="http://schemas.openxmlformats.org/officeDocument/2006/relationships/hyperlink" Target="https://doi.org/10.1017/S1368980024000958" TargetMode="External"/><Relationship Id="rId34" Type="http://schemas.openxmlformats.org/officeDocument/2006/relationships/hyperlink" Target="https://doi.org/10.1111/ijpo.12194" TargetMode="External"/><Relationship Id="rId42" Type="http://schemas.openxmlformats.org/officeDocument/2006/relationships/hyperlink" Target="https://www.gov.uk/government/news/soft-drink-levy-extended-to-protect-children-and-improve-health" TargetMode="External"/><Relationship Id="rId47" Type="http://schemas.openxmlformats.org/officeDocument/2006/relationships/header" Target="header1.xml"/><Relationship Id="rId50" Type="http://schemas.openxmlformats.org/officeDocument/2006/relationships/theme" Target="theme/theme1.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doi.org/10.1017/S000711452000447X" TargetMode="External"/><Relationship Id="rId29" Type="http://schemas.openxmlformats.org/officeDocument/2006/relationships/hyperlink" Target="https://doi.org/10.1371/journal.pmed.1003212" TargetMode="External"/><Relationship Id="rId11" Type="http://schemas.openxmlformats.org/officeDocument/2006/relationships/image" Target="media/image1.png"/><Relationship Id="rId24" Type="http://schemas.openxmlformats.org/officeDocument/2006/relationships/hyperlink" Target="https://pmc.ncbi.nlm.nih.gov/articles/PMC4624385/?utm." TargetMode="External"/><Relationship Id="rId32" Type="http://schemas.openxmlformats.org/officeDocument/2006/relationships/hyperlink" Target="https://doi.org/10.1371/journal.pmed.1004160" TargetMode="External"/><Relationship Id="rId37" Type="http://schemas.openxmlformats.org/officeDocument/2006/relationships/hyperlink" Target="https://doi.org/10.1111/jhn.70217" TargetMode="External"/><Relationship Id="rId40" Type="http://schemas.openxmlformats.org/officeDocument/2006/relationships/hyperlink" Target="https://www.gov.uk/government/news/landmark-junk-food-ad-ban-to-protect-kids-health" TargetMode="External"/><Relationship Id="rId45" Type="http://schemas.openxmlformats.org/officeDocument/2006/relationships/hyperlink" Target="https://www.gov.uk/government/publications/national-child-measurement-programme-operational-guidance/national-child-measurement-programme-operational-guidance-2024" TargetMode="External"/><Relationship Id="rId5" Type="http://schemas.openxmlformats.org/officeDocument/2006/relationships/numbering" Target="numbering.xml"/><Relationship Id="rId15" Type="http://schemas.openxmlformats.org/officeDocument/2006/relationships/hyperlink" Target="https://link.springer.com/article/10.1186/s12889-020-8422-5?utm" TargetMode="External"/><Relationship Id="rId23" Type="http://schemas.openxmlformats.org/officeDocument/2006/relationships/hyperlink" Target="https://www.mdpi.com/2072-6643/18/1/147?utm" TargetMode="External"/><Relationship Id="rId28" Type="http://schemas.openxmlformats.org/officeDocument/2006/relationships/hyperlink" Target="https://doi.org/10.1186/s12889-016-3507-x" TargetMode="External"/><Relationship Id="rId36" Type="http://schemas.openxmlformats.org/officeDocument/2006/relationships/hyperlink" Target="https://doi.org/10.1146/annurev-publhealth-032315-021528" TargetMode="External"/><Relationship Id="rId49"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s://doi.org/10.1186/s12889-024-20210-8" TargetMode="External"/><Relationship Id="rId31" Type="http://schemas.openxmlformats.org/officeDocument/2006/relationships/hyperlink" Target="https://doi.org/10.1111/ijpo.13206" TargetMode="External"/><Relationship Id="rId44" Type="http://schemas.openxmlformats.org/officeDocument/2006/relationships/hyperlink" Target="https://www.gov.uk/government/publications/national-child-measurement-programme-information-for-schools/national-child-measurement-programme-information-for-schools-2025"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doi.org/10.1186/s40608-017-0178-9" TargetMode="External"/><Relationship Id="rId22" Type="http://schemas.openxmlformats.org/officeDocument/2006/relationships/hyperlink" Target="https://doi.org/10.3390/nu15030764" TargetMode="External"/><Relationship Id="rId27" Type="http://schemas.openxmlformats.org/officeDocument/2006/relationships/hyperlink" Target="https://doi.org/10.1038/s41432-024-01103-6" TargetMode="External"/><Relationship Id="rId30" Type="http://schemas.openxmlformats.org/officeDocument/2006/relationships/hyperlink" Target="https://doi.org/10.1093/eurpub/ckag113.011" TargetMode="External"/><Relationship Id="rId35" Type="http://schemas.openxmlformats.org/officeDocument/2006/relationships/hyperlink" Target="https://doi.org/10.3390/children8040290" TargetMode="External"/><Relationship Id="rId43" Type="http://schemas.openxmlformats.org/officeDocument/2006/relationships/hyperlink" Target="https://www.nice.org.uk/guidance/ng246" TargetMode="External"/><Relationship Id="rId48" Type="http://schemas.openxmlformats.org/officeDocument/2006/relationships/footer" Target="footer1.xm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hyperlink" Target="https://www.nature.com/articles/s41430-024-01430-y?utm" TargetMode="External"/><Relationship Id="rId17" Type="http://schemas.openxmlformats.org/officeDocument/2006/relationships/hyperlink" Target="https://doi.org/10.34172/ijhpm.2023.7713" TargetMode="External"/><Relationship Id="rId25" Type="http://schemas.openxmlformats.org/officeDocument/2006/relationships/hyperlink" Target="https://doi.org/10.3390/ijerph17041284" TargetMode="External"/><Relationship Id="rId33" Type="http://schemas.openxmlformats.org/officeDocument/2006/relationships/hyperlink" Target="https://pmc.ncbi.nlm.nih.gov/articles/PMC11347969/?utm" TargetMode="External"/><Relationship Id="rId38" Type="http://schemas.openxmlformats.org/officeDocument/2006/relationships/hyperlink" Target="https://doi.org/10.3390/nu17162652" TargetMode="External"/><Relationship Id="rId46" Type="http://schemas.openxmlformats.org/officeDocument/2006/relationships/hyperlink" Target="https://www.gov.uk/government/publications/sacn-carbohydrates-and-health-report" TargetMode="External"/><Relationship Id="rId20" Type="http://schemas.openxmlformats.org/officeDocument/2006/relationships/hyperlink" Target="https://doi.org/10.1017/S0029665116002846" TargetMode="External"/><Relationship Id="rId41" Type="http://schemas.openxmlformats.org/officeDocument/2006/relationships/hyperlink" Target="https://www.gov.uk/government/news/soft-drinks-industry-levy-comes-into-effect" TargetMode="External"/><Relationship Id="rId1" Type="http://schemas.openxmlformats.org/officeDocument/2006/relationships/customXml" Target="../customXml/item1.xml"/><Relationship Id="rId6"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_activity xmlns="16ed1538-4377-4da7-81fa-9a477e54b5f1"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C8A1FE35B1768D46869F924A69EE2DC8" ma:contentTypeVersion="6" ma:contentTypeDescription="Create a new document." ma:contentTypeScope="" ma:versionID="5c7afc1b834fe55a8db0411beb1fe861">
  <xsd:schema xmlns:xsd="http://www.w3.org/2001/XMLSchema" xmlns:xs="http://www.w3.org/2001/XMLSchema" xmlns:p="http://schemas.microsoft.com/office/2006/metadata/properties" xmlns:ns3="16ed1538-4377-4da7-81fa-9a477e54b5f1" targetNamespace="http://schemas.microsoft.com/office/2006/metadata/properties" ma:root="true" ma:fieldsID="d78014939adb8c559c50a18ca8c9cb92" ns3:_="">
    <xsd:import namespace="16ed1538-4377-4da7-81fa-9a477e54b5f1"/>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DateTaken"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6ed1538-4377-4da7-81fa-9a477e54b5f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DateTaken" ma:index="12" nillable="true" ma:displayName="MediaServiceDateTaken" ma:hidden="true" ma:indexed="true" ma:internalName="MediaServiceDateTaken"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B7EE3940-86F9-467E-95CC-9F9D7C1F0531}">
  <ds:schemaRefs>
    <ds:schemaRef ds:uri="http://schemas.openxmlformats.org/officeDocument/2006/bibliography"/>
  </ds:schemaRefs>
</ds:datastoreItem>
</file>

<file path=customXml/itemProps2.xml><?xml version="1.0" encoding="utf-8"?>
<ds:datastoreItem xmlns:ds="http://schemas.openxmlformats.org/officeDocument/2006/customXml" ds:itemID="{0342FA13-F700-4956-B0E4-FA0B0EC73379}">
  <ds:schemaRefs>
    <ds:schemaRef ds:uri="http://schemas.microsoft.com/office/2006/metadata/properties"/>
    <ds:schemaRef ds:uri="http://schemas.microsoft.com/office/infopath/2007/PartnerControls"/>
    <ds:schemaRef ds:uri="16ed1538-4377-4da7-81fa-9a477e54b5f1"/>
  </ds:schemaRefs>
</ds:datastoreItem>
</file>

<file path=customXml/itemProps3.xml><?xml version="1.0" encoding="utf-8"?>
<ds:datastoreItem xmlns:ds="http://schemas.openxmlformats.org/officeDocument/2006/customXml" ds:itemID="{2D70B628-485B-430A-8604-DE76B09A783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6ed1538-4377-4da7-81fa-9a477e54b5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D06E2374-F811-4FC0-8203-AEDDD8F5CD5D}">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25</Pages>
  <Words>6617</Words>
  <Characters>37721</Characters>
  <Application>Microsoft Office Word</Application>
  <DocSecurity>0</DocSecurity>
  <Lines>314</Lines>
  <Paragraphs>88</Paragraphs>
  <ScaleCrop>false</ScaleCrop>
  <HeadingPairs>
    <vt:vector size="4" baseType="variant">
      <vt:variant>
        <vt:lpstr>Title</vt:lpstr>
      </vt:variant>
      <vt:variant>
        <vt:i4>1</vt:i4>
      </vt:variant>
      <vt:variant>
        <vt:lpstr>Titolo</vt:lpstr>
      </vt:variant>
      <vt:variant>
        <vt:i4>1</vt:i4>
      </vt:variant>
    </vt:vector>
  </HeadingPairs>
  <TitlesOfParts>
    <vt:vector size="2" baseType="lpstr">
      <vt:lpstr/>
      <vt:lpstr/>
    </vt:vector>
  </TitlesOfParts>
  <Company>UWTSD</Company>
  <LinksUpToDate>false</LinksUpToDate>
  <CharactersWithSpaces>44250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Impact of Dietary Sugar Consumption on Childhood Obesity in the UK</dc:title>
  <dc:subject>A Scoping Review</dc:subject>
  <dc:creator>Mihaela Marcela Bakos</dc:creator>
  <cp:keywords/>
  <dc:description/>
  <cp:lastModifiedBy>Mihaela Marcela Bakos (2325464)</cp:lastModifiedBy>
  <cp:revision>2</cp:revision>
  <dcterms:created xsi:type="dcterms:W3CDTF">2026-08-12T07:49:00Z</dcterms:created>
  <dcterms:modified xsi:type="dcterms:W3CDTF">2026-08-12T07:49:00Z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0x010100C8A1FE35B1768D46869F924A69EE2DC8</vt:lpwstr>
  </property>
  <property fmtid="{D5CDD505-2E9C-101B-9397-08002B2CF9AE}" pid="3" name="GrammarlyDocumentId">
    <vt:lpwstr>977273e1-df0b-497d-bd9b-bcc735b92fb8</vt:lpwstr>
  </property>
</Properties>
</file>