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6.xml"/>
  <Override ContentType="application/vnd.ms-office.chartstyle+xml" PartName="/word/charts/style5.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ms-office.chartcolorstyle+xml" PartName="/word/charts/colors6.xml"/>
  <Override ContentType="application/vnd.ms-office.chartcolorstyle+xml" PartName="/word/charts/colors5.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6.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bookmarkStart w:colFirst="0" w:colLast="0" w:name="_5ujks6o2ellm" w:id="0"/>
      <w:bookmarkEnd w:id="0"/>
      <w:r w:rsidDel="00000000" w:rsidR="00000000" w:rsidRPr="00000000">
        <w:rPr/>
        <w:drawing>
          <wp:inline distB="0" distT="0" distL="0" distR="0">
            <wp:extent cx="1816100" cy="723900"/>
            <wp:effectExtent b="0" l="0" r="0" t="0"/>
            <wp:docPr id="7"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16100" cy="723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b w:val="1"/>
          <w:bCs w:val="1"/>
          <w:sz w:val="32"/>
          <w:szCs w:val="32"/>
        </w:rPr>
      </w:pPr>
      <w:r w:rsidDel="00000000" w:rsidR="00000000" w:rsidRPr="00000000">
        <w:rPr>
          <w:b w:val="1"/>
          <w:bCs w:val="1"/>
          <w:sz w:val="32"/>
          <w:szCs w:val="32"/>
          <w:rtl w:val="0"/>
        </w:rPr>
        <w:t xml:space="preserve">Financial performance and management of Hyatt Hotels Corporation </w:t>
      </w:r>
    </w:p>
    <w:p w:rsidR="00000000" w:rsidDel="00000000" w:rsidP="00000000" w:rsidRDefault="00000000" w:rsidRPr="00000000" w14:paraId="00000004">
      <w:pPr>
        <w:jc w:val="center"/>
        <w:rPr>
          <w:b w:val="1"/>
          <w:bCs w:val="1"/>
        </w:rPr>
      </w:pPr>
      <w:r w:rsidDel="00000000" w:rsidR="00000000" w:rsidRPr="00000000">
        <w:rPr>
          <w:b w:val="1"/>
          <w:bCs w:val="1"/>
          <w:rtl w:val="0"/>
        </w:rPr>
        <w:t xml:space="preserve">Student name: Arshi Parveen </w:t>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Student ID number: 2545115</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Programme: Master of Business Administration  </w:t>
      </w:r>
    </w:p>
    <w:p w:rsidR="00000000" w:rsidDel="00000000" w:rsidP="00000000" w:rsidRDefault="00000000" w:rsidRPr="00000000" w14:paraId="00000007">
      <w:pPr>
        <w:jc w:val="center"/>
        <w:rPr>
          <w:b w:val="1"/>
          <w:bCs w:val="1"/>
        </w:rPr>
      </w:pPr>
      <w:r w:rsidDel="00000000" w:rsidR="00000000" w:rsidRPr="00000000">
        <w:rPr>
          <w:b w:val="1"/>
          <w:bCs w:val="1"/>
          <w:rtl w:val="0"/>
        </w:rPr>
        <w:t xml:space="preserve">Module: Financial Management  </w:t>
      </w:r>
    </w:p>
    <w:p w:rsidR="00000000" w:rsidDel="00000000" w:rsidP="00000000" w:rsidRDefault="00000000" w:rsidRPr="00000000" w14:paraId="00000008">
      <w:pPr>
        <w:jc w:val="center"/>
        <w:rPr>
          <w:b w:val="1"/>
          <w:bCs w:val="1"/>
        </w:rPr>
      </w:pPr>
      <w:r w:rsidDel="00000000" w:rsidR="00000000" w:rsidRPr="00000000">
        <w:rPr>
          <w:b w:val="1"/>
          <w:bCs w:val="1"/>
          <w:rtl w:val="0"/>
        </w:rPr>
        <w:t xml:space="preserve">Module code: LCMB7002</w:t>
      </w:r>
    </w:p>
    <w:p w:rsidR="00000000" w:rsidDel="00000000" w:rsidP="00000000" w:rsidRDefault="00000000" w:rsidRPr="00000000" w14:paraId="00000009">
      <w:pPr>
        <w:jc w:val="center"/>
        <w:rPr>
          <w:b w:val="1"/>
          <w:bCs w:val="1"/>
        </w:rPr>
      </w:pPr>
      <w:r w:rsidDel="00000000" w:rsidR="00000000" w:rsidRPr="00000000">
        <w:rPr>
          <w:b w:val="1"/>
          <w:bCs w:val="1"/>
          <w:rtl w:val="0"/>
        </w:rPr>
        <w:t xml:space="preserve">Wordcount: 4920</w:t>
      </w:r>
    </w:p>
    <w:p w:rsidR="00000000" w:rsidDel="00000000" w:rsidP="00000000" w:rsidRDefault="00000000" w:rsidRPr="00000000" w14:paraId="0000000A">
      <w:pPr>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472763080"/>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lt2v0njkcy6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0dxti65k6t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Financial health check [Refer to Appendix 1]</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aahtbb3uiq0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Five-year performance and profitability</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n0zvdokwaig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Liquidity</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81fvp4imvk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Efficiency</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yjdbcno3kqj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Gearing and interest cover</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6hmhwbdh5s1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 Investment and cash-flow ratios</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wdnqytelqin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Working-capital management [Refer to Appendix 4]</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3z3cequu9yd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Operating cycle of cash</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2ukxyp8hzvh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Recommended reforms</w:t>
              <w:tab/>
              <w:t xml:space="preserve">11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dscmyadb2n1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Financing mix</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cwabya4salt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Strategic financial restructuring</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btkilasghuu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Choice that is recommended: selective divestiture</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a41302bm8a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Financial and shareholder impacts</w:t>
              <w:tab/>
              <w:t xml:space="preserve">13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udaeadj10w9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International and ethical issues</w:t>
              <w:tab/>
              <w:t xml:space="preserve">14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rt6ik2bxgt1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Investment appraisal [Refer to Appendix 2]</w:t>
              <w:tab/>
              <w:t xml:space="preserve">15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6a8rru3500s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Method and assumptions</w:t>
              <w:tab/>
              <w:t xml:space="preserve">15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rg3gp1ypxni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Project results</w:t>
              <w:tab/>
              <w:t xml:space="preserve">16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lvf5w7uckqi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Recommendation and non-financial risks</w:t>
              <w:tab/>
              <w:t xml:space="preserve">17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wn3fit3re0z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Capital rationing</w:t>
              <w:tab/>
              <w:t xml:space="preserve">18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cn9j5gge9v1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Reflective thinking on the application of artificial intelligence</w:t>
              <w:tab/>
              <w:t xml:space="preserve">18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igwchrvw6y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19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wg8pchxeb9y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Appendices</w:t>
              <w:tab/>
              <w:t xml:space="preserve">26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vjqrto7qwee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 Ratio tables and graph</w:t>
              <w:tab/>
              <w:t xml:space="preserve">26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200"/>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avuv6iizi21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w:t>
            </w:r>
          </w:hyperlink>
          <w:hyperlink w:anchor="_avuv6iizi21p">
            <w:r w:rsidDel="00000000" w:rsidR="00000000" w:rsidRPr="00000000">
              <w:rPr>
                <w:rFonts w:ascii="Cambria" w:cs="Cambria" w:eastAsia="Cambria" w:hAnsi="Cambria"/>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_avuv6iizi21p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Ratio table</w:t>
            <w:tab/>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3zjzvw3o6t9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Graphs</w:t>
              <w:tab/>
              <w:t xml:space="preserve">29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rji86xa22go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2: Investment Appraisal (Calculations)</w:t>
              <w:tab/>
              <w:t xml:space="preserve">32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f0fx5745ff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3: Liquidity benchmark Calculation</w:t>
              <w:tab/>
              <w:t xml:space="preserve">33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9rw6uz69wkd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4: Working Capital management</w:t>
              <w:tab/>
              <w:t xml:space="preserve">34</w:t>
            </w:r>
          </w:hyperlink>
          <w:r w:rsidDel="00000000" w:rsidR="00000000" w:rsidRPr="00000000">
            <w:rPr>
              <w:rtl w:val="0"/>
            </w:rPr>
          </w:r>
        </w:p>
        <w:p w:rsidR="00000000" w:rsidDel="00000000" w:rsidP="00000000" w:rsidRDefault="00000000" w:rsidRPr="00000000" w14:paraId="0000002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lt2v0njkcy6h" w:id="1"/>
      <w:bookmarkEnd w:id="1"/>
      <w:r w:rsidDel="00000000" w:rsidR="00000000" w:rsidRPr="00000000">
        <w:rPr>
          <w:rtl w:val="0"/>
        </w:rPr>
        <w:t xml:space="preserve">Introduction</w:t>
      </w:r>
    </w:p>
    <w:p w:rsidR="00000000" w:rsidDel="00000000" w:rsidP="00000000" w:rsidRDefault="00000000" w:rsidRPr="00000000" w14:paraId="0000002C">
      <w:pPr>
        <w:rPr/>
      </w:pPr>
      <w:r w:rsidDel="00000000" w:rsidR="00000000" w:rsidRPr="00000000">
        <w:rPr>
          <w:rtl w:val="0"/>
        </w:rPr>
        <w:t xml:space="preserve">This report analyses the financial position, working-capital policy and three proposed investments by Hyatt Hotels Corporation. The analysis includes 2020 to 2024 and, thus, includes both the pandemic shock and the subsequent travel recovery. </w:t>
      </w:r>
    </w:p>
    <w:p w:rsidR="00000000" w:rsidDel="00000000" w:rsidP="00000000" w:rsidRDefault="00000000" w:rsidRPr="00000000" w14:paraId="0000002D">
      <w:pPr>
        <w:jc w:val="center"/>
        <w:rPr/>
      </w:pPr>
      <w:r w:rsidDel="00000000" w:rsidR="00000000" w:rsidRPr="00000000">
        <w:rPr/>
        <w:drawing>
          <wp:inline distB="114300" distT="114300" distL="114300" distR="114300">
            <wp:extent cx="4805363" cy="2525896"/>
            <wp:effectExtent b="25400" l="25400" r="25400" t="25400"/>
            <wp:docPr id="9"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805363" cy="2525896"/>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E">
      <w:pPr>
        <w:jc w:val="center"/>
        <w:rPr>
          <w:b w:val="1"/>
          <w:bCs w:val="1"/>
        </w:rPr>
      </w:pPr>
      <w:r w:rsidDel="00000000" w:rsidR="00000000" w:rsidRPr="00000000">
        <w:rPr>
          <w:b w:val="1"/>
          <w:bCs w:val="1"/>
          <w:rtl w:val="0"/>
        </w:rPr>
        <w:t xml:space="preserve">Figure 1: International Tourist Arrivals</w:t>
      </w:r>
    </w:p>
    <w:p w:rsidR="00000000" w:rsidDel="00000000" w:rsidP="00000000" w:rsidRDefault="00000000" w:rsidRPr="00000000" w14:paraId="0000002F">
      <w:pPr>
        <w:jc w:val="center"/>
        <w:rPr/>
      </w:pPr>
      <w:r w:rsidDel="00000000" w:rsidR="00000000" w:rsidRPr="00000000">
        <w:rPr>
          <w:rtl w:val="0"/>
        </w:rPr>
        <w:t xml:space="preserve">(Source: UN Tourism, 2025)</w:t>
      </w:r>
    </w:p>
    <w:p w:rsidR="00000000" w:rsidDel="00000000" w:rsidP="00000000" w:rsidRDefault="00000000" w:rsidRPr="00000000" w14:paraId="00000030">
      <w:pPr>
        <w:rPr/>
      </w:pPr>
      <w:r w:rsidDel="00000000" w:rsidR="00000000" w:rsidRPr="00000000">
        <w:rPr>
          <w:rtl w:val="0"/>
        </w:rPr>
        <w:t xml:space="preserve">In 2024, the level of international arrivals rose to about 99% of 2019 (Figure 1), and travel and tourism was estimated to add about 11.1 trillion to the world GDP (UN Tourism, 2025; WTTC, 2024). This happened to be a positive boost to the demand for hotels, but labour expenses, inflation, geopolitical risk and regional imbalance continued to play a critical role (AHLA, 2024; OECD, 2024a). The audited statements prepared by Hyatt provide the financial information, and Hilton and Marriott are taken as liquidity benchmarks.</w:t>
      </w:r>
    </w:p>
    <w:p w:rsidR="00000000" w:rsidDel="00000000" w:rsidP="00000000" w:rsidRDefault="00000000" w:rsidRPr="00000000" w14:paraId="00000031">
      <w:pPr>
        <w:pStyle w:val="Heading1"/>
        <w:rPr/>
      </w:pPr>
      <w:bookmarkStart w:colFirst="0" w:colLast="0" w:name="_h0dxti65k6tv" w:id="2"/>
      <w:bookmarkEnd w:id="2"/>
      <w:r w:rsidDel="00000000" w:rsidR="00000000" w:rsidRPr="00000000">
        <w:rPr>
          <w:rtl w:val="0"/>
        </w:rPr>
        <w:t xml:space="preserve">1. Financial health check [Refer to Appendix 1]</w:t>
      </w:r>
    </w:p>
    <w:p w:rsidR="00000000" w:rsidDel="00000000" w:rsidP="00000000" w:rsidRDefault="00000000" w:rsidRPr="00000000" w14:paraId="00000032">
      <w:pPr>
        <w:pStyle w:val="Heading2"/>
        <w:rPr/>
      </w:pPr>
      <w:bookmarkStart w:colFirst="0" w:colLast="0" w:name="_63f5jpvm6o1i" w:id="3"/>
      <w:bookmarkEnd w:id="3"/>
      <w:r w:rsidDel="00000000" w:rsidR="00000000" w:rsidRPr="00000000">
        <w:rPr>
          <w:rtl w:val="0"/>
        </w:rPr>
        <w:t xml:space="preserve">1.1 Five-year performance and profitability</w:t>
      </w:r>
    </w:p>
    <w:p w:rsidR="00000000" w:rsidDel="00000000" w:rsidP="00000000" w:rsidRDefault="00000000" w:rsidRPr="00000000" w14:paraId="00000033">
      <w:pPr>
        <w:rPr/>
      </w:pPr>
      <w:r w:rsidDel="00000000" w:rsidR="00000000" w:rsidRPr="00000000">
        <w:rPr>
          <w:rtl w:val="0"/>
        </w:rPr>
        <w:t xml:space="preserve">Hyatt’s revenue increased from $2,066 million in 2020 to $6,648 million in 2024. Rapid recoveries continued through 2023, although 2024 revenues were 19 million less than last year. </w:t>
      </w:r>
    </w:p>
    <w:p w:rsidR="00000000" w:rsidDel="00000000" w:rsidP="00000000" w:rsidRDefault="00000000" w:rsidRPr="00000000" w14:paraId="00000034">
      <w:pPr>
        <w:jc w:val="center"/>
        <w:rPr/>
      </w:pPr>
      <w:r w:rsidDel="00000000" w:rsidR="00000000" w:rsidRPr="00000000">
        <w:rPr/>
        <w:drawing>
          <wp:inline distB="114300" distT="114300" distL="114300" distR="114300">
            <wp:extent cx="5538788" cy="1464583"/>
            <wp:effectExtent b="25400" l="25400" r="25400" t="25400"/>
            <wp:docPr id="8"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538788" cy="146458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5">
      <w:pPr>
        <w:jc w:val="center"/>
        <w:rPr>
          <w:b w:val="1"/>
          <w:bCs w:val="1"/>
        </w:rPr>
      </w:pPr>
      <w:r w:rsidDel="00000000" w:rsidR="00000000" w:rsidRPr="00000000">
        <w:rPr>
          <w:b w:val="1"/>
          <w:bCs w:val="1"/>
          <w:rtl w:val="0"/>
        </w:rPr>
        <w:t xml:space="preserve">Table 1: “increase in RevPAR at comparable system-wide hotels”</w:t>
      </w:r>
    </w:p>
    <w:p w:rsidR="00000000" w:rsidDel="00000000" w:rsidP="00000000" w:rsidRDefault="00000000" w:rsidRPr="00000000" w14:paraId="00000036">
      <w:pPr>
        <w:jc w:val="center"/>
        <w:rPr/>
      </w:pPr>
      <w:r w:rsidDel="00000000" w:rsidR="00000000" w:rsidRPr="00000000">
        <w:rPr>
          <w:rtl w:val="0"/>
        </w:rPr>
        <w:t xml:space="preserve">(Source: Q4cdn, 2024)</w:t>
      </w:r>
    </w:p>
    <w:p w:rsidR="00000000" w:rsidDel="00000000" w:rsidP="00000000" w:rsidRDefault="00000000" w:rsidRPr="00000000" w14:paraId="00000037">
      <w:pPr>
        <w:rPr/>
      </w:pPr>
      <w:r w:rsidDel="00000000" w:rsidR="00000000" w:rsidRPr="00000000">
        <w:rPr>
          <w:rtl w:val="0"/>
        </w:rPr>
        <w:t xml:space="preserve">Consequently, as per Table 1, 2024 is a case of consolidation and not accelerated revenue. Similarly, system-wide revenue per available room (RevPAR) has continued to rise by 4.6% to 142, with an occupancy of 69.9% and an average daily rate of 204 (Q4cdn, 2024). This implies that the hidden hotel demand was enhanced even when there were generally flat reported revenues.</w:t>
      </w:r>
    </w:p>
    <w:p w:rsidR="00000000" w:rsidDel="00000000" w:rsidP="00000000" w:rsidRDefault="00000000" w:rsidRPr="00000000" w14:paraId="00000038">
      <w:pPr>
        <w:rPr/>
      </w:pPr>
      <w:r w:rsidDel="00000000" w:rsidR="00000000" w:rsidRPr="00000000">
        <w:rPr>
          <w:rtl w:val="0"/>
        </w:rPr>
        <w:t xml:space="preserve">According to Appendix 1, the profit trail was more unpredictable. Hyatt moved from a $703 million net loss in 2020 and a $222 million loss in 2021 to profits of $455 million in 2022, $220 million in 2023 and $1,296 million in 2024 (Q4cdn, 2021; Q4cdn, 2023; Q4cdn, 2024). The net profit margin thus changed to 19.49 (improvement) as compared to -34.03%. The return on assets increased to 9.73 compared to -7.70, and the return on equity was 36.54.</w:t>
      </w:r>
    </w:p>
    <w:p w:rsidR="00000000" w:rsidDel="00000000" w:rsidP="00000000" w:rsidRDefault="00000000" w:rsidRPr="00000000" w14:paraId="00000039">
      <w:pPr>
        <w:rPr/>
      </w:pPr>
      <w:r w:rsidDel="00000000" w:rsidR="00000000" w:rsidRPr="00000000">
        <w:rPr>
          <w:rtl w:val="0"/>
        </w:rPr>
        <w:t xml:space="preserve">The 2024 outcome, however, contained gains on real estate and other sales which amounted to 1,245 million. It would be misleading then to consider the whole improvement in margin and ROE as an ongoing operating performance. Hotel studies also demonstrate that recovering during the pandemic may generate large shifts in revenue, debt, cash flows and financial slack; that is, patterns need to be divided by extraordinary items (dos Santos, Magano and Mota, 2023).</w:t>
      </w:r>
    </w:p>
    <w:p w:rsidR="00000000" w:rsidDel="00000000" w:rsidP="00000000" w:rsidRDefault="00000000" w:rsidRPr="00000000" w14:paraId="0000003A">
      <w:pPr>
        <w:rPr/>
      </w:pPr>
      <w:r w:rsidDel="00000000" w:rsidR="00000000" w:rsidRPr="00000000">
        <w:rPr>
          <w:rtl w:val="0"/>
        </w:rPr>
        <w:t xml:space="preserve">This issue is supported by the comparison between 2022 and the year 2023. The 2023 revenue growth of $776 million was accompanied by a decrease in net income by $235 million due to decreased gain on sales from $263 million to 18 million and higher expenditure. The 2024 disposal gain was unusually high, which inverted this trend. In setting dividends, leverage limits and investment hurdle rates, management ought to report an adjusted recurring margin and statutory net profit as well as use recurring earnings.</w:t>
      </w:r>
    </w:p>
    <w:p w:rsidR="00000000" w:rsidDel="00000000" w:rsidP="00000000" w:rsidRDefault="00000000" w:rsidRPr="00000000" w14:paraId="0000003B">
      <w:pPr>
        <w:rPr/>
      </w:pPr>
      <w:r w:rsidDel="00000000" w:rsidR="00000000" w:rsidRPr="00000000">
        <w:rPr>
          <w:rtl w:val="0"/>
        </w:rPr>
        <w:t xml:space="preserve">Direct and general expenses decreased to $6,274 million in 2024 as compared to $6,378 million in 2023, and depreciation and amortisation also decreased to $333 million in 2024 as compared to the figure of 397 million in 2023. This implies control over costs though lower depreciation will also represent the disposal of owned assets. The post-crisis hotel performance can be enhanced with the help of big-data capabilities, organisational agility and innovation, which means that Hyatt should safeguard the investments in technologies and services instead of relying solely on cost reduction (Khalil et al., 2023). Hotel productivity is also influenced by the balance between the food-and-beverages and rooms operations (Kim and Lin, 2024). Decision-making at the property level must then be aimed at contribution and value to the customers instead of the homogeneous reduction in spending.</w:t>
      </w:r>
    </w:p>
    <w:p w:rsidR="00000000" w:rsidDel="00000000" w:rsidP="00000000" w:rsidRDefault="00000000" w:rsidRPr="00000000" w14:paraId="0000003C">
      <w:pPr>
        <w:pStyle w:val="Heading2"/>
        <w:rPr/>
      </w:pPr>
      <w:bookmarkStart w:colFirst="0" w:colLast="0" w:name="_x1of69ingf3j" w:id="4"/>
      <w:bookmarkEnd w:id="4"/>
      <w:r w:rsidDel="00000000" w:rsidR="00000000" w:rsidRPr="00000000">
        <w:rPr>
          <w:rtl w:val="0"/>
        </w:rPr>
        <w:t xml:space="preserve">1.2 Liquidity</w:t>
      </w:r>
    </w:p>
    <w:p w:rsidR="00000000" w:rsidDel="00000000" w:rsidP="00000000" w:rsidRDefault="00000000" w:rsidRPr="00000000" w14:paraId="0000003D">
      <w:pPr>
        <w:rPr/>
      </w:pPr>
      <w:r w:rsidDel="00000000" w:rsidR="00000000" w:rsidRPr="00000000">
        <w:rPr>
          <w:rtl w:val="0"/>
        </w:rPr>
        <w:t xml:space="preserve">The liquidity of Hyatt declined significantly after 2020. The current ratio declined from 2.60 in 2020 to 0.92 in 2021, 0.68 in 2022 and 0.60 in 2023, before improving to 0.83 in 2024. The quick ratio also followed suit and was at 0.76, and the cash ratio improved on 0.25 in 2023 to 0.42 in 2024.</w:t>
      </w:r>
    </w:p>
    <w:p w:rsidR="00000000" w:rsidDel="00000000" w:rsidP="00000000" w:rsidRDefault="00000000" w:rsidRPr="00000000" w14:paraId="0000003E">
      <w:pPr>
        <w:jc w:val="center"/>
        <w:rPr/>
      </w:pPr>
      <w:r w:rsidDel="00000000" w:rsidR="00000000" w:rsidRPr="00000000">
        <w:rPr/>
        <w:drawing>
          <wp:inline distB="114300" distT="114300" distL="114300" distR="114300">
            <wp:extent cx="5943600" cy="1714500"/>
            <wp:effectExtent b="12700" l="12700" r="12700" t="12700"/>
            <wp:docPr id="11"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17145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F">
      <w:pPr>
        <w:jc w:val="center"/>
        <w:rPr>
          <w:b w:val="1"/>
          <w:bCs w:val="1"/>
        </w:rPr>
      </w:pPr>
      <w:r w:rsidDel="00000000" w:rsidR="00000000" w:rsidRPr="00000000">
        <w:rPr>
          <w:b w:val="1"/>
          <w:bCs w:val="1"/>
          <w:rtl w:val="0"/>
        </w:rPr>
        <w:t xml:space="preserve">Table 2: Hyatt’s liquidity benchmark against Hilton and Marriott, 2024</w:t>
      </w:r>
    </w:p>
    <w:p w:rsidR="00000000" w:rsidDel="00000000" w:rsidP="00000000" w:rsidRDefault="00000000" w:rsidRPr="00000000" w14:paraId="00000040">
      <w:pPr>
        <w:jc w:val="center"/>
        <w:rPr/>
      </w:pPr>
      <w:r w:rsidDel="00000000" w:rsidR="00000000" w:rsidRPr="00000000">
        <w:rPr>
          <w:rtl w:val="0"/>
        </w:rPr>
        <w:t xml:space="preserve">(Source: Q4cdn, 2024; Hilton, 2025; Marriott, 2025)</w:t>
      </w:r>
    </w:p>
    <w:p w:rsidR="00000000" w:rsidDel="00000000" w:rsidP="00000000" w:rsidRDefault="00000000" w:rsidRPr="00000000" w14:paraId="00000041">
      <w:pPr>
        <w:rPr/>
      </w:pPr>
      <w:r w:rsidDel="00000000" w:rsidR="00000000" w:rsidRPr="00000000">
        <w:rPr>
          <w:rtl w:val="0"/>
        </w:rPr>
        <w:t xml:space="preserve">In Table 2, although all three ratios were lower than 1.0, Hyatt rated well compared to its 2024 peer median. Hilton’s current, quick and cash ratios were 0.70, 0.61 and 0.28, respectively, while Marriott’s were 0.40, 0.37 and 0.05 (Hilton, 2025; Marriott, 2025) </w:t>
      </w:r>
      <w:r w:rsidDel="00000000" w:rsidR="00000000" w:rsidRPr="00000000">
        <w:rPr>
          <w:b w:val="1"/>
          <w:bCs w:val="1"/>
          <w:i w:val="1"/>
          <w:iCs w:val="1"/>
          <w:rtl w:val="0"/>
        </w:rPr>
        <w:t xml:space="preserve">[Refer to Appendix 3]</w:t>
      </w:r>
      <w:r w:rsidDel="00000000" w:rsidR="00000000" w:rsidRPr="00000000">
        <w:rPr>
          <w:rtl w:val="0"/>
        </w:rPr>
        <w:t xml:space="preserve">. Their respective peer median were around 0.55, 0.49 and 0.16. Hyatt hence possessed greater instant liquidity as compared to these two asset-light contestants.</w:t>
      </w:r>
    </w:p>
    <w:p w:rsidR="00000000" w:rsidDel="00000000" w:rsidP="00000000" w:rsidRDefault="00000000" w:rsidRPr="00000000" w14:paraId="00000042">
      <w:pPr>
        <w:rPr/>
      </w:pPr>
      <w:r w:rsidDel="00000000" w:rsidR="00000000" w:rsidRPr="00000000">
        <w:rPr>
          <w:rtl w:val="0"/>
        </w:rPr>
        <w:t xml:space="preserve">This analogy would be more significant than spreading a general 1:1 rule. The international hotel groups are able to operate on negative working capital since they have advance cash (customers and property owners), and franchise and management fees do not need a lot of inventory. However, a current ratio of less than 1.0 indicates that Hyatt relies on the ongoing cash flow and access to refinancing. Its current assets amounted to 2,733 million in 2024 which was less than its current liabilities amounting to 3,274 million. Liquidity was thus comfortable as compared to peers, but not comfortable as an absolute.</w:t>
      </w:r>
    </w:p>
    <w:p w:rsidR="00000000" w:rsidDel="00000000" w:rsidP="00000000" w:rsidRDefault="00000000" w:rsidRPr="00000000" w14:paraId="00000043">
      <w:pPr>
        <w:pStyle w:val="Heading2"/>
        <w:rPr/>
      </w:pPr>
      <w:bookmarkStart w:colFirst="0" w:colLast="0" w:name="_1zworff0ea60" w:id="5"/>
      <w:bookmarkEnd w:id="5"/>
      <w:r w:rsidDel="00000000" w:rsidR="00000000" w:rsidRPr="00000000">
        <w:rPr>
          <w:rtl w:val="0"/>
        </w:rPr>
        <w:t xml:space="preserve">1.3 Efficiency</w:t>
      </w:r>
    </w:p>
    <w:p w:rsidR="00000000" w:rsidDel="00000000" w:rsidP="00000000" w:rsidRDefault="00000000" w:rsidRPr="00000000" w14:paraId="00000044">
      <w:pPr>
        <w:rPr/>
      </w:pPr>
      <w:r w:rsidDel="00000000" w:rsidR="00000000" w:rsidRPr="00000000">
        <w:rPr>
          <w:rtl w:val="0"/>
        </w:rPr>
        <w:t xml:space="preserve">Total-asset turnover improved from 0.23 times in 2020 to 0.52 in 2023, before easing to 0.50 in 2024. The more significant increase was in the fixed-asset turnover, which increased by 0.66 to 3.94 times. This justifies the economic rationale behind the asset-light transformation of Hyatt since an ever-growing amount of revenue is produced on the basis of an ever-smaller base of owned assets.</w:t>
      </w:r>
    </w:p>
    <w:p w:rsidR="00000000" w:rsidDel="00000000" w:rsidP="00000000" w:rsidRDefault="00000000" w:rsidRPr="00000000" w14:paraId="00000045">
      <w:pPr>
        <w:rPr/>
      </w:pPr>
      <w:r w:rsidDel="00000000" w:rsidR="00000000" w:rsidRPr="00000000">
        <w:rPr>
          <w:rtl w:val="0"/>
        </w:rPr>
        <w:t xml:space="preserve">Nonetheless, accounting returns can be inflated by disposal gains and shifting property risks to owners. The asset-light strategy can be evaluated as an asset-sale programme, but as a combination of ownership, management contracts and franchising (Märklin and Bianchi, 2022).</w:t>
      </w:r>
    </w:p>
    <w:p w:rsidR="00000000" w:rsidDel="00000000" w:rsidP="00000000" w:rsidRDefault="00000000" w:rsidRPr="00000000" w14:paraId="00000046">
      <w:pPr>
        <w:rPr/>
      </w:pPr>
      <w:r w:rsidDel="00000000" w:rsidR="00000000" w:rsidRPr="00000000">
        <w:rPr>
          <w:rtl w:val="0"/>
        </w:rPr>
        <w:t xml:space="preserve">In 2023, the turnover of receivables increased to 7.55 times and in 2024, it decreased to 5.93 times. Collection days thereby rose up to 61.55 days as compared to the earlier 48.34 days. This decline is significant as the receivables grew to be at 1,121 million locking up cash, and current liabilities were high.</w:t>
      </w:r>
    </w:p>
    <w:p w:rsidR="00000000" w:rsidDel="00000000" w:rsidP="00000000" w:rsidRDefault="00000000" w:rsidRPr="00000000" w14:paraId="00000047">
      <w:pPr>
        <w:rPr/>
      </w:pPr>
      <w:r w:rsidDel="00000000" w:rsidR="00000000" w:rsidRPr="00000000">
        <w:rPr>
          <w:rtl w:val="0"/>
        </w:rPr>
        <w:t xml:space="preserve">The quality of services should not be compromised by stricter collection processes. The reputation, customer satisfaction and loyalty are closely linked with tangible and delivered service quality (Asgeirsson et al., 2024). Hyatt is then advised to enhance the accuracy of billing, owner credit, and the resolution of contested invoices.</w:t>
      </w:r>
    </w:p>
    <w:p w:rsidR="00000000" w:rsidDel="00000000" w:rsidP="00000000" w:rsidRDefault="00000000" w:rsidRPr="00000000" w14:paraId="00000048">
      <w:pPr>
        <w:pStyle w:val="Heading2"/>
        <w:rPr/>
      </w:pPr>
      <w:bookmarkStart w:colFirst="0" w:colLast="0" w:name="_ekz04noxhuf5" w:id="6"/>
      <w:bookmarkEnd w:id="6"/>
      <w:r w:rsidDel="00000000" w:rsidR="00000000" w:rsidRPr="00000000">
        <w:rPr>
          <w:rtl w:val="0"/>
        </w:rPr>
        <w:t xml:space="preserve">1.4 Gearing and interest cover</w:t>
      </w:r>
    </w:p>
    <w:p w:rsidR="00000000" w:rsidDel="00000000" w:rsidP="00000000" w:rsidRDefault="00000000" w:rsidRPr="00000000" w14:paraId="00000049">
      <w:pPr>
        <w:rPr/>
      </w:pPr>
      <w:r w:rsidDel="00000000" w:rsidR="00000000" w:rsidRPr="00000000">
        <w:rPr>
          <w:rtl w:val="0"/>
        </w:rPr>
        <w:t xml:space="preserve">Debt-to-equity fell from 1.12 in 2021 to 0.84 in 2022 but returned to 1.07 in 2024. The debt amounted to 51.60 per cent of the total capital in 2024, and the net debt amounted to 32.73 per cent. Interest coverage improved from –6.50 times in 2020 to 9.68 times in 2024.</w:t>
      </w:r>
    </w:p>
    <w:p w:rsidR="00000000" w:rsidDel="00000000" w:rsidP="00000000" w:rsidRDefault="00000000" w:rsidRPr="00000000" w14:paraId="0000004A">
      <w:pPr>
        <w:rPr/>
      </w:pPr>
      <w:r w:rsidDel="00000000" w:rsidR="00000000" w:rsidRPr="00000000">
        <w:rPr>
          <w:rtl w:val="0"/>
        </w:rPr>
        <w:t xml:space="preserve">The 2024 interest-coverage figure is once again boosted by disposal gains. The interest paid in cash amounted to 167 million which is near to the 180 million income-statement expense, indicating that debt still causes a real cash obligation.</w:t>
      </w:r>
    </w:p>
    <w:p w:rsidR="00000000" w:rsidDel="00000000" w:rsidP="00000000" w:rsidRDefault="00000000" w:rsidRPr="00000000" w14:paraId="0000004B">
      <w:pPr>
        <w:rPr/>
      </w:pPr>
      <w:r w:rsidDel="00000000" w:rsidR="00000000" w:rsidRPr="00000000">
        <w:rPr>
          <w:rtl w:val="0"/>
        </w:rPr>
        <w:t xml:space="preserve">The capital structure is also within control since the operating cash flow is positive and the immediate liquidity higher than the peer median. However, current debt maturities of and long-term debt of stand at 456 and 3,326 million, respectively, limiting financial flexibility. The crisis impact can be minimised, and their financial sustainability can be facilitated by lower leverage (Nguyen et al., 2023). There are also European evidence that pandemic conditions altered the financing option of hospitality companies, and they impacted different businesses based on their size and ownership (Ashraf et al., 2025). Hyatt ought to then apply the recurring fee cash flows and disposal proceeds to avoid more increases in leverage.</w:t>
      </w:r>
    </w:p>
    <w:p w:rsidR="00000000" w:rsidDel="00000000" w:rsidP="00000000" w:rsidRDefault="00000000" w:rsidRPr="00000000" w14:paraId="0000004C">
      <w:pPr>
        <w:pStyle w:val="Heading2"/>
        <w:rPr/>
      </w:pPr>
      <w:bookmarkStart w:colFirst="0" w:colLast="0" w:name="_jr74q86ex2eg" w:id="7"/>
      <w:bookmarkEnd w:id="7"/>
      <w:r w:rsidDel="00000000" w:rsidR="00000000" w:rsidRPr="00000000">
        <w:rPr>
          <w:rtl w:val="0"/>
        </w:rPr>
        <w:t xml:space="preserve">1.5 Investment and cash-flow ratios</w:t>
      </w:r>
    </w:p>
    <w:p w:rsidR="00000000" w:rsidDel="00000000" w:rsidP="00000000" w:rsidRDefault="00000000" w:rsidRPr="00000000" w14:paraId="0000004D">
      <w:pPr>
        <w:rPr/>
      </w:pPr>
      <w:r w:rsidDel="00000000" w:rsidR="00000000" w:rsidRPr="00000000">
        <w:rPr>
          <w:rtl w:val="0"/>
        </w:rPr>
        <w:t xml:space="preserve">Diluted earnings per share moved from –$6.93 in 2020 and –$2.13 in 2021 to $4.09 in 2022, $2.05 in 2023 and $12.65 in 2024. Hyatt paid no dividend in 2021–2022, followed by $47 million in 2023 and $60 million in 2024. In 2023, the dividend payout ratio was 21.36 and in 2024, it was only 4.63 since extraordinary gains pushed up the earnings. The modest payout maintains cash, yet the abnormally elevated 2024 EPS ought not to be the cause of a lasting dividend raise.</w:t>
      </w:r>
    </w:p>
    <w:p w:rsidR="00000000" w:rsidDel="00000000" w:rsidP="00000000" w:rsidRDefault="00000000" w:rsidRPr="00000000" w14:paraId="0000004E">
      <w:pPr>
        <w:rPr/>
      </w:pPr>
      <w:r w:rsidDel="00000000" w:rsidR="00000000" w:rsidRPr="00000000">
        <w:rPr>
          <w:rtl w:val="0"/>
        </w:rPr>
        <w:t xml:space="preserve">Operating cash flow recovered from –$611 million in 2020 to $315 million in 2021, $674 million in 2022, $800 million in 2023 and $633 million in 2024. However, the operating cash flow margin fell from 12.00% in 2023 to 9.52% in 2024. The cash debt coverage decreased as well as 26.18% to 16.74%. The conversion of cash was thus not in line with the reported surge of profit.</w:t>
      </w:r>
    </w:p>
    <w:p w:rsidR="00000000" w:rsidDel="00000000" w:rsidP="00000000" w:rsidRDefault="00000000" w:rsidRPr="00000000" w14:paraId="0000004F">
      <w:pPr>
        <w:rPr/>
      </w:pPr>
      <w:r w:rsidDel="00000000" w:rsidR="00000000" w:rsidRPr="00000000">
        <w:rPr>
          <w:rtl w:val="0"/>
        </w:rPr>
        <w:t xml:space="preserve">The academic reviews indicate that liquidity, profitability and leverage are crucial factors in assessing hotel default, which should be combined and not assessed on a single ratio (Metaxas and Romanopoulos, 2023).</w:t>
      </w:r>
    </w:p>
    <w:p w:rsidR="00000000" w:rsidDel="00000000" w:rsidP="00000000" w:rsidRDefault="00000000" w:rsidRPr="00000000" w14:paraId="00000050">
      <w:pPr>
        <w:rPr/>
      </w:pPr>
      <w:r w:rsidDel="00000000" w:rsidR="00000000" w:rsidRPr="00000000">
        <w:rPr>
          <w:rtl w:val="0"/>
        </w:rPr>
        <w:t xml:space="preserve">All in all, the company strengths of Hyatt consist of post-pandemic recovery in demand, growth in the size of its fee-based model, higher fixed asset productivity, market leadership in liquidity and positive operating cash flow. Its key weaknesses and threats include non-recurring profit quality, sluggish collection, negative working capital, re-emerged leverage, labour expense, inflation and global travel shock exposure. Guest experience is also financially significant since it helps to underpin satisfaction, loyalty and repeat purchasing (Mahartana, Tuti and Kristiadi, 2024).</w:t>
      </w:r>
    </w:p>
    <w:p w:rsidR="00000000" w:rsidDel="00000000" w:rsidP="00000000" w:rsidRDefault="00000000" w:rsidRPr="00000000" w14:paraId="00000051">
      <w:pPr>
        <w:pStyle w:val="Heading1"/>
        <w:rPr/>
      </w:pPr>
      <w:bookmarkStart w:colFirst="0" w:colLast="0" w:name="_isrecmg7rjmc" w:id="8"/>
      <w:bookmarkEnd w:id="8"/>
      <w:r w:rsidDel="00000000" w:rsidR="00000000" w:rsidRPr="00000000">
        <w:rPr>
          <w:rtl w:val="0"/>
        </w:rPr>
        <w:t xml:space="preserve">2. Working-capital management [Refer to Appendix 4]</w:t>
      </w:r>
    </w:p>
    <w:p w:rsidR="00000000" w:rsidDel="00000000" w:rsidP="00000000" w:rsidRDefault="00000000" w:rsidRPr="00000000" w14:paraId="00000052">
      <w:pPr>
        <w:pStyle w:val="Heading2"/>
        <w:rPr/>
      </w:pPr>
      <w:bookmarkStart w:colFirst="0" w:colLast="0" w:name="_48gzuc9zo9d4" w:id="9"/>
      <w:bookmarkEnd w:id="9"/>
      <w:r w:rsidDel="00000000" w:rsidR="00000000" w:rsidRPr="00000000">
        <w:rPr>
          <w:rtl w:val="0"/>
        </w:rPr>
        <w:t xml:space="preserve">2.1 Operating cycle of cash</w:t>
      </w:r>
    </w:p>
    <w:p w:rsidR="00000000" w:rsidDel="00000000" w:rsidP="00000000" w:rsidRDefault="00000000" w:rsidRPr="00000000" w14:paraId="00000053">
      <w:pPr>
        <w:jc w:val="center"/>
        <w:rPr/>
      </w:pPr>
      <w:r w:rsidDel="00000000" w:rsidR="00000000" w:rsidRPr="00000000">
        <w:rPr/>
        <w:drawing>
          <wp:inline distB="114300" distT="114300" distL="114300" distR="114300">
            <wp:extent cx="5805488" cy="2521293"/>
            <wp:effectExtent b="0" l="0" r="0" t="0"/>
            <wp:docPr id="10"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805488" cy="2521293"/>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jc w:val="center"/>
        <w:rPr>
          <w:b w:val="1"/>
          <w:bCs w:val="1"/>
        </w:rPr>
      </w:pPr>
      <w:r w:rsidDel="00000000" w:rsidR="00000000" w:rsidRPr="00000000">
        <w:rPr>
          <w:b w:val="1"/>
          <w:bCs w:val="1"/>
          <w:rtl w:val="0"/>
        </w:rPr>
        <w:t xml:space="preserve">Table 3: Working Capital and Adapted Cash Operating Cycle</w:t>
      </w:r>
    </w:p>
    <w:p w:rsidR="00000000" w:rsidDel="00000000" w:rsidP="00000000" w:rsidRDefault="00000000" w:rsidRPr="00000000" w14:paraId="00000055">
      <w:pPr>
        <w:jc w:val="center"/>
        <w:rPr/>
      </w:pPr>
      <w:r w:rsidDel="00000000" w:rsidR="00000000" w:rsidRPr="00000000">
        <w:rPr>
          <w:rtl w:val="0"/>
        </w:rPr>
        <w:t xml:space="preserve">(Source: Self-developed using MS Excel)</w:t>
      </w:r>
    </w:p>
    <w:p w:rsidR="00000000" w:rsidDel="00000000" w:rsidP="00000000" w:rsidRDefault="00000000" w:rsidRPr="00000000" w14:paraId="00000056">
      <w:pPr>
        <w:rPr/>
      </w:pPr>
      <w:r w:rsidDel="00000000" w:rsidR="00000000" w:rsidRPr="00000000">
        <w:rPr>
          <w:rtl w:val="0"/>
        </w:rPr>
        <w:t xml:space="preserve">Table 3 demonstrates that Hyatt’s net working capital changed from a $1,579 million surplus in 2020 to deficits of $170 million in 2021, $1,037 million in 2022 and $1,448 million in 2023. The deficit was narrowed to an amount of $ 541 million in 2024, mostly due to the increase in cash, short-term investments and receivables and the reduction of current liabilities. It is progress but Hyatt has further upcoming cash inflows to pay off some of its short-term liabilities.</w:t>
      </w:r>
    </w:p>
    <w:p w:rsidR="00000000" w:rsidDel="00000000" w:rsidP="00000000" w:rsidRDefault="00000000" w:rsidRPr="00000000" w14:paraId="00000057">
      <w:pPr>
        <w:rPr/>
      </w:pPr>
      <w:r w:rsidDel="00000000" w:rsidR="00000000" w:rsidRPr="00000000">
        <w:rPr>
          <w:rtl w:val="0"/>
        </w:rPr>
        <w:t xml:space="preserve">An ex-post cash-conversion cycle is impossible to compute precisely due to Hyatt not reporting purchases and a typical cost-of-goods-sold figure. Thus, the workbook has smaller direct and general expenses with less depreciation taken as a clear cash-operating-expense proxy. On this basis, the adapted operating cycle was 41.61 days in 2020, 13.24 days in 2021, 16.35 days in 2022, 18.81 days in 2023 and 32.86 days in 2024.</w:t>
      </w:r>
    </w:p>
    <w:p w:rsidR="00000000" w:rsidDel="00000000" w:rsidP="00000000" w:rsidRDefault="00000000" w:rsidRPr="00000000" w14:paraId="00000058">
      <w:pPr>
        <w:rPr/>
      </w:pPr>
      <w:r w:rsidDel="00000000" w:rsidR="00000000" w:rsidRPr="00000000">
        <w:rPr>
          <w:rtl w:val="0"/>
        </w:rPr>
        <w:t xml:space="preserve">Inventory days in 2024 showed less than one day, and this is not surprising since it is a service business. The key reason behind the extended cycle was a rise in the receivable days to 61.55, with a slight decline in payable days to 29.18.</w:t>
      </w:r>
    </w:p>
    <w:p w:rsidR="00000000" w:rsidDel="00000000" w:rsidP="00000000" w:rsidRDefault="00000000" w:rsidRPr="00000000" w14:paraId="00000059">
      <w:pPr>
        <w:rPr/>
      </w:pPr>
      <w:r w:rsidDel="00000000" w:rsidR="00000000" w:rsidRPr="00000000">
        <w:rPr>
          <w:rtl w:val="0"/>
        </w:rPr>
        <w:t xml:space="preserve">The modified measure cannot be said to be the precise statutory cash-conversion cycle of Hyatt. It is a pointer of direction as per the available information in the financial statements. The research on hospitality has an inverted U-shaped association between performance and working capital, i. e., excess and insufficient working capital may destroy value (Chambers and Cifter, 2022). Follow-up indicates on a larger scale that longer cash-conversion cycles tend to relate to poorer performance (Kiymaz, Haque and Choudhury, 2024), with the degree of such association depending on the industry and company (Asman et al., 2022; Stavropoulos and Zounta, 2025). Instead, Hyatt needs to work towards an optimal point of operations and not necessarily the shortest possible cycle.</w:t>
      </w:r>
    </w:p>
    <w:p w:rsidR="00000000" w:rsidDel="00000000" w:rsidP="00000000" w:rsidRDefault="00000000" w:rsidRPr="00000000" w14:paraId="0000005A">
      <w:pPr>
        <w:pStyle w:val="Heading2"/>
        <w:rPr/>
      </w:pPr>
      <w:bookmarkStart w:colFirst="0" w:colLast="0" w:name="_c9g08y3cts9f" w:id="10"/>
      <w:bookmarkEnd w:id="10"/>
      <w:r w:rsidDel="00000000" w:rsidR="00000000" w:rsidRPr="00000000">
        <w:rPr>
          <w:rtl w:val="0"/>
        </w:rPr>
        <w:t xml:space="preserve">2.2 Recommended reforms</w:t>
      </w:r>
    </w:p>
    <w:p w:rsidR="00000000" w:rsidDel="00000000" w:rsidP="00000000" w:rsidRDefault="00000000" w:rsidRPr="00000000" w14:paraId="0000005B">
      <w:pPr>
        <w:rPr/>
      </w:pPr>
      <w:r w:rsidDel="00000000" w:rsidR="00000000" w:rsidRPr="00000000">
        <w:rPr>
          <w:rtl w:val="0"/>
        </w:rPr>
        <w:t xml:space="preserve">To start, Hyatt can minimise the number of collection days to the 2022 to 2023 range. Issuing of owner and franchise invoices should be automatic when fees are earned, backed by direct debit, more precise ageing dashboards and upgrading of contentious balances. The risk-based credit limits must be set and weaker counterparties will be required to provide bigger deposits or guarantees. The first realistic goal would be to generate a decrease of ten days of collection without aggressive guest-facing collection.</w:t>
      </w:r>
    </w:p>
    <w:p w:rsidR="00000000" w:rsidDel="00000000" w:rsidP="00000000" w:rsidRDefault="00000000" w:rsidRPr="00000000" w14:paraId="0000005C">
      <w:pPr>
        <w:rPr/>
      </w:pPr>
      <w:r w:rsidDel="00000000" w:rsidR="00000000" w:rsidRPr="00000000">
        <w:rPr>
          <w:rtl w:val="0"/>
        </w:rPr>
        <w:t xml:space="preserve">Second, Hyatt ought to centralise 13-week rolling cash forecast per region and currency. There should be forecasts that separate out recurring receipts of fees, reimbursement flows, payroll, interest, tax, capital expenditure and property-sale proceeds. This would indicate cash-timing gaps and minimise unnecessary holdings.</w:t>
      </w:r>
    </w:p>
    <w:p w:rsidR="00000000" w:rsidDel="00000000" w:rsidP="00000000" w:rsidRDefault="00000000" w:rsidRPr="00000000" w14:paraId="0000005D">
      <w:pPr>
        <w:rPr/>
      </w:pPr>
      <w:r w:rsidDel="00000000" w:rsidR="00000000" w:rsidRPr="00000000">
        <w:rPr>
          <w:rtl w:val="0"/>
        </w:rPr>
        <w:t xml:space="preserve">Third, negotiations on supplier terms must be done on a category basis. Hyatt can leverage its size to match payment dates to the date cash is received, but it should not delay payment to small suppliers longer than agreed. Proper and timely payments are safeguards in continuity of supply and reputation of the company.</w:t>
      </w:r>
    </w:p>
    <w:p w:rsidR="00000000" w:rsidDel="00000000" w:rsidP="00000000" w:rsidRDefault="00000000" w:rsidRPr="00000000" w14:paraId="0000005E">
      <w:pPr>
        <w:rPr/>
      </w:pPr>
      <w:r w:rsidDel="00000000" w:rsidR="00000000" w:rsidRPr="00000000">
        <w:rPr>
          <w:rtl w:val="0"/>
        </w:rPr>
        <w:t xml:space="preserve">Fourth, inventory controls are to be property-specific. The current levels of consolidated inventory days are already very low and thus inventory reduction at the group level would not add much value. The focus should rather be put on food waste, energy acquisitions and labour scheduling at properties that the company owns. Inflation and pressure on the workforce remain a part of the hotel industry (AHLA, 2024), thus, digital forecasting must minimise wastage without harming service delivery.</w:t>
      </w:r>
    </w:p>
    <w:p w:rsidR="00000000" w:rsidDel="00000000" w:rsidP="00000000" w:rsidRDefault="00000000" w:rsidRPr="00000000" w14:paraId="0000005F">
      <w:pPr>
        <w:rPr/>
      </w:pPr>
      <w:r w:rsidDel="00000000" w:rsidR="00000000" w:rsidRPr="00000000">
        <w:rPr>
          <w:rtl w:val="0"/>
        </w:rPr>
        <w:t xml:space="preserve">In order to monitor the reforms, a brief monthly dashboard is to be created that includes the collection days, the number of outstanding receivables that the owner has to pay, the accuracy of the forecasts, the liquidity committed to the business, the payments made by the suppliers at the required time and the operating cash flow. The initial objective of the first stage ought to be reductions of the collection days to less than 55 without escalating bad debts or disputes. The incentives given to employees should be based on the amounts of cash received and issues solved and not just invoices sent.</w:t>
      </w:r>
    </w:p>
    <w:p w:rsidR="00000000" w:rsidDel="00000000" w:rsidP="00000000" w:rsidRDefault="00000000" w:rsidRPr="00000000" w14:paraId="00000060">
      <w:pPr>
        <w:pStyle w:val="Heading2"/>
        <w:rPr/>
      </w:pPr>
      <w:bookmarkStart w:colFirst="0" w:colLast="0" w:name="_nmcgr0lk2bnr" w:id="11"/>
      <w:bookmarkEnd w:id="11"/>
      <w:r w:rsidDel="00000000" w:rsidR="00000000" w:rsidRPr="00000000">
        <w:rPr>
          <w:rtl w:val="0"/>
        </w:rPr>
        <w:t xml:space="preserve">2.3 Financing mix</w:t>
      </w:r>
    </w:p>
    <w:p w:rsidR="00000000" w:rsidDel="00000000" w:rsidP="00000000" w:rsidRDefault="00000000" w:rsidRPr="00000000" w14:paraId="00000061">
      <w:pPr>
        <w:rPr/>
      </w:pPr>
      <w:r w:rsidDel="00000000" w:rsidR="00000000" w:rsidRPr="00000000">
        <w:rPr>
          <w:rtl w:val="0"/>
        </w:rPr>
        <w:t xml:space="preserve">Revolving credit, which does not last long, should be used in seasonal payroll, timing variances and reimbursement receivables since they are reversed in the operation cycle. It must not fund acquisitions or long term technology platforms.</w:t>
      </w:r>
    </w:p>
    <w:p w:rsidR="00000000" w:rsidDel="00000000" w:rsidP="00000000" w:rsidRDefault="00000000" w:rsidRPr="00000000" w14:paraId="00000062">
      <w:pPr>
        <w:rPr/>
      </w:pPr>
      <w:r w:rsidDel="00000000" w:rsidR="00000000" w:rsidRPr="00000000">
        <w:rPr>
          <w:rtl w:val="0"/>
        </w:rPr>
        <w:t xml:space="preserve">Long run debt is suitable to long investments. Nevertheless, Hyatt with 1.07 debt-to-equity ratio, as well as poor cash debt coverage, is not conducive to high levels of additional borrowing. The majority of strategic expenditure should be financed by retained operating cash flow and selective disposal proceeds. Hyatt must also ensure a commendable liquidity position that might meet current maturities and a drastic travel demand load shedding.</w:t>
      </w:r>
    </w:p>
    <w:p w:rsidR="00000000" w:rsidDel="00000000" w:rsidP="00000000" w:rsidRDefault="00000000" w:rsidRPr="00000000" w14:paraId="00000063">
      <w:pPr>
        <w:rPr/>
      </w:pPr>
      <w:r w:rsidDel="00000000" w:rsidR="00000000" w:rsidRPr="00000000">
        <w:rPr>
          <w:rtl w:val="0"/>
        </w:rPr>
        <w:t xml:space="preserve">The rotating plant needs to be in the form of financial insurance and not permanent funding. Any drawing ought to possess a recognisable repayment source in the forecast period. Hyatt ought to strike a balance between fixed- and floating-rate debt such that it can get a bit of an advantage out of the decreased rates without placing cash flows at the mercy of new inflation. Covenant headroom must be stress-tested with weaker fee revenue, slower collections and temporary hotel closures.</w:t>
      </w:r>
    </w:p>
    <w:p w:rsidR="00000000" w:rsidDel="00000000" w:rsidP="00000000" w:rsidRDefault="00000000" w:rsidRPr="00000000" w14:paraId="00000064">
      <w:pPr>
        <w:pStyle w:val="Heading1"/>
        <w:rPr/>
      </w:pPr>
      <w:bookmarkStart w:colFirst="0" w:colLast="0" w:name="_kahhycfez0px" w:id="12"/>
      <w:bookmarkEnd w:id="12"/>
      <w:r w:rsidDel="00000000" w:rsidR="00000000" w:rsidRPr="00000000">
        <w:rPr>
          <w:rtl w:val="0"/>
        </w:rPr>
        <w:t xml:space="preserve">3. Strategic financial restructuring</w:t>
      </w:r>
    </w:p>
    <w:p w:rsidR="00000000" w:rsidDel="00000000" w:rsidP="00000000" w:rsidRDefault="00000000" w:rsidRPr="00000000" w14:paraId="00000065">
      <w:pPr>
        <w:pStyle w:val="Heading2"/>
        <w:rPr/>
      </w:pPr>
      <w:bookmarkStart w:colFirst="0" w:colLast="0" w:name="_7n8zpskg36f1" w:id="13"/>
      <w:bookmarkEnd w:id="13"/>
      <w:r w:rsidDel="00000000" w:rsidR="00000000" w:rsidRPr="00000000">
        <w:rPr>
          <w:rtl w:val="0"/>
        </w:rPr>
        <w:t xml:space="preserve">3.1 Choice that is recommended: selective divestiture</w:t>
      </w:r>
    </w:p>
    <w:p w:rsidR="00000000" w:rsidDel="00000000" w:rsidP="00000000" w:rsidRDefault="00000000" w:rsidRPr="00000000" w14:paraId="00000066">
      <w:pPr>
        <w:rPr/>
      </w:pPr>
      <w:r w:rsidDel="00000000" w:rsidR="00000000" w:rsidRPr="00000000">
        <w:rPr>
          <w:rtl w:val="0"/>
        </w:rPr>
        <w:t xml:space="preserve">The most potent restructuring alternative is partial divestiture of owned properties which have lesser returns but retaining flagship properties which safeguard the brand, offers learning of operations or offers strategic entry to the market. Hyatt has demonstrated that management agreements that involve long-term contracts can be added to property sales. This translates capital of property to cash and still retains recurring fee revenue.</w:t>
      </w:r>
    </w:p>
    <w:p w:rsidR="00000000" w:rsidDel="00000000" w:rsidP="00000000" w:rsidRDefault="00000000" w:rsidRPr="00000000" w14:paraId="00000067">
      <w:pPr>
        <w:rPr/>
      </w:pPr>
      <w:r w:rsidDel="00000000" w:rsidR="00000000" w:rsidRPr="00000000">
        <w:rPr>
          <w:rtl w:val="0"/>
        </w:rPr>
        <w:t xml:space="preserve">According to research, a strategy based on being asset-light can enhance performance, but outcomes vary with the combination of ownership, management and franchising (Liang and Li, 2023; Märklin and Bianchi, 2022).</w:t>
      </w:r>
    </w:p>
    <w:p w:rsidR="00000000" w:rsidDel="00000000" w:rsidP="00000000" w:rsidRDefault="00000000" w:rsidRPr="00000000" w14:paraId="00000068">
      <w:pPr>
        <w:rPr/>
      </w:pPr>
      <w:r w:rsidDel="00000000" w:rsidR="00000000" w:rsidRPr="00000000">
        <w:rPr>
          <w:rtl w:val="0"/>
        </w:rPr>
        <w:t xml:space="preserve">Such a big merger is less appropriate. As much as it may give it a scale and extra brands, it would bring about an integration, valuation, cultural and debt risks at a time when Hyatt is just building its cash conversion. The solution would be a broad equity issue to enhance liquidity at the expense of current shareholders and it seems that it is not needed when the company is operating cash flow and saleable property are in good position. Equity is to be reserved in case of a distinctly value-forming acquisition or dire financial need.</w:t>
      </w:r>
    </w:p>
    <w:p w:rsidR="00000000" w:rsidDel="00000000" w:rsidP="00000000" w:rsidRDefault="00000000" w:rsidRPr="00000000" w14:paraId="00000069">
      <w:pPr>
        <w:rPr/>
      </w:pPr>
      <w:r w:rsidDel="00000000" w:rsidR="00000000" w:rsidRPr="00000000">
        <w:rPr>
          <w:rtl w:val="0"/>
        </w:rPr>
        <w:t xml:space="preserve">A formal decision gate should be employed in the proposed programme of divestiture. Having taken into consideration refurbishment requirements and strategic advantages, a property should only be sold when after-tax proceeds and the present value of retained management fee is higher than the retained property.</w:t>
      </w:r>
    </w:p>
    <w:p w:rsidR="00000000" w:rsidDel="00000000" w:rsidP="00000000" w:rsidRDefault="00000000" w:rsidRPr="00000000" w14:paraId="0000006A">
      <w:pPr>
        <w:rPr/>
      </w:pPr>
      <w:r w:rsidDel="00000000" w:rsidR="00000000" w:rsidRPr="00000000">
        <w:rPr>
          <w:rtl w:val="0"/>
        </w:rPr>
        <w:t xml:space="preserve">The first order of proceeds should be used as follows: the transaction taxes and separation costs, the near-term debt maturities, the liquidity reserves and last but not the least the positive-NPV strategic investments. This would prevent the cash in assets-sale being wiped out in normal spending.</w:t>
      </w:r>
    </w:p>
    <w:p w:rsidR="00000000" w:rsidDel="00000000" w:rsidP="00000000" w:rsidRDefault="00000000" w:rsidRPr="00000000" w14:paraId="0000006B">
      <w:pPr>
        <w:pStyle w:val="Heading2"/>
        <w:rPr/>
      </w:pPr>
      <w:bookmarkStart w:colFirst="0" w:colLast="0" w:name="_s2vy4u3rmcrc" w:id="14"/>
      <w:bookmarkEnd w:id="14"/>
      <w:r w:rsidDel="00000000" w:rsidR="00000000" w:rsidRPr="00000000">
        <w:rPr>
          <w:rtl w:val="0"/>
        </w:rPr>
        <w:t xml:space="preserve">3.2 Financial and shareholder impacts</w:t>
      </w:r>
    </w:p>
    <w:p w:rsidR="00000000" w:rsidDel="00000000" w:rsidP="00000000" w:rsidRDefault="00000000" w:rsidRPr="00000000" w14:paraId="0000006C">
      <w:pPr>
        <w:rPr/>
      </w:pPr>
      <w:r w:rsidDel="00000000" w:rsidR="00000000" w:rsidRPr="00000000">
        <w:rPr>
          <w:rtl w:val="0"/>
        </w:rPr>
        <w:t xml:space="preserve">Selective disposals are supposed to enhance liquidity, lower the capital intensity and help repay debt. The reduced interest coverage would enhance the recurring interest coverage and robust balance sheet to withstand demand shocks. The plan would also allow them to be flexible to invest in the loyalty platform, the distribution technology and Project C of Hyatt.</w:t>
      </w:r>
    </w:p>
    <w:p w:rsidR="00000000" w:rsidDel="00000000" w:rsidP="00000000" w:rsidRDefault="00000000" w:rsidRPr="00000000" w14:paraId="0000006D">
      <w:pPr>
        <w:rPr/>
      </w:pPr>
      <w:r w:rsidDel="00000000" w:rsidR="00000000" w:rsidRPr="00000000">
        <w:rPr>
          <w:rtl w:val="0"/>
        </w:rPr>
        <w:t xml:space="preserve">The sale of assets can enhance ROA and fixed-asset turnover; however, this accounting enhancement does not necessarily reflect a shareholder value. The sale price, gain, lost property EBITDA, retained management fees, taxation and use of proceeds of each material disposal should be disclosed by management.</w:t>
      </w:r>
    </w:p>
    <w:p w:rsidR="00000000" w:rsidDel="00000000" w:rsidP="00000000" w:rsidRDefault="00000000" w:rsidRPr="00000000" w14:paraId="0000006E">
      <w:pPr>
        <w:rPr/>
      </w:pPr>
      <w:r w:rsidDel="00000000" w:rsidR="00000000" w:rsidRPr="00000000">
        <w:rPr>
          <w:rtl w:val="0"/>
        </w:rPr>
        <w:t xml:space="preserve">The plan poses dangers as well. Hyatt might miss out on property appreciation in the future, and disposal gains can boost less recurring earnings. Over-growth of contracts might decrease the control over operations and undermine the quality of services. Minimal returns, brand and control criteria is therefore something that Hyatt needs to implement before giving a sale. The management and franchise agreements should still be enforceable regarding the standards of service quality and reputation since service quality and reputation own customer loyalty and financial performance (Asgeirsson et al., 2024).</w:t>
      </w:r>
    </w:p>
    <w:p w:rsidR="00000000" w:rsidDel="00000000" w:rsidP="00000000" w:rsidRDefault="00000000" w:rsidRPr="00000000" w14:paraId="0000006F">
      <w:pPr>
        <w:pStyle w:val="Heading2"/>
        <w:rPr/>
      </w:pPr>
      <w:bookmarkStart w:colFirst="0" w:colLast="0" w:name="_tbywxiphuyyh" w:id="15"/>
      <w:bookmarkEnd w:id="15"/>
      <w:r w:rsidDel="00000000" w:rsidR="00000000" w:rsidRPr="00000000">
        <w:rPr>
          <w:rtl w:val="0"/>
        </w:rPr>
        <w:t xml:space="preserve">3.3 International and ethical issues</w:t>
      </w:r>
    </w:p>
    <w:p w:rsidR="00000000" w:rsidDel="00000000" w:rsidP="00000000" w:rsidRDefault="00000000" w:rsidRPr="00000000" w14:paraId="00000070">
      <w:pPr>
        <w:rPr/>
      </w:pPr>
      <w:r w:rsidDel="00000000" w:rsidR="00000000" w:rsidRPr="00000000">
        <w:rPr>
          <w:rtl w:val="0"/>
        </w:rPr>
        <w:t xml:space="preserve">Hyatt earns and makes cash flows in many currencies. Changes in exchange rates affect the affordability of destinations, the prices of hotels and their reported income. Studies affirm that exchange rates have influence on hotel pricing decisions and their operating performance (Blengini and Heo, 2024). Pass-through to restaurant and hotel prices may also be asymmetric (Alola, Usman and Alola, 2023) and exchange-rate volatility can have an impact on demand in tourism (Imamboccus et al., 2024).</w:t>
      </w:r>
    </w:p>
    <w:p w:rsidR="00000000" w:rsidDel="00000000" w:rsidP="00000000" w:rsidRDefault="00000000" w:rsidRPr="00000000" w14:paraId="00000071">
      <w:pPr>
        <w:rPr/>
      </w:pPr>
      <w:r w:rsidDel="00000000" w:rsidR="00000000" w:rsidRPr="00000000">
        <w:rPr>
          <w:rtl w:val="0"/>
        </w:rPr>
        <w:t xml:space="preserve">The matching of currency exposures to the disposal and debt decisions should thus be made where feasible. Material committed cash flows might be covered by simple forward contracts, but there should be no speculative positions in currency.</w:t>
      </w:r>
    </w:p>
    <w:p w:rsidR="00000000" w:rsidDel="00000000" w:rsidP="00000000" w:rsidRDefault="00000000" w:rsidRPr="00000000" w14:paraId="00000072">
      <w:pPr>
        <w:rPr/>
      </w:pPr>
      <w:r w:rsidDel="00000000" w:rsidR="00000000" w:rsidRPr="00000000">
        <w:rPr>
          <w:rtl w:val="0"/>
        </w:rPr>
        <w:t xml:space="preserve">Wages, energy, and food and construction costs can rise at a higher rate than the rate of inflation compared to room rates. The 2024 world economic perspectives were also left vulnerable to geopolitical and financial threats (IMF, 2024). The project forecasts such as sale valuation must have downside scenarios of inflation, demand and cost of financing.</w:t>
      </w:r>
    </w:p>
    <w:p w:rsidR="00000000" w:rsidDel="00000000" w:rsidP="00000000" w:rsidRDefault="00000000" w:rsidRPr="00000000" w14:paraId="00000073">
      <w:pPr>
        <w:rPr/>
      </w:pPr>
      <w:r w:rsidDel="00000000" w:rsidR="00000000" w:rsidRPr="00000000">
        <w:rPr>
          <w:rtl w:val="0"/>
        </w:rPr>
        <w:t xml:space="preserve">The tax planning must be transparent and within the law. Royalties to brand, management fees, intercompany finance and others should be based on the principle of arm-length, which is found in the OECD transfer-pricing principles (OECD, 2022). It is ever more significant since the use of country-by-country data by authorities to analyze multinational effective tax rates is used (OECD, 2024b). The artificiality of tax structures can result in a temporary cut, at the cost of exposing Hyatt to fines and containing reputational harm.</w:t>
      </w:r>
    </w:p>
    <w:p w:rsidR="00000000" w:rsidDel="00000000" w:rsidP="00000000" w:rsidRDefault="00000000" w:rsidRPr="00000000" w14:paraId="00000074">
      <w:pPr>
        <w:rPr/>
      </w:pPr>
      <w:r w:rsidDel="00000000" w:rsidR="00000000" w:rsidRPr="00000000">
        <w:rPr>
          <w:rtl w:val="0"/>
        </w:rPr>
        <w:t xml:space="preserve">Other areas of divestment should also involve employee consultation, fair treatment and the environmental standards which should be maintained. ESG cannot be used as a mere marketing. There is an indication that ESG commitment has the potential to enhance resilience of the hotel in case of a crisis (Chen, Su and Chen, 2022), whereas the right mixes of product quality, communication and environmental protection enables recovery (Wu, Li and Yang, 2023). Recent evidence of the hospitality industry around the globe also relates ESG ratings to financial performance (Lu et al., 2025). Responsibilities to labour, safety, data protection, and the environment ought to be maintained in sale agreements.</w:t>
      </w:r>
    </w:p>
    <w:p w:rsidR="00000000" w:rsidDel="00000000" w:rsidP="00000000" w:rsidRDefault="00000000" w:rsidRPr="00000000" w14:paraId="00000075">
      <w:pPr>
        <w:pStyle w:val="Heading1"/>
        <w:rPr/>
      </w:pPr>
      <w:bookmarkStart w:colFirst="0" w:colLast="0" w:name="_t7qg0o8cb10m" w:id="16"/>
      <w:bookmarkEnd w:id="16"/>
      <w:r w:rsidDel="00000000" w:rsidR="00000000" w:rsidRPr="00000000">
        <w:rPr>
          <w:rtl w:val="0"/>
        </w:rPr>
        <w:t xml:space="preserve">4. Investment appraisal [Refer to Appendix 2]</w:t>
      </w:r>
    </w:p>
    <w:p w:rsidR="00000000" w:rsidDel="00000000" w:rsidP="00000000" w:rsidRDefault="00000000" w:rsidRPr="00000000" w14:paraId="00000076">
      <w:pPr>
        <w:pStyle w:val="Heading2"/>
        <w:rPr/>
      </w:pPr>
      <w:bookmarkStart w:colFirst="0" w:colLast="0" w:name="_s9kuiz5gk1x6" w:id="17"/>
      <w:bookmarkEnd w:id="17"/>
      <w:r w:rsidDel="00000000" w:rsidR="00000000" w:rsidRPr="00000000">
        <w:rPr>
          <w:rtl w:val="0"/>
        </w:rPr>
        <w:t xml:space="preserve">4.1 Method and assumptions</w:t>
      </w:r>
    </w:p>
    <w:p w:rsidR="00000000" w:rsidDel="00000000" w:rsidP="00000000" w:rsidRDefault="00000000" w:rsidRPr="00000000" w14:paraId="00000077">
      <w:pPr>
        <w:rPr/>
      </w:pPr>
      <w:r w:rsidDel="00000000" w:rsidR="00000000" w:rsidRPr="00000000">
        <w:rPr>
          <w:rtl w:val="0"/>
        </w:rPr>
        <w:t xml:space="preserve">The investment per project is £50 million and the life of the project is five years. Cash flows will be at end of every year, required rate is 8 percent, residual value is 0 and straight-line depreciation will be 10 million pounds/year. Applications include payback period, accounting rate of return, net present value, profitability index and internal rate of return [</w:t>
      </w:r>
      <w:r w:rsidDel="00000000" w:rsidR="00000000" w:rsidRPr="00000000">
        <w:rPr>
          <w:b w:val="1"/>
          <w:bCs w:val="1"/>
          <w:i w:val="1"/>
          <w:iCs w:val="1"/>
          <w:rtl w:val="0"/>
        </w:rPr>
        <w:t xml:space="preserve">Refer to Appendix 2</w:t>
      </w:r>
      <w:r w:rsidDel="00000000" w:rsidR="00000000" w:rsidRPr="00000000">
        <w:rPr>
          <w:rtl w:val="0"/>
        </w:rPr>
        <w:t xml:space="preserve">].</w:t>
      </w:r>
    </w:p>
    <w:p w:rsidR="00000000" w:rsidDel="00000000" w:rsidP="00000000" w:rsidRDefault="00000000" w:rsidRPr="00000000" w14:paraId="00000078">
      <w:pPr>
        <w:rPr/>
      </w:pPr>
      <w:r w:rsidDel="00000000" w:rsidR="00000000" w:rsidRPr="00000000">
        <w:rPr>
          <w:rtl w:val="0"/>
        </w:rPr>
        <w:t xml:space="preserve">The most important decision rule is NPV since it directly calculates the value created after considering the required return. IRR and PI are measures of percentage and capital-efficiency. Payback is an indicator of liquidity exposure whereas ARR is an accounting view. Such techniques could assign different priorities to various projects and part of them are not very reliable when cash-flow is unusual (Sokolov, 2024). Business-practice research also discovers that even when NPV is preferable, payback is often used as a supportive metric by companies (Mota and Moreira, 2023).</w:t>
      </w:r>
    </w:p>
    <w:p w:rsidR="00000000" w:rsidDel="00000000" w:rsidP="00000000" w:rsidRDefault="00000000" w:rsidRPr="00000000" w14:paraId="00000079">
      <w:pPr>
        <w:rPr/>
      </w:pPr>
      <w:r w:rsidDel="00000000" w:rsidR="00000000" w:rsidRPr="00000000">
        <w:rPr>
          <w:rtl w:val="0"/>
        </w:rPr>
        <w:t xml:space="preserve">The cumulative undiscounted inflows to recover the investment of the £50 million are payback. ARR involves average annual accounting profit/dividend of the £25 million average investment. Annual accounting profit = annual cash flow and less 10 million depreciation. The NPV discounts all cash flows at 8 percent and deducts UK50 million. PI equals the present value of inflows divided by the value of £50 million and IRR is the discount rate that gives a zero NPV.</w:t>
      </w:r>
    </w:p>
    <w:p w:rsidR="00000000" w:rsidDel="00000000" w:rsidP="00000000" w:rsidRDefault="00000000" w:rsidRPr="00000000" w14:paraId="0000007A">
      <w:pPr>
        <w:pStyle w:val="Heading2"/>
        <w:rPr/>
      </w:pPr>
      <w:bookmarkStart w:colFirst="0" w:colLast="0" w:name="_thrsk2nwk5c8" w:id="18"/>
      <w:bookmarkEnd w:id="18"/>
      <w:r w:rsidDel="00000000" w:rsidR="00000000" w:rsidRPr="00000000">
        <w:rPr>
          <w:rtl w:val="0"/>
        </w:rPr>
        <w:t xml:space="preserve">4.2 Project results</w:t>
      </w:r>
    </w:p>
    <w:p w:rsidR="00000000" w:rsidDel="00000000" w:rsidP="00000000" w:rsidRDefault="00000000" w:rsidRPr="00000000" w14:paraId="0000007B">
      <w:pPr>
        <w:jc w:val="center"/>
        <w:rPr/>
      </w:pPr>
      <w:r w:rsidDel="00000000" w:rsidR="00000000" w:rsidRPr="00000000">
        <w:rPr/>
        <w:drawing>
          <wp:inline distB="114300" distT="114300" distL="114300" distR="114300">
            <wp:extent cx="5943600" cy="901700"/>
            <wp:effectExtent b="0" l="0" r="0" t="0"/>
            <wp:docPr id="12"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943600" cy="9017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jc w:val="center"/>
        <w:rPr>
          <w:b w:val="1"/>
          <w:bCs w:val="1"/>
        </w:rPr>
      </w:pPr>
      <w:r w:rsidDel="00000000" w:rsidR="00000000" w:rsidRPr="00000000">
        <w:rPr>
          <w:b w:val="1"/>
          <w:bCs w:val="1"/>
          <w:rtl w:val="0"/>
        </w:rPr>
        <w:t xml:space="preserve">Table 4: Project Results </w:t>
      </w:r>
    </w:p>
    <w:p w:rsidR="00000000" w:rsidDel="00000000" w:rsidP="00000000" w:rsidRDefault="00000000" w:rsidRPr="00000000" w14:paraId="0000007D">
      <w:pPr>
        <w:jc w:val="center"/>
        <w:rPr/>
      </w:pPr>
      <w:r w:rsidDel="00000000" w:rsidR="00000000" w:rsidRPr="00000000">
        <w:rPr>
          <w:rtl w:val="0"/>
        </w:rPr>
        <w:t xml:space="preserve">(Source: Self-developed using MS Excel)</w:t>
      </w:r>
    </w:p>
    <w:p w:rsidR="00000000" w:rsidDel="00000000" w:rsidP="00000000" w:rsidRDefault="00000000" w:rsidRPr="00000000" w14:paraId="0000007E">
      <w:pPr>
        <w:rPr/>
      </w:pPr>
      <w:r w:rsidDel="00000000" w:rsidR="00000000" w:rsidRPr="00000000">
        <w:rPr>
          <w:rtl w:val="0"/>
        </w:rPr>
        <w:t xml:space="preserve">Table 4 states that Project A has inflows of 10m, 12m, 14m, 10m and 8m. Payback is 4.50 years, and ARR is 3.20%. The present value of inflows is £43.455941 million, producing an NPV of –£6.544059 million and PI of 0.869119. IRR is 2.721968%. Every discounted measure is less than the 8% requirement, which means that Project A must be rejected.</w:t>
      </w:r>
    </w:p>
    <w:p w:rsidR="00000000" w:rsidDel="00000000" w:rsidP="00000000" w:rsidRDefault="00000000" w:rsidRPr="00000000" w14:paraId="0000007F">
      <w:pPr>
        <w:rPr/>
      </w:pPr>
      <w:r w:rsidDel="00000000" w:rsidR="00000000" w:rsidRPr="00000000">
        <w:rPr>
          <w:rtl w:val="0"/>
        </w:rPr>
        <w:t xml:space="preserve">Project B is earning a yearly income of £11million. Payback is 4.545455 years and ARR is 4.00%. The present value of inflows is £43.919810 million, producing an NPV of –£6.080190 million, PI of 0.878396 and IRR of 3.263496%. Project B would be a little more superior to Project A in the discounted measures but would also be value destroying. It must be rejected as well.</w:t>
      </w:r>
    </w:p>
    <w:p w:rsidR="00000000" w:rsidDel="00000000" w:rsidP="00000000" w:rsidRDefault="00000000" w:rsidRPr="00000000" w14:paraId="00000080">
      <w:pPr>
        <w:rPr/>
      </w:pPr>
      <w:r w:rsidDel="00000000" w:rsidR="00000000" w:rsidRPr="00000000">
        <w:rPr>
          <w:rtl w:val="0"/>
        </w:rPr>
        <w:t xml:space="preserve">Project C will create 5 million, 10 million, 20 million, 25 million and 5 million. Payback is 3.60 years and ARR is 12.00%. The present value of inflows is £50.858325 million, producing an NPV of £0.858325 million, PI of 1.017166 and IRR of 8.586756%. Project C is the only proposal which satisfies NPV and IRR conditions and the payback period is the shortest. It ought to be accepted.</w:t>
      </w:r>
    </w:p>
    <w:p w:rsidR="00000000" w:rsidDel="00000000" w:rsidP="00000000" w:rsidRDefault="00000000" w:rsidRPr="00000000" w14:paraId="00000081">
      <w:pPr>
        <w:rPr/>
      </w:pPr>
      <w:r w:rsidDel="00000000" w:rsidR="00000000" w:rsidRPr="00000000">
        <w:rPr>
          <w:rtl w:val="0"/>
        </w:rPr>
        <w:t xml:space="preserve">The ranking is congruent between the appraisal measures. Project C tops in terms of NPV, PI, IRR, ARR and payback. Projects A and B are evidence that a single method is not to be employed. Project C pays back a little quicker since more cash is received sooner, whereas B has the lower NPV since the sum of its inflows is greater. The difference does not alter the choice since the two projects offer returns which are lower than the required rate. ARR is unable to override NPV as it disregards discounting and the accounting profit as opposed to cash value.</w:t>
      </w:r>
    </w:p>
    <w:p w:rsidR="00000000" w:rsidDel="00000000" w:rsidP="00000000" w:rsidRDefault="00000000" w:rsidRPr="00000000" w14:paraId="00000082">
      <w:pPr>
        <w:pStyle w:val="Heading2"/>
        <w:rPr/>
      </w:pPr>
      <w:bookmarkStart w:colFirst="0" w:colLast="0" w:name="_a8t11upqw7z2" w:id="19"/>
      <w:bookmarkEnd w:id="19"/>
      <w:r w:rsidDel="00000000" w:rsidR="00000000" w:rsidRPr="00000000">
        <w:rPr>
          <w:rtl w:val="0"/>
        </w:rPr>
        <w:t xml:space="preserve">4.3 Recommendation and non-financial risks</w:t>
      </w:r>
    </w:p>
    <w:p w:rsidR="00000000" w:rsidDel="00000000" w:rsidP="00000000" w:rsidRDefault="00000000" w:rsidRPr="00000000" w14:paraId="00000083">
      <w:pPr>
        <w:rPr/>
      </w:pPr>
      <w:r w:rsidDel="00000000" w:rsidR="00000000" w:rsidRPr="00000000">
        <w:rPr>
          <w:rtl w:val="0"/>
        </w:rPr>
        <w:t xml:space="preserve">Project C is a project that fits within the financial capabilities of Hyatt since it generates value without consuming the entire capital budget provided. Its NPV margin is however just at 0.858325 million or 1.72% of the initial investment. Relatively high cost overrun, reduction in delay or demand may cause its NPV to become negative. Strategic fit has to be verified and sensitivity analysis has to be done by the management before any approval.</w:t>
      </w:r>
    </w:p>
    <w:p w:rsidR="00000000" w:rsidDel="00000000" w:rsidP="00000000" w:rsidRDefault="00000000" w:rsidRPr="00000000" w14:paraId="00000084">
      <w:pPr>
        <w:rPr/>
      </w:pPr>
      <w:r w:rsidDel="00000000" w:rsidR="00000000" w:rsidRPr="00000000">
        <w:rPr>
          <w:rtl w:val="0"/>
        </w:rPr>
        <w:t xml:space="preserve">Assuming that the entire inflows of Project C were some 1.69% less, they would decrease in present value by the entire margin of £0.858325 million and NPV would reduce to zero. The same would happen at an instant cost overrun greater than £0.858325 million without a change in the cash inflows. The project is thus viable but weak in finances.</w:t>
      </w:r>
    </w:p>
    <w:p w:rsidR="00000000" w:rsidDel="00000000" w:rsidP="00000000" w:rsidRDefault="00000000" w:rsidRPr="00000000" w14:paraId="00000085">
      <w:pPr>
        <w:rPr/>
      </w:pPr>
      <w:r w:rsidDel="00000000" w:rsidR="00000000" w:rsidRPr="00000000">
        <w:rPr>
          <w:rtl w:val="0"/>
        </w:rPr>
        <w:t xml:space="preserve">Staged approval should be done with the contractual cost limits with stop/go reviews preceding major commitments. A delay of one year also needs to be considered since the back-loaded receipts of the £20 million and the £25 million will play a pivotal role in the positive outturn.</w:t>
      </w:r>
    </w:p>
    <w:p w:rsidR="00000000" w:rsidDel="00000000" w:rsidP="00000000" w:rsidRDefault="00000000" w:rsidRPr="00000000" w14:paraId="00000086">
      <w:pPr>
        <w:rPr/>
      </w:pPr>
      <w:r w:rsidDel="00000000" w:rsidR="00000000" w:rsidRPr="00000000">
        <w:rPr>
          <w:rtl w:val="0"/>
        </w:rPr>
        <w:t xml:space="preserve">The project ought to enhance recurring fees incomes or the efficiency of businesses instead of relying on property-sales income. It must safeguard brand integrity, internet security, data and customer service reliability. Whenever feasible, sustainability costs and benefits should be part of the financial cash flows. Long-term-value finance aids in integrating environmental and social impacts into capital-budgeting choices (Schoenmaker and Schramade, 2023).</w:t>
      </w:r>
    </w:p>
    <w:p w:rsidR="00000000" w:rsidDel="00000000" w:rsidP="00000000" w:rsidRDefault="00000000" w:rsidRPr="00000000" w14:paraId="00000087">
      <w:pPr>
        <w:rPr/>
      </w:pPr>
      <w:r w:rsidDel="00000000" w:rsidR="00000000" w:rsidRPr="00000000">
        <w:rPr>
          <w:rtl w:val="0"/>
        </w:rPr>
        <w:t xml:space="preserve">Hyatt ought to evaluate energy and water usage, domestic job creation, accessibility, supplier guidelines and communal impacts. It must also put in place responsible accountability of the project ownership, milestones and a post-investment review.</w:t>
      </w:r>
    </w:p>
    <w:p w:rsidR="00000000" w:rsidDel="00000000" w:rsidP="00000000" w:rsidRDefault="00000000" w:rsidRPr="00000000" w14:paraId="00000088">
      <w:pPr>
        <w:rPr/>
      </w:pPr>
      <w:r w:rsidDel="00000000" w:rsidR="00000000" w:rsidRPr="00000000">
        <w:rPr>
          <w:rtl w:val="0"/>
        </w:rPr>
        <w:t xml:space="preserve">Flexibility risks are commercial risks such as seasonal demand, competitors and the risk of the project shifting existing revenue instead of generating new revenue. Operational risks are: Staff capability, System integration, Construction disruption and third party reliance. There are also risks of currency, licensing, political and profit repatriation for an international project. These risks ought to be graded, provided to designated owners and backed by costed mitigation measures. Before the cash-flow forecast is finalized, it should have the necessary expenditure in mitigation.</w:t>
      </w:r>
    </w:p>
    <w:p w:rsidR="00000000" w:rsidDel="00000000" w:rsidP="00000000" w:rsidRDefault="00000000" w:rsidRPr="00000000" w14:paraId="00000089">
      <w:pPr>
        <w:rPr/>
      </w:pPr>
      <w:r w:rsidDel="00000000" w:rsidR="00000000" w:rsidRPr="00000000">
        <w:rPr>
          <w:rtl w:val="0"/>
        </w:rPr>
        <w:t xml:space="preserve">There are limitations to the appraisal. Other factors not included are taxation, inflation, working-capital changes, terminal value and financing factors as this data was not provided. ARR relies on accounting profit whereas payback does not take into consideration the cash flows beyond recovery date and time value of money. The recommendation is thus subject to a condition of validating the original cash-flow assumptions.</w:t>
      </w:r>
    </w:p>
    <w:p w:rsidR="00000000" w:rsidDel="00000000" w:rsidP="00000000" w:rsidRDefault="00000000" w:rsidRPr="00000000" w14:paraId="0000008A">
      <w:pPr>
        <w:pStyle w:val="Heading2"/>
        <w:rPr/>
      </w:pPr>
      <w:bookmarkStart w:colFirst="0" w:colLast="0" w:name="_dlp9uvk2b06k" w:id="20"/>
      <w:bookmarkEnd w:id="20"/>
      <w:r w:rsidDel="00000000" w:rsidR="00000000" w:rsidRPr="00000000">
        <w:rPr>
          <w:rtl w:val="0"/>
        </w:rPr>
        <w:t xml:space="preserve">4.4 Capital rationing</w:t>
      </w:r>
    </w:p>
    <w:p w:rsidR="00000000" w:rsidDel="00000000" w:rsidP="00000000" w:rsidRDefault="00000000" w:rsidRPr="00000000" w14:paraId="0000008B">
      <w:pPr>
        <w:rPr/>
      </w:pPr>
      <w:r w:rsidDel="00000000" w:rsidR="00000000" w:rsidRPr="00000000">
        <w:rPr>
          <w:rtl w:val="0"/>
        </w:rPr>
        <w:t xml:space="preserve">Hyatt had a capital limit of less than 100 million pounds in which it could choose up to two projects. The total amount of Project A and B projects amounts to 100 million pounds and yields a combined NPV of -12.624249 million pounds. The NPV of Project A and C give a combined NPV of -5.685734 million and B and C give -5.221865 million respectively.</w:t>
      </w:r>
    </w:p>
    <w:p w:rsidR="00000000" w:rsidDel="00000000" w:rsidP="00000000" w:rsidRDefault="00000000" w:rsidRPr="00000000" w14:paraId="0000008C">
      <w:pPr>
        <w:rPr/>
      </w:pPr>
      <w:r w:rsidDel="00000000" w:rsidR="00000000" w:rsidRPr="00000000">
        <w:rPr>
          <w:rtl w:val="0"/>
        </w:rPr>
        <w:t xml:space="preserve">Though B and C are the least destructive two project combination, it would still annihilate shareholder value. Capital rationing does not establish a necessity to utilize the whole budget. The Project C that Hyatt should choose is alone, and invests £50 million and keep the rest of the money liquid or to reduce debt or to have a positive-NPV opportunity in the future.</w:t>
      </w:r>
    </w:p>
    <w:p w:rsidR="00000000" w:rsidDel="00000000" w:rsidP="00000000" w:rsidRDefault="00000000" w:rsidRPr="00000000" w14:paraId="0000008D">
      <w:pPr>
        <w:pStyle w:val="Heading1"/>
        <w:rPr/>
      </w:pPr>
      <w:bookmarkStart w:colFirst="0" w:colLast="0" w:name="_s6n6updgggh9" w:id="21"/>
      <w:bookmarkEnd w:id="21"/>
      <w:r w:rsidDel="00000000" w:rsidR="00000000" w:rsidRPr="00000000">
        <w:rPr>
          <w:rtl w:val="0"/>
        </w:rPr>
        <w:t xml:space="preserve">5. Reflective thinking on the application of artificial intelligence</w:t>
      </w:r>
    </w:p>
    <w:p w:rsidR="00000000" w:rsidDel="00000000" w:rsidP="00000000" w:rsidRDefault="00000000" w:rsidRPr="00000000" w14:paraId="0000008E">
      <w:pPr>
        <w:rPr/>
      </w:pPr>
      <w:r w:rsidDel="00000000" w:rsidR="00000000" w:rsidRPr="00000000">
        <w:rPr>
          <w:rtl w:val="0"/>
        </w:rPr>
        <w:t xml:space="preserve">The use of generative AI was confined to an auxiliary language-checker. It was meant to distinguish grammatical and stylistic mistakes, ambiguity, and awkward sentences and variations in scholarly mannerisms. It was not utilised to prepare the financial analysis, perform the calculation of the ratios, choose investment projects or recommend. The report was still based on the Hyatt annual reports, the workbook prepared by hand in Excel and my personal opinion.</w:t>
      </w:r>
    </w:p>
    <w:p w:rsidR="00000000" w:rsidDel="00000000" w:rsidP="00000000" w:rsidRDefault="00000000" w:rsidRPr="00000000" w14:paraId="0000008F">
      <w:pPr>
        <w:rPr/>
      </w:pPr>
      <w:r w:rsidDel="00000000" w:rsidR="00000000" w:rsidRPr="00000000">
        <w:rPr>
          <w:rtl w:val="0"/>
        </w:rPr>
        <w:t xml:space="preserve">The primary advantage of AI was that it was able to point out difficult-to-comprehend sentences very fast. This was especially handy as it enhanced the transition between the financial health, working capital, restructuring and investment appraisal parts. The suggestions made by generative AI did not automatically pass the test, although it was capable of processing and summarising financial information (Lee et al., 2024). All proposed corrections were examined in such a way that they did not alter the interpretation of the financial evidence.</w:t>
      </w:r>
    </w:p>
    <w:p w:rsidR="00000000" w:rsidDel="00000000" w:rsidP="00000000" w:rsidRDefault="00000000" w:rsidRPr="00000000" w14:paraId="00000090">
      <w:pPr>
        <w:rPr/>
      </w:pPr>
      <w:r w:rsidDel="00000000" w:rsidR="00000000" w:rsidRPr="00000000">
        <w:rPr>
          <w:rtl w:val="0"/>
        </w:rPr>
        <w:t xml:space="preserve">The AI was less accurate with sentences including accounting terms or precise numbers. Indicatively, an instance where a sentence is articulated through a language correction would result in a change in the difference between reported profit and recurrent operating performance. Thus, the revised wording was juxtaposed with the initial financial reports and workbook. The annual-report years, the precise ratio results, the project values and the variance between the printed and PDF page numbering were paid special attention.</w:t>
      </w:r>
    </w:p>
    <w:p w:rsidR="00000000" w:rsidDel="00000000" w:rsidP="00000000" w:rsidRDefault="00000000" w:rsidRPr="00000000" w14:paraId="00000091">
      <w:pPr>
        <w:rPr/>
      </w:pPr>
      <w:r w:rsidDel="00000000" w:rsidR="00000000" w:rsidRPr="00000000">
        <w:rPr>
          <w:rtl w:val="0"/>
        </w:rPr>
        <w:t xml:space="preserve">None of the personal, confidential or unpublished company information was inputted into the AI tool. Its application is revealed as a means of academic transparency and to prevent misrepresentation of the authorship. Privacy, accountability, transparency, bias and professional judgement are some of the critical issues associated with the use of AI in accounting research (Fülöp et al., 2023). The literature on AI governance suggests implementing technical controls alongside organisational review and human supervision as well (Mokoander, 2023; KPMG, 2024).</w:t>
      </w:r>
    </w:p>
    <w:p w:rsidR="00000000" w:rsidDel="00000000" w:rsidP="00000000" w:rsidRDefault="00000000" w:rsidRPr="00000000" w14:paraId="00000092">
      <w:pPr>
        <w:rPr/>
      </w:pPr>
      <w:r w:rsidDel="00000000" w:rsidR="00000000" w:rsidRPr="00000000">
        <w:rPr>
          <w:rtl w:val="0"/>
        </w:rPr>
        <w:t xml:space="preserve">The financial interpretation and critical judgement were my valuable contribution. This involved identifying that Hyatt was highly dependent on disposal gains with the improvement of its 2024 profitability, assessing the negative working capital in the Hyatt asset-light business model, and recommending selective divestiture and the rejection of Projects A and B, although the unused capital. The AI enhanced the grammar and clarity but the analysis, evidence and conclusions were all left up to me.</w:t>
      </w:r>
    </w:p>
    <w:p w:rsidR="00000000" w:rsidDel="00000000" w:rsidP="00000000" w:rsidRDefault="00000000" w:rsidRPr="00000000" w14:paraId="00000093">
      <w:pPr>
        <w:pStyle w:val="Heading1"/>
        <w:rPr/>
      </w:pPr>
      <w:bookmarkStart w:colFirst="0" w:colLast="0" w:name="_i6bvtyl4y4bk" w:id="22"/>
      <w:bookmarkEnd w:id="22"/>
      <w:r w:rsidDel="00000000" w:rsidR="00000000" w:rsidRPr="00000000">
        <w:rPr>
          <w:rtl w:val="0"/>
        </w:rPr>
        <w:t xml:space="preserve">Conclusion</w:t>
      </w:r>
    </w:p>
    <w:p w:rsidR="00000000" w:rsidDel="00000000" w:rsidP="00000000" w:rsidRDefault="00000000" w:rsidRPr="00000000" w14:paraId="00000094">
      <w:pPr>
        <w:rPr/>
      </w:pPr>
      <w:r w:rsidDel="00000000" w:rsidR="00000000" w:rsidRPr="00000000">
        <w:rPr>
          <w:rtl w:val="0"/>
        </w:rPr>
        <w:t xml:space="preserve">Hyatt came out of the pandemic with a bang and finished 2024 with increased cash, stronger liquidity ratios, positive and more productive operating cash flow, as well as a more productive asset base. However, there was a significant impact on the headline profit in terms of disposal gains, the pace of recovery of receivables was slow and the leverage was raised. The urgent task must be to enhance the repeat cash conversion and selective application of the proceeds of the disposals to debt and strategic investment.</w:t>
      </w:r>
    </w:p>
    <w:p w:rsidR="00000000" w:rsidDel="00000000" w:rsidP="00000000" w:rsidRDefault="00000000" w:rsidRPr="00000000" w14:paraId="00000095">
      <w:pPr>
        <w:rPr/>
      </w:pPr>
      <w:r w:rsidDel="00000000" w:rsidR="00000000" w:rsidRPr="00000000">
        <w:rPr>
          <w:rtl w:val="0"/>
        </w:rPr>
        <w:t xml:space="preserve">It is better to have a controlled asset-light divestiture as opposed to a merger or broader equity issue, so long as Hyatt safeguards its brand, its staff, tax liability and its environmental, social and responsibility (ESR) obligations. Project C is the only project that generates value of shareholders under the investment appraisal. Instead of funding negative-NPV projects, Hyatt should just take it and keep the unused capital.</w:t>
      </w:r>
    </w:p>
    <w:p w:rsidR="00000000" w:rsidDel="00000000" w:rsidP="00000000" w:rsidRDefault="00000000" w:rsidRPr="00000000" w14:paraId="00000096">
      <w:pPr>
        <w:rPr/>
      </w:pPr>
      <w:r w:rsidDel="00000000" w:rsidR="00000000" w:rsidRPr="00000000">
        <w:br w:type="page"/>
      </w:r>
      <w:r w:rsidDel="00000000" w:rsidR="00000000" w:rsidRPr="00000000">
        <w:rPr>
          <w:rtl w:val="0"/>
        </w:rPr>
      </w:r>
    </w:p>
    <w:p w:rsidR="00000000" w:rsidDel="00000000" w:rsidP="00000000" w:rsidRDefault="00000000" w:rsidRPr="00000000" w14:paraId="00000097">
      <w:pPr>
        <w:rPr>
          <w:b w:val="1"/>
          <w:bCs w:val="1"/>
        </w:rPr>
      </w:pPr>
      <w:r w:rsidDel="00000000" w:rsidR="00000000" w:rsidRPr="00000000">
        <w:rPr>
          <w:b w:val="1"/>
          <w:bCs w:val="1"/>
          <w:rtl w:val="0"/>
        </w:rPr>
        <w:t xml:space="preserve">References</w:t>
      </w:r>
    </w:p>
    <w:p w:rsidR="00000000" w:rsidDel="00000000" w:rsidP="00000000" w:rsidRDefault="00000000" w:rsidRPr="00000000" w14:paraId="00000098">
      <w:pPr>
        <w:spacing w:after="160" w:before="0" w:lineRule="auto"/>
        <w:rPr/>
      </w:pPr>
      <w:r w:rsidDel="00000000" w:rsidR="00000000" w:rsidRPr="00000000">
        <w:rPr>
          <w:rtl w:val="0"/>
        </w:rPr>
        <w:t xml:space="preserve">‌AHLA.com. (2024). </w:t>
      </w:r>
      <w:r w:rsidDel="00000000" w:rsidR="00000000" w:rsidRPr="00000000">
        <w:rPr>
          <w:i w:val="1"/>
          <w:iCs w:val="1"/>
          <w:rtl w:val="0"/>
        </w:rPr>
        <w:t xml:space="preserve">Beyond Recovery: The American Hotel &amp; Lodging Association 2024 State of the Industry Report</w:t>
      </w:r>
      <w:r w:rsidDel="00000000" w:rsidR="00000000" w:rsidRPr="00000000">
        <w:rPr>
          <w:rtl w:val="0"/>
        </w:rPr>
        <w:t xml:space="preserve">. [online]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https://www.ahla.com/resource/beyond-recovery-american-hotel-lodging-association-2024-state-industry-report</w:t>
        </w:r>
      </w:hyperlink>
      <w:r w:rsidDel="00000000" w:rsidR="00000000" w:rsidRPr="00000000">
        <w:rPr>
          <w:rtl w:val="0"/>
        </w:rPr>
        <w:t xml:space="preserve"> [Accessed 11 Aug. 2026].</w:t>
      </w:r>
    </w:p>
    <w:p w:rsidR="00000000" w:rsidDel="00000000" w:rsidP="00000000" w:rsidRDefault="00000000" w:rsidRPr="00000000" w14:paraId="00000099">
      <w:pPr>
        <w:spacing w:after="160" w:before="0" w:lineRule="auto"/>
        <w:rPr>
          <w:color w:val="1155cc"/>
          <w:u w:val="single"/>
        </w:rPr>
      </w:pPr>
      <w:r w:rsidDel="00000000" w:rsidR="00000000" w:rsidRPr="00000000">
        <w:rPr>
          <w:rtl w:val="0"/>
        </w:rPr>
        <w:t xml:space="preserve">Alola, U.V., Usman, O. and Alola, A.A., 2023. Is pass-through of the exchange rate to restaurant and hotel prices asymmetric in the US? Role of monetary policy uncertainty. </w:t>
      </w:r>
      <w:r w:rsidDel="00000000" w:rsidR="00000000" w:rsidRPr="00000000">
        <w:rPr>
          <w:i w:val="1"/>
          <w:iCs w:val="1"/>
          <w:rtl w:val="0"/>
        </w:rPr>
        <w:t xml:space="preserve">Financial Innovation</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(1), p.18.</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https://doi.org/10.1186/s40854-022-00425-7</w:t>
        </w:r>
      </w:hyperlink>
      <w:r w:rsidDel="00000000" w:rsidR="00000000" w:rsidRPr="00000000">
        <w:rPr>
          <w:rtl w:val="0"/>
        </w:rPr>
      </w:r>
    </w:p>
    <w:p w:rsidR="00000000" w:rsidDel="00000000" w:rsidP="00000000" w:rsidRDefault="00000000" w:rsidRPr="00000000" w14:paraId="0000009A">
      <w:pPr>
        <w:spacing w:after="160" w:before="0" w:lineRule="auto"/>
        <w:rPr>
          <w:color w:val="1155cc"/>
          <w:u w:val="single"/>
        </w:rPr>
      </w:pPr>
      <w:r w:rsidDel="00000000" w:rsidR="00000000" w:rsidRPr="00000000">
        <w:rPr>
          <w:rtl w:val="0"/>
        </w:rPr>
        <w:t xml:space="preserve">Asgeirsson, M.H., Gudlaugsson, T. and Jóhannesson, G.T., 2024. The relationships between service quality, reputation, and performance in hospitality. </w:t>
      </w:r>
      <w:r w:rsidDel="00000000" w:rsidR="00000000" w:rsidRPr="00000000">
        <w:rPr>
          <w:i w:val="1"/>
          <w:iCs w:val="1"/>
          <w:rtl w:val="0"/>
        </w:rPr>
        <w:t xml:space="preserve">Tourism and Hospitality</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(3), pp.736-752.</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https://doi.org/10.3390/tourhosp5030043</w:t>
        </w:r>
      </w:hyperlink>
      <w:r w:rsidDel="00000000" w:rsidR="00000000" w:rsidRPr="00000000">
        <w:rPr>
          <w:rtl w:val="0"/>
        </w:rPr>
      </w:r>
    </w:p>
    <w:p w:rsidR="00000000" w:rsidDel="00000000" w:rsidP="00000000" w:rsidRDefault="00000000" w:rsidRPr="00000000" w14:paraId="0000009B">
      <w:pPr>
        <w:spacing w:after="160" w:before="0" w:lineRule="auto"/>
        <w:rPr>
          <w:color w:val="1155cc"/>
          <w:u w:val="single"/>
        </w:rPr>
      </w:pPr>
      <w:r w:rsidDel="00000000" w:rsidR="00000000" w:rsidRPr="00000000">
        <w:rPr>
          <w:rtl w:val="0"/>
        </w:rPr>
        <w:t xml:space="preserve">Ashraf, S., Sarhan, A.A., de Almeida, A.M.M. and Teles, S., 2025. Capital structure of hospitality and tourism-related firms: Unveiling the impact of COVID-19 pandemic on European firms with different size and ownership structure. </w:t>
      </w:r>
      <w:r w:rsidDel="00000000" w:rsidR="00000000" w:rsidRPr="00000000">
        <w:rPr>
          <w:i w:val="1"/>
          <w:iCs w:val="1"/>
          <w:rtl w:val="0"/>
        </w:rPr>
        <w:t xml:space="preserve">International Journal of Hospitality Management</w:t>
      </w:r>
      <w:r w:rsidDel="00000000" w:rsidR="00000000" w:rsidRPr="00000000">
        <w:rPr>
          <w:rtl w:val="0"/>
        </w:rPr>
        <w:t xml:space="preserve">, </w:t>
      </w:r>
      <w:r w:rsidDel="00000000" w:rsidR="00000000" w:rsidRPr="00000000">
        <w:rPr>
          <w:i w:val="1"/>
          <w:iCs w:val="1"/>
          <w:rtl w:val="0"/>
        </w:rPr>
        <w:t xml:space="preserve">126</w:t>
      </w:r>
      <w:r w:rsidDel="00000000" w:rsidR="00000000" w:rsidRPr="00000000">
        <w:rPr>
          <w:rtl w:val="0"/>
        </w:rPr>
        <w:t xml:space="preserve">, p.104067.</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https://doi.org/10.1016/j.ijhm.2024.104067</w:t>
        </w:r>
      </w:hyperlink>
      <w:r w:rsidDel="00000000" w:rsidR="00000000" w:rsidRPr="00000000">
        <w:rPr>
          <w:rtl w:val="0"/>
        </w:rPr>
      </w:r>
    </w:p>
    <w:p w:rsidR="00000000" w:rsidDel="00000000" w:rsidP="00000000" w:rsidRDefault="00000000" w:rsidRPr="00000000" w14:paraId="0000009C">
      <w:pPr>
        <w:spacing w:after="160" w:before="0" w:lineRule="auto"/>
        <w:rPr>
          <w:color w:val="1155cc"/>
          <w:u w:val="single"/>
        </w:rPr>
      </w:pPr>
      <w:r w:rsidDel="00000000" w:rsidR="00000000" w:rsidRPr="00000000">
        <w:rPr>
          <w:rtl w:val="0"/>
        </w:rPr>
        <w:t xml:space="preserve">Asman, F.N., Fernandez, D., Jamaludin, N.A., Omar Zaki, H. and Ghazali, A.W., 2022. Cash conversion cycle and firm’s performance. </w:t>
      </w:r>
      <w:r w:rsidDel="00000000" w:rsidR="00000000" w:rsidRPr="00000000">
        <w:rPr>
          <w:i w:val="1"/>
          <w:iCs w:val="1"/>
          <w:rtl w:val="0"/>
        </w:rPr>
        <w:t xml:space="preserve">International Journal of Academic Research in Business and Social Sciences</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(11), pp.2682-2692.</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http://dx.doi.org/10.6007/IJARBSS/v12-i11/15276</w:t>
        </w:r>
      </w:hyperlink>
      <w:r w:rsidDel="00000000" w:rsidR="00000000" w:rsidRPr="00000000">
        <w:rPr>
          <w:rtl w:val="0"/>
        </w:rPr>
      </w:r>
    </w:p>
    <w:p w:rsidR="00000000" w:rsidDel="00000000" w:rsidP="00000000" w:rsidRDefault="00000000" w:rsidRPr="00000000" w14:paraId="0000009D">
      <w:pPr>
        <w:spacing w:after="160" w:before="0" w:lineRule="auto"/>
        <w:rPr>
          <w:color w:val="1155cc"/>
          <w:u w:val="single"/>
        </w:rPr>
      </w:pPr>
      <w:r w:rsidDel="00000000" w:rsidR="00000000" w:rsidRPr="00000000">
        <w:rPr>
          <w:rtl w:val="0"/>
        </w:rPr>
        <w:t xml:space="preserve">Blengini, I. and Heo, C.Y., 2024. The role of exchange rate on hotelier’s pricing decision and business performance: the case of Switzerland, a small open economy. </w:t>
      </w:r>
      <w:r w:rsidDel="00000000" w:rsidR="00000000" w:rsidRPr="00000000">
        <w:rPr>
          <w:i w:val="1"/>
          <w:iCs w:val="1"/>
          <w:rtl w:val="0"/>
        </w:rPr>
        <w:t xml:space="preserve">Journal of Revenue and Pricing Management</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(3), pp.206-216.</w:t>
      </w:r>
      <w:hyperlink r:id="rId22">
        <w:r w:rsidDel="00000000" w:rsidR="00000000" w:rsidRPr="00000000">
          <w:rPr>
            <w:rtl w:val="0"/>
          </w:rPr>
          <w:t xml:space="preserve"> </w:t>
        </w:r>
      </w:hyperlink>
      <w:hyperlink r:id="rId23">
        <w:r w:rsidDel="00000000" w:rsidR="00000000" w:rsidRPr="00000000">
          <w:rPr>
            <w:color w:val="1155cc"/>
            <w:u w:val="single"/>
            <w:rtl w:val="0"/>
          </w:rPr>
          <w:t xml:space="preserve">https://doi.org/10.1057/s41272-023-00461-7</w:t>
        </w:r>
      </w:hyperlink>
      <w:r w:rsidDel="00000000" w:rsidR="00000000" w:rsidRPr="00000000">
        <w:rPr>
          <w:rtl w:val="0"/>
        </w:rPr>
      </w:r>
    </w:p>
    <w:p w:rsidR="00000000" w:rsidDel="00000000" w:rsidP="00000000" w:rsidRDefault="00000000" w:rsidRPr="00000000" w14:paraId="0000009E">
      <w:pPr>
        <w:spacing w:after="160" w:before="0" w:lineRule="auto"/>
        <w:rPr>
          <w:color w:val="1155cc"/>
          <w:u w:val="single"/>
        </w:rPr>
      </w:pPr>
      <w:r w:rsidDel="00000000" w:rsidR="00000000" w:rsidRPr="00000000">
        <w:rPr>
          <w:rtl w:val="0"/>
        </w:rPr>
        <w:t xml:space="preserve">Chambers, N. and Cifter, A., 2022. Working capital management and firm performance in the hospitality and tourism industry. </w:t>
      </w:r>
      <w:r w:rsidDel="00000000" w:rsidR="00000000" w:rsidRPr="00000000">
        <w:rPr>
          <w:i w:val="1"/>
          <w:iCs w:val="1"/>
          <w:rtl w:val="0"/>
        </w:rPr>
        <w:t xml:space="preserve">International Journal of Hospitality Management</w:t>
      </w:r>
      <w:r w:rsidDel="00000000" w:rsidR="00000000" w:rsidRPr="00000000">
        <w:rPr>
          <w:rtl w:val="0"/>
        </w:rPr>
        <w:t xml:space="preserve">, </w:t>
      </w:r>
      <w:r w:rsidDel="00000000" w:rsidR="00000000" w:rsidRPr="00000000">
        <w:rPr>
          <w:i w:val="1"/>
          <w:iCs w:val="1"/>
          <w:rtl w:val="0"/>
        </w:rPr>
        <w:t xml:space="preserve">102</w:t>
      </w:r>
      <w:r w:rsidDel="00000000" w:rsidR="00000000" w:rsidRPr="00000000">
        <w:rPr>
          <w:rtl w:val="0"/>
        </w:rPr>
        <w:t xml:space="preserve">, p.103144.</w:t>
      </w:r>
      <w:hyperlink r:id="rId24">
        <w:r w:rsidDel="00000000" w:rsidR="00000000" w:rsidRPr="00000000">
          <w:rPr>
            <w:rtl w:val="0"/>
          </w:rPr>
          <w:t xml:space="preserve"> </w:t>
        </w:r>
      </w:hyperlink>
      <w:hyperlink r:id="rId25">
        <w:r w:rsidDel="00000000" w:rsidR="00000000" w:rsidRPr="00000000">
          <w:rPr>
            <w:color w:val="1155cc"/>
            <w:u w:val="single"/>
            <w:rtl w:val="0"/>
          </w:rPr>
          <w:t xml:space="preserve">https://doi.org/10.1016/j.ijhm.2022.103144</w:t>
        </w:r>
      </w:hyperlink>
      <w:r w:rsidDel="00000000" w:rsidR="00000000" w:rsidRPr="00000000">
        <w:rPr>
          <w:rtl w:val="0"/>
        </w:rPr>
      </w:r>
    </w:p>
    <w:p w:rsidR="00000000" w:rsidDel="00000000" w:rsidP="00000000" w:rsidRDefault="00000000" w:rsidRPr="00000000" w14:paraId="0000009F">
      <w:pPr>
        <w:spacing w:after="160" w:before="0" w:lineRule="auto"/>
        <w:rPr>
          <w:color w:val="1155cc"/>
          <w:u w:val="single"/>
        </w:rPr>
      </w:pPr>
      <w:r w:rsidDel="00000000" w:rsidR="00000000" w:rsidRPr="00000000">
        <w:rPr>
          <w:rtl w:val="0"/>
        </w:rPr>
        <w:t xml:space="preserve">Chen, C.D., Su, C.H.J. and Chen, M.H., 2022. Are ESG-committed hotels financially resilient to the COVID-19 pandemic? An autoregressive jump intensity trend model. </w:t>
      </w:r>
      <w:r w:rsidDel="00000000" w:rsidR="00000000" w:rsidRPr="00000000">
        <w:rPr>
          <w:i w:val="1"/>
          <w:iCs w:val="1"/>
          <w:rtl w:val="0"/>
        </w:rPr>
        <w:t xml:space="preserve">Tourism Management</w:t>
      </w:r>
      <w:r w:rsidDel="00000000" w:rsidR="00000000" w:rsidRPr="00000000">
        <w:rPr>
          <w:rtl w:val="0"/>
        </w:rPr>
        <w:t xml:space="preserve">, </w:t>
      </w:r>
      <w:r w:rsidDel="00000000" w:rsidR="00000000" w:rsidRPr="00000000">
        <w:rPr>
          <w:i w:val="1"/>
          <w:iCs w:val="1"/>
          <w:rtl w:val="0"/>
        </w:rPr>
        <w:t xml:space="preserve">93</w:t>
      </w:r>
      <w:r w:rsidDel="00000000" w:rsidR="00000000" w:rsidRPr="00000000">
        <w:rPr>
          <w:rtl w:val="0"/>
        </w:rPr>
        <w:t xml:space="preserve">, p.104581.</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https://doi.org/10.1016/j.tourman.2022.104581</w:t>
        </w:r>
      </w:hyperlink>
      <w:r w:rsidDel="00000000" w:rsidR="00000000" w:rsidRPr="00000000">
        <w:rPr>
          <w:rtl w:val="0"/>
        </w:rPr>
      </w:r>
    </w:p>
    <w:p w:rsidR="00000000" w:rsidDel="00000000" w:rsidP="00000000" w:rsidRDefault="00000000" w:rsidRPr="00000000" w14:paraId="000000A0">
      <w:pPr>
        <w:spacing w:after="160" w:before="0" w:lineRule="auto"/>
        <w:rPr>
          <w:color w:val="1155cc"/>
          <w:u w:val="single"/>
        </w:rPr>
      </w:pPr>
      <w:r w:rsidDel="00000000" w:rsidR="00000000" w:rsidRPr="00000000">
        <w:rPr>
          <w:rtl w:val="0"/>
        </w:rPr>
        <w:t xml:space="preserve">Dos Santos, M.C., Magano, J. and Mota, J., 2023. The impact of the Covid-19 pandemic on the hotel Industry’s economic performance: Evidence from Portugal. </w:t>
      </w:r>
      <w:r w:rsidDel="00000000" w:rsidR="00000000" w:rsidRPr="00000000">
        <w:rPr>
          <w:i w:val="1"/>
          <w:iCs w:val="1"/>
          <w:rtl w:val="0"/>
        </w:rPr>
        <w:t xml:space="preserve">Heliyon</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(5).</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https://doi.org/10.1016/j.heliyon.2023.e15850</w:t>
        </w:r>
      </w:hyperlink>
      <w:r w:rsidDel="00000000" w:rsidR="00000000" w:rsidRPr="00000000">
        <w:rPr>
          <w:rtl w:val="0"/>
        </w:rPr>
      </w:r>
    </w:p>
    <w:p w:rsidR="00000000" w:rsidDel="00000000" w:rsidP="00000000" w:rsidRDefault="00000000" w:rsidRPr="00000000" w14:paraId="000000A1">
      <w:pPr>
        <w:spacing w:after="160" w:before="0" w:lineRule="auto"/>
        <w:rPr>
          <w:color w:val="1155cc"/>
          <w:u w:val="single"/>
        </w:rPr>
      </w:pPr>
      <w:r w:rsidDel="00000000" w:rsidR="00000000" w:rsidRPr="00000000">
        <w:rPr>
          <w:rtl w:val="0"/>
        </w:rPr>
        <w:t xml:space="preserve">Fülöp, M.T., Topor, D.I., Ionescu, C.A., Cifuentes-Faura, J. and Măgdaș, N., 2023. Ethical concerns associated with artificial intelligence in the accounting profession: a curse or a blessing?. </w:t>
      </w:r>
      <w:r w:rsidDel="00000000" w:rsidR="00000000" w:rsidRPr="00000000">
        <w:rPr>
          <w:i w:val="1"/>
          <w:iCs w:val="1"/>
          <w:rtl w:val="0"/>
        </w:rPr>
        <w:t xml:space="preserve">Journal of Business Economics and Management (JBEM)</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(2), pp.387-404.</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https://doi.org/10.3846/jbem.2023.19251</w:t>
        </w:r>
      </w:hyperlink>
      <w:r w:rsidDel="00000000" w:rsidR="00000000" w:rsidRPr="00000000">
        <w:rPr>
          <w:rtl w:val="0"/>
        </w:rPr>
      </w:r>
    </w:p>
    <w:p w:rsidR="00000000" w:rsidDel="00000000" w:rsidP="00000000" w:rsidRDefault="00000000" w:rsidRPr="00000000" w14:paraId="000000A2">
      <w:pPr>
        <w:spacing w:after="160" w:before="0" w:lineRule="auto"/>
        <w:rPr/>
      </w:pPr>
      <w:r w:rsidDel="00000000" w:rsidR="00000000" w:rsidRPr="00000000">
        <w:rPr>
          <w:rtl w:val="0"/>
        </w:rPr>
        <w:t xml:space="preserve">Hilton. (2025). </w:t>
      </w:r>
      <w:r w:rsidDel="00000000" w:rsidR="00000000" w:rsidRPr="00000000">
        <w:rPr>
          <w:i w:val="1"/>
          <w:iCs w:val="1"/>
          <w:rtl w:val="0"/>
        </w:rPr>
        <w:t xml:space="preserve">Hilton 2024 Year in Review | 2024 Annual Report | Hilton News</w:t>
      </w:r>
      <w:r w:rsidDel="00000000" w:rsidR="00000000" w:rsidRPr="00000000">
        <w:rPr>
          <w:rtl w:val="0"/>
        </w:rPr>
        <w:t xml:space="preserve">. [online] Available at:</w:t>
      </w:r>
      <w:hyperlink r:id="rId32">
        <w:r w:rsidDel="00000000" w:rsidR="00000000" w:rsidRPr="00000000">
          <w:rPr>
            <w:rtl w:val="0"/>
          </w:rPr>
          <w:t xml:space="preserve"> </w:t>
        </w:r>
      </w:hyperlink>
      <w:hyperlink r:id="rId33">
        <w:r w:rsidDel="00000000" w:rsidR="00000000" w:rsidRPr="00000000">
          <w:rPr>
            <w:color w:val="1155cc"/>
            <w:u w:val="single"/>
            <w:rtl w:val="0"/>
          </w:rPr>
          <w:t xml:space="preserve">https://stories.hilton.com/2024-annual-report</w:t>
        </w:r>
      </w:hyperlink>
      <w:r w:rsidDel="00000000" w:rsidR="00000000" w:rsidRPr="00000000">
        <w:rPr>
          <w:rtl w:val="0"/>
        </w:rPr>
        <w:t xml:space="preserve"> [Accessed 11 Aug. 2026].</w:t>
      </w:r>
    </w:p>
    <w:p w:rsidR="00000000" w:rsidDel="00000000" w:rsidP="00000000" w:rsidRDefault="00000000" w:rsidRPr="00000000" w14:paraId="000000A3">
      <w:pPr>
        <w:spacing w:after="160" w:before="0" w:lineRule="auto"/>
        <w:rPr>
          <w:color w:val="1155cc"/>
          <w:u w:val="single"/>
        </w:rPr>
      </w:pPr>
      <w:r w:rsidDel="00000000" w:rsidR="00000000" w:rsidRPr="00000000">
        <w:rPr>
          <w:rtl w:val="0"/>
        </w:rPr>
        <w:t xml:space="preserve">Imamboccus, R., Seetanah, B., Khan Jaffur, Z. and Nunkoo, R., 2024. The exchange rate; its volatility and tourism demand. </w:t>
      </w:r>
      <w:r w:rsidDel="00000000" w:rsidR="00000000" w:rsidRPr="00000000">
        <w:rPr>
          <w:i w:val="1"/>
          <w:iCs w:val="1"/>
          <w:rtl w:val="0"/>
        </w:rPr>
        <w:t xml:space="preserve">Anatolia</w:t>
      </w:r>
      <w:r w:rsidDel="00000000" w:rsidR="00000000" w:rsidRPr="00000000">
        <w:rPr>
          <w:rtl w:val="0"/>
        </w:rPr>
        <w:t xml:space="preserve">, </w:t>
      </w:r>
      <w:r w:rsidDel="00000000" w:rsidR="00000000" w:rsidRPr="00000000">
        <w:rPr>
          <w:i w:val="1"/>
          <w:iCs w:val="1"/>
          <w:rtl w:val="0"/>
        </w:rPr>
        <w:t xml:space="preserve">35</w:t>
      </w:r>
      <w:r w:rsidDel="00000000" w:rsidR="00000000" w:rsidRPr="00000000">
        <w:rPr>
          <w:rtl w:val="0"/>
        </w:rPr>
        <w:t xml:space="preserve">(4), pp.723-735.</w:t>
      </w:r>
      <w:hyperlink r:id="rId34">
        <w:r w:rsidDel="00000000" w:rsidR="00000000" w:rsidRPr="00000000">
          <w:rPr>
            <w:rtl w:val="0"/>
          </w:rPr>
          <w:t xml:space="preserve"> </w:t>
        </w:r>
      </w:hyperlink>
      <w:hyperlink r:id="rId35">
        <w:r w:rsidDel="00000000" w:rsidR="00000000" w:rsidRPr="00000000">
          <w:rPr>
            <w:color w:val="1155cc"/>
            <w:u w:val="single"/>
            <w:rtl w:val="0"/>
          </w:rPr>
          <w:t xml:space="preserve">https://doi.org/10.1080/13032917.2024.2303639</w:t>
        </w:r>
      </w:hyperlink>
      <w:r w:rsidDel="00000000" w:rsidR="00000000" w:rsidRPr="00000000">
        <w:rPr>
          <w:rtl w:val="0"/>
        </w:rPr>
      </w:r>
    </w:p>
    <w:p w:rsidR="00000000" w:rsidDel="00000000" w:rsidP="00000000" w:rsidRDefault="00000000" w:rsidRPr="00000000" w14:paraId="000000A4">
      <w:pPr>
        <w:spacing w:after="160" w:before="0" w:lineRule="auto"/>
        <w:rPr/>
      </w:pPr>
      <w:r w:rsidDel="00000000" w:rsidR="00000000" w:rsidRPr="00000000">
        <w:rPr>
          <w:rtl w:val="0"/>
        </w:rPr>
        <w:t xml:space="preserve">IMF. (2024). </w:t>
      </w:r>
      <w:r w:rsidDel="00000000" w:rsidR="00000000" w:rsidRPr="00000000">
        <w:rPr>
          <w:i w:val="1"/>
          <w:iCs w:val="1"/>
          <w:rtl w:val="0"/>
        </w:rPr>
        <w:t xml:space="preserve">WORLD ECONOMIC OUTLOOK 2024 OCT INTERNATIONAL MONETARY FUND Policy Pivot, Rising Threats.</w:t>
      </w:r>
      <w:r w:rsidDel="00000000" w:rsidR="00000000" w:rsidRPr="00000000">
        <w:rPr>
          <w:rtl w:val="0"/>
        </w:rPr>
        <w:t xml:space="preserve"> [online] Available at:</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https://www.imf.org/en/-/media/files/publications/weo/2024/october/english/text.pdf</w:t>
        </w:r>
      </w:hyperlink>
      <w:r w:rsidDel="00000000" w:rsidR="00000000" w:rsidRPr="00000000">
        <w:rPr>
          <w:rtl w:val="0"/>
        </w:rPr>
        <w:t xml:space="preserve"> [Access 11</w:t>
      </w:r>
      <w:r w:rsidDel="00000000" w:rsidR="00000000" w:rsidRPr="00000000">
        <w:rPr>
          <w:vertAlign w:val="superscript"/>
          <w:rtl w:val="0"/>
        </w:rPr>
        <w:t xml:space="preserve"> </w:t>
      </w:r>
      <w:r w:rsidDel="00000000" w:rsidR="00000000" w:rsidRPr="00000000">
        <w:rPr>
          <w:rtl w:val="0"/>
        </w:rPr>
        <w:t xml:space="preserve">Aug, 2026]</w:t>
      </w:r>
    </w:p>
    <w:p w:rsidR="00000000" w:rsidDel="00000000" w:rsidP="00000000" w:rsidRDefault="00000000" w:rsidRPr="00000000" w14:paraId="000000A5">
      <w:pPr>
        <w:spacing w:after="160" w:before="0" w:lineRule="auto"/>
        <w:rPr>
          <w:color w:val="1155cc"/>
          <w:u w:val="single"/>
        </w:rPr>
      </w:pPr>
      <w:r w:rsidDel="00000000" w:rsidR="00000000" w:rsidRPr="00000000">
        <w:rPr>
          <w:rtl w:val="0"/>
        </w:rPr>
        <w:t xml:space="preserve">Khalil, M.L., Abd Aziz, N., Long, F. and Zhang, H., 2023. What factors affect firm performance in the hotel industry post-Covid-19 pandemic? Examining the impacts of big data analytics capability, organizational agility and innovation. </w:t>
      </w:r>
      <w:r w:rsidDel="00000000" w:rsidR="00000000" w:rsidRPr="00000000">
        <w:rPr>
          <w:i w:val="1"/>
          <w:iCs w:val="1"/>
          <w:rtl w:val="0"/>
        </w:rPr>
        <w:t xml:space="preserve">Journal of Open Innovation: Technology, Market, and Complexity</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(2), p.100081.</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https://doi.org/10.1016/j.joitmc.2023.100081</w:t>
        </w:r>
      </w:hyperlink>
      <w:r w:rsidDel="00000000" w:rsidR="00000000" w:rsidRPr="00000000">
        <w:rPr>
          <w:rtl w:val="0"/>
        </w:rPr>
      </w:r>
    </w:p>
    <w:p w:rsidR="00000000" w:rsidDel="00000000" w:rsidP="00000000" w:rsidRDefault="00000000" w:rsidRPr="00000000" w14:paraId="000000A6">
      <w:pPr>
        <w:spacing w:after="160" w:before="0" w:lineRule="auto"/>
        <w:rPr>
          <w:color w:val="1155cc"/>
          <w:u w:val="single"/>
        </w:rPr>
      </w:pPr>
      <w:r w:rsidDel="00000000" w:rsidR="00000000" w:rsidRPr="00000000">
        <w:rPr>
          <w:rtl w:val="0"/>
        </w:rPr>
        <w:t xml:space="preserve">Kim, Y.R. and Lin, S.C., 2024. Rooms versus F&amp;B: How changes in operations contribute to hotel productivity. </w:t>
      </w:r>
      <w:r w:rsidDel="00000000" w:rsidR="00000000" w:rsidRPr="00000000">
        <w:rPr>
          <w:i w:val="1"/>
          <w:iCs w:val="1"/>
          <w:rtl w:val="0"/>
        </w:rPr>
        <w:t xml:space="preserve">Annals of Tourism Research Empirical Insights</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(2), p.100153.</w:t>
      </w:r>
      <w:hyperlink r:id="rId40">
        <w:r w:rsidDel="00000000" w:rsidR="00000000" w:rsidRPr="00000000">
          <w:rPr>
            <w:rtl w:val="0"/>
          </w:rPr>
          <w:t xml:space="preserve"> </w:t>
        </w:r>
      </w:hyperlink>
      <w:hyperlink r:id="rId41">
        <w:r w:rsidDel="00000000" w:rsidR="00000000" w:rsidRPr="00000000">
          <w:rPr>
            <w:color w:val="1155cc"/>
            <w:u w:val="single"/>
            <w:rtl w:val="0"/>
          </w:rPr>
          <w:t xml:space="preserve">https://doi.org/10.1016/j.annale.2024.100153</w:t>
        </w:r>
      </w:hyperlink>
      <w:r w:rsidDel="00000000" w:rsidR="00000000" w:rsidRPr="00000000">
        <w:rPr>
          <w:rtl w:val="0"/>
        </w:rPr>
      </w:r>
    </w:p>
    <w:p w:rsidR="00000000" w:rsidDel="00000000" w:rsidP="00000000" w:rsidRDefault="00000000" w:rsidRPr="00000000" w14:paraId="000000A7">
      <w:pPr>
        <w:spacing w:after="160" w:before="0" w:lineRule="auto"/>
        <w:rPr>
          <w:color w:val="1155cc"/>
          <w:u w:val="single"/>
        </w:rPr>
      </w:pPr>
      <w:r w:rsidDel="00000000" w:rsidR="00000000" w:rsidRPr="00000000">
        <w:rPr>
          <w:rtl w:val="0"/>
        </w:rPr>
        <w:t xml:space="preserve">Kiymaz, H., Haque, S. and Choudhury, A.A., 2024. Working capital management and firm performance: A comparative analysis of developed and emerging economies. </w:t>
      </w:r>
      <w:r w:rsidDel="00000000" w:rsidR="00000000" w:rsidRPr="00000000">
        <w:rPr>
          <w:i w:val="1"/>
          <w:iCs w:val="1"/>
          <w:rtl w:val="0"/>
        </w:rPr>
        <w:t xml:space="preserve">Borsa Istanbul Review</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(3), pp.634-642.</w:t>
      </w:r>
      <w:hyperlink r:id="rId42">
        <w:r w:rsidDel="00000000" w:rsidR="00000000" w:rsidRPr="00000000">
          <w:rPr>
            <w:rtl w:val="0"/>
          </w:rPr>
          <w:t xml:space="preserve"> </w:t>
        </w:r>
      </w:hyperlink>
      <w:hyperlink r:id="rId43">
        <w:r w:rsidDel="00000000" w:rsidR="00000000" w:rsidRPr="00000000">
          <w:rPr>
            <w:color w:val="1155cc"/>
            <w:u w:val="single"/>
            <w:rtl w:val="0"/>
          </w:rPr>
          <w:t xml:space="preserve">https://doi.org/10.1016/j.bir.2024.03.004</w:t>
        </w:r>
      </w:hyperlink>
      <w:r w:rsidDel="00000000" w:rsidR="00000000" w:rsidRPr="00000000">
        <w:rPr>
          <w:rtl w:val="0"/>
        </w:rPr>
      </w:r>
    </w:p>
    <w:p w:rsidR="00000000" w:rsidDel="00000000" w:rsidP="00000000" w:rsidRDefault="00000000" w:rsidRPr="00000000" w14:paraId="000000A8">
      <w:pPr>
        <w:spacing w:after="160" w:before="0" w:lineRule="auto"/>
        <w:rPr/>
      </w:pPr>
      <w:r w:rsidDel="00000000" w:rsidR="00000000" w:rsidRPr="00000000">
        <w:rPr>
          <w:rtl w:val="0"/>
        </w:rPr>
        <w:t xml:space="preserve">KPMG (2026). </w:t>
      </w:r>
      <w:r w:rsidDel="00000000" w:rsidR="00000000" w:rsidRPr="00000000">
        <w:rPr>
          <w:i w:val="1"/>
          <w:iCs w:val="1"/>
          <w:rtl w:val="0"/>
        </w:rPr>
        <w:t xml:space="preserve">AI in financial reporting and audit: Navigating the new era</w:t>
      </w:r>
      <w:r w:rsidDel="00000000" w:rsidR="00000000" w:rsidRPr="00000000">
        <w:rPr>
          <w:rtl w:val="0"/>
        </w:rPr>
        <w:t xml:space="preserve">. [online] KPMG. Available at:</w:t>
      </w:r>
      <w:hyperlink r:id="rId44">
        <w:r w:rsidDel="00000000" w:rsidR="00000000" w:rsidRPr="00000000">
          <w:rPr>
            <w:rtl w:val="0"/>
          </w:rPr>
          <w:t xml:space="preserve"> </w:t>
        </w:r>
      </w:hyperlink>
      <w:hyperlink r:id="rId45">
        <w:r w:rsidDel="00000000" w:rsidR="00000000" w:rsidRPr="00000000">
          <w:rPr>
            <w:color w:val="1155cc"/>
            <w:u w:val="single"/>
            <w:rtl w:val="0"/>
          </w:rPr>
          <w:t xml:space="preserve">https://kpmg.com/xx/en/our-insights/ai-and-technology/ai-in-financial-reporting-and-audit.html</w:t>
        </w:r>
      </w:hyperlink>
      <w:r w:rsidDel="00000000" w:rsidR="00000000" w:rsidRPr="00000000">
        <w:rPr>
          <w:rtl w:val="0"/>
        </w:rPr>
        <w:t xml:space="preserve"> [Accessed 11 Aug. 2026].</w:t>
      </w:r>
    </w:p>
    <w:p w:rsidR="00000000" w:rsidDel="00000000" w:rsidP="00000000" w:rsidRDefault="00000000" w:rsidRPr="00000000" w14:paraId="000000A9">
      <w:pPr>
        <w:spacing w:after="160" w:before="0" w:lineRule="auto"/>
        <w:rPr>
          <w:color w:val="1155cc"/>
          <w:u w:val="single"/>
        </w:rPr>
      </w:pPr>
      <w:r w:rsidDel="00000000" w:rsidR="00000000" w:rsidRPr="00000000">
        <w:rPr>
          <w:rtl w:val="0"/>
        </w:rPr>
        <w:t xml:space="preserve">‌Lee, D.K.C., Guan, C., Yu, Y. and Ding, Q., 2024. A comprehensive review of generative AI in finance. </w:t>
      </w:r>
      <w:r w:rsidDel="00000000" w:rsidR="00000000" w:rsidRPr="00000000">
        <w:rPr>
          <w:i w:val="1"/>
          <w:iCs w:val="1"/>
          <w:rtl w:val="0"/>
        </w:rPr>
        <w:t xml:space="preserve">FinTech</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(3), pp.460-478.</w:t>
      </w:r>
      <w:hyperlink r:id="rId46">
        <w:r w:rsidDel="00000000" w:rsidR="00000000" w:rsidRPr="00000000">
          <w:rPr>
            <w:rtl w:val="0"/>
          </w:rPr>
          <w:t xml:space="preserve"> </w:t>
        </w:r>
      </w:hyperlink>
      <w:hyperlink r:id="rId47">
        <w:r w:rsidDel="00000000" w:rsidR="00000000" w:rsidRPr="00000000">
          <w:rPr>
            <w:color w:val="1155cc"/>
            <w:u w:val="single"/>
            <w:rtl w:val="0"/>
          </w:rPr>
          <w:t xml:space="preserve">https://doi.org/10.3390/fintech3030025</w:t>
        </w:r>
      </w:hyperlink>
      <w:r w:rsidDel="00000000" w:rsidR="00000000" w:rsidRPr="00000000">
        <w:rPr>
          <w:rtl w:val="0"/>
        </w:rPr>
      </w:r>
    </w:p>
    <w:p w:rsidR="00000000" w:rsidDel="00000000" w:rsidP="00000000" w:rsidRDefault="00000000" w:rsidRPr="00000000" w14:paraId="000000AA">
      <w:pPr>
        <w:spacing w:after="160" w:before="0" w:lineRule="auto"/>
        <w:rPr>
          <w:color w:val="1155cc"/>
          <w:u w:val="single"/>
        </w:rPr>
      </w:pPr>
      <w:r w:rsidDel="00000000" w:rsidR="00000000" w:rsidRPr="00000000">
        <w:rPr>
          <w:rtl w:val="0"/>
        </w:rPr>
        <w:t xml:space="preserve">Liang, S., Yu, R., Liu, Z., Wang, W., Wu, L. and Hu, X., 2023. An empirical study on the asset-light operation and corporate performance of China's tourism listed companies. </w:t>
      </w:r>
      <w:r w:rsidDel="00000000" w:rsidR="00000000" w:rsidRPr="00000000">
        <w:rPr>
          <w:i w:val="1"/>
          <w:iCs w:val="1"/>
          <w:rtl w:val="0"/>
        </w:rPr>
        <w:t xml:space="preserve">Heliyon</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(2).</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https://doi.org/10.1016/j.heliyon.2023.e13391</w:t>
        </w:r>
      </w:hyperlink>
      <w:r w:rsidDel="00000000" w:rsidR="00000000" w:rsidRPr="00000000">
        <w:rPr>
          <w:rtl w:val="0"/>
        </w:rPr>
      </w:r>
    </w:p>
    <w:p w:rsidR="00000000" w:rsidDel="00000000" w:rsidP="00000000" w:rsidRDefault="00000000" w:rsidRPr="00000000" w14:paraId="000000AB">
      <w:pPr>
        <w:spacing w:after="160" w:before="0" w:lineRule="auto"/>
        <w:rPr>
          <w:color w:val="1155cc"/>
          <w:u w:val="single"/>
        </w:rPr>
      </w:pPr>
      <w:r w:rsidDel="00000000" w:rsidR="00000000" w:rsidRPr="00000000">
        <w:rPr>
          <w:rtl w:val="0"/>
        </w:rPr>
        <w:t xml:space="preserve">Lu, K., Onuk, C.B., Xia, Y. and Zhang, J., 2025. ESG ratings and financial performance in the global hospitality industry. </w:t>
      </w:r>
      <w:r w:rsidDel="00000000" w:rsidR="00000000" w:rsidRPr="00000000">
        <w:rPr>
          <w:i w:val="1"/>
          <w:iCs w:val="1"/>
          <w:rtl w:val="0"/>
        </w:rPr>
        <w:t xml:space="preserve">Journal of Risk and Financial Management</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(1), p.24.</w:t>
      </w:r>
      <w:hyperlink r:id="rId50">
        <w:r w:rsidDel="00000000" w:rsidR="00000000" w:rsidRPr="00000000">
          <w:rPr>
            <w:rtl w:val="0"/>
          </w:rPr>
          <w:t xml:space="preserve"> </w:t>
        </w:r>
      </w:hyperlink>
      <w:hyperlink r:id="rId51">
        <w:r w:rsidDel="00000000" w:rsidR="00000000" w:rsidRPr="00000000">
          <w:rPr>
            <w:color w:val="1155cc"/>
            <w:u w:val="single"/>
            <w:rtl w:val="0"/>
          </w:rPr>
          <w:t xml:space="preserve">https://doi.org/10.3390/jrfm18010024</w:t>
        </w:r>
      </w:hyperlink>
      <w:r w:rsidDel="00000000" w:rsidR="00000000" w:rsidRPr="00000000">
        <w:rPr>
          <w:rtl w:val="0"/>
        </w:rPr>
      </w:r>
    </w:p>
    <w:p w:rsidR="00000000" w:rsidDel="00000000" w:rsidP="00000000" w:rsidRDefault="00000000" w:rsidRPr="00000000" w14:paraId="000000AC">
      <w:pPr>
        <w:spacing w:after="160" w:before="0" w:lineRule="auto"/>
        <w:rPr>
          <w:color w:val="1155cc"/>
          <w:u w:val="single"/>
        </w:rPr>
      </w:pPr>
      <w:r w:rsidDel="00000000" w:rsidR="00000000" w:rsidRPr="00000000">
        <w:rPr>
          <w:rtl w:val="0"/>
        </w:rPr>
        <w:t xml:space="preserve">Mahartana, M.N.A., Tuti, M. and Kristiadi, A.A., 2024. Examining the Impact of Guest Experience on Satisfaction, Brand Loyalty, and Repurchase Intention in Indonesian Hotels.</w:t>
      </w:r>
      <w:hyperlink r:id="rId52">
        <w:r w:rsidDel="00000000" w:rsidR="00000000" w:rsidRPr="00000000">
          <w:rPr>
            <w:rtl w:val="0"/>
          </w:rPr>
          <w:t xml:space="preserve"> </w:t>
        </w:r>
      </w:hyperlink>
      <w:hyperlink r:id="rId53">
        <w:r w:rsidDel="00000000" w:rsidR="00000000" w:rsidRPr="00000000">
          <w:rPr>
            <w:color w:val="1155cc"/>
            <w:u w:val="single"/>
            <w:rtl w:val="0"/>
          </w:rPr>
          <w:t xml:space="preserve">https://doi.org/10.2478/9788367405850-003</w:t>
        </w:r>
      </w:hyperlink>
      <w:r w:rsidDel="00000000" w:rsidR="00000000" w:rsidRPr="00000000">
        <w:rPr>
          <w:rtl w:val="0"/>
        </w:rPr>
      </w:r>
    </w:p>
    <w:p w:rsidR="00000000" w:rsidDel="00000000" w:rsidP="00000000" w:rsidRDefault="00000000" w:rsidRPr="00000000" w14:paraId="000000AD">
      <w:pPr>
        <w:spacing w:after="160" w:before="0" w:lineRule="auto"/>
        <w:rPr>
          <w:color w:val="1155cc"/>
          <w:u w:val="single"/>
        </w:rPr>
      </w:pPr>
      <w:r w:rsidDel="00000000" w:rsidR="00000000" w:rsidRPr="00000000">
        <w:rPr>
          <w:rtl w:val="0"/>
        </w:rPr>
        <w:t xml:space="preserve">Märklin, P. and Bianchi, G., 2022. A differentiated approach to the asset-light model in the hotel industry. </w:t>
      </w:r>
      <w:r w:rsidDel="00000000" w:rsidR="00000000" w:rsidRPr="00000000">
        <w:rPr>
          <w:i w:val="1"/>
          <w:iCs w:val="1"/>
          <w:rtl w:val="0"/>
        </w:rPr>
        <w:t xml:space="preserve">Cornell hospitality quarterly</w:t>
      </w:r>
      <w:r w:rsidDel="00000000" w:rsidR="00000000" w:rsidRPr="00000000">
        <w:rPr>
          <w:rtl w:val="0"/>
        </w:rPr>
        <w:t xml:space="preserve">, </w:t>
      </w:r>
      <w:r w:rsidDel="00000000" w:rsidR="00000000" w:rsidRPr="00000000">
        <w:rPr>
          <w:i w:val="1"/>
          <w:iCs w:val="1"/>
          <w:rtl w:val="0"/>
        </w:rPr>
        <w:t xml:space="preserve">63</w:t>
      </w:r>
      <w:r w:rsidDel="00000000" w:rsidR="00000000" w:rsidRPr="00000000">
        <w:rPr>
          <w:rtl w:val="0"/>
        </w:rPr>
        <w:t xml:space="preserve">(3), pp.313-319.</w:t>
      </w:r>
      <w:hyperlink r:id="rId54">
        <w:r w:rsidDel="00000000" w:rsidR="00000000" w:rsidRPr="00000000">
          <w:rPr>
            <w:rtl w:val="0"/>
          </w:rPr>
          <w:t xml:space="preserve"> </w:t>
        </w:r>
      </w:hyperlink>
      <w:hyperlink r:id="rId55">
        <w:r w:rsidDel="00000000" w:rsidR="00000000" w:rsidRPr="00000000">
          <w:rPr>
            <w:color w:val="1155cc"/>
            <w:u w:val="single"/>
            <w:rtl w:val="0"/>
          </w:rPr>
          <w:t xml:space="preserve">https://doi.org/10.1177/19389655211006076</w:t>
        </w:r>
      </w:hyperlink>
      <w:r w:rsidDel="00000000" w:rsidR="00000000" w:rsidRPr="00000000">
        <w:rPr>
          <w:rtl w:val="0"/>
        </w:rPr>
      </w:r>
    </w:p>
    <w:p w:rsidR="00000000" w:rsidDel="00000000" w:rsidP="00000000" w:rsidRDefault="00000000" w:rsidRPr="00000000" w14:paraId="000000AE">
      <w:pPr>
        <w:spacing w:after="160" w:before="0" w:lineRule="auto"/>
        <w:rPr/>
      </w:pPr>
      <w:r w:rsidDel="00000000" w:rsidR="00000000" w:rsidRPr="00000000">
        <w:rPr>
          <w:rtl w:val="0"/>
        </w:rPr>
        <w:t xml:space="preserve">Marriott. (2025). </w:t>
      </w:r>
      <w:r w:rsidDel="00000000" w:rsidR="00000000" w:rsidRPr="00000000">
        <w:rPr>
          <w:i w:val="1"/>
          <w:iCs w:val="1"/>
          <w:rtl w:val="0"/>
        </w:rPr>
        <w:t xml:space="preserve">Marriott International 2024 Annual Report.</w:t>
      </w:r>
      <w:r w:rsidDel="00000000" w:rsidR="00000000" w:rsidRPr="00000000">
        <w:rPr>
          <w:rtl w:val="0"/>
        </w:rPr>
        <w:t xml:space="preserve"> [online] Available at:</w:t>
      </w:r>
      <w:hyperlink r:id="rId56">
        <w:r w:rsidDel="00000000" w:rsidR="00000000" w:rsidRPr="00000000">
          <w:rPr>
            <w:rtl w:val="0"/>
          </w:rPr>
          <w:t xml:space="preserve"> </w:t>
        </w:r>
      </w:hyperlink>
      <w:hyperlink r:id="rId57">
        <w:r w:rsidDel="00000000" w:rsidR="00000000" w:rsidRPr="00000000">
          <w:rPr>
            <w:color w:val="1155cc"/>
            <w:u w:val="single"/>
            <w:rtl w:val="0"/>
          </w:rPr>
          <w:t xml:space="preserve">https://marriott.gcs-web.com/static-files/a7664c0f-5bd1-4066-9fc9-b05eb6c93772</w:t>
        </w:r>
      </w:hyperlink>
      <w:r w:rsidDel="00000000" w:rsidR="00000000" w:rsidRPr="00000000">
        <w:rPr>
          <w:rtl w:val="0"/>
        </w:rPr>
        <w:t xml:space="preserve"> [Accessed 11 Aug. 2026].</w:t>
      </w:r>
    </w:p>
    <w:p w:rsidR="00000000" w:rsidDel="00000000" w:rsidP="00000000" w:rsidRDefault="00000000" w:rsidRPr="00000000" w14:paraId="000000AF">
      <w:pPr>
        <w:spacing w:after="160" w:before="0" w:lineRule="auto"/>
        <w:rPr>
          <w:color w:val="1155cc"/>
          <w:u w:val="single"/>
        </w:rPr>
      </w:pPr>
      <w:r w:rsidDel="00000000" w:rsidR="00000000" w:rsidRPr="00000000">
        <w:rPr>
          <w:rtl w:val="0"/>
        </w:rPr>
        <w:t xml:space="preserve">Metaxas, T. and Romanopoulos, A., 2023. A literature review on the financial determinants of hotel default. </w:t>
      </w:r>
      <w:r w:rsidDel="00000000" w:rsidR="00000000" w:rsidRPr="00000000">
        <w:rPr>
          <w:i w:val="1"/>
          <w:iCs w:val="1"/>
          <w:rtl w:val="0"/>
        </w:rPr>
        <w:t xml:space="preserve">Journal of Risk and Financial Management</w:t>
      </w:r>
      <w:r w:rsidDel="00000000" w:rsidR="00000000" w:rsidRPr="00000000">
        <w:rPr>
          <w:rtl w:val="0"/>
        </w:rPr>
        <w:t xml:space="preserve">, </w:t>
      </w:r>
      <w:r w:rsidDel="00000000" w:rsidR="00000000" w:rsidRPr="00000000">
        <w:rPr>
          <w:i w:val="1"/>
          <w:iCs w:val="1"/>
          <w:rtl w:val="0"/>
        </w:rPr>
        <w:t xml:space="preserve">16</w:t>
      </w:r>
      <w:r w:rsidDel="00000000" w:rsidR="00000000" w:rsidRPr="00000000">
        <w:rPr>
          <w:rtl w:val="0"/>
        </w:rPr>
        <w:t xml:space="preserve">(7), p.323.</w:t>
      </w:r>
      <w:hyperlink r:id="rId58">
        <w:r w:rsidDel="00000000" w:rsidR="00000000" w:rsidRPr="00000000">
          <w:rPr>
            <w:rtl w:val="0"/>
          </w:rPr>
          <w:t xml:space="preserve"> </w:t>
        </w:r>
      </w:hyperlink>
      <w:hyperlink r:id="rId59">
        <w:r w:rsidDel="00000000" w:rsidR="00000000" w:rsidRPr="00000000">
          <w:rPr>
            <w:color w:val="1155cc"/>
            <w:u w:val="single"/>
            <w:rtl w:val="0"/>
          </w:rPr>
          <w:t xml:space="preserve">https://doi.org/10.3390/jrfm16070323</w:t>
        </w:r>
      </w:hyperlink>
      <w:r w:rsidDel="00000000" w:rsidR="00000000" w:rsidRPr="00000000">
        <w:rPr>
          <w:rtl w:val="0"/>
        </w:rPr>
      </w:r>
    </w:p>
    <w:p w:rsidR="00000000" w:rsidDel="00000000" w:rsidP="00000000" w:rsidRDefault="00000000" w:rsidRPr="00000000" w14:paraId="000000B0">
      <w:pPr>
        <w:spacing w:after="160" w:before="0" w:lineRule="auto"/>
        <w:rPr>
          <w:color w:val="1155cc"/>
          <w:u w:val="single"/>
        </w:rPr>
      </w:pPr>
      <w:r w:rsidDel="00000000" w:rsidR="00000000" w:rsidRPr="00000000">
        <w:rPr>
          <w:rtl w:val="0"/>
        </w:rPr>
        <w:t xml:space="preserve">Mökander, J., 2023. Auditing of AI: Legal, ethical and technical approaches. </w:t>
      </w:r>
      <w:r w:rsidDel="00000000" w:rsidR="00000000" w:rsidRPr="00000000">
        <w:rPr>
          <w:i w:val="1"/>
          <w:iCs w:val="1"/>
          <w:rtl w:val="0"/>
        </w:rPr>
        <w:t xml:space="preserve">Digital society</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(3), p.49.</w:t>
      </w:r>
      <w:hyperlink r:id="rId60">
        <w:r w:rsidDel="00000000" w:rsidR="00000000" w:rsidRPr="00000000">
          <w:rPr>
            <w:rtl w:val="0"/>
          </w:rPr>
          <w:t xml:space="preserve"> </w:t>
        </w:r>
      </w:hyperlink>
      <w:hyperlink r:id="rId61">
        <w:r w:rsidDel="00000000" w:rsidR="00000000" w:rsidRPr="00000000">
          <w:rPr>
            <w:color w:val="1155cc"/>
            <w:u w:val="single"/>
            <w:rtl w:val="0"/>
          </w:rPr>
          <w:t xml:space="preserve">https://doi.org/10.1007/s44206-023-00074-y</w:t>
        </w:r>
      </w:hyperlink>
      <w:r w:rsidDel="00000000" w:rsidR="00000000" w:rsidRPr="00000000">
        <w:rPr>
          <w:rtl w:val="0"/>
        </w:rPr>
      </w:r>
    </w:p>
    <w:p w:rsidR="00000000" w:rsidDel="00000000" w:rsidP="00000000" w:rsidRDefault="00000000" w:rsidRPr="00000000" w14:paraId="000000B1">
      <w:pPr>
        <w:spacing w:after="160" w:before="0" w:lineRule="auto"/>
        <w:rPr>
          <w:color w:val="1155cc"/>
          <w:u w:val="single"/>
        </w:rPr>
      </w:pPr>
      <w:r w:rsidDel="00000000" w:rsidR="00000000" w:rsidRPr="00000000">
        <w:rPr>
          <w:rtl w:val="0"/>
        </w:rPr>
        <w:t xml:space="preserve">Mota, J. and Moreira, A.C., 2023. Capital budgeting practices: A survey of two industries. </w:t>
      </w:r>
      <w:r w:rsidDel="00000000" w:rsidR="00000000" w:rsidRPr="00000000">
        <w:rPr>
          <w:i w:val="1"/>
          <w:iCs w:val="1"/>
          <w:rtl w:val="0"/>
        </w:rPr>
        <w:t xml:space="preserve">Journal of Risk and Financial Management</w:t>
      </w:r>
      <w:r w:rsidDel="00000000" w:rsidR="00000000" w:rsidRPr="00000000">
        <w:rPr>
          <w:rtl w:val="0"/>
        </w:rPr>
        <w:t xml:space="preserve">, </w:t>
      </w:r>
      <w:r w:rsidDel="00000000" w:rsidR="00000000" w:rsidRPr="00000000">
        <w:rPr>
          <w:i w:val="1"/>
          <w:iCs w:val="1"/>
          <w:rtl w:val="0"/>
        </w:rPr>
        <w:t xml:space="preserve">16</w:t>
      </w:r>
      <w:r w:rsidDel="00000000" w:rsidR="00000000" w:rsidRPr="00000000">
        <w:rPr>
          <w:rtl w:val="0"/>
        </w:rPr>
        <w:t xml:space="preserve">(3), p.191.</w:t>
      </w:r>
      <w:hyperlink r:id="rId62">
        <w:r w:rsidDel="00000000" w:rsidR="00000000" w:rsidRPr="00000000">
          <w:rPr>
            <w:rtl w:val="0"/>
          </w:rPr>
          <w:t xml:space="preserve"> </w:t>
        </w:r>
      </w:hyperlink>
      <w:hyperlink r:id="rId63">
        <w:r w:rsidDel="00000000" w:rsidR="00000000" w:rsidRPr="00000000">
          <w:rPr>
            <w:color w:val="1155cc"/>
            <w:u w:val="single"/>
            <w:rtl w:val="0"/>
          </w:rPr>
          <w:t xml:space="preserve">https://doi.org/10.3390/jrfm16030191</w:t>
        </w:r>
      </w:hyperlink>
      <w:r w:rsidDel="00000000" w:rsidR="00000000" w:rsidRPr="00000000">
        <w:rPr>
          <w:rtl w:val="0"/>
        </w:rPr>
      </w:r>
    </w:p>
    <w:p w:rsidR="00000000" w:rsidDel="00000000" w:rsidP="00000000" w:rsidRDefault="00000000" w:rsidRPr="00000000" w14:paraId="000000B2">
      <w:pPr>
        <w:spacing w:after="160" w:before="0" w:lineRule="auto"/>
        <w:rPr>
          <w:color w:val="1155cc"/>
          <w:u w:val="single"/>
        </w:rPr>
      </w:pPr>
      <w:r w:rsidDel="00000000" w:rsidR="00000000" w:rsidRPr="00000000">
        <w:rPr>
          <w:rtl w:val="0"/>
        </w:rPr>
        <w:t xml:space="preserve">Nguyen, L.T.M., Le, D., Vu, K.T. and Tran, T.K., 2023. The role of capital structure management in maintaining the financial stability of hotel firms during the pandemic—A global investigation. </w:t>
      </w:r>
      <w:r w:rsidDel="00000000" w:rsidR="00000000" w:rsidRPr="00000000">
        <w:rPr>
          <w:i w:val="1"/>
          <w:iCs w:val="1"/>
          <w:rtl w:val="0"/>
        </w:rPr>
        <w:t xml:space="preserve">International journal of hospitality management</w:t>
      </w:r>
      <w:r w:rsidDel="00000000" w:rsidR="00000000" w:rsidRPr="00000000">
        <w:rPr>
          <w:rtl w:val="0"/>
        </w:rPr>
        <w:t xml:space="preserve">, </w:t>
      </w:r>
      <w:r w:rsidDel="00000000" w:rsidR="00000000" w:rsidRPr="00000000">
        <w:rPr>
          <w:i w:val="1"/>
          <w:iCs w:val="1"/>
          <w:rtl w:val="0"/>
        </w:rPr>
        <w:t xml:space="preserve">109</w:t>
      </w:r>
      <w:r w:rsidDel="00000000" w:rsidR="00000000" w:rsidRPr="00000000">
        <w:rPr>
          <w:rtl w:val="0"/>
        </w:rPr>
        <w:t xml:space="preserve">, p.103366.</w:t>
      </w:r>
      <w:hyperlink r:id="rId64">
        <w:r w:rsidDel="00000000" w:rsidR="00000000" w:rsidRPr="00000000">
          <w:rPr>
            <w:rtl w:val="0"/>
          </w:rPr>
          <w:t xml:space="preserve"> </w:t>
        </w:r>
      </w:hyperlink>
      <w:hyperlink r:id="rId65">
        <w:r w:rsidDel="00000000" w:rsidR="00000000" w:rsidRPr="00000000">
          <w:rPr>
            <w:color w:val="1155cc"/>
            <w:u w:val="single"/>
            <w:rtl w:val="0"/>
          </w:rPr>
          <w:t xml:space="preserve">https://doi.org/10.1016/j.ijhm.2022.103366</w:t>
        </w:r>
      </w:hyperlink>
      <w:r w:rsidDel="00000000" w:rsidR="00000000" w:rsidRPr="00000000">
        <w:rPr>
          <w:rtl w:val="0"/>
        </w:rPr>
      </w:r>
    </w:p>
    <w:p w:rsidR="00000000" w:rsidDel="00000000" w:rsidP="00000000" w:rsidRDefault="00000000" w:rsidRPr="00000000" w14:paraId="000000B3">
      <w:pPr>
        <w:spacing w:after="160" w:before="0" w:lineRule="auto"/>
        <w:rPr/>
      </w:pPr>
      <w:r w:rsidDel="00000000" w:rsidR="00000000" w:rsidRPr="00000000">
        <w:rPr>
          <w:rtl w:val="0"/>
        </w:rPr>
        <w:t xml:space="preserve">OECD (2022). </w:t>
      </w:r>
      <w:r w:rsidDel="00000000" w:rsidR="00000000" w:rsidRPr="00000000">
        <w:rPr>
          <w:i w:val="1"/>
          <w:iCs w:val="1"/>
          <w:rtl w:val="0"/>
        </w:rPr>
        <w:t xml:space="preserve">OECD Transfer Pricing Guidelines for Multinational Enterprises and Tax Administrations 2022</w:t>
      </w:r>
      <w:r w:rsidDel="00000000" w:rsidR="00000000" w:rsidRPr="00000000">
        <w:rPr>
          <w:rtl w:val="0"/>
        </w:rPr>
        <w:t xml:space="preserve">. [online] OECD Publishing. Available at:</w:t>
      </w:r>
      <w:hyperlink r:id="rId66">
        <w:r w:rsidDel="00000000" w:rsidR="00000000" w:rsidRPr="00000000">
          <w:rPr>
            <w:rtl w:val="0"/>
          </w:rPr>
          <w:t xml:space="preserve"> </w:t>
        </w:r>
      </w:hyperlink>
      <w:hyperlink r:id="rId67">
        <w:r w:rsidDel="00000000" w:rsidR="00000000" w:rsidRPr="00000000">
          <w:rPr>
            <w:color w:val="1155cc"/>
            <w:u w:val="single"/>
            <w:rtl w:val="0"/>
          </w:rPr>
          <w:t xml:space="preserve">https://www.oecd.org/en/publications/2022/01/oecd-transfer-pricing-guidelines-for-multinational-enterprises-and-tax-administrations-2022_57104b3a.html</w:t>
        </w:r>
      </w:hyperlink>
      <w:r w:rsidDel="00000000" w:rsidR="00000000" w:rsidRPr="00000000">
        <w:rPr>
          <w:rtl w:val="0"/>
        </w:rPr>
        <w:t xml:space="preserve"> [Accessed 11 Aug. 2026].</w:t>
      </w:r>
    </w:p>
    <w:p w:rsidR="00000000" w:rsidDel="00000000" w:rsidP="00000000" w:rsidRDefault="00000000" w:rsidRPr="00000000" w14:paraId="000000B4">
      <w:pPr>
        <w:spacing w:after="160" w:before="0" w:lineRule="auto"/>
        <w:rPr/>
      </w:pPr>
      <w:r w:rsidDel="00000000" w:rsidR="00000000" w:rsidRPr="00000000">
        <w:rPr>
          <w:rtl w:val="0"/>
        </w:rPr>
        <w:t xml:space="preserve">‌OECD. (2024a). </w:t>
      </w:r>
      <w:r w:rsidDel="00000000" w:rsidR="00000000" w:rsidRPr="00000000">
        <w:rPr>
          <w:i w:val="1"/>
          <w:iCs w:val="1"/>
          <w:rtl w:val="0"/>
        </w:rPr>
        <w:t xml:space="preserve">Tourism Trends and Policies: OECD Tourism Trends and Policies 2024</w:t>
      </w:r>
      <w:r w:rsidDel="00000000" w:rsidR="00000000" w:rsidRPr="00000000">
        <w:rPr>
          <w:rtl w:val="0"/>
        </w:rPr>
        <w:t xml:space="preserve">. [online] Available at:</w:t>
      </w:r>
      <w:hyperlink r:id="rId68">
        <w:r w:rsidDel="00000000" w:rsidR="00000000" w:rsidRPr="00000000">
          <w:rPr>
            <w:rtl w:val="0"/>
          </w:rPr>
          <w:t xml:space="preserve"> </w:t>
        </w:r>
      </w:hyperlink>
      <w:hyperlink r:id="rId69">
        <w:r w:rsidDel="00000000" w:rsidR="00000000" w:rsidRPr="00000000">
          <w:rPr>
            <w:color w:val="1155cc"/>
            <w:u w:val="single"/>
            <w:rtl w:val="0"/>
          </w:rPr>
          <w:t xml:space="preserve">https://www.oecd.org/en/publications/2024/07/oecd-tourism-trends-and-policies-2024_17ff33a3/full-report/component-5.html</w:t>
        </w:r>
      </w:hyperlink>
      <w:r w:rsidDel="00000000" w:rsidR="00000000" w:rsidRPr="00000000">
        <w:rPr>
          <w:rtl w:val="0"/>
        </w:rPr>
        <w:t xml:space="preserve"> [Accessed 11 Aug. 2026].</w:t>
      </w:r>
    </w:p>
    <w:p w:rsidR="00000000" w:rsidDel="00000000" w:rsidP="00000000" w:rsidRDefault="00000000" w:rsidRPr="00000000" w14:paraId="000000B5">
      <w:pPr>
        <w:spacing w:after="160" w:before="0" w:lineRule="auto"/>
        <w:rPr/>
      </w:pPr>
      <w:r w:rsidDel="00000000" w:rsidR="00000000" w:rsidRPr="00000000">
        <w:rPr>
          <w:rtl w:val="0"/>
        </w:rPr>
        <w:t xml:space="preserve">OECD. (2024b). Corporate Tax Statistics. [online] Available at:</w:t>
      </w:r>
      <w:hyperlink r:id="rId70">
        <w:r w:rsidDel="00000000" w:rsidR="00000000" w:rsidRPr="00000000">
          <w:rPr>
            <w:rtl w:val="0"/>
          </w:rPr>
          <w:t xml:space="preserve"> </w:t>
        </w:r>
      </w:hyperlink>
      <w:hyperlink r:id="rId71">
        <w:r w:rsidDel="00000000" w:rsidR="00000000" w:rsidRPr="00000000">
          <w:rPr>
            <w:color w:val="1155cc"/>
            <w:u w:val="single"/>
            <w:rtl w:val="0"/>
          </w:rPr>
          <w:t xml:space="preserve">https://www.oecd.org/content/dam/oecd/en/publications/reports/2024/07/corporate-tax-statistics-2024_ce7e5701/9c27d6e8-en.pdf</w:t>
        </w:r>
      </w:hyperlink>
      <w:r w:rsidDel="00000000" w:rsidR="00000000" w:rsidRPr="00000000">
        <w:rPr>
          <w:rtl w:val="0"/>
        </w:rPr>
        <w:t xml:space="preserve"> [Accessed 11 Aug. 2026].</w:t>
      </w:r>
    </w:p>
    <w:p w:rsidR="00000000" w:rsidDel="00000000" w:rsidP="00000000" w:rsidRDefault="00000000" w:rsidRPr="00000000" w14:paraId="000000B6">
      <w:pPr>
        <w:spacing w:after="160" w:before="0" w:lineRule="auto"/>
        <w:rPr/>
      </w:pPr>
      <w:r w:rsidDel="00000000" w:rsidR="00000000" w:rsidRPr="00000000">
        <w:rPr>
          <w:rtl w:val="0"/>
        </w:rPr>
        <w:t xml:space="preserve">Q4cdn, (2021). </w:t>
      </w:r>
      <w:r w:rsidDel="00000000" w:rsidR="00000000" w:rsidRPr="00000000">
        <w:rPr>
          <w:i w:val="1"/>
          <w:iCs w:val="1"/>
          <w:rtl w:val="0"/>
        </w:rPr>
        <w:t xml:space="preserve">Form 10-K, ANNUAL REPORT 2021</w:t>
      </w:r>
      <w:r w:rsidDel="00000000" w:rsidR="00000000" w:rsidRPr="00000000">
        <w:rPr>
          <w:rtl w:val="0"/>
        </w:rPr>
        <w:t xml:space="preserve">. [online] Available at:</w:t>
      </w:r>
      <w:hyperlink r:id="rId72">
        <w:r w:rsidDel="00000000" w:rsidR="00000000" w:rsidRPr="00000000">
          <w:rPr>
            <w:rtl w:val="0"/>
          </w:rPr>
          <w:t xml:space="preserve"> </w:t>
        </w:r>
      </w:hyperlink>
      <w:hyperlink r:id="rId73">
        <w:r w:rsidDel="00000000" w:rsidR="00000000" w:rsidRPr="00000000">
          <w:rPr>
            <w:color w:val="1155cc"/>
            <w:u w:val="single"/>
            <w:rtl w:val="0"/>
          </w:rPr>
          <w:t xml:space="preserve">https://s203.q4cdn.com/249399152/files/doc_financials/2021/ar/ec2f121c-9941-4dd9-b50a-0aff00d26816-1.pdf</w:t>
        </w:r>
      </w:hyperlink>
      <w:r w:rsidDel="00000000" w:rsidR="00000000" w:rsidRPr="00000000">
        <w:rPr>
          <w:rtl w:val="0"/>
        </w:rPr>
        <w:t xml:space="preserve">. [Access 11</w:t>
      </w:r>
      <w:r w:rsidDel="00000000" w:rsidR="00000000" w:rsidRPr="00000000">
        <w:rPr>
          <w:vertAlign w:val="superscript"/>
          <w:rtl w:val="0"/>
        </w:rPr>
        <w:t xml:space="preserve"> </w:t>
      </w:r>
      <w:r w:rsidDel="00000000" w:rsidR="00000000" w:rsidRPr="00000000">
        <w:rPr>
          <w:rtl w:val="0"/>
        </w:rPr>
        <w:t xml:space="preserve">Aug, 2026]</w:t>
      </w:r>
    </w:p>
    <w:p w:rsidR="00000000" w:rsidDel="00000000" w:rsidP="00000000" w:rsidRDefault="00000000" w:rsidRPr="00000000" w14:paraId="000000B7">
      <w:pPr>
        <w:spacing w:after="160" w:before="0" w:lineRule="auto"/>
        <w:rPr/>
      </w:pPr>
      <w:r w:rsidDel="00000000" w:rsidR="00000000" w:rsidRPr="00000000">
        <w:rPr>
          <w:rtl w:val="0"/>
        </w:rPr>
        <w:t xml:space="preserve">Q4cdn, (2023). </w:t>
      </w:r>
      <w:r w:rsidDel="00000000" w:rsidR="00000000" w:rsidRPr="00000000">
        <w:rPr>
          <w:i w:val="1"/>
          <w:iCs w:val="1"/>
          <w:rtl w:val="0"/>
        </w:rPr>
        <w:t xml:space="preserve">Form 10-K, ANNUAL REPORT 2023</w:t>
      </w:r>
      <w:r w:rsidDel="00000000" w:rsidR="00000000" w:rsidRPr="00000000">
        <w:rPr>
          <w:rtl w:val="0"/>
        </w:rPr>
        <w:t xml:space="preserve">. [online] Available at:</w:t>
      </w:r>
      <w:hyperlink r:id="rId74">
        <w:r w:rsidDel="00000000" w:rsidR="00000000" w:rsidRPr="00000000">
          <w:rPr>
            <w:rtl w:val="0"/>
          </w:rPr>
          <w:t xml:space="preserve"> </w:t>
        </w:r>
      </w:hyperlink>
      <w:hyperlink r:id="rId75">
        <w:r w:rsidDel="00000000" w:rsidR="00000000" w:rsidRPr="00000000">
          <w:rPr>
            <w:color w:val="1155cc"/>
            <w:u w:val="single"/>
            <w:rtl w:val="0"/>
          </w:rPr>
          <w:t xml:space="preserve">https://s203.q4cdn.com/249399152/files/doc_financials/2021/ar/ec2f121c-9941-4dd9-b50a-0aff00d26816-1.pdf</w:t>
        </w:r>
      </w:hyperlink>
      <w:r w:rsidDel="00000000" w:rsidR="00000000" w:rsidRPr="00000000">
        <w:rPr>
          <w:rtl w:val="0"/>
        </w:rPr>
        <w:t xml:space="preserve">. [Access 11</w:t>
      </w:r>
      <w:r w:rsidDel="00000000" w:rsidR="00000000" w:rsidRPr="00000000">
        <w:rPr>
          <w:vertAlign w:val="superscript"/>
          <w:rtl w:val="0"/>
        </w:rPr>
        <w:t xml:space="preserve"> </w:t>
      </w:r>
      <w:r w:rsidDel="00000000" w:rsidR="00000000" w:rsidRPr="00000000">
        <w:rPr>
          <w:rtl w:val="0"/>
        </w:rPr>
        <w:t xml:space="preserve">Aug, 2026]</w:t>
      </w:r>
    </w:p>
    <w:p w:rsidR="00000000" w:rsidDel="00000000" w:rsidP="00000000" w:rsidRDefault="00000000" w:rsidRPr="00000000" w14:paraId="000000B8">
      <w:pPr>
        <w:spacing w:after="160" w:before="0" w:lineRule="auto"/>
        <w:rPr/>
      </w:pPr>
      <w:r w:rsidDel="00000000" w:rsidR="00000000" w:rsidRPr="00000000">
        <w:rPr>
          <w:rtl w:val="0"/>
        </w:rPr>
        <w:t xml:space="preserve">Q4cdn, (2024). </w:t>
      </w:r>
      <w:r w:rsidDel="00000000" w:rsidR="00000000" w:rsidRPr="00000000">
        <w:rPr>
          <w:i w:val="1"/>
          <w:iCs w:val="1"/>
          <w:rtl w:val="0"/>
        </w:rPr>
        <w:t xml:space="preserve">Form 10-K, ANNUAL REPORT 2024</w:t>
      </w:r>
      <w:r w:rsidDel="00000000" w:rsidR="00000000" w:rsidRPr="00000000">
        <w:rPr>
          <w:rtl w:val="0"/>
        </w:rPr>
        <w:t xml:space="preserve">. [online] Available at:</w:t>
      </w:r>
      <w:hyperlink r:id="rId76">
        <w:r w:rsidDel="00000000" w:rsidR="00000000" w:rsidRPr="00000000">
          <w:rPr>
            <w:rtl w:val="0"/>
          </w:rPr>
          <w:t xml:space="preserve"> </w:t>
        </w:r>
      </w:hyperlink>
      <w:hyperlink r:id="rId77">
        <w:r w:rsidDel="00000000" w:rsidR="00000000" w:rsidRPr="00000000">
          <w:rPr>
            <w:color w:val="1155cc"/>
            <w:u w:val="single"/>
            <w:rtl w:val="0"/>
          </w:rPr>
          <w:t xml:space="preserve">https://s203.q4cdn.com/249399152/files/doc_financials/2021/ar/ec2f121c-9941-4dd9-b50a-0aff00d26816-1.pdf</w:t>
        </w:r>
      </w:hyperlink>
      <w:r w:rsidDel="00000000" w:rsidR="00000000" w:rsidRPr="00000000">
        <w:rPr>
          <w:rtl w:val="0"/>
        </w:rPr>
        <w:t xml:space="preserve">. [Access 11</w:t>
      </w:r>
      <w:r w:rsidDel="00000000" w:rsidR="00000000" w:rsidRPr="00000000">
        <w:rPr>
          <w:vertAlign w:val="superscript"/>
          <w:rtl w:val="0"/>
        </w:rPr>
        <w:t xml:space="preserve"> </w:t>
      </w:r>
      <w:r w:rsidDel="00000000" w:rsidR="00000000" w:rsidRPr="00000000">
        <w:rPr>
          <w:rtl w:val="0"/>
        </w:rPr>
        <w:t xml:space="preserve">Aug, 2026]</w:t>
      </w:r>
    </w:p>
    <w:p w:rsidR="00000000" w:rsidDel="00000000" w:rsidP="00000000" w:rsidRDefault="00000000" w:rsidRPr="00000000" w14:paraId="000000B9">
      <w:pPr>
        <w:spacing w:after="160" w:before="0" w:lineRule="auto"/>
        <w:rPr>
          <w:color w:val="1155cc"/>
          <w:u w:val="single"/>
        </w:rPr>
      </w:pPr>
      <w:r w:rsidDel="00000000" w:rsidR="00000000" w:rsidRPr="00000000">
        <w:rPr>
          <w:rtl w:val="0"/>
        </w:rPr>
        <w:t xml:space="preserve">Schoenmaker, D. and Schramade, W., 2023. </w:t>
      </w:r>
      <w:r w:rsidDel="00000000" w:rsidR="00000000" w:rsidRPr="00000000">
        <w:rPr>
          <w:i w:val="1"/>
          <w:iCs w:val="1"/>
          <w:rtl w:val="0"/>
        </w:rPr>
        <w:t xml:space="preserve">Corporate finance for long-term value</w:t>
      </w:r>
      <w:r w:rsidDel="00000000" w:rsidR="00000000" w:rsidRPr="00000000">
        <w:rPr>
          <w:rtl w:val="0"/>
        </w:rPr>
        <w:t xml:space="preserve">. Berlin and Heidelberg: Springer.</w:t>
      </w:r>
      <w:hyperlink r:id="rId78">
        <w:r w:rsidDel="00000000" w:rsidR="00000000" w:rsidRPr="00000000">
          <w:rPr>
            <w:rtl w:val="0"/>
          </w:rPr>
          <w:t xml:space="preserve"> </w:t>
        </w:r>
      </w:hyperlink>
      <w:hyperlink r:id="rId79">
        <w:r w:rsidDel="00000000" w:rsidR="00000000" w:rsidRPr="00000000">
          <w:rPr>
            <w:color w:val="1155cc"/>
            <w:u w:val="single"/>
            <w:rtl w:val="0"/>
          </w:rPr>
          <w:t xml:space="preserve">https://doi.org/10.1007/978-3-031-35009-2</w:t>
        </w:r>
      </w:hyperlink>
      <w:r w:rsidDel="00000000" w:rsidR="00000000" w:rsidRPr="00000000">
        <w:rPr>
          <w:rtl w:val="0"/>
        </w:rPr>
      </w:r>
    </w:p>
    <w:p w:rsidR="00000000" w:rsidDel="00000000" w:rsidP="00000000" w:rsidRDefault="00000000" w:rsidRPr="00000000" w14:paraId="000000BA">
      <w:pPr>
        <w:spacing w:after="160" w:before="0" w:lineRule="auto"/>
        <w:rPr>
          <w:color w:val="1155cc"/>
          <w:u w:val="single"/>
        </w:rPr>
      </w:pPr>
      <w:r w:rsidDel="00000000" w:rsidR="00000000" w:rsidRPr="00000000">
        <w:rPr>
          <w:rtl w:val="0"/>
        </w:rPr>
        <w:t xml:space="preserve">Sokolov, M.V., 2024. Npv, irr, pi, pp, and dpp: A unified view. </w:t>
      </w:r>
      <w:r w:rsidDel="00000000" w:rsidR="00000000" w:rsidRPr="00000000">
        <w:rPr>
          <w:i w:val="1"/>
          <w:iCs w:val="1"/>
          <w:rtl w:val="0"/>
        </w:rPr>
        <w:t xml:space="preserve">Journal of Mathematical Economics</w:t>
      </w:r>
      <w:r w:rsidDel="00000000" w:rsidR="00000000" w:rsidRPr="00000000">
        <w:rPr>
          <w:rtl w:val="0"/>
        </w:rPr>
        <w:t xml:space="preserve">, </w:t>
      </w:r>
      <w:r w:rsidDel="00000000" w:rsidR="00000000" w:rsidRPr="00000000">
        <w:rPr>
          <w:i w:val="1"/>
          <w:iCs w:val="1"/>
          <w:rtl w:val="0"/>
        </w:rPr>
        <w:t xml:space="preserve">114</w:t>
      </w:r>
      <w:r w:rsidDel="00000000" w:rsidR="00000000" w:rsidRPr="00000000">
        <w:rPr>
          <w:rtl w:val="0"/>
        </w:rPr>
        <w:t xml:space="preserve">, p.102992.</w:t>
      </w:r>
      <w:hyperlink r:id="rId80">
        <w:r w:rsidDel="00000000" w:rsidR="00000000" w:rsidRPr="00000000">
          <w:rPr>
            <w:rtl w:val="0"/>
          </w:rPr>
          <w:t xml:space="preserve"> </w:t>
        </w:r>
      </w:hyperlink>
      <w:hyperlink r:id="rId81">
        <w:r w:rsidDel="00000000" w:rsidR="00000000" w:rsidRPr="00000000">
          <w:rPr>
            <w:color w:val="1155cc"/>
            <w:u w:val="single"/>
            <w:rtl w:val="0"/>
          </w:rPr>
          <w:t xml:space="preserve">https://doi.org/10.1016/j.jmateco.2024.102992</w:t>
        </w:r>
      </w:hyperlink>
      <w:r w:rsidDel="00000000" w:rsidR="00000000" w:rsidRPr="00000000">
        <w:rPr>
          <w:rtl w:val="0"/>
        </w:rPr>
      </w:r>
    </w:p>
    <w:p w:rsidR="00000000" w:rsidDel="00000000" w:rsidP="00000000" w:rsidRDefault="00000000" w:rsidRPr="00000000" w14:paraId="000000BB">
      <w:pPr>
        <w:spacing w:after="160" w:before="0" w:lineRule="auto"/>
        <w:rPr>
          <w:color w:val="1155cc"/>
          <w:u w:val="single"/>
        </w:rPr>
      </w:pPr>
      <w:r w:rsidDel="00000000" w:rsidR="00000000" w:rsidRPr="00000000">
        <w:rPr>
          <w:rtl w:val="0"/>
        </w:rPr>
        <w:t xml:space="preserve">Stavropoulos, A.S. and Zounta, S., 2025. Cash conversion cycle and profitability: Evidence from Greek service firms. </w:t>
      </w:r>
      <w:r w:rsidDel="00000000" w:rsidR="00000000" w:rsidRPr="00000000">
        <w:rPr>
          <w:i w:val="1"/>
          <w:iCs w:val="1"/>
          <w:rtl w:val="0"/>
        </w:rPr>
        <w:t xml:space="preserve">Journal of Risk and Financial Management</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(4), p.208.</w:t>
      </w:r>
      <w:hyperlink r:id="rId82">
        <w:r w:rsidDel="00000000" w:rsidR="00000000" w:rsidRPr="00000000">
          <w:rPr>
            <w:rtl w:val="0"/>
          </w:rPr>
          <w:t xml:space="preserve"> </w:t>
        </w:r>
      </w:hyperlink>
      <w:hyperlink r:id="rId83">
        <w:r w:rsidDel="00000000" w:rsidR="00000000" w:rsidRPr="00000000">
          <w:rPr>
            <w:color w:val="1155cc"/>
            <w:u w:val="single"/>
            <w:rtl w:val="0"/>
          </w:rPr>
          <w:t xml:space="preserve">https://doi.org/10.3390/jrfm18040208</w:t>
        </w:r>
      </w:hyperlink>
      <w:r w:rsidDel="00000000" w:rsidR="00000000" w:rsidRPr="00000000">
        <w:rPr>
          <w:rtl w:val="0"/>
        </w:rPr>
      </w:r>
    </w:p>
    <w:p w:rsidR="00000000" w:rsidDel="00000000" w:rsidP="00000000" w:rsidRDefault="00000000" w:rsidRPr="00000000" w14:paraId="000000BC">
      <w:pPr>
        <w:spacing w:after="160" w:before="0" w:lineRule="auto"/>
        <w:rPr/>
      </w:pPr>
      <w:r w:rsidDel="00000000" w:rsidR="00000000" w:rsidRPr="00000000">
        <w:rPr>
          <w:rtl w:val="0"/>
        </w:rPr>
        <w:t xml:space="preserve">UN Tourism. (2025). </w:t>
      </w:r>
      <w:r w:rsidDel="00000000" w:rsidR="00000000" w:rsidRPr="00000000">
        <w:rPr>
          <w:i w:val="1"/>
          <w:iCs w:val="1"/>
          <w:rtl w:val="0"/>
        </w:rPr>
        <w:t xml:space="preserve">World Tourism Barometer (PPT version).</w:t>
      </w:r>
      <w:r w:rsidDel="00000000" w:rsidR="00000000" w:rsidRPr="00000000">
        <w:rPr>
          <w:rtl w:val="0"/>
        </w:rPr>
        <w:t xml:space="preserve"> [online] Available at:</w:t>
      </w:r>
      <w:hyperlink r:id="rId84">
        <w:r w:rsidDel="00000000" w:rsidR="00000000" w:rsidRPr="00000000">
          <w:rPr>
            <w:rtl w:val="0"/>
          </w:rPr>
          <w:t xml:space="preserve"> </w:t>
        </w:r>
      </w:hyperlink>
      <w:hyperlink r:id="rId85">
        <w:r w:rsidDel="00000000" w:rsidR="00000000" w:rsidRPr="00000000">
          <w:rPr>
            <w:color w:val="1155cc"/>
            <w:u w:val="single"/>
            <w:rtl w:val="0"/>
          </w:rPr>
          <w:t xml:space="preserve">https://pre-webunwto.s3.eu-west-1.amazonaws.com/s3fs-public/2025-01/Barom_PPT_Jan_2025.pdf</w:t>
        </w:r>
      </w:hyperlink>
      <w:r w:rsidDel="00000000" w:rsidR="00000000" w:rsidRPr="00000000">
        <w:rPr>
          <w:rtl w:val="0"/>
        </w:rPr>
        <w:t xml:space="preserve">. [Accessed 11 Aug. 2026].</w:t>
      </w:r>
    </w:p>
    <w:p w:rsidR="00000000" w:rsidDel="00000000" w:rsidP="00000000" w:rsidRDefault="00000000" w:rsidRPr="00000000" w14:paraId="000000BD">
      <w:pPr>
        <w:spacing w:after="160" w:before="0" w:lineRule="auto"/>
        <w:rPr/>
      </w:pPr>
      <w:r w:rsidDel="00000000" w:rsidR="00000000" w:rsidRPr="00000000">
        <w:rPr>
          <w:rtl w:val="0"/>
        </w:rPr>
        <w:t xml:space="preserve">WTTC. (2024). </w:t>
      </w:r>
      <w:r w:rsidDel="00000000" w:rsidR="00000000" w:rsidRPr="00000000">
        <w:rPr>
          <w:i w:val="1"/>
          <w:iCs w:val="1"/>
          <w:rtl w:val="0"/>
        </w:rPr>
        <w:t xml:space="preserve">Travel &amp; Tourism Economic Impact 2024. Global Trends.</w:t>
      </w:r>
      <w:r w:rsidDel="00000000" w:rsidR="00000000" w:rsidRPr="00000000">
        <w:rPr>
          <w:rtl w:val="0"/>
        </w:rPr>
        <w:t xml:space="preserve"> [online] Available at:</w:t>
      </w:r>
      <w:hyperlink r:id="rId86">
        <w:r w:rsidDel="00000000" w:rsidR="00000000" w:rsidRPr="00000000">
          <w:rPr>
            <w:rtl w:val="0"/>
          </w:rPr>
          <w:t xml:space="preserve"> </w:t>
        </w:r>
      </w:hyperlink>
      <w:hyperlink r:id="rId87">
        <w:r w:rsidDel="00000000" w:rsidR="00000000" w:rsidRPr="00000000">
          <w:rPr>
            <w:color w:val="1155cc"/>
            <w:u w:val="single"/>
            <w:rtl w:val="0"/>
          </w:rPr>
          <w:t xml:space="preserve">https://assets-global.website-files.com/6329bc97af73223b575983ac/6643349dbfbdc3e3c03afcb8_EIR2024-World-130524.pdf</w:t>
        </w:r>
      </w:hyperlink>
      <w:r w:rsidDel="00000000" w:rsidR="00000000" w:rsidRPr="00000000">
        <w:rPr>
          <w:rtl w:val="0"/>
        </w:rPr>
        <w:t xml:space="preserve"> [Accessed 11 Aug. 2026].</w:t>
      </w:r>
    </w:p>
    <w:p w:rsidR="00000000" w:rsidDel="00000000" w:rsidP="00000000" w:rsidRDefault="00000000" w:rsidRPr="00000000" w14:paraId="000000BE">
      <w:pPr>
        <w:spacing w:after="160" w:before="0" w:lineRule="auto"/>
        <w:rPr/>
        <w:sectPr>
          <w:footerReference r:id="rId88" w:type="default"/>
          <w:pgSz w:h="15840" w:w="12240" w:orient="portrait"/>
          <w:pgMar w:bottom="1440" w:top="1440" w:left="1440" w:right="1440" w:header="720" w:footer="720"/>
          <w:pgNumType w:start="1"/>
        </w:sectPr>
      </w:pPr>
      <w:r w:rsidDel="00000000" w:rsidR="00000000" w:rsidRPr="00000000">
        <w:rPr>
          <w:rtl w:val="0"/>
        </w:rPr>
        <w:t xml:space="preserve">Wu, D., Li, H. and Yang, J., 2023. How does social responsibility investment strategy contribute to hospitality firms’ recovery from public health emergencies? The case of COVID-19 pandemic. </w:t>
      </w:r>
      <w:r w:rsidDel="00000000" w:rsidR="00000000" w:rsidRPr="00000000">
        <w:rPr>
          <w:i w:val="1"/>
          <w:iCs w:val="1"/>
          <w:rtl w:val="0"/>
        </w:rPr>
        <w:t xml:space="preserve">International Journal of Hospitality Management</w:t>
      </w:r>
      <w:r w:rsidDel="00000000" w:rsidR="00000000" w:rsidRPr="00000000">
        <w:rPr>
          <w:rtl w:val="0"/>
        </w:rPr>
        <w:t xml:space="preserve">, </w:t>
      </w:r>
      <w:r w:rsidDel="00000000" w:rsidR="00000000" w:rsidRPr="00000000">
        <w:rPr>
          <w:i w:val="1"/>
          <w:iCs w:val="1"/>
          <w:rtl w:val="0"/>
        </w:rPr>
        <w:t xml:space="preserve">113</w:t>
      </w:r>
      <w:r w:rsidDel="00000000" w:rsidR="00000000" w:rsidRPr="00000000">
        <w:rPr>
          <w:rtl w:val="0"/>
        </w:rPr>
        <w:t xml:space="preserve">, p.103530.</w:t>
      </w:r>
      <w:hyperlink r:id="rId89">
        <w:r w:rsidDel="00000000" w:rsidR="00000000" w:rsidRPr="00000000">
          <w:rPr>
            <w:rtl w:val="0"/>
          </w:rPr>
          <w:t xml:space="preserve"> </w:t>
        </w:r>
      </w:hyperlink>
      <w:hyperlink r:id="rId90">
        <w:r w:rsidDel="00000000" w:rsidR="00000000" w:rsidRPr="00000000">
          <w:rPr>
            <w:color w:val="1155cc"/>
            <w:u w:val="single"/>
            <w:rtl w:val="0"/>
          </w:rPr>
          <w:t xml:space="preserve">https://doi.org/10.1016/j.ijhm.2023.103530</w:t>
        </w:r>
      </w:hyperlink>
      <w:r w:rsidDel="00000000" w:rsidR="00000000" w:rsidRPr="00000000">
        <w:rPr>
          <w:rtl w:val="0"/>
        </w:rPr>
      </w:r>
    </w:p>
    <w:p w:rsidR="00000000" w:rsidDel="00000000" w:rsidP="00000000" w:rsidRDefault="00000000" w:rsidRPr="00000000" w14:paraId="000000BF">
      <w:pPr>
        <w:pStyle w:val="Heading1"/>
        <w:rPr/>
      </w:pPr>
      <w:bookmarkStart w:colFirst="0" w:colLast="0" w:name="_wg8pchxeb9yp" w:id="23"/>
      <w:bookmarkEnd w:id="23"/>
      <w:r w:rsidDel="00000000" w:rsidR="00000000" w:rsidRPr="00000000">
        <w:rPr>
          <w:rtl w:val="0"/>
        </w:rPr>
        <w:t xml:space="preserve">Appendices</w:t>
      </w:r>
    </w:p>
    <w:p w:rsidR="00000000" w:rsidDel="00000000" w:rsidP="00000000" w:rsidRDefault="00000000" w:rsidRPr="00000000" w14:paraId="000000C0">
      <w:pPr>
        <w:pStyle w:val="Heading2"/>
        <w:rPr/>
      </w:pPr>
      <w:bookmarkStart w:colFirst="0" w:colLast="0" w:name="_vjqrto7qweev" w:id="24"/>
      <w:bookmarkEnd w:id="24"/>
      <w:r w:rsidDel="00000000" w:rsidR="00000000" w:rsidRPr="00000000">
        <w:rPr>
          <w:rtl w:val="0"/>
        </w:rPr>
        <w:t xml:space="preserve">Appendix 1: Ratio tables and graph </w:t>
      </w:r>
    </w:p>
    <w:p w:rsidR="00000000" w:rsidDel="00000000" w:rsidP="00000000" w:rsidRDefault="00000000" w:rsidRPr="00000000" w14:paraId="000000C1">
      <w:pPr>
        <w:pStyle w:val="Heading3"/>
        <w:numPr>
          <w:ilvl w:val="1"/>
          <w:numId w:val="1"/>
        </w:numPr>
        <w:ind w:left="400" w:hanging="400"/>
        <w:rPr/>
      </w:pPr>
      <w:bookmarkStart w:colFirst="0" w:colLast="0" w:name="_avuv6iizi21p" w:id="25"/>
      <w:bookmarkEnd w:id="25"/>
      <w:r w:rsidDel="00000000" w:rsidR="00000000" w:rsidRPr="00000000">
        <w:rPr>
          <w:rtl w:val="0"/>
        </w:rPr>
        <w:t xml:space="preserve">Ratio table</w:t>
      </w:r>
    </w:p>
    <w:tbl>
      <w:tblPr>
        <w:tblStyle w:val="Table1"/>
        <w:tblW w:w="12955.0" w:type="dxa"/>
        <w:jc w:val="left"/>
        <w:tblLayout w:type="fixed"/>
        <w:tblLook w:val="0400"/>
      </w:tblPr>
      <w:tblGrid>
        <w:gridCol w:w="1458"/>
        <w:gridCol w:w="1867"/>
        <w:gridCol w:w="515"/>
        <w:gridCol w:w="1806"/>
        <w:gridCol w:w="474"/>
        <w:gridCol w:w="1806"/>
        <w:gridCol w:w="466"/>
        <w:gridCol w:w="1764"/>
        <w:gridCol w:w="466"/>
        <w:gridCol w:w="1867"/>
        <w:gridCol w:w="466"/>
        <w:tblGridChange w:id="0">
          <w:tblGrid>
            <w:gridCol w:w="1458"/>
            <w:gridCol w:w="1867"/>
            <w:gridCol w:w="515"/>
            <w:gridCol w:w="1806"/>
            <w:gridCol w:w="474"/>
            <w:gridCol w:w="1806"/>
            <w:gridCol w:w="466"/>
            <w:gridCol w:w="1764"/>
            <w:gridCol w:w="466"/>
            <w:gridCol w:w="1867"/>
            <w:gridCol w:w="466"/>
          </w:tblGrid>
        </w:tblGridChange>
      </w:tblGrid>
      <w:tr>
        <w:trPr>
          <w:cantSplit w:val="0"/>
          <w:trHeight w:val="48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C2">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Ratio</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3">
            <w:pPr>
              <w:spacing w:before="0" w:line="240" w:lineRule="auto"/>
              <w:jc w:val="center"/>
              <w:rPr>
                <w:b w:val="1"/>
                <w:bCs w:val="1"/>
                <w:color w:val="000000"/>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4">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5">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6">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7">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8">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9">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A">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B">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CC">
            <w:pPr>
              <w:spacing w:before="0" w:line="240" w:lineRule="auto"/>
              <w:jc w:val="left"/>
              <w:rPr>
                <w:rFonts w:ascii="Times New Roman" w:cs="Times New Roman" w:eastAsia="Times New Roman" w:hAnsi="Times New Roman"/>
                <w:sz w:val="20"/>
                <w:szCs w:val="20"/>
              </w:rPr>
            </w:pPr>
            <w:r w:rsidDel="00000000" w:rsidR="00000000" w:rsidRPr="00000000">
              <w:rPr>
                <w:rtl w:val="0"/>
              </w:rPr>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shd w:fill="2f75b5" w:val="clear"/>
            <w:vAlign w:val="center"/>
          </w:tcPr>
          <w:p w:rsidR="00000000" w:rsidDel="00000000" w:rsidP="00000000" w:rsidRDefault="00000000" w:rsidRPr="00000000" w14:paraId="000000CD">
            <w:pPr>
              <w:spacing w:before="0" w:line="240" w:lineRule="auto"/>
              <w:jc w:val="left"/>
              <w:rPr>
                <w:b w:val="1"/>
                <w:bCs w:val="1"/>
                <w:color w:val="ffffff"/>
                <w:sz w:val="20"/>
                <w:szCs w:val="20"/>
              </w:rPr>
            </w:pPr>
            <w:r w:rsidDel="00000000" w:rsidR="00000000" w:rsidRPr="00000000">
              <w:rPr>
                <w:b w:val="1"/>
                <w:bCs w:val="1"/>
                <w:color w:val="ffffff"/>
                <w:sz w:val="20"/>
                <w:szCs w:val="20"/>
                <w:rtl w:val="0"/>
              </w:rPr>
              <w:t xml:space="preserve">PROFITABILITY</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CE">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2020</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CF">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2020</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0">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2021</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1">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2021</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2">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2022</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3">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2022</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4">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2023</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5">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2023</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6">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2024</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D7">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2024</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0D8">
            <w:pPr>
              <w:spacing w:before="0" w:line="240" w:lineRule="auto"/>
              <w:jc w:val="left"/>
              <w:rPr>
                <w:color w:val="000000"/>
                <w:sz w:val="20"/>
                <w:szCs w:val="20"/>
              </w:rPr>
            </w:pPr>
            <w:r w:rsidDel="00000000" w:rsidR="00000000" w:rsidRPr="00000000">
              <w:rPr>
                <w:color w:val="000000"/>
                <w:sz w:val="20"/>
                <w:szCs w:val="20"/>
                <w:rtl w:val="0"/>
              </w:rPr>
              <w:t xml:space="preserve">Net profit margin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D9">
            <w:pPr>
              <w:spacing w:before="0" w:line="240" w:lineRule="auto"/>
              <w:jc w:val="left"/>
              <w:rPr>
                <w:color w:val="000000"/>
                <w:sz w:val="20"/>
                <w:szCs w:val="20"/>
              </w:rPr>
            </w:pPr>
            <w:r w:rsidDel="00000000" w:rsidR="00000000" w:rsidRPr="00000000">
              <w:rPr>
                <w:color w:val="000000"/>
                <w:sz w:val="20"/>
                <w:szCs w:val="20"/>
                <w:rtl w:val="0"/>
              </w:rPr>
              <w:t xml:space="preserve">(703) / 2,066 = (34.0271%)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DA">
            <w:pPr>
              <w:spacing w:before="0" w:line="240" w:lineRule="auto"/>
              <w:jc w:val="right"/>
              <w:rPr>
                <w:color w:val="000000"/>
                <w:sz w:val="20"/>
                <w:szCs w:val="20"/>
              </w:rPr>
            </w:pPr>
            <w:r w:rsidDel="00000000" w:rsidR="00000000" w:rsidRPr="00000000">
              <w:rPr>
                <w:color w:val="ff0000"/>
                <w:sz w:val="20"/>
                <w:szCs w:val="20"/>
                <w:rtl w:val="0"/>
              </w:rPr>
              <w:t xml:space="preserve">(34.03%)</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DB">
            <w:pPr>
              <w:spacing w:before="0" w:line="240" w:lineRule="auto"/>
              <w:jc w:val="left"/>
              <w:rPr>
                <w:color w:val="000000"/>
                <w:sz w:val="20"/>
                <w:szCs w:val="20"/>
              </w:rPr>
            </w:pPr>
            <w:r w:rsidDel="00000000" w:rsidR="00000000" w:rsidRPr="00000000">
              <w:rPr>
                <w:color w:val="000000"/>
                <w:sz w:val="20"/>
                <w:szCs w:val="20"/>
                <w:rtl w:val="0"/>
              </w:rPr>
              <w:t xml:space="preserve">(222) / 3,028 = (7.3316%)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DC">
            <w:pPr>
              <w:spacing w:before="0" w:line="240" w:lineRule="auto"/>
              <w:jc w:val="right"/>
              <w:rPr>
                <w:color w:val="000000"/>
                <w:sz w:val="20"/>
                <w:szCs w:val="20"/>
              </w:rPr>
            </w:pPr>
            <w:r w:rsidDel="00000000" w:rsidR="00000000" w:rsidRPr="00000000">
              <w:rPr>
                <w:color w:val="ff0000"/>
                <w:sz w:val="20"/>
                <w:szCs w:val="20"/>
                <w:rtl w:val="0"/>
              </w:rPr>
              <w:t xml:space="preserve">(7.33%)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0DD">
            <w:pPr>
              <w:spacing w:before="0" w:line="240" w:lineRule="auto"/>
              <w:jc w:val="left"/>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455 / 5,891 = 7.7236%</w:t>
            </w:r>
          </w:p>
        </w:tc>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0DE">
            <w:pPr>
              <w:spacing w:before="0" w:line="240" w:lineRule="auto"/>
              <w:jc w:val="right"/>
              <w:rPr>
                <w:color w:val="000000"/>
                <w:sz w:val="20"/>
                <w:szCs w:val="20"/>
              </w:rPr>
            </w:pPr>
            <w:r w:rsidDel="00000000" w:rsidR="00000000" w:rsidRPr="00000000">
              <w:rPr>
                <w:color w:val="000000"/>
                <w:sz w:val="20"/>
                <w:szCs w:val="20"/>
                <w:rtl w:val="0"/>
              </w:rPr>
              <w:t xml:space="preserve">7.72%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DF">
            <w:pPr>
              <w:spacing w:before="0" w:line="240" w:lineRule="auto"/>
              <w:jc w:val="left"/>
              <w:rPr>
                <w:color w:val="000000"/>
                <w:sz w:val="20"/>
                <w:szCs w:val="20"/>
              </w:rPr>
            </w:pPr>
            <w:r w:rsidDel="00000000" w:rsidR="00000000" w:rsidRPr="00000000">
              <w:rPr>
                <w:color w:val="000000"/>
                <w:sz w:val="20"/>
                <w:szCs w:val="20"/>
                <w:rtl w:val="0"/>
              </w:rPr>
              <w:t xml:space="preserve">220 / 6,667 = 3.2998%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0">
            <w:pPr>
              <w:spacing w:before="0" w:line="240" w:lineRule="auto"/>
              <w:jc w:val="right"/>
              <w:rPr>
                <w:color w:val="000000"/>
                <w:sz w:val="20"/>
                <w:szCs w:val="20"/>
              </w:rPr>
            </w:pPr>
            <w:r w:rsidDel="00000000" w:rsidR="00000000" w:rsidRPr="00000000">
              <w:rPr>
                <w:color w:val="000000"/>
                <w:sz w:val="20"/>
                <w:szCs w:val="20"/>
                <w:rtl w:val="0"/>
              </w:rPr>
              <w:t xml:space="preserve">3.30%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1">
            <w:pPr>
              <w:spacing w:before="0" w:line="240" w:lineRule="auto"/>
              <w:jc w:val="left"/>
              <w:rPr>
                <w:color w:val="000000"/>
                <w:sz w:val="20"/>
                <w:szCs w:val="20"/>
              </w:rPr>
            </w:pPr>
            <w:r w:rsidDel="00000000" w:rsidR="00000000" w:rsidRPr="00000000">
              <w:rPr>
                <w:color w:val="000000"/>
                <w:sz w:val="20"/>
                <w:szCs w:val="20"/>
                <w:rtl w:val="0"/>
              </w:rPr>
              <w:t xml:space="preserve">1,296 / 6,648 = 19.4946%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2">
            <w:pPr>
              <w:spacing w:before="0" w:line="240" w:lineRule="auto"/>
              <w:jc w:val="right"/>
              <w:rPr>
                <w:color w:val="000000"/>
                <w:sz w:val="20"/>
                <w:szCs w:val="20"/>
              </w:rPr>
            </w:pPr>
            <w:r w:rsidDel="00000000" w:rsidR="00000000" w:rsidRPr="00000000">
              <w:rPr>
                <w:color w:val="000000"/>
                <w:sz w:val="20"/>
                <w:szCs w:val="20"/>
                <w:rtl w:val="0"/>
              </w:rPr>
              <w:t xml:space="preserve">19.49%</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0E3">
            <w:pPr>
              <w:spacing w:before="0" w:line="240" w:lineRule="auto"/>
              <w:jc w:val="left"/>
              <w:rPr>
                <w:color w:val="000000"/>
                <w:sz w:val="20"/>
                <w:szCs w:val="20"/>
              </w:rPr>
            </w:pPr>
            <w:r w:rsidDel="00000000" w:rsidR="00000000" w:rsidRPr="00000000">
              <w:rPr>
                <w:color w:val="000000"/>
                <w:sz w:val="20"/>
                <w:szCs w:val="20"/>
                <w:rtl w:val="0"/>
              </w:rPr>
              <w:t xml:space="preserve">Return on assets (closing assets)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4">
            <w:pPr>
              <w:spacing w:before="0" w:line="240" w:lineRule="auto"/>
              <w:jc w:val="left"/>
              <w:rPr>
                <w:color w:val="000000"/>
                <w:sz w:val="20"/>
                <w:szCs w:val="20"/>
              </w:rPr>
            </w:pPr>
            <w:r w:rsidDel="00000000" w:rsidR="00000000" w:rsidRPr="00000000">
              <w:rPr>
                <w:color w:val="000000"/>
                <w:sz w:val="20"/>
                <w:szCs w:val="20"/>
                <w:rtl w:val="0"/>
              </w:rPr>
              <w:t xml:space="preserve">(703) / 9,129 = (7.7007%)</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5">
            <w:pPr>
              <w:spacing w:before="0" w:line="240" w:lineRule="auto"/>
              <w:jc w:val="right"/>
              <w:rPr>
                <w:color w:val="000000"/>
                <w:sz w:val="20"/>
                <w:szCs w:val="20"/>
              </w:rPr>
            </w:pPr>
            <w:r w:rsidDel="00000000" w:rsidR="00000000" w:rsidRPr="00000000">
              <w:rPr>
                <w:color w:val="ff0000"/>
                <w:sz w:val="20"/>
                <w:szCs w:val="20"/>
                <w:rtl w:val="0"/>
              </w:rPr>
              <w:t xml:space="preserve">(7.70%)</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6">
            <w:pPr>
              <w:spacing w:before="0" w:line="240" w:lineRule="auto"/>
              <w:jc w:val="left"/>
              <w:rPr>
                <w:color w:val="000000"/>
                <w:sz w:val="20"/>
                <w:szCs w:val="20"/>
              </w:rPr>
            </w:pPr>
            <w:r w:rsidDel="00000000" w:rsidR="00000000" w:rsidRPr="00000000">
              <w:rPr>
                <w:color w:val="000000"/>
                <w:sz w:val="20"/>
                <w:szCs w:val="20"/>
                <w:rtl w:val="0"/>
              </w:rPr>
              <w:t xml:space="preserve">(222) / 12,603 = (1.7615%)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7">
            <w:pPr>
              <w:spacing w:before="0" w:line="240" w:lineRule="auto"/>
              <w:jc w:val="right"/>
              <w:rPr>
                <w:color w:val="000000"/>
                <w:sz w:val="20"/>
                <w:szCs w:val="20"/>
              </w:rPr>
            </w:pPr>
            <w:r w:rsidDel="00000000" w:rsidR="00000000" w:rsidRPr="00000000">
              <w:rPr>
                <w:color w:val="ff0000"/>
                <w:sz w:val="20"/>
                <w:szCs w:val="20"/>
                <w:rtl w:val="0"/>
              </w:rPr>
              <w:t xml:space="preserve">(1.76%)</w:t>
            </w: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0E8">
            <w:pPr>
              <w:spacing w:before="0" w:line="240" w:lineRule="auto"/>
              <w:jc w:val="left"/>
              <w:rPr>
                <w:color w:val="000000"/>
                <w:sz w:val="20"/>
                <w:szCs w:val="20"/>
              </w:rPr>
            </w:pPr>
            <w:r w:rsidDel="00000000" w:rsidR="00000000" w:rsidRPr="00000000">
              <w:rPr>
                <w:color w:val="000000"/>
                <w:sz w:val="20"/>
                <w:szCs w:val="20"/>
                <w:rtl w:val="0"/>
              </w:rPr>
              <w:t xml:space="preserve">455 / 12,312 = 3.6956%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9">
            <w:pPr>
              <w:spacing w:before="0" w:line="240" w:lineRule="auto"/>
              <w:jc w:val="right"/>
              <w:rPr>
                <w:color w:val="000000"/>
                <w:sz w:val="20"/>
                <w:szCs w:val="20"/>
              </w:rPr>
            </w:pPr>
            <w:r w:rsidDel="00000000" w:rsidR="00000000" w:rsidRPr="00000000">
              <w:rPr>
                <w:color w:val="000000"/>
                <w:sz w:val="20"/>
                <w:szCs w:val="20"/>
                <w:rtl w:val="0"/>
              </w:rPr>
              <w:t xml:space="preserve">3.70%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A">
            <w:pPr>
              <w:spacing w:before="0" w:line="240" w:lineRule="auto"/>
              <w:jc w:val="left"/>
              <w:rPr>
                <w:color w:val="000000"/>
                <w:sz w:val="20"/>
                <w:szCs w:val="20"/>
              </w:rPr>
            </w:pPr>
            <w:r w:rsidDel="00000000" w:rsidR="00000000" w:rsidRPr="00000000">
              <w:rPr>
                <w:color w:val="000000"/>
                <w:sz w:val="20"/>
                <w:szCs w:val="20"/>
                <w:rtl w:val="0"/>
              </w:rPr>
              <w:t xml:space="preserve">220 / 12,833 = 1.7143%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B">
            <w:pPr>
              <w:spacing w:before="0" w:line="240" w:lineRule="auto"/>
              <w:jc w:val="right"/>
              <w:rPr>
                <w:color w:val="000000"/>
                <w:sz w:val="20"/>
                <w:szCs w:val="20"/>
              </w:rPr>
            </w:pPr>
            <w:r w:rsidDel="00000000" w:rsidR="00000000" w:rsidRPr="00000000">
              <w:rPr>
                <w:color w:val="000000"/>
                <w:sz w:val="20"/>
                <w:szCs w:val="20"/>
                <w:rtl w:val="0"/>
              </w:rPr>
              <w:t xml:space="preserve">1.71%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C">
            <w:pPr>
              <w:spacing w:before="0" w:line="240" w:lineRule="auto"/>
              <w:jc w:val="left"/>
              <w:rPr>
                <w:color w:val="000000"/>
                <w:sz w:val="20"/>
                <w:szCs w:val="20"/>
              </w:rPr>
            </w:pPr>
            <w:r w:rsidDel="00000000" w:rsidR="00000000" w:rsidRPr="00000000">
              <w:rPr>
                <w:color w:val="000000"/>
                <w:sz w:val="20"/>
                <w:szCs w:val="20"/>
                <w:rtl w:val="0"/>
              </w:rPr>
              <w:t xml:space="preserve">1,296 / 13,324 = 9.7268%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D">
            <w:pPr>
              <w:spacing w:before="0" w:line="240" w:lineRule="auto"/>
              <w:jc w:val="right"/>
              <w:rPr>
                <w:color w:val="000000"/>
                <w:sz w:val="20"/>
                <w:szCs w:val="20"/>
              </w:rPr>
            </w:pPr>
            <w:r w:rsidDel="00000000" w:rsidR="00000000" w:rsidRPr="00000000">
              <w:rPr>
                <w:color w:val="000000"/>
                <w:sz w:val="20"/>
                <w:szCs w:val="20"/>
                <w:rtl w:val="0"/>
              </w:rPr>
              <w:t xml:space="preserve">9.73%</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0EE">
            <w:pPr>
              <w:spacing w:before="0" w:line="240" w:lineRule="auto"/>
              <w:jc w:val="left"/>
              <w:rPr>
                <w:color w:val="000000"/>
                <w:sz w:val="20"/>
                <w:szCs w:val="20"/>
              </w:rPr>
            </w:pPr>
            <w:r w:rsidDel="00000000" w:rsidR="00000000" w:rsidRPr="00000000">
              <w:rPr>
                <w:color w:val="000000"/>
                <w:sz w:val="20"/>
                <w:szCs w:val="20"/>
                <w:rtl w:val="0"/>
              </w:rPr>
              <w:t xml:space="preserve">Return on equity (closing equity)</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EF">
            <w:pPr>
              <w:spacing w:before="0" w:line="240" w:lineRule="auto"/>
              <w:jc w:val="left"/>
              <w:rPr>
                <w:color w:val="000000"/>
                <w:sz w:val="20"/>
                <w:szCs w:val="20"/>
              </w:rPr>
            </w:pPr>
            <w:r w:rsidDel="00000000" w:rsidR="00000000" w:rsidRPr="00000000">
              <w:rPr>
                <w:color w:val="000000"/>
                <w:sz w:val="20"/>
                <w:szCs w:val="20"/>
                <w:rtl w:val="0"/>
              </w:rPr>
              <w:t xml:space="preserve">(703) / 3,211 = (21.8935%)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0">
            <w:pPr>
              <w:spacing w:before="0" w:line="240" w:lineRule="auto"/>
              <w:jc w:val="right"/>
              <w:rPr>
                <w:color w:val="000000"/>
                <w:sz w:val="20"/>
                <w:szCs w:val="20"/>
              </w:rPr>
            </w:pPr>
            <w:r w:rsidDel="00000000" w:rsidR="00000000" w:rsidRPr="00000000">
              <w:rPr>
                <w:color w:val="ff0000"/>
                <w:sz w:val="20"/>
                <w:szCs w:val="20"/>
                <w:rtl w:val="0"/>
              </w:rPr>
              <w:t xml:space="preserve">(21.89%)</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1">
            <w:pPr>
              <w:spacing w:before="0" w:line="240" w:lineRule="auto"/>
              <w:jc w:val="left"/>
              <w:rPr>
                <w:color w:val="000000"/>
                <w:sz w:val="20"/>
                <w:szCs w:val="20"/>
              </w:rPr>
            </w:pPr>
            <w:r w:rsidDel="00000000" w:rsidR="00000000" w:rsidRPr="00000000">
              <w:rPr>
                <w:color w:val="000000"/>
                <w:sz w:val="20"/>
                <w:szCs w:val="20"/>
                <w:rtl w:val="0"/>
              </w:rPr>
              <w:t xml:space="preserve">(222) / 3,563 = (6.2307%)</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2">
            <w:pPr>
              <w:spacing w:before="0" w:line="240" w:lineRule="auto"/>
              <w:jc w:val="right"/>
              <w:rPr>
                <w:color w:val="000000"/>
                <w:sz w:val="20"/>
                <w:szCs w:val="20"/>
              </w:rPr>
            </w:pPr>
            <w:r w:rsidDel="00000000" w:rsidR="00000000" w:rsidRPr="00000000">
              <w:rPr>
                <w:color w:val="ff0000"/>
                <w:sz w:val="20"/>
                <w:szCs w:val="20"/>
                <w:rtl w:val="0"/>
              </w:rPr>
              <w:t xml:space="preserve">(6.23%)</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3">
            <w:pPr>
              <w:spacing w:before="0" w:line="240" w:lineRule="auto"/>
              <w:jc w:val="left"/>
              <w:rPr>
                <w:color w:val="000000"/>
                <w:sz w:val="20"/>
                <w:szCs w:val="20"/>
              </w:rPr>
            </w:pPr>
            <w:r w:rsidDel="00000000" w:rsidR="00000000" w:rsidRPr="00000000">
              <w:rPr>
                <w:color w:val="000000"/>
                <w:sz w:val="20"/>
                <w:szCs w:val="20"/>
                <w:rtl w:val="0"/>
              </w:rPr>
              <w:t xml:space="preserve">455 / 3,699 = 12.3006%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4">
            <w:pPr>
              <w:spacing w:before="0" w:line="240" w:lineRule="auto"/>
              <w:jc w:val="right"/>
              <w:rPr>
                <w:color w:val="000000"/>
                <w:sz w:val="20"/>
                <w:szCs w:val="20"/>
              </w:rPr>
            </w:pPr>
            <w:r w:rsidDel="00000000" w:rsidR="00000000" w:rsidRPr="00000000">
              <w:rPr>
                <w:color w:val="000000"/>
                <w:sz w:val="20"/>
                <w:szCs w:val="20"/>
                <w:rtl w:val="0"/>
              </w:rPr>
              <w:t xml:space="preserve">12.30%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5">
            <w:pPr>
              <w:spacing w:before="0" w:line="240" w:lineRule="auto"/>
              <w:jc w:val="left"/>
              <w:rPr>
                <w:color w:val="000000"/>
                <w:sz w:val="20"/>
                <w:szCs w:val="20"/>
              </w:rPr>
            </w:pPr>
            <w:r w:rsidDel="00000000" w:rsidR="00000000" w:rsidRPr="00000000">
              <w:rPr>
                <w:color w:val="000000"/>
                <w:sz w:val="20"/>
                <w:szCs w:val="20"/>
                <w:rtl w:val="0"/>
              </w:rPr>
              <w:t xml:space="preserve">220 / 3,564 = 6.1728%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6">
            <w:pPr>
              <w:spacing w:before="0" w:line="240" w:lineRule="auto"/>
              <w:jc w:val="right"/>
              <w:rPr>
                <w:color w:val="000000"/>
                <w:sz w:val="20"/>
                <w:szCs w:val="20"/>
              </w:rPr>
            </w:pPr>
            <w:r w:rsidDel="00000000" w:rsidR="00000000" w:rsidRPr="00000000">
              <w:rPr>
                <w:color w:val="000000"/>
                <w:sz w:val="20"/>
                <w:szCs w:val="20"/>
                <w:rtl w:val="0"/>
              </w:rPr>
              <w:t xml:space="preserve">6.17%</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7">
            <w:pPr>
              <w:spacing w:before="0" w:line="240" w:lineRule="auto"/>
              <w:jc w:val="left"/>
              <w:rPr>
                <w:color w:val="000000"/>
                <w:sz w:val="20"/>
                <w:szCs w:val="20"/>
              </w:rPr>
            </w:pPr>
            <w:r w:rsidDel="00000000" w:rsidR="00000000" w:rsidRPr="00000000">
              <w:rPr>
                <w:color w:val="000000"/>
                <w:sz w:val="20"/>
                <w:szCs w:val="20"/>
                <w:rtl w:val="0"/>
              </w:rPr>
              <w:t xml:space="preserve">1,296 / 3,547 = 36.5379%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8">
            <w:pPr>
              <w:spacing w:before="0" w:line="240" w:lineRule="auto"/>
              <w:jc w:val="right"/>
              <w:rPr>
                <w:color w:val="000000"/>
                <w:sz w:val="20"/>
                <w:szCs w:val="20"/>
              </w:rPr>
            </w:pPr>
            <w:r w:rsidDel="00000000" w:rsidR="00000000" w:rsidRPr="00000000">
              <w:rPr>
                <w:color w:val="000000"/>
                <w:sz w:val="20"/>
                <w:szCs w:val="20"/>
                <w:rtl w:val="0"/>
              </w:rPr>
              <w:t xml:space="preserve">36.54%</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0F9">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A">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B">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C">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D">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E">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0FF">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0">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1">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2">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3">
            <w:pPr>
              <w:spacing w:before="0" w:line="240" w:lineRule="auto"/>
              <w:jc w:val="left"/>
              <w:rPr>
                <w:color w:val="000000"/>
                <w:sz w:val="20"/>
                <w:szCs w:val="20"/>
              </w:rPr>
            </w:pPr>
            <w:r w:rsidDel="00000000" w:rsidR="00000000" w:rsidRPr="00000000">
              <w:rPr>
                <w:color w:val="000000"/>
                <w:sz w:val="20"/>
                <w:szCs w:val="20"/>
                <w:rtl w:val="0"/>
              </w:rPr>
              <w:t xml:space="preserve"> </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shd w:fill="2f75b5" w:val="clear"/>
            <w:vAlign w:val="center"/>
          </w:tcPr>
          <w:p w:rsidR="00000000" w:rsidDel="00000000" w:rsidP="00000000" w:rsidRDefault="00000000" w:rsidRPr="00000000" w14:paraId="00000104">
            <w:pPr>
              <w:spacing w:before="0" w:line="240" w:lineRule="auto"/>
              <w:jc w:val="left"/>
              <w:rPr>
                <w:b w:val="1"/>
                <w:bCs w:val="1"/>
                <w:color w:val="ffffff"/>
                <w:sz w:val="20"/>
                <w:szCs w:val="20"/>
              </w:rPr>
            </w:pPr>
            <w:r w:rsidDel="00000000" w:rsidR="00000000" w:rsidRPr="00000000">
              <w:rPr>
                <w:b w:val="1"/>
                <w:bCs w:val="1"/>
                <w:color w:val="ffffff"/>
                <w:sz w:val="20"/>
                <w:szCs w:val="20"/>
                <w:rtl w:val="0"/>
              </w:rPr>
              <w:t xml:space="preserve">LIQUIDITY</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5">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6">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7">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8">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9">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A">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B">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C">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D">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0E">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2024</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0F">
            <w:pPr>
              <w:spacing w:before="0" w:line="240" w:lineRule="auto"/>
              <w:jc w:val="left"/>
              <w:rPr>
                <w:color w:val="000000"/>
                <w:sz w:val="20"/>
                <w:szCs w:val="20"/>
              </w:rPr>
            </w:pPr>
            <w:r w:rsidDel="00000000" w:rsidR="00000000" w:rsidRPr="00000000">
              <w:rPr>
                <w:color w:val="000000"/>
                <w:sz w:val="20"/>
                <w:szCs w:val="20"/>
                <w:rtl w:val="0"/>
              </w:rPr>
              <w:t xml:space="preserve">Current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10">
            <w:pPr>
              <w:spacing w:before="0" w:line="240" w:lineRule="auto"/>
              <w:jc w:val="left"/>
              <w:rPr>
                <w:color w:val="000000"/>
                <w:sz w:val="20"/>
                <w:szCs w:val="20"/>
              </w:rPr>
            </w:pPr>
            <w:r w:rsidDel="00000000" w:rsidR="00000000" w:rsidRPr="00000000">
              <w:rPr>
                <w:color w:val="000000"/>
                <w:sz w:val="20"/>
                <w:szCs w:val="20"/>
                <w:rtl w:val="0"/>
              </w:rPr>
              <w:t xml:space="preserve">2,563 / 984 = 2.6047x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11">
            <w:pPr>
              <w:spacing w:before="0" w:line="240" w:lineRule="auto"/>
              <w:jc w:val="right"/>
              <w:rPr>
                <w:color w:val="000000"/>
                <w:sz w:val="20"/>
                <w:szCs w:val="20"/>
              </w:rPr>
            </w:pPr>
            <w:r w:rsidDel="00000000" w:rsidR="00000000" w:rsidRPr="00000000">
              <w:rPr>
                <w:color w:val="000000"/>
                <w:sz w:val="20"/>
                <w:szCs w:val="20"/>
                <w:rtl w:val="0"/>
              </w:rPr>
              <w:t xml:space="preserve">2.60x</w:t>
            </w:r>
          </w:p>
        </w:tc>
        <w:tc>
          <w:tcPr>
            <w:tcBorders>
              <w:top w:color="000000" w:space="0" w:sz="0" w:val="nil"/>
              <w:left w:color="000000" w:space="0" w:sz="0" w:val="nil"/>
              <w:bottom w:color="000000" w:space="0" w:sz="4" w:val="single"/>
              <w:right w:color="000000" w:space="0" w:sz="4" w:val="single"/>
            </w:tcBorders>
            <w:shd w:fill="ffffff" w:val="clear"/>
            <w:vAlign w:val="center"/>
          </w:tcPr>
          <w:p w:rsidR="00000000" w:rsidDel="00000000" w:rsidP="00000000" w:rsidRDefault="00000000" w:rsidRPr="00000000" w14:paraId="00000112">
            <w:pPr>
              <w:spacing w:before="0" w:line="240" w:lineRule="auto"/>
              <w:jc w:val="left"/>
              <w:rPr>
                <w:color w:val="000000"/>
                <w:sz w:val="20"/>
                <w:szCs w:val="20"/>
              </w:rPr>
            </w:pPr>
            <w:r w:rsidDel="00000000" w:rsidR="00000000" w:rsidRPr="00000000">
              <w:rPr>
                <w:color w:val="000000"/>
                <w:sz w:val="20"/>
                <w:szCs w:val="20"/>
                <w:rtl w:val="0"/>
              </w:rPr>
              <w:t xml:space="preserve">2,062 / 2,232 = 0.9238x</w:t>
            </w:r>
          </w:p>
        </w:tc>
        <w:tc>
          <w:tcPr>
            <w:tcBorders>
              <w:top w:color="000000" w:space="0" w:sz="4" w:val="single"/>
              <w:left w:color="000000" w:space="0" w:sz="4" w:val="single"/>
              <w:bottom w:color="000000" w:space="0" w:sz="4" w:val="single"/>
              <w:right w:color="000000" w:space="0" w:sz="4" w:val="single"/>
            </w:tcBorders>
            <w:shd w:fill="fce4d6" w:val="clear"/>
            <w:vAlign w:val="center"/>
          </w:tcPr>
          <w:p w:rsidR="00000000" w:rsidDel="00000000" w:rsidP="00000000" w:rsidRDefault="00000000" w:rsidRPr="00000000" w14:paraId="00000113">
            <w:pPr>
              <w:spacing w:before="0" w:line="240" w:lineRule="auto"/>
              <w:jc w:val="right"/>
              <w:rPr>
                <w:color w:val="c00000"/>
                <w:sz w:val="20"/>
                <w:szCs w:val="20"/>
              </w:rPr>
            </w:pPr>
            <w:r w:rsidDel="00000000" w:rsidR="00000000" w:rsidRPr="00000000">
              <w:rPr>
                <w:color w:val="c00000"/>
                <w:sz w:val="20"/>
                <w:szCs w:val="20"/>
                <w:rtl w:val="0"/>
              </w:rPr>
              <w:t xml:space="preserve">0.92x</w:t>
            </w:r>
          </w:p>
        </w:tc>
        <w:tc>
          <w:tcPr>
            <w:tcBorders>
              <w:top w:color="000000" w:space="0" w:sz="0" w:val="nil"/>
              <w:left w:color="000000" w:space="0" w:sz="0" w:val="nil"/>
              <w:bottom w:color="000000" w:space="0" w:sz="4" w:val="single"/>
              <w:right w:color="000000" w:space="0" w:sz="4" w:val="single"/>
            </w:tcBorders>
            <w:shd w:fill="ffffff" w:val="clear"/>
            <w:vAlign w:val="center"/>
          </w:tcPr>
          <w:p w:rsidR="00000000" w:rsidDel="00000000" w:rsidP="00000000" w:rsidRDefault="00000000" w:rsidRPr="00000000" w14:paraId="00000114">
            <w:pPr>
              <w:spacing w:before="0" w:line="240" w:lineRule="auto"/>
              <w:jc w:val="left"/>
              <w:rPr>
                <w:color w:val="000000"/>
                <w:sz w:val="20"/>
                <w:szCs w:val="20"/>
              </w:rPr>
            </w:pPr>
            <w:r w:rsidDel="00000000" w:rsidR="00000000" w:rsidRPr="00000000">
              <w:rPr>
                <w:color w:val="000000"/>
                <w:sz w:val="20"/>
                <w:szCs w:val="20"/>
                <w:rtl w:val="0"/>
              </w:rPr>
              <w:t xml:space="preserve">2,250 / 3,287 = 0.6845x</w:t>
            </w:r>
          </w:p>
        </w:tc>
        <w:tc>
          <w:tcPr>
            <w:tcBorders>
              <w:top w:color="000000" w:space="0" w:sz="4" w:val="single"/>
              <w:left w:color="000000" w:space="0" w:sz="4" w:val="single"/>
              <w:bottom w:color="000000" w:space="0" w:sz="4" w:val="single"/>
              <w:right w:color="000000" w:space="0" w:sz="4" w:val="single"/>
            </w:tcBorders>
            <w:shd w:fill="fce4d6" w:val="clear"/>
            <w:vAlign w:val="center"/>
          </w:tcPr>
          <w:p w:rsidR="00000000" w:rsidDel="00000000" w:rsidP="00000000" w:rsidRDefault="00000000" w:rsidRPr="00000000" w14:paraId="00000115">
            <w:pPr>
              <w:spacing w:before="0" w:line="240" w:lineRule="auto"/>
              <w:jc w:val="right"/>
              <w:rPr>
                <w:color w:val="c00000"/>
                <w:sz w:val="20"/>
                <w:szCs w:val="20"/>
              </w:rPr>
            </w:pPr>
            <w:r w:rsidDel="00000000" w:rsidR="00000000" w:rsidRPr="00000000">
              <w:rPr>
                <w:color w:val="c00000"/>
                <w:sz w:val="20"/>
                <w:szCs w:val="20"/>
                <w:rtl w:val="0"/>
              </w:rPr>
              <w:t xml:space="preserve">0.68x</w:t>
            </w:r>
          </w:p>
        </w:tc>
        <w:tc>
          <w:tcPr>
            <w:tcBorders>
              <w:top w:color="000000" w:space="0" w:sz="0" w:val="nil"/>
              <w:left w:color="000000" w:space="0" w:sz="0" w:val="nil"/>
              <w:bottom w:color="000000" w:space="0" w:sz="4" w:val="single"/>
              <w:right w:color="000000" w:space="0" w:sz="4" w:val="single"/>
            </w:tcBorders>
            <w:shd w:fill="ffffff" w:val="clear"/>
            <w:vAlign w:val="center"/>
          </w:tcPr>
          <w:p w:rsidR="00000000" w:rsidDel="00000000" w:rsidP="00000000" w:rsidRDefault="00000000" w:rsidRPr="00000000" w14:paraId="00000116">
            <w:pPr>
              <w:spacing w:before="0" w:line="240" w:lineRule="auto"/>
              <w:jc w:val="left"/>
              <w:rPr>
                <w:color w:val="000000"/>
                <w:sz w:val="20"/>
                <w:szCs w:val="20"/>
              </w:rPr>
            </w:pPr>
            <w:r w:rsidDel="00000000" w:rsidR="00000000" w:rsidRPr="00000000">
              <w:rPr>
                <w:color w:val="000000"/>
                <w:sz w:val="20"/>
                <w:szCs w:val="20"/>
                <w:rtl w:val="0"/>
              </w:rPr>
              <w:t xml:space="preserve">2,130 / 3,578 = 0.5953x</w:t>
            </w:r>
          </w:p>
        </w:tc>
        <w:tc>
          <w:tcPr>
            <w:tcBorders>
              <w:top w:color="000000" w:space="0" w:sz="4" w:val="single"/>
              <w:left w:color="000000" w:space="0" w:sz="4" w:val="single"/>
              <w:bottom w:color="000000" w:space="0" w:sz="4" w:val="single"/>
              <w:right w:color="000000" w:space="0" w:sz="4" w:val="single"/>
            </w:tcBorders>
            <w:shd w:fill="fce4d6" w:val="clear"/>
            <w:vAlign w:val="center"/>
          </w:tcPr>
          <w:p w:rsidR="00000000" w:rsidDel="00000000" w:rsidP="00000000" w:rsidRDefault="00000000" w:rsidRPr="00000000" w14:paraId="00000117">
            <w:pPr>
              <w:spacing w:before="0" w:line="240" w:lineRule="auto"/>
              <w:jc w:val="right"/>
              <w:rPr>
                <w:color w:val="c00000"/>
                <w:sz w:val="20"/>
                <w:szCs w:val="20"/>
              </w:rPr>
            </w:pPr>
            <w:r w:rsidDel="00000000" w:rsidR="00000000" w:rsidRPr="00000000">
              <w:rPr>
                <w:color w:val="c00000"/>
                <w:sz w:val="20"/>
                <w:szCs w:val="20"/>
                <w:rtl w:val="0"/>
              </w:rPr>
              <w:t xml:space="preserve">0.60x</w:t>
            </w:r>
          </w:p>
        </w:tc>
        <w:tc>
          <w:tcPr>
            <w:tcBorders>
              <w:top w:color="000000" w:space="0" w:sz="0" w:val="nil"/>
              <w:left w:color="000000" w:space="0" w:sz="0" w:val="nil"/>
              <w:bottom w:color="000000" w:space="0" w:sz="4" w:val="single"/>
              <w:right w:color="000000" w:space="0" w:sz="4" w:val="single"/>
            </w:tcBorders>
            <w:shd w:fill="ffffff" w:val="clear"/>
            <w:vAlign w:val="center"/>
          </w:tcPr>
          <w:p w:rsidR="00000000" w:rsidDel="00000000" w:rsidP="00000000" w:rsidRDefault="00000000" w:rsidRPr="00000000" w14:paraId="00000118">
            <w:pPr>
              <w:spacing w:before="0" w:line="240" w:lineRule="auto"/>
              <w:jc w:val="left"/>
              <w:rPr>
                <w:color w:val="000000"/>
                <w:sz w:val="20"/>
                <w:szCs w:val="20"/>
              </w:rPr>
            </w:pPr>
            <w:r w:rsidDel="00000000" w:rsidR="00000000" w:rsidRPr="00000000">
              <w:rPr>
                <w:color w:val="000000"/>
                <w:sz w:val="20"/>
                <w:szCs w:val="20"/>
                <w:rtl w:val="0"/>
              </w:rPr>
              <w:t xml:space="preserve">2,733 / 3,274 = 0.8348x</w:t>
            </w:r>
          </w:p>
        </w:tc>
        <w:tc>
          <w:tcPr>
            <w:tcBorders>
              <w:top w:color="000000" w:space="0" w:sz="4" w:val="single"/>
              <w:left w:color="000000" w:space="0" w:sz="4" w:val="single"/>
              <w:bottom w:color="000000" w:space="0" w:sz="4" w:val="single"/>
              <w:right w:color="000000" w:space="0" w:sz="4" w:val="single"/>
            </w:tcBorders>
            <w:shd w:fill="fce4d6" w:val="clear"/>
            <w:vAlign w:val="center"/>
          </w:tcPr>
          <w:p w:rsidR="00000000" w:rsidDel="00000000" w:rsidP="00000000" w:rsidRDefault="00000000" w:rsidRPr="00000000" w14:paraId="00000119">
            <w:pPr>
              <w:spacing w:before="0" w:line="240" w:lineRule="auto"/>
              <w:jc w:val="right"/>
              <w:rPr>
                <w:color w:val="c00000"/>
                <w:sz w:val="20"/>
                <w:szCs w:val="20"/>
              </w:rPr>
            </w:pPr>
            <w:r w:rsidDel="00000000" w:rsidR="00000000" w:rsidRPr="00000000">
              <w:rPr>
                <w:color w:val="c00000"/>
                <w:sz w:val="20"/>
                <w:szCs w:val="20"/>
                <w:rtl w:val="0"/>
              </w:rPr>
              <w:t xml:space="preserve">0.83x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1A">
            <w:pPr>
              <w:spacing w:before="0" w:line="240" w:lineRule="auto"/>
              <w:jc w:val="left"/>
              <w:rPr>
                <w:color w:val="000000"/>
                <w:sz w:val="20"/>
                <w:szCs w:val="20"/>
              </w:rPr>
            </w:pPr>
            <w:r w:rsidDel="00000000" w:rsidR="00000000" w:rsidRPr="00000000">
              <w:rPr>
                <w:color w:val="000000"/>
                <w:sz w:val="20"/>
                <w:szCs w:val="20"/>
                <w:rtl w:val="0"/>
              </w:rPr>
              <w:t xml:space="preserve">Quick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1B">
            <w:pPr>
              <w:spacing w:before="0" w:line="240" w:lineRule="auto"/>
              <w:jc w:val="left"/>
              <w:rPr>
                <w:color w:val="000000"/>
                <w:sz w:val="20"/>
                <w:szCs w:val="20"/>
              </w:rPr>
            </w:pPr>
            <w:r w:rsidDel="00000000" w:rsidR="00000000" w:rsidRPr="00000000">
              <w:rPr>
                <w:color w:val="000000"/>
                <w:sz w:val="20"/>
                <w:szCs w:val="20"/>
                <w:rtl w:val="0"/>
              </w:rPr>
              <w:t xml:space="preserve">(1,207 + 675 + 316) / 984 = 2.2337x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1C">
            <w:pPr>
              <w:spacing w:before="0" w:line="240" w:lineRule="auto"/>
              <w:jc w:val="right"/>
              <w:rPr>
                <w:color w:val="000000"/>
                <w:sz w:val="20"/>
                <w:szCs w:val="20"/>
              </w:rPr>
            </w:pPr>
            <w:r w:rsidDel="00000000" w:rsidR="00000000" w:rsidRPr="00000000">
              <w:rPr>
                <w:color w:val="000000"/>
                <w:sz w:val="20"/>
                <w:szCs w:val="20"/>
                <w:rtl w:val="0"/>
              </w:rPr>
              <w:t xml:space="preserve">2.23x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1D">
            <w:pPr>
              <w:spacing w:before="0" w:line="240" w:lineRule="auto"/>
              <w:jc w:val="left"/>
              <w:rPr>
                <w:color w:val="000000"/>
                <w:sz w:val="20"/>
                <w:szCs w:val="20"/>
              </w:rPr>
            </w:pPr>
            <w:r w:rsidDel="00000000" w:rsidR="00000000" w:rsidRPr="00000000">
              <w:rPr>
                <w:color w:val="000000"/>
                <w:sz w:val="20"/>
                <w:szCs w:val="20"/>
                <w:rtl w:val="0"/>
              </w:rPr>
              <w:t xml:space="preserve">(960 + 227 + 633) / 2,232 = 0.8154x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1E">
            <w:pPr>
              <w:spacing w:before="0" w:line="240" w:lineRule="auto"/>
              <w:jc w:val="right"/>
              <w:rPr>
                <w:color w:val="000000"/>
                <w:sz w:val="20"/>
                <w:szCs w:val="20"/>
              </w:rPr>
            </w:pPr>
            <w:r w:rsidDel="00000000" w:rsidR="00000000" w:rsidRPr="00000000">
              <w:rPr>
                <w:color w:val="000000"/>
                <w:sz w:val="20"/>
                <w:szCs w:val="20"/>
                <w:rtl w:val="0"/>
              </w:rPr>
              <w:t xml:space="preserve">0.82x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1F">
            <w:pPr>
              <w:spacing w:before="0" w:line="240" w:lineRule="auto"/>
              <w:jc w:val="left"/>
              <w:rPr>
                <w:color w:val="000000"/>
                <w:sz w:val="20"/>
                <w:szCs w:val="20"/>
              </w:rPr>
            </w:pPr>
            <w:r w:rsidDel="00000000" w:rsidR="00000000" w:rsidRPr="00000000">
              <w:rPr>
                <w:color w:val="000000"/>
                <w:sz w:val="20"/>
                <w:szCs w:val="20"/>
                <w:rtl w:val="0"/>
              </w:rPr>
              <w:t xml:space="preserve">(991 + 158 + 834) / 3,287 = 0.6033x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0">
            <w:pPr>
              <w:spacing w:before="0" w:line="240" w:lineRule="auto"/>
              <w:jc w:val="right"/>
              <w:rPr>
                <w:color w:val="000000"/>
                <w:sz w:val="20"/>
                <w:szCs w:val="20"/>
              </w:rPr>
            </w:pPr>
            <w:r w:rsidDel="00000000" w:rsidR="00000000" w:rsidRPr="00000000">
              <w:rPr>
                <w:color w:val="000000"/>
                <w:sz w:val="20"/>
                <w:szCs w:val="20"/>
                <w:rtl w:val="0"/>
              </w:rPr>
              <w:t xml:space="preserve">0.60x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1">
            <w:pPr>
              <w:spacing w:before="0" w:line="240" w:lineRule="auto"/>
              <w:jc w:val="left"/>
              <w:rPr>
                <w:color w:val="000000"/>
                <w:sz w:val="20"/>
                <w:szCs w:val="20"/>
              </w:rPr>
            </w:pPr>
            <w:r w:rsidDel="00000000" w:rsidR="00000000" w:rsidRPr="00000000">
              <w:rPr>
                <w:color w:val="000000"/>
                <w:sz w:val="20"/>
                <w:szCs w:val="20"/>
                <w:rtl w:val="0"/>
              </w:rPr>
              <w:t xml:space="preserve">(881 + 15 + 883) / 3,578 = 0.4972x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2">
            <w:pPr>
              <w:spacing w:before="0" w:line="240" w:lineRule="auto"/>
              <w:jc w:val="right"/>
              <w:rPr>
                <w:color w:val="000000"/>
                <w:sz w:val="20"/>
                <w:szCs w:val="20"/>
              </w:rPr>
            </w:pPr>
            <w:r w:rsidDel="00000000" w:rsidR="00000000" w:rsidRPr="00000000">
              <w:rPr>
                <w:color w:val="000000"/>
                <w:sz w:val="20"/>
                <w:szCs w:val="20"/>
                <w:rtl w:val="0"/>
              </w:rPr>
              <w:t xml:space="preserve">0.50x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3">
            <w:pPr>
              <w:spacing w:before="0" w:line="240" w:lineRule="auto"/>
              <w:jc w:val="left"/>
              <w:rPr>
                <w:color w:val="000000"/>
                <w:sz w:val="20"/>
                <w:szCs w:val="20"/>
              </w:rPr>
            </w:pPr>
            <w:r w:rsidDel="00000000" w:rsidR="00000000" w:rsidRPr="00000000">
              <w:rPr>
                <w:color w:val="000000"/>
                <w:sz w:val="20"/>
                <w:szCs w:val="20"/>
                <w:rtl w:val="0"/>
              </w:rPr>
              <w:t xml:space="preserve">(1,011 + 372 + 1,121) / 3,274 = 0.7648x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4">
            <w:pPr>
              <w:spacing w:before="0" w:line="240" w:lineRule="auto"/>
              <w:jc w:val="right"/>
              <w:rPr>
                <w:color w:val="000000"/>
                <w:sz w:val="20"/>
                <w:szCs w:val="20"/>
              </w:rPr>
            </w:pPr>
            <w:r w:rsidDel="00000000" w:rsidR="00000000" w:rsidRPr="00000000">
              <w:rPr>
                <w:color w:val="000000"/>
                <w:sz w:val="20"/>
                <w:szCs w:val="20"/>
                <w:rtl w:val="0"/>
              </w:rPr>
              <w:t xml:space="preserve">0.76x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25">
            <w:pPr>
              <w:spacing w:before="0" w:line="240" w:lineRule="auto"/>
              <w:jc w:val="left"/>
              <w:rPr>
                <w:color w:val="000000"/>
                <w:sz w:val="20"/>
                <w:szCs w:val="20"/>
              </w:rPr>
            </w:pPr>
            <w:r w:rsidDel="00000000" w:rsidR="00000000" w:rsidRPr="00000000">
              <w:rPr>
                <w:color w:val="000000"/>
                <w:sz w:val="20"/>
                <w:szCs w:val="20"/>
                <w:rtl w:val="0"/>
              </w:rPr>
              <w:t xml:space="preserve">Cash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6">
            <w:pPr>
              <w:spacing w:before="0" w:line="240" w:lineRule="auto"/>
              <w:jc w:val="left"/>
              <w:rPr>
                <w:color w:val="000000"/>
                <w:sz w:val="20"/>
                <w:szCs w:val="20"/>
              </w:rPr>
            </w:pPr>
            <w:r w:rsidDel="00000000" w:rsidR="00000000" w:rsidRPr="00000000">
              <w:rPr>
                <w:color w:val="000000"/>
                <w:sz w:val="20"/>
                <w:szCs w:val="20"/>
                <w:rtl w:val="0"/>
              </w:rPr>
              <w:t xml:space="preserve">(1,207 + 675) / 984 = 1.9126x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7">
            <w:pPr>
              <w:spacing w:before="0" w:line="240" w:lineRule="auto"/>
              <w:jc w:val="right"/>
              <w:rPr>
                <w:color w:val="000000"/>
                <w:sz w:val="20"/>
                <w:szCs w:val="20"/>
              </w:rPr>
            </w:pPr>
            <w:r w:rsidDel="00000000" w:rsidR="00000000" w:rsidRPr="00000000">
              <w:rPr>
                <w:color w:val="000000"/>
                <w:sz w:val="20"/>
                <w:szCs w:val="20"/>
                <w:rtl w:val="0"/>
              </w:rPr>
              <w:t xml:space="preserve">1.91x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8">
            <w:pPr>
              <w:spacing w:before="0" w:line="240" w:lineRule="auto"/>
              <w:jc w:val="left"/>
              <w:rPr>
                <w:color w:val="000000"/>
                <w:sz w:val="20"/>
                <w:szCs w:val="20"/>
              </w:rPr>
            </w:pPr>
            <w:r w:rsidDel="00000000" w:rsidR="00000000" w:rsidRPr="00000000">
              <w:rPr>
                <w:color w:val="000000"/>
                <w:sz w:val="20"/>
                <w:szCs w:val="20"/>
                <w:rtl w:val="0"/>
              </w:rPr>
              <w:t xml:space="preserve">(960 + 227) / 2,232 = 0.5318x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9">
            <w:pPr>
              <w:spacing w:before="0" w:line="240" w:lineRule="auto"/>
              <w:jc w:val="right"/>
              <w:rPr>
                <w:color w:val="000000"/>
                <w:sz w:val="20"/>
                <w:szCs w:val="20"/>
              </w:rPr>
            </w:pPr>
            <w:r w:rsidDel="00000000" w:rsidR="00000000" w:rsidRPr="00000000">
              <w:rPr>
                <w:color w:val="000000"/>
                <w:sz w:val="20"/>
                <w:szCs w:val="20"/>
                <w:rtl w:val="0"/>
              </w:rPr>
              <w:t xml:space="preserve">0.53x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A">
            <w:pPr>
              <w:spacing w:before="0" w:line="240" w:lineRule="auto"/>
              <w:jc w:val="left"/>
              <w:rPr>
                <w:color w:val="000000"/>
                <w:sz w:val="20"/>
                <w:szCs w:val="20"/>
              </w:rPr>
            </w:pPr>
            <w:r w:rsidDel="00000000" w:rsidR="00000000" w:rsidRPr="00000000">
              <w:rPr>
                <w:color w:val="000000"/>
                <w:sz w:val="20"/>
                <w:szCs w:val="20"/>
                <w:rtl w:val="0"/>
              </w:rPr>
              <w:t xml:space="preserve">(991 + 158) / 3,287 = 0.3496x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B">
            <w:pPr>
              <w:spacing w:before="0" w:line="240" w:lineRule="auto"/>
              <w:jc w:val="right"/>
              <w:rPr>
                <w:color w:val="000000"/>
                <w:sz w:val="20"/>
                <w:szCs w:val="20"/>
              </w:rPr>
            </w:pPr>
            <w:r w:rsidDel="00000000" w:rsidR="00000000" w:rsidRPr="00000000">
              <w:rPr>
                <w:color w:val="000000"/>
                <w:sz w:val="20"/>
                <w:szCs w:val="20"/>
                <w:rtl w:val="0"/>
              </w:rPr>
              <w:t xml:space="preserve">0.35x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C">
            <w:pPr>
              <w:spacing w:before="0" w:line="240" w:lineRule="auto"/>
              <w:jc w:val="left"/>
              <w:rPr>
                <w:color w:val="000000"/>
                <w:sz w:val="20"/>
                <w:szCs w:val="20"/>
              </w:rPr>
            </w:pPr>
            <w:r w:rsidDel="00000000" w:rsidR="00000000" w:rsidRPr="00000000">
              <w:rPr>
                <w:color w:val="000000"/>
                <w:sz w:val="20"/>
                <w:szCs w:val="20"/>
                <w:rtl w:val="0"/>
              </w:rPr>
              <w:t xml:space="preserve">(881 + 15) / 3,578 = 0.2504x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D">
            <w:pPr>
              <w:spacing w:before="0" w:line="240" w:lineRule="auto"/>
              <w:jc w:val="right"/>
              <w:rPr>
                <w:color w:val="000000"/>
                <w:sz w:val="20"/>
                <w:szCs w:val="20"/>
              </w:rPr>
            </w:pPr>
            <w:r w:rsidDel="00000000" w:rsidR="00000000" w:rsidRPr="00000000">
              <w:rPr>
                <w:color w:val="000000"/>
                <w:sz w:val="20"/>
                <w:szCs w:val="20"/>
                <w:rtl w:val="0"/>
              </w:rPr>
              <w:t xml:space="preserve">0.25x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E">
            <w:pPr>
              <w:spacing w:before="0" w:line="240" w:lineRule="auto"/>
              <w:jc w:val="left"/>
              <w:rPr>
                <w:color w:val="000000"/>
                <w:sz w:val="20"/>
                <w:szCs w:val="20"/>
              </w:rPr>
            </w:pPr>
            <w:r w:rsidDel="00000000" w:rsidR="00000000" w:rsidRPr="00000000">
              <w:rPr>
                <w:color w:val="000000"/>
                <w:sz w:val="20"/>
                <w:szCs w:val="20"/>
                <w:rtl w:val="0"/>
              </w:rPr>
              <w:t xml:space="preserve">(1,011 + 372) / 3,274 = 0.4224x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2F">
            <w:pPr>
              <w:spacing w:before="0" w:line="240" w:lineRule="auto"/>
              <w:jc w:val="right"/>
              <w:rPr>
                <w:color w:val="000000"/>
                <w:sz w:val="20"/>
                <w:szCs w:val="20"/>
              </w:rPr>
            </w:pPr>
            <w:r w:rsidDel="00000000" w:rsidR="00000000" w:rsidRPr="00000000">
              <w:rPr>
                <w:color w:val="000000"/>
                <w:sz w:val="20"/>
                <w:szCs w:val="20"/>
                <w:rtl w:val="0"/>
              </w:rPr>
              <w:t xml:space="preserve">0.42x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30">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1">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2">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3">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4">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5">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6">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7">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8">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9">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A">
            <w:pPr>
              <w:spacing w:before="0" w:line="240" w:lineRule="auto"/>
              <w:jc w:val="left"/>
              <w:rPr>
                <w:color w:val="000000"/>
                <w:sz w:val="20"/>
                <w:szCs w:val="20"/>
              </w:rPr>
            </w:pPr>
            <w:r w:rsidDel="00000000" w:rsidR="00000000" w:rsidRPr="00000000">
              <w:rPr>
                <w:color w:val="000000"/>
                <w:sz w:val="20"/>
                <w:szCs w:val="20"/>
                <w:rtl w:val="0"/>
              </w:rPr>
              <w:t xml:space="preserve"> </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shd w:fill="2f75b5" w:val="clear"/>
            <w:vAlign w:val="center"/>
          </w:tcPr>
          <w:p w:rsidR="00000000" w:rsidDel="00000000" w:rsidP="00000000" w:rsidRDefault="00000000" w:rsidRPr="00000000" w14:paraId="0000013B">
            <w:pPr>
              <w:spacing w:before="0" w:line="240" w:lineRule="auto"/>
              <w:jc w:val="left"/>
              <w:rPr>
                <w:b w:val="1"/>
                <w:bCs w:val="1"/>
                <w:color w:val="ffffff"/>
                <w:sz w:val="20"/>
                <w:szCs w:val="20"/>
              </w:rPr>
            </w:pPr>
            <w:r w:rsidDel="00000000" w:rsidR="00000000" w:rsidRPr="00000000">
              <w:rPr>
                <w:b w:val="1"/>
                <w:bCs w:val="1"/>
                <w:color w:val="ffffff"/>
                <w:sz w:val="20"/>
                <w:szCs w:val="20"/>
                <w:rtl w:val="0"/>
              </w:rPr>
              <w:t xml:space="preserve">EFFICIENCY</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C">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D">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E">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3F">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0">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1">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2">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3">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4">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5">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2024</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46">
            <w:pPr>
              <w:spacing w:before="0" w:line="240" w:lineRule="auto"/>
              <w:jc w:val="left"/>
              <w:rPr>
                <w:color w:val="000000"/>
                <w:sz w:val="20"/>
                <w:szCs w:val="20"/>
              </w:rPr>
            </w:pPr>
            <w:r w:rsidDel="00000000" w:rsidR="00000000" w:rsidRPr="00000000">
              <w:rPr>
                <w:color w:val="000000"/>
                <w:sz w:val="20"/>
                <w:szCs w:val="20"/>
                <w:rtl w:val="0"/>
              </w:rPr>
              <w:t xml:space="preserve">Total asset turnover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7">
            <w:pPr>
              <w:spacing w:before="0" w:line="240" w:lineRule="auto"/>
              <w:jc w:val="left"/>
              <w:rPr>
                <w:color w:val="000000"/>
                <w:sz w:val="20"/>
                <w:szCs w:val="20"/>
              </w:rPr>
            </w:pPr>
            <w:r w:rsidDel="00000000" w:rsidR="00000000" w:rsidRPr="00000000">
              <w:rPr>
                <w:color w:val="000000"/>
                <w:sz w:val="20"/>
                <w:szCs w:val="20"/>
                <w:rtl w:val="0"/>
              </w:rPr>
              <w:t xml:space="preserve">2,066 / 9,129 = 0.2263x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8">
            <w:pPr>
              <w:spacing w:before="0" w:line="240" w:lineRule="auto"/>
              <w:jc w:val="right"/>
              <w:rPr>
                <w:color w:val="000000"/>
                <w:sz w:val="20"/>
                <w:szCs w:val="20"/>
              </w:rPr>
            </w:pPr>
            <w:r w:rsidDel="00000000" w:rsidR="00000000" w:rsidRPr="00000000">
              <w:rPr>
                <w:color w:val="000000"/>
                <w:sz w:val="20"/>
                <w:szCs w:val="20"/>
                <w:rtl w:val="0"/>
              </w:rPr>
              <w:t xml:space="preserve">0.23x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9">
            <w:pPr>
              <w:spacing w:before="0" w:line="240" w:lineRule="auto"/>
              <w:jc w:val="left"/>
              <w:rPr>
                <w:color w:val="000000"/>
                <w:sz w:val="20"/>
                <w:szCs w:val="20"/>
              </w:rPr>
            </w:pPr>
            <w:r w:rsidDel="00000000" w:rsidR="00000000" w:rsidRPr="00000000">
              <w:rPr>
                <w:color w:val="000000"/>
                <w:sz w:val="20"/>
                <w:szCs w:val="20"/>
                <w:rtl w:val="0"/>
              </w:rPr>
              <w:t xml:space="preserve">3,028 / 12,603 = 0.2403x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A">
            <w:pPr>
              <w:spacing w:before="0" w:line="240" w:lineRule="auto"/>
              <w:jc w:val="right"/>
              <w:rPr>
                <w:color w:val="000000"/>
                <w:sz w:val="20"/>
                <w:szCs w:val="20"/>
              </w:rPr>
            </w:pPr>
            <w:r w:rsidDel="00000000" w:rsidR="00000000" w:rsidRPr="00000000">
              <w:rPr>
                <w:color w:val="000000"/>
                <w:sz w:val="20"/>
                <w:szCs w:val="20"/>
                <w:rtl w:val="0"/>
              </w:rPr>
              <w:t xml:space="preserve">0.24x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B">
            <w:pPr>
              <w:spacing w:before="0" w:line="240" w:lineRule="auto"/>
              <w:jc w:val="left"/>
              <w:rPr>
                <w:color w:val="000000"/>
                <w:sz w:val="20"/>
                <w:szCs w:val="20"/>
              </w:rPr>
            </w:pPr>
            <w:r w:rsidDel="00000000" w:rsidR="00000000" w:rsidRPr="00000000">
              <w:rPr>
                <w:color w:val="000000"/>
                <w:sz w:val="20"/>
                <w:szCs w:val="20"/>
                <w:rtl w:val="0"/>
              </w:rPr>
              <w:t xml:space="preserve">5,891 / 12,312 = 0.4785x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C">
            <w:pPr>
              <w:spacing w:before="0" w:line="240" w:lineRule="auto"/>
              <w:jc w:val="right"/>
              <w:rPr>
                <w:color w:val="000000"/>
                <w:sz w:val="20"/>
                <w:szCs w:val="20"/>
              </w:rPr>
            </w:pPr>
            <w:r w:rsidDel="00000000" w:rsidR="00000000" w:rsidRPr="00000000">
              <w:rPr>
                <w:color w:val="000000"/>
                <w:sz w:val="20"/>
                <w:szCs w:val="20"/>
                <w:rtl w:val="0"/>
              </w:rPr>
              <w:t xml:space="preserve">0.48x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D">
            <w:pPr>
              <w:spacing w:before="0" w:line="240" w:lineRule="auto"/>
              <w:jc w:val="left"/>
              <w:rPr>
                <w:color w:val="000000"/>
                <w:sz w:val="20"/>
                <w:szCs w:val="20"/>
              </w:rPr>
            </w:pPr>
            <w:r w:rsidDel="00000000" w:rsidR="00000000" w:rsidRPr="00000000">
              <w:rPr>
                <w:color w:val="000000"/>
                <w:sz w:val="20"/>
                <w:szCs w:val="20"/>
                <w:rtl w:val="0"/>
              </w:rPr>
              <w:t xml:space="preserve">6,667 / 12,833 = 0.5195x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E">
            <w:pPr>
              <w:spacing w:before="0" w:line="240" w:lineRule="auto"/>
              <w:jc w:val="right"/>
              <w:rPr>
                <w:color w:val="000000"/>
                <w:sz w:val="20"/>
                <w:szCs w:val="20"/>
              </w:rPr>
            </w:pPr>
            <w:r w:rsidDel="00000000" w:rsidR="00000000" w:rsidRPr="00000000">
              <w:rPr>
                <w:color w:val="000000"/>
                <w:sz w:val="20"/>
                <w:szCs w:val="20"/>
                <w:rtl w:val="0"/>
              </w:rPr>
              <w:t xml:space="preserve">0.52x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4F">
            <w:pPr>
              <w:spacing w:before="0" w:line="240" w:lineRule="auto"/>
              <w:jc w:val="left"/>
              <w:rPr>
                <w:color w:val="000000"/>
                <w:sz w:val="20"/>
                <w:szCs w:val="20"/>
              </w:rPr>
            </w:pPr>
            <w:r w:rsidDel="00000000" w:rsidR="00000000" w:rsidRPr="00000000">
              <w:rPr>
                <w:color w:val="000000"/>
                <w:sz w:val="20"/>
                <w:szCs w:val="20"/>
                <w:rtl w:val="0"/>
              </w:rPr>
              <w:t xml:space="preserve">6,648 / 13,324 = 0.4989x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0">
            <w:pPr>
              <w:spacing w:before="0" w:line="240" w:lineRule="auto"/>
              <w:jc w:val="right"/>
              <w:rPr>
                <w:color w:val="000000"/>
                <w:sz w:val="20"/>
                <w:szCs w:val="20"/>
              </w:rPr>
            </w:pPr>
            <w:r w:rsidDel="00000000" w:rsidR="00000000" w:rsidRPr="00000000">
              <w:rPr>
                <w:color w:val="000000"/>
                <w:sz w:val="20"/>
                <w:szCs w:val="20"/>
                <w:rtl w:val="0"/>
              </w:rPr>
              <w:t xml:space="preserve">0.50x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51">
            <w:pPr>
              <w:spacing w:before="0" w:line="240" w:lineRule="auto"/>
              <w:jc w:val="left"/>
              <w:rPr>
                <w:color w:val="000000"/>
                <w:sz w:val="20"/>
                <w:szCs w:val="20"/>
              </w:rPr>
            </w:pPr>
            <w:r w:rsidDel="00000000" w:rsidR="00000000" w:rsidRPr="00000000">
              <w:rPr>
                <w:color w:val="000000"/>
                <w:sz w:val="20"/>
                <w:szCs w:val="20"/>
                <w:rtl w:val="0"/>
              </w:rPr>
              <w:t xml:space="preserve">Receivables turnover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2">
            <w:pPr>
              <w:spacing w:before="0" w:line="240" w:lineRule="auto"/>
              <w:jc w:val="left"/>
              <w:rPr>
                <w:color w:val="000000"/>
                <w:sz w:val="20"/>
                <w:szCs w:val="20"/>
              </w:rPr>
            </w:pPr>
            <w:r w:rsidDel="00000000" w:rsidR="00000000" w:rsidRPr="00000000">
              <w:rPr>
                <w:color w:val="000000"/>
                <w:sz w:val="20"/>
                <w:szCs w:val="20"/>
                <w:rtl w:val="0"/>
              </w:rPr>
              <w:t xml:space="preserve">2,066 / 316 = 6.5380x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3">
            <w:pPr>
              <w:spacing w:before="0" w:line="240" w:lineRule="auto"/>
              <w:jc w:val="right"/>
              <w:rPr>
                <w:color w:val="000000"/>
                <w:sz w:val="20"/>
                <w:szCs w:val="20"/>
              </w:rPr>
            </w:pPr>
            <w:r w:rsidDel="00000000" w:rsidR="00000000" w:rsidRPr="00000000">
              <w:rPr>
                <w:color w:val="000000"/>
                <w:sz w:val="20"/>
                <w:szCs w:val="20"/>
                <w:rtl w:val="0"/>
              </w:rPr>
              <w:t xml:space="preserve">6.54x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4">
            <w:pPr>
              <w:spacing w:before="0" w:line="240" w:lineRule="auto"/>
              <w:jc w:val="left"/>
              <w:rPr>
                <w:color w:val="000000"/>
                <w:sz w:val="20"/>
                <w:szCs w:val="20"/>
              </w:rPr>
            </w:pPr>
            <w:r w:rsidDel="00000000" w:rsidR="00000000" w:rsidRPr="00000000">
              <w:rPr>
                <w:color w:val="000000"/>
                <w:sz w:val="20"/>
                <w:szCs w:val="20"/>
                <w:rtl w:val="0"/>
              </w:rPr>
              <w:t xml:space="preserve">3,028 / 633 = 4.7836x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5">
            <w:pPr>
              <w:spacing w:before="0" w:line="240" w:lineRule="auto"/>
              <w:jc w:val="right"/>
              <w:rPr>
                <w:color w:val="000000"/>
                <w:sz w:val="20"/>
                <w:szCs w:val="20"/>
              </w:rPr>
            </w:pPr>
            <w:r w:rsidDel="00000000" w:rsidR="00000000" w:rsidRPr="00000000">
              <w:rPr>
                <w:color w:val="000000"/>
                <w:sz w:val="20"/>
                <w:szCs w:val="20"/>
                <w:rtl w:val="0"/>
              </w:rPr>
              <w:t xml:space="preserve">4.78x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6">
            <w:pPr>
              <w:spacing w:before="0" w:line="240" w:lineRule="auto"/>
              <w:jc w:val="left"/>
              <w:rPr>
                <w:color w:val="000000"/>
                <w:sz w:val="20"/>
                <w:szCs w:val="20"/>
              </w:rPr>
            </w:pPr>
            <w:r w:rsidDel="00000000" w:rsidR="00000000" w:rsidRPr="00000000">
              <w:rPr>
                <w:color w:val="000000"/>
                <w:sz w:val="20"/>
                <w:szCs w:val="20"/>
                <w:rtl w:val="0"/>
              </w:rPr>
              <w:t xml:space="preserve">5,891 / 834 = 7.0635x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7">
            <w:pPr>
              <w:spacing w:before="0" w:line="240" w:lineRule="auto"/>
              <w:jc w:val="right"/>
              <w:rPr>
                <w:color w:val="000000"/>
                <w:sz w:val="20"/>
                <w:szCs w:val="20"/>
              </w:rPr>
            </w:pPr>
            <w:r w:rsidDel="00000000" w:rsidR="00000000" w:rsidRPr="00000000">
              <w:rPr>
                <w:color w:val="000000"/>
                <w:sz w:val="20"/>
                <w:szCs w:val="20"/>
                <w:rtl w:val="0"/>
              </w:rPr>
              <w:t xml:space="preserve">7.06x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8">
            <w:pPr>
              <w:spacing w:before="0" w:line="240" w:lineRule="auto"/>
              <w:jc w:val="left"/>
              <w:rPr>
                <w:color w:val="000000"/>
                <w:sz w:val="20"/>
                <w:szCs w:val="20"/>
              </w:rPr>
            </w:pPr>
            <w:r w:rsidDel="00000000" w:rsidR="00000000" w:rsidRPr="00000000">
              <w:rPr>
                <w:color w:val="000000"/>
                <w:sz w:val="20"/>
                <w:szCs w:val="20"/>
                <w:rtl w:val="0"/>
              </w:rPr>
              <w:t xml:space="preserve">6,667 / 883 = 7.5504x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9">
            <w:pPr>
              <w:spacing w:before="0" w:line="240" w:lineRule="auto"/>
              <w:jc w:val="right"/>
              <w:rPr>
                <w:color w:val="000000"/>
                <w:sz w:val="20"/>
                <w:szCs w:val="20"/>
              </w:rPr>
            </w:pPr>
            <w:r w:rsidDel="00000000" w:rsidR="00000000" w:rsidRPr="00000000">
              <w:rPr>
                <w:color w:val="000000"/>
                <w:sz w:val="20"/>
                <w:szCs w:val="20"/>
                <w:rtl w:val="0"/>
              </w:rPr>
              <w:t xml:space="preserve">7.55x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A">
            <w:pPr>
              <w:spacing w:before="0" w:line="240" w:lineRule="auto"/>
              <w:jc w:val="left"/>
              <w:rPr>
                <w:color w:val="000000"/>
                <w:sz w:val="20"/>
                <w:szCs w:val="20"/>
              </w:rPr>
            </w:pPr>
            <w:r w:rsidDel="00000000" w:rsidR="00000000" w:rsidRPr="00000000">
              <w:rPr>
                <w:color w:val="000000"/>
                <w:sz w:val="20"/>
                <w:szCs w:val="20"/>
                <w:rtl w:val="0"/>
              </w:rPr>
              <w:t xml:space="preserve">6,648 / 1,121 = 5.9304x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B">
            <w:pPr>
              <w:spacing w:before="0" w:line="240" w:lineRule="auto"/>
              <w:jc w:val="right"/>
              <w:rPr>
                <w:color w:val="000000"/>
                <w:sz w:val="20"/>
                <w:szCs w:val="20"/>
              </w:rPr>
            </w:pPr>
            <w:r w:rsidDel="00000000" w:rsidR="00000000" w:rsidRPr="00000000">
              <w:rPr>
                <w:color w:val="000000"/>
                <w:sz w:val="20"/>
                <w:szCs w:val="20"/>
                <w:rtl w:val="0"/>
              </w:rPr>
              <w:t xml:space="preserve">5.93x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5C">
            <w:pPr>
              <w:spacing w:before="0" w:line="240" w:lineRule="auto"/>
              <w:jc w:val="left"/>
              <w:rPr>
                <w:color w:val="000000"/>
                <w:sz w:val="20"/>
                <w:szCs w:val="20"/>
              </w:rPr>
            </w:pPr>
            <w:r w:rsidDel="00000000" w:rsidR="00000000" w:rsidRPr="00000000">
              <w:rPr>
                <w:color w:val="000000"/>
                <w:sz w:val="20"/>
                <w:szCs w:val="20"/>
                <w:rtl w:val="0"/>
              </w:rPr>
              <w:t xml:space="preserve">Receivables collection period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D">
            <w:pPr>
              <w:spacing w:before="0" w:line="240" w:lineRule="auto"/>
              <w:jc w:val="left"/>
              <w:rPr>
                <w:color w:val="000000"/>
                <w:sz w:val="20"/>
                <w:szCs w:val="20"/>
              </w:rPr>
            </w:pPr>
            <w:r w:rsidDel="00000000" w:rsidR="00000000" w:rsidRPr="00000000">
              <w:rPr>
                <w:color w:val="000000"/>
                <w:sz w:val="20"/>
                <w:szCs w:val="20"/>
                <w:rtl w:val="0"/>
              </w:rPr>
              <w:t xml:space="preserve">316 / 2,066 × 365 = 55.8277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E">
            <w:pPr>
              <w:spacing w:before="0" w:line="240" w:lineRule="auto"/>
              <w:jc w:val="right"/>
              <w:rPr>
                <w:color w:val="000000"/>
                <w:sz w:val="20"/>
                <w:szCs w:val="20"/>
              </w:rPr>
            </w:pPr>
            <w:r w:rsidDel="00000000" w:rsidR="00000000" w:rsidRPr="00000000">
              <w:rPr>
                <w:color w:val="000000"/>
                <w:sz w:val="20"/>
                <w:szCs w:val="20"/>
                <w:rtl w:val="0"/>
              </w:rPr>
              <w:t xml:space="preserve">55.83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5F">
            <w:pPr>
              <w:spacing w:before="0" w:line="240" w:lineRule="auto"/>
              <w:jc w:val="left"/>
              <w:rPr>
                <w:color w:val="000000"/>
                <w:sz w:val="20"/>
                <w:szCs w:val="20"/>
              </w:rPr>
            </w:pPr>
            <w:r w:rsidDel="00000000" w:rsidR="00000000" w:rsidRPr="00000000">
              <w:rPr>
                <w:color w:val="000000"/>
                <w:sz w:val="20"/>
                <w:szCs w:val="20"/>
                <w:rtl w:val="0"/>
              </w:rPr>
              <w:t xml:space="preserve">633 / 3,028 × 365 = 76.3028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0">
            <w:pPr>
              <w:spacing w:before="0" w:line="240" w:lineRule="auto"/>
              <w:jc w:val="right"/>
              <w:rPr>
                <w:color w:val="000000"/>
                <w:sz w:val="20"/>
                <w:szCs w:val="20"/>
              </w:rPr>
            </w:pPr>
            <w:r w:rsidDel="00000000" w:rsidR="00000000" w:rsidRPr="00000000">
              <w:rPr>
                <w:color w:val="000000"/>
                <w:sz w:val="20"/>
                <w:szCs w:val="20"/>
                <w:rtl w:val="0"/>
              </w:rPr>
              <w:t xml:space="preserve">76.30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1">
            <w:pPr>
              <w:spacing w:before="0" w:line="240" w:lineRule="auto"/>
              <w:jc w:val="left"/>
              <w:rPr>
                <w:color w:val="000000"/>
                <w:sz w:val="20"/>
                <w:szCs w:val="20"/>
              </w:rPr>
            </w:pPr>
            <w:r w:rsidDel="00000000" w:rsidR="00000000" w:rsidRPr="00000000">
              <w:rPr>
                <w:color w:val="000000"/>
                <w:sz w:val="20"/>
                <w:szCs w:val="20"/>
                <w:rtl w:val="0"/>
              </w:rPr>
              <w:t xml:space="preserve">834 / 5,891 × 365 = 51.6737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2">
            <w:pPr>
              <w:spacing w:before="0" w:line="240" w:lineRule="auto"/>
              <w:jc w:val="right"/>
              <w:rPr>
                <w:color w:val="000000"/>
                <w:sz w:val="20"/>
                <w:szCs w:val="20"/>
              </w:rPr>
            </w:pPr>
            <w:r w:rsidDel="00000000" w:rsidR="00000000" w:rsidRPr="00000000">
              <w:rPr>
                <w:color w:val="000000"/>
                <w:sz w:val="20"/>
                <w:szCs w:val="20"/>
                <w:rtl w:val="0"/>
              </w:rPr>
              <w:t xml:space="preserve">51.67</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3">
            <w:pPr>
              <w:spacing w:before="0" w:line="240" w:lineRule="auto"/>
              <w:jc w:val="left"/>
              <w:rPr>
                <w:color w:val="000000"/>
                <w:sz w:val="20"/>
                <w:szCs w:val="20"/>
              </w:rPr>
            </w:pPr>
            <w:r w:rsidDel="00000000" w:rsidR="00000000" w:rsidRPr="00000000">
              <w:rPr>
                <w:color w:val="000000"/>
                <w:sz w:val="20"/>
                <w:szCs w:val="20"/>
                <w:rtl w:val="0"/>
              </w:rPr>
              <w:t xml:space="preserve">883 / 6,667 × 365 = 48.3418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4">
            <w:pPr>
              <w:spacing w:before="0" w:line="240" w:lineRule="auto"/>
              <w:jc w:val="right"/>
              <w:rPr>
                <w:color w:val="000000"/>
                <w:sz w:val="20"/>
                <w:szCs w:val="20"/>
              </w:rPr>
            </w:pPr>
            <w:r w:rsidDel="00000000" w:rsidR="00000000" w:rsidRPr="00000000">
              <w:rPr>
                <w:color w:val="000000"/>
                <w:sz w:val="20"/>
                <w:szCs w:val="20"/>
                <w:rtl w:val="0"/>
              </w:rPr>
              <w:t xml:space="preserve">48.34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5">
            <w:pPr>
              <w:spacing w:before="0" w:line="240" w:lineRule="auto"/>
              <w:jc w:val="left"/>
              <w:rPr>
                <w:color w:val="000000"/>
                <w:sz w:val="20"/>
                <w:szCs w:val="20"/>
              </w:rPr>
            </w:pPr>
            <w:r w:rsidDel="00000000" w:rsidR="00000000" w:rsidRPr="00000000">
              <w:rPr>
                <w:color w:val="000000"/>
                <w:sz w:val="20"/>
                <w:szCs w:val="20"/>
                <w:rtl w:val="0"/>
              </w:rPr>
              <w:t xml:space="preserve">1,121 / 6,648 × 365 = 61.5471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6">
            <w:pPr>
              <w:spacing w:before="0" w:line="240" w:lineRule="auto"/>
              <w:jc w:val="right"/>
              <w:rPr>
                <w:color w:val="000000"/>
                <w:sz w:val="20"/>
                <w:szCs w:val="20"/>
              </w:rPr>
            </w:pPr>
            <w:r w:rsidDel="00000000" w:rsidR="00000000" w:rsidRPr="00000000">
              <w:rPr>
                <w:color w:val="000000"/>
                <w:sz w:val="20"/>
                <w:szCs w:val="20"/>
                <w:rtl w:val="0"/>
              </w:rPr>
              <w:t xml:space="preserve">61.55</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67">
            <w:pPr>
              <w:spacing w:before="0" w:line="240" w:lineRule="auto"/>
              <w:jc w:val="left"/>
              <w:rPr>
                <w:color w:val="000000"/>
                <w:sz w:val="20"/>
                <w:szCs w:val="20"/>
              </w:rPr>
            </w:pPr>
            <w:r w:rsidDel="00000000" w:rsidR="00000000" w:rsidRPr="00000000">
              <w:rPr>
                <w:color w:val="000000"/>
                <w:sz w:val="20"/>
                <w:szCs w:val="20"/>
                <w:rtl w:val="0"/>
              </w:rPr>
              <w:t xml:space="preserve">Fixed-asset turnover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8">
            <w:pPr>
              <w:spacing w:before="0" w:line="240" w:lineRule="auto"/>
              <w:jc w:val="left"/>
              <w:rPr>
                <w:color w:val="000000"/>
                <w:sz w:val="20"/>
                <w:szCs w:val="20"/>
              </w:rPr>
            </w:pPr>
            <w:r w:rsidDel="00000000" w:rsidR="00000000" w:rsidRPr="00000000">
              <w:rPr>
                <w:color w:val="000000"/>
                <w:sz w:val="20"/>
                <w:szCs w:val="20"/>
                <w:rtl w:val="0"/>
              </w:rPr>
              <w:t xml:space="preserve">2,066 / 3,126 = 0.6609x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9">
            <w:pPr>
              <w:spacing w:before="0" w:line="240" w:lineRule="auto"/>
              <w:jc w:val="right"/>
              <w:rPr>
                <w:color w:val="000000"/>
                <w:sz w:val="20"/>
                <w:szCs w:val="20"/>
              </w:rPr>
            </w:pPr>
            <w:r w:rsidDel="00000000" w:rsidR="00000000" w:rsidRPr="00000000">
              <w:rPr>
                <w:color w:val="000000"/>
                <w:sz w:val="20"/>
                <w:szCs w:val="20"/>
                <w:rtl w:val="0"/>
              </w:rPr>
              <w:t xml:space="preserve">0.66x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A">
            <w:pPr>
              <w:spacing w:before="0" w:line="240" w:lineRule="auto"/>
              <w:jc w:val="left"/>
              <w:rPr>
                <w:color w:val="000000"/>
                <w:sz w:val="20"/>
                <w:szCs w:val="20"/>
              </w:rPr>
            </w:pPr>
            <w:r w:rsidDel="00000000" w:rsidR="00000000" w:rsidRPr="00000000">
              <w:rPr>
                <w:color w:val="000000"/>
                <w:sz w:val="20"/>
                <w:szCs w:val="20"/>
                <w:rtl w:val="0"/>
              </w:rPr>
              <w:t xml:space="preserve">3,028 / 2,848 = 1.0632x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B">
            <w:pPr>
              <w:spacing w:before="0" w:line="240" w:lineRule="auto"/>
              <w:jc w:val="right"/>
              <w:rPr>
                <w:color w:val="000000"/>
                <w:sz w:val="20"/>
                <w:szCs w:val="20"/>
              </w:rPr>
            </w:pPr>
            <w:r w:rsidDel="00000000" w:rsidR="00000000" w:rsidRPr="00000000">
              <w:rPr>
                <w:color w:val="000000"/>
                <w:sz w:val="20"/>
                <w:szCs w:val="20"/>
                <w:rtl w:val="0"/>
              </w:rPr>
              <w:t xml:space="preserve">1.06x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C">
            <w:pPr>
              <w:spacing w:before="0" w:line="240" w:lineRule="auto"/>
              <w:jc w:val="left"/>
              <w:rPr>
                <w:color w:val="000000"/>
                <w:sz w:val="20"/>
                <w:szCs w:val="20"/>
              </w:rPr>
            </w:pPr>
            <w:r w:rsidDel="00000000" w:rsidR="00000000" w:rsidRPr="00000000">
              <w:rPr>
                <w:color w:val="000000"/>
                <w:sz w:val="20"/>
                <w:szCs w:val="20"/>
                <w:rtl w:val="0"/>
              </w:rPr>
              <w:t xml:space="preserve">5,891 / 2,384 = 2.4711x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D">
            <w:pPr>
              <w:spacing w:before="0" w:line="240" w:lineRule="auto"/>
              <w:jc w:val="right"/>
              <w:rPr>
                <w:color w:val="000000"/>
                <w:sz w:val="20"/>
                <w:szCs w:val="20"/>
              </w:rPr>
            </w:pPr>
            <w:r w:rsidDel="00000000" w:rsidR="00000000" w:rsidRPr="00000000">
              <w:rPr>
                <w:color w:val="000000"/>
                <w:sz w:val="20"/>
                <w:szCs w:val="20"/>
                <w:rtl w:val="0"/>
              </w:rPr>
              <w:t xml:space="preserve">2.47x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E">
            <w:pPr>
              <w:spacing w:before="0" w:line="240" w:lineRule="auto"/>
              <w:jc w:val="left"/>
              <w:rPr>
                <w:color w:val="000000"/>
                <w:sz w:val="20"/>
                <w:szCs w:val="20"/>
              </w:rPr>
            </w:pPr>
            <w:r w:rsidDel="00000000" w:rsidR="00000000" w:rsidRPr="00000000">
              <w:rPr>
                <w:color w:val="000000"/>
                <w:sz w:val="20"/>
                <w:szCs w:val="20"/>
                <w:rtl w:val="0"/>
              </w:rPr>
              <w:t xml:space="preserve">6,667 / 2,340 = 2.8491x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6F">
            <w:pPr>
              <w:spacing w:before="0" w:line="240" w:lineRule="auto"/>
              <w:jc w:val="right"/>
              <w:rPr>
                <w:color w:val="000000"/>
                <w:sz w:val="20"/>
                <w:szCs w:val="20"/>
              </w:rPr>
            </w:pPr>
            <w:r w:rsidDel="00000000" w:rsidR="00000000" w:rsidRPr="00000000">
              <w:rPr>
                <w:color w:val="000000"/>
                <w:sz w:val="20"/>
                <w:szCs w:val="20"/>
                <w:rtl w:val="0"/>
              </w:rPr>
              <w:t xml:space="preserve">2.85x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0">
            <w:pPr>
              <w:spacing w:before="0" w:line="240" w:lineRule="auto"/>
              <w:jc w:val="left"/>
              <w:rPr>
                <w:color w:val="000000"/>
                <w:sz w:val="20"/>
                <w:szCs w:val="20"/>
              </w:rPr>
            </w:pPr>
            <w:r w:rsidDel="00000000" w:rsidR="00000000" w:rsidRPr="00000000">
              <w:rPr>
                <w:color w:val="000000"/>
                <w:sz w:val="20"/>
                <w:szCs w:val="20"/>
                <w:rtl w:val="0"/>
              </w:rPr>
              <w:t xml:space="preserve">6,648 / 1,689 = 3.9361x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1">
            <w:pPr>
              <w:spacing w:before="0" w:line="240" w:lineRule="auto"/>
              <w:jc w:val="right"/>
              <w:rPr>
                <w:color w:val="000000"/>
                <w:sz w:val="20"/>
                <w:szCs w:val="20"/>
              </w:rPr>
            </w:pPr>
            <w:r w:rsidDel="00000000" w:rsidR="00000000" w:rsidRPr="00000000">
              <w:rPr>
                <w:color w:val="000000"/>
                <w:sz w:val="20"/>
                <w:szCs w:val="20"/>
                <w:rtl w:val="0"/>
              </w:rPr>
              <w:t xml:space="preserve">3.94x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72">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3">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4">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5">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6">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7">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8">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9">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A">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B">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C">
            <w:pPr>
              <w:spacing w:before="0" w:line="240" w:lineRule="auto"/>
              <w:jc w:val="left"/>
              <w:rPr>
                <w:color w:val="000000"/>
                <w:sz w:val="20"/>
                <w:szCs w:val="20"/>
              </w:rPr>
            </w:pPr>
            <w:r w:rsidDel="00000000" w:rsidR="00000000" w:rsidRPr="00000000">
              <w:rPr>
                <w:color w:val="000000"/>
                <w:sz w:val="20"/>
                <w:szCs w:val="20"/>
                <w:rtl w:val="0"/>
              </w:rPr>
              <w:t xml:space="preserve"> </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shd w:fill="2f75b5" w:val="clear"/>
            <w:vAlign w:val="center"/>
          </w:tcPr>
          <w:p w:rsidR="00000000" w:rsidDel="00000000" w:rsidP="00000000" w:rsidRDefault="00000000" w:rsidRPr="00000000" w14:paraId="0000017D">
            <w:pPr>
              <w:spacing w:before="0" w:line="240" w:lineRule="auto"/>
              <w:jc w:val="left"/>
              <w:rPr>
                <w:b w:val="1"/>
                <w:bCs w:val="1"/>
                <w:color w:val="ffffff"/>
                <w:sz w:val="20"/>
                <w:szCs w:val="20"/>
              </w:rPr>
            </w:pPr>
            <w:r w:rsidDel="00000000" w:rsidR="00000000" w:rsidRPr="00000000">
              <w:rPr>
                <w:b w:val="1"/>
                <w:bCs w:val="1"/>
                <w:color w:val="ffffff"/>
                <w:sz w:val="20"/>
                <w:szCs w:val="20"/>
                <w:rtl w:val="0"/>
              </w:rPr>
              <w:t xml:space="preserve">GEARING AND SOLVENCY</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E">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7F">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0">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1">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2">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3">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4">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5">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6">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7">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2024</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88">
            <w:pPr>
              <w:spacing w:before="0" w:line="240" w:lineRule="auto"/>
              <w:jc w:val="left"/>
              <w:rPr>
                <w:color w:val="000000"/>
                <w:sz w:val="20"/>
                <w:szCs w:val="20"/>
              </w:rPr>
            </w:pPr>
            <w:r w:rsidDel="00000000" w:rsidR="00000000" w:rsidRPr="00000000">
              <w:rPr>
                <w:color w:val="000000"/>
                <w:sz w:val="20"/>
                <w:szCs w:val="20"/>
                <w:rtl w:val="0"/>
              </w:rPr>
              <w:t xml:space="preserve">Debt-to-equity</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9">
            <w:pPr>
              <w:spacing w:before="0" w:line="240" w:lineRule="auto"/>
              <w:jc w:val="left"/>
              <w:rPr>
                <w:color w:val="000000"/>
                <w:sz w:val="20"/>
                <w:szCs w:val="20"/>
              </w:rPr>
            </w:pPr>
            <w:r w:rsidDel="00000000" w:rsidR="00000000" w:rsidRPr="00000000">
              <w:rPr>
                <w:color w:val="000000"/>
                <w:sz w:val="20"/>
                <w:szCs w:val="20"/>
                <w:rtl w:val="0"/>
              </w:rPr>
              <w:t xml:space="preserve">3,244 / 3,211 = 1.0103x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A">
            <w:pPr>
              <w:spacing w:before="0" w:line="240" w:lineRule="auto"/>
              <w:jc w:val="right"/>
              <w:rPr>
                <w:color w:val="000000"/>
                <w:sz w:val="20"/>
                <w:szCs w:val="20"/>
              </w:rPr>
            </w:pPr>
            <w:r w:rsidDel="00000000" w:rsidR="00000000" w:rsidRPr="00000000">
              <w:rPr>
                <w:color w:val="000000"/>
                <w:sz w:val="20"/>
                <w:szCs w:val="20"/>
                <w:rtl w:val="0"/>
              </w:rPr>
              <w:t xml:space="preserve">1.01x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B">
            <w:pPr>
              <w:spacing w:before="0" w:line="240" w:lineRule="auto"/>
              <w:jc w:val="left"/>
              <w:rPr>
                <w:color w:val="000000"/>
                <w:sz w:val="20"/>
                <w:szCs w:val="20"/>
              </w:rPr>
            </w:pPr>
            <w:r w:rsidDel="00000000" w:rsidR="00000000" w:rsidRPr="00000000">
              <w:rPr>
                <w:color w:val="000000"/>
                <w:sz w:val="20"/>
                <w:szCs w:val="20"/>
                <w:rtl w:val="0"/>
              </w:rPr>
              <w:t xml:space="preserve">3,978 / 3,563 = 1.1165x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C">
            <w:pPr>
              <w:spacing w:before="0" w:line="240" w:lineRule="auto"/>
              <w:jc w:val="right"/>
              <w:rPr>
                <w:color w:val="000000"/>
                <w:sz w:val="20"/>
                <w:szCs w:val="20"/>
              </w:rPr>
            </w:pPr>
            <w:r w:rsidDel="00000000" w:rsidR="00000000" w:rsidRPr="00000000">
              <w:rPr>
                <w:color w:val="000000"/>
                <w:sz w:val="20"/>
                <w:szCs w:val="20"/>
                <w:rtl w:val="0"/>
              </w:rPr>
              <w:t xml:space="preserve">1.12x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D">
            <w:pPr>
              <w:spacing w:before="0" w:line="240" w:lineRule="auto"/>
              <w:jc w:val="left"/>
              <w:rPr>
                <w:color w:val="000000"/>
                <w:sz w:val="20"/>
                <w:szCs w:val="20"/>
              </w:rPr>
            </w:pPr>
            <w:r w:rsidDel="00000000" w:rsidR="00000000" w:rsidRPr="00000000">
              <w:rPr>
                <w:color w:val="000000"/>
                <w:sz w:val="20"/>
                <w:szCs w:val="20"/>
                <w:rtl w:val="0"/>
              </w:rPr>
              <w:t xml:space="preserve">3,113 / 3,699 = 0.8416x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E">
            <w:pPr>
              <w:spacing w:before="0" w:line="240" w:lineRule="auto"/>
              <w:jc w:val="right"/>
              <w:rPr>
                <w:color w:val="000000"/>
                <w:sz w:val="20"/>
                <w:szCs w:val="20"/>
              </w:rPr>
            </w:pPr>
            <w:r w:rsidDel="00000000" w:rsidR="00000000" w:rsidRPr="00000000">
              <w:rPr>
                <w:color w:val="000000"/>
                <w:sz w:val="20"/>
                <w:szCs w:val="20"/>
                <w:rtl w:val="0"/>
              </w:rPr>
              <w:t xml:space="preserve">0.84x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8F">
            <w:pPr>
              <w:spacing w:before="0" w:line="240" w:lineRule="auto"/>
              <w:jc w:val="left"/>
              <w:rPr>
                <w:color w:val="000000"/>
                <w:sz w:val="20"/>
                <w:szCs w:val="20"/>
              </w:rPr>
            </w:pPr>
            <w:r w:rsidDel="00000000" w:rsidR="00000000" w:rsidRPr="00000000">
              <w:rPr>
                <w:color w:val="000000"/>
                <w:sz w:val="20"/>
                <w:szCs w:val="20"/>
                <w:rtl w:val="0"/>
              </w:rPr>
              <w:t xml:space="preserve">3,056 / 3,564 = 0.8575x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0">
            <w:pPr>
              <w:spacing w:before="0" w:line="240" w:lineRule="auto"/>
              <w:jc w:val="right"/>
              <w:rPr>
                <w:color w:val="000000"/>
                <w:sz w:val="20"/>
                <w:szCs w:val="20"/>
              </w:rPr>
            </w:pPr>
            <w:r w:rsidDel="00000000" w:rsidR="00000000" w:rsidRPr="00000000">
              <w:rPr>
                <w:color w:val="000000"/>
                <w:sz w:val="20"/>
                <w:szCs w:val="20"/>
                <w:rtl w:val="0"/>
              </w:rPr>
              <w:t xml:space="preserve">0.86x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1">
            <w:pPr>
              <w:spacing w:before="0" w:line="240" w:lineRule="auto"/>
              <w:jc w:val="left"/>
              <w:rPr>
                <w:color w:val="000000"/>
                <w:sz w:val="20"/>
                <w:szCs w:val="20"/>
              </w:rPr>
            </w:pPr>
            <w:r w:rsidDel="00000000" w:rsidR="00000000" w:rsidRPr="00000000">
              <w:rPr>
                <w:color w:val="000000"/>
                <w:sz w:val="20"/>
                <w:szCs w:val="20"/>
                <w:rtl w:val="0"/>
              </w:rPr>
              <w:t xml:space="preserve">3,782 / 3,547 = 1.0663x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2">
            <w:pPr>
              <w:spacing w:before="0" w:line="240" w:lineRule="auto"/>
              <w:jc w:val="right"/>
              <w:rPr>
                <w:color w:val="000000"/>
                <w:sz w:val="20"/>
                <w:szCs w:val="20"/>
              </w:rPr>
            </w:pPr>
            <w:r w:rsidDel="00000000" w:rsidR="00000000" w:rsidRPr="00000000">
              <w:rPr>
                <w:color w:val="000000"/>
                <w:sz w:val="20"/>
                <w:szCs w:val="20"/>
                <w:rtl w:val="0"/>
              </w:rPr>
              <w:t xml:space="preserve">1.07x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93">
            <w:pPr>
              <w:spacing w:before="0" w:line="240" w:lineRule="auto"/>
              <w:jc w:val="left"/>
              <w:rPr>
                <w:color w:val="000000"/>
                <w:sz w:val="20"/>
                <w:szCs w:val="20"/>
              </w:rPr>
            </w:pPr>
            <w:r w:rsidDel="00000000" w:rsidR="00000000" w:rsidRPr="00000000">
              <w:rPr>
                <w:color w:val="000000"/>
                <w:sz w:val="20"/>
                <w:szCs w:val="20"/>
                <w:rtl w:val="0"/>
              </w:rPr>
              <w:t xml:space="preserve">Debt-to-total-capital</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4">
            <w:pPr>
              <w:spacing w:before="0" w:line="240" w:lineRule="auto"/>
              <w:jc w:val="left"/>
              <w:rPr>
                <w:color w:val="000000"/>
                <w:sz w:val="20"/>
                <w:szCs w:val="20"/>
              </w:rPr>
            </w:pPr>
            <w:r w:rsidDel="00000000" w:rsidR="00000000" w:rsidRPr="00000000">
              <w:rPr>
                <w:color w:val="000000"/>
                <w:sz w:val="20"/>
                <w:szCs w:val="20"/>
                <w:rtl w:val="0"/>
              </w:rPr>
              <w:t xml:space="preserve">3,244 / (3,244 + 3,211) = 0.5026x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5">
            <w:pPr>
              <w:spacing w:before="0" w:line="240" w:lineRule="auto"/>
              <w:jc w:val="right"/>
              <w:rPr>
                <w:color w:val="000000"/>
                <w:sz w:val="20"/>
                <w:szCs w:val="20"/>
              </w:rPr>
            </w:pPr>
            <w:r w:rsidDel="00000000" w:rsidR="00000000" w:rsidRPr="00000000">
              <w:rPr>
                <w:color w:val="000000"/>
                <w:sz w:val="20"/>
                <w:szCs w:val="20"/>
                <w:rtl w:val="0"/>
              </w:rPr>
              <w:t xml:space="preserve">0.50x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6">
            <w:pPr>
              <w:spacing w:before="0" w:line="240" w:lineRule="auto"/>
              <w:jc w:val="left"/>
              <w:rPr>
                <w:color w:val="000000"/>
                <w:sz w:val="20"/>
                <w:szCs w:val="20"/>
              </w:rPr>
            </w:pPr>
            <w:r w:rsidDel="00000000" w:rsidR="00000000" w:rsidRPr="00000000">
              <w:rPr>
                <w:color w:val="000000"/>
                <w:sz w:val="20"/>
                <w:szCs w:val="20"/>
                <w:rtl w:val="0"/>
              </w:rPr>
              <w:t xml:space="preserve">3,978 / (3,978 + 3,563) = 0.5275x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7">
            <w:pPr>
              <w:spacing w:before="0" w:line="240" w:lineRule="auto"/>
              <w:jc w:val="right"/>
              <w:rPr>
                <w:color w:val="000000"/>
                <w:sz w:val="20"/>
                <w:szCs w:val="20"/>
              </w:rPr>
            </w:pPr>
            <w:r w:rsidDel="00000000" w:rsidR="00000000" w:rsidRPr="00000000">
              <w:rPr>
                <w:color w:val="000000"/>
                <w:sz w:val="20"/>
                <w:szCs w:val="20"/>
                <w:rtl w:val="0"/>
              </w:rPr>
              <w:t xml:space="preserve">0.53x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8">
            <w:pPr>
              <w:spacing w:before="0" w:line="240" w:lineRule="auto"/>
              <w:jc w:val="left"/>
              <w:rPr>
                <w:color w:val="000000"/>
                <w:sz w:val="20"/>
                <w:szCs w:val="20"/>
              </w:rPr>
            </w:pPr>
            <w:r w:rsidDel="00000000" w:rsidR="00000000" w:rsidRPr="00000000">
              <w:rPr>
                <w:color w:val="000000"/>
                <w:sz w:val="20"/>
                <w:szCs w:val="20"/>
                <w:rtl w:val="0"/>
              </w:rPr>
              <w:t xml:space="preserve">3,113 / (3,113 + 3,699) = 0.4570x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9">
            <w:pPr>
              <w:spacing w:before="0" w:line="240" w:lineRule="auto"/>
              <w:jc w:val="right"/>
              <w:rPr>
                <w:color w:val="000000"/>
                <w:sz w:val="20"/>
                <w:szCs w:val="20"/>
              </w:rPr>
            </w:pPr>
            <w:r w:rsidDel="00000000" w:rsidR="00000000" w:rsidRPr="00000000">
              <w:rPr>
                <w:color w:val="000000"/>
                <w:sz w:val="20"/>
                <w:szCs w:val="20"/>
                <w:rtl w:val="0"/>
              </w:rPr>
              <w:t xml:space="preserve">0.46x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A">
            <w:pPr>
              <w:spacing w:before="0" w:line="240" w:lineRule="auto"/>
              <w:jc w:val="left"/>
              <w:rPr>
                <w:color w:val="000000"/>
                <w:sz w:val="20"/>
                <w:szCs w:val="20"/>
              </w:rPr>
            </w:pPr>
            <w:r w:rsidDel="00000000" w:rsidR="00000000" w:rsidRPr="00000000">
              <w:rPr>
                <w:color w:val="000000"/>
                <w:sz w:val="20"/>
                <w:szCs w:val="20"/>
                <w:rtl w:val="0"/>
              </w:rPr>
              <w:t xml:space="preserve">3,056 / (3,056 + 3,564) = 0.4616x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B">
            <w:pPr>
              <w:spacing w:before="0" w:line="240" w:lineRule="auto"/>
              <w:jc w:val="right"/>
              <w:rPr>
                <w:color w:val="000000"/>
                <w:sz w:val="20"/>
                <w:szCs w:val="20"/>
              </w:rPr>
            </w:pPr>
            <w:r w:rsidDel="00000000" w:rsidR="00000000" w:rsidRPr="00000000">
              <w:rPr>
                <w:color w:val="000000"/>
                <w:sz w:val="20"/>
                <w:szCs w:val="20"/>
                <w:rtl w:val="0"/>
              </w:rPr>
              <w:t xml:space="preserve">0.46x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C">
            <w:pPr>
              <w:spacing w:before="0" w:line="240" w:lineRule="auto"/>
              <w:jc w:val="left"/>
              <w:rPr>
                <w:color w:val="000000"/>
                <w:sz w:val="20"/>
                <w:szCs w:val="20"/>
              </w:rPr>
            </w:pPr>
            <w:r w:rsidDel="00000000" w:rsidR="00000000" w:rsidRPr="00000000">
              <w:rPr>
                <w:color w:val="000000"/>
                <w:sz w:val="20"/>
                <w:szCs w:val="20"/>
                <w:rtl w:val="0"/>
              </w:rPr>
              <w:t xml:space="preserve">3,782 / (3,782 + 3,547) = 0.5160x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D">
            <w:pPr>
              <w:spacing w:before="0" w:line="240" w:lineRule="auto"/>
              <w:jc w:val="right"/>
              <w:rPr>
                <w:color w:val="000000"/>
                <w:sz w:val="20"/>
                <w:szCs w:val="20"/>
              </w:rPr>
            </w:pPr>
            <w:r w:rsidDel="00000000" w:rsidR="00000000" w:rsidRPr="00000000">
              <w:rPr>
                <w:color w:val="000000"/>
                <w:sz w:val="20"/>
                <w:szCs w:val="20"/>
                <w:rtl w:val="0"/>
              </w:rPr>
              <w:t xml:space="preserve">0.52x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9E">
            <w:pPr>
              <w:spacing w:before="0" w:line="240" w:lineRule="auto"/>
              <w:jc w:val="left"/>
              <w:rPr>
                <w:color w:val="000000"/>
                <w:sz w:val="20"/>
                <w:szCs w:val="20"/>
              </w:rPr>
            </w:pPr>
            <w:r w:rsidDel="00000000" w:rsidR="00000000" w:rsidRPr="00000000">
              <w:rPr>
                <w:color w:val="000000"/>
                <w:sz w:val="20"/>
                <w:szCs w:val="20"/>
                <w:rtl w:val="0"/>
              </w:rPr>
              <w:t xml:space="preserve">Net debt-to-total-capital</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9F">
            <w:pPr>
              <w:spacing w:before="0" w:line="240" w:lineRule="auto"/>
              <w:jc w:val="left"/>
              <w:rPr>
                <w:color w:val="000000"/>
                <w:sz w:val="20"/>
                <w:szCs w:val="20"/>
              </w:rPr>
            </w:pPr>
            <w:r w:rsidDel="00000000" w:rsidR="00000000" w:rsidRPr="00000000">
              <w:rPr>
                <w:color w:val="000000"/>
                <w:sz w:val="20"/>
                <w:szCs w:val="20"/>
                <w:rtl w:val="0"/>
              </w:rPr>
              <w:t xml:space="preserve">(3,244 - 1,207 - 675) / (3,244 + 3,211) = 21.0999%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0">
            <w:pPr>
              <w:spacing w:before="0" w:line="240" w:lineRule="auto"/>
              <w:jc w:val="right"/>
              <w:rPr>
                <w:color w:val="000000"/>
                <w:sz w:val="20"/>
                <w:szCs w:val="20"/>
              </w:rPr>
            </w:pPr>
            <w:r w:rsidDel="00000000" w:rsidR="00000000" w:rsidRPr="00000000">
              <w:rPr>
                <w:color w:val="000000"/>
                <w:sz w:val="20"/>
                <w:szCs w:val="20"/>
                <w:rtl w:val="0"/>
              </w:rPr>
              <w:t xml:space="preserve">21.10%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1">
            <w:pPr>
              <w:spacing w:before="0" w:line="240" w:lineRule="auto"/>
              <w:jc w:val="left"/>
              <w:rPr>
                <w:color w:val="000000"/>
                <w:sz w:val="20"/>
                <w:szCs w:val="20"/>
              </w:rPr>
            </w:pPr>
            <w:r w:rsidDel="00000000" w:rsidR="00000000" w:rsidRPr="00000000">
              <w:rPr>
                <w:color w:val="000000"/>
                <w:sz w:val="20"/>
                <w:szCs w:val="20"/>
                <w:rtl w:val="0"/>
              </w:rPr>
              <w:t xml:space="preserve">(3,978 - 960 - 227) / (3,978 + 3,563) = 37.0110%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2">
            <w:pPr>
              <w:spacing w:before="0" w:line="240" w:lineRule="auto"/>
              <w:jc w:val="right"/>
              <w:rPr>
                <w:color w:val="000000"/>
                <w:sz w:val="20"/>
                <w:szCs w:val="20"/>
              </w:rPr>
            </w:pPr>
            <w:r w:rsidDel="00000000" w:rsidR="00000000" w:rsidRPr="00000000">
              <w:rPr>
                <w:color w:val="000000"/>
                <w:sz w:val="20"/>
                <w:szCs w:val="20"/>
                <w:rtl w:val="0"/>
              </w:rPr>
              <w:t xml:space="preserve">37.01%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3">
            <w:pPr>
              <w:spacing w:before="0" w:line="240" w:lineRule="auto"/>
              <w:jc w:val="left"/>
              <w:rPr>
                <w:color w:val="000000"/>
                <w:sz w:val="20"/>
                <w:szCs w:val="20"/>
              </w:rPr>
            </w:pPr>
            <w:r w:rsidDel="00000000" w:rsidR="00000000" w:rsidRPr="00000000">
              <w:rPr>
                <w:color w:val="000000"/>
                <w:sz w:val="20"/>
                <w:szCs w:val="20"/>
                <w:rtl w:val="0"/>
              </w:rPr>
              <w:t xml:space="preserve">(3,113 - 991 - 158) / (3,113 + 3,699) = 28.8315%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4">
            <w:pPr>
              <w:spacing w:before="0" w:line="240" w:lineRule="auto"/>
              <w:jc w:val="right"/>
              <w:rPr>
                <w:color w:val="000000"/>
                <w:sz w:val="20"/>
                <w:szCs w:val="20"/>
              </w:rPr>
            </w:pPr>
            <w:r w:rsidDel="00000000" w:rsidR="00000000" w:rsidRPr="00000000">
              <w:rPr>
                <w:color w:val="000000"/>
                <w:sz w:val="20"/>
                <w:szCs w:val="20"/>
                <w:rtl w:val="0"/>
              </w:rPr>
              <w:t xml:space="preserve">28.83%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5">
            <w:pPr>
              <w:spacing w:before="0" w:line="240" w:lineRule="auto"/>
              <w:jc w:val="left"/>
              <w:rPr>
                <w:color w:val="000000"/>
                <w:sz w:val="20"/>
                <w:szCs w:val="20"/>
              </w:rPr>
            </w:pPr>
            <w:r w:rsidDel="00000000" w:rsidR="00000000" w:rsidRPr="00000000">
              <w:rPr>
                <w:color w:val="000000"/>
                <w:sz w:val="20"/>
                <w:szCs w:val="20"/>
                <w:rtl w:val="0"/>
              </w:rPr>
              <w:t xml:space="preserve">(3,056 - 881 - 15) / (3,056 + 3,564) = 32.6284%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6">
            <w:pPr>
              <w:spacing w:before="0" w:line="240" w:lineRule="auto"/>
              <w:jc w:val="right"/>
              <w:rPr>
                <w:color w:val="000000"/>
                <w:sz w:val="20"/>
                <w:szCs w:val="20"/>
              </w:rPr>
            </w:pPr>
            <w:r w:rsidDel="00000000" w:rsidR="00000000" w:rsidRPr="00000000">
              <w:rPr>
                <w:color w:val="000000"/>
                <w:sz w:val="20"/>
                <w:szCs w:val="20"/>
                <w:rtl w:val="0"/>
              </w:rPr>
              <w:t xml:space="preserve">32.63%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7">
            <w:pPr>
              <w:spacing w:before="0" w:line="240" w:lineRule="auto"/>
              <w:jc w:val="left"/>
              <w:rPr>
                <w:color w:val="000000"/>
                <w:sz w:val="20"/>
                <w:szCs w:val="20"/>
              </w:rPr>
            </w:pPr>
            <w:r w:rsidDel="00000000" w:rsidR="00000000" w:rsidRPr="00000000">
              <w:rPr>
                <w:color w:val="000000"/>
                <w:sz w:val="20"/>
                <w:szCs w:val="20"/>
                <w:rtl w:val="0"/>
              </w:rPr>
              <w:t xml:space="preserve">(3,782 - 1,011 - 372) / (3,782 + 3,547) = 32.7330%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8">
            <w:pPr>
              <w:spacing w:before="0" w:line="240" w:lineRule="auto"/>
              <w:jc w:val="right"/>
              <w:rPr>
                <w:color w:val="000000"/>
                <w:sz w:val="20"/>
                <w:szCs w:val="20"/>
              </w:rPr>
            </w:pPr>
            <w:r w:rsidDel="00000000" w:rsidR="00000000" w:rsidRPr="00000000">
              <w:rPr>
                <w:color w:val="000000"/>
                <w:sz w:val="20"/>
                <w:szCs w:val="20"/>
                <w:rtl w:val="0"/>
              </w:rPr>
              <w:t xml:space="preserve">32.73%</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A9">
            <w:pPr>
              <w:spacing w:before="0" w:line="240" w:lineRule="auto"/>
              <w:jc w:val="left"/>
              <w:rPr>
                <w:color w:val="000000"/>
                <w:sz w:val="20"/>
                <w:szCs w:val="20"/>
              </w:rPr>
            </w:pPr>
            <w:r w:rsidDel="00000000" w:rsidR="00000000" w:rsidRPr="00000000">
              <w:rPr>
                <w:color w:val="000000"/>
                <w:sz w:val="20"/>
                <w:szCs w:val="20"/>
                <w:rtl w:val="0"/>
              </w:rPr>
              <w:t xml:space="preserve">Interest coverage</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A">
            <w:pPr>
              <w:spacing w:before="0" w:line="240" w:lineRule="auto"/>
              <w:jc w:val="left"/>
              <w:rPr>
                <w:color w:val="000000"/>
                <w:sz w:val="20"/>
                <w:szCs w:val="20"/>
              </w:rPr>
            </w:pPr>
            <w:r w:rsidDel="00000000" w:rsidR="00000000" w:rsidRPr="00000000">
              <w:rPr>
                <w:color w:val="000000"/>
                <w:sz w:val="20"/>
                <w:szCs w:val="20"/>
                <w:rtl w:val="0"/>
              </w:rPr>
              <w:t xml:space="preserve">((960) + 128) / 128 = (6.5000x)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B">
            <w:pPr>
              <w:spacing w:before="0" w:line="240" w:lineRule="auto"/>
              <w:jc w:val="right"/>
              <w:rPr>
                <w:color w:val="000000"/>
                <w:sz w:val="20"/>
                <w:szCs w:val="20"/>
              </w:rPr>
            </w:pPr>
            <w:r w:rsidDel="00000000" w:rsidR="00000000" w:rsidRPr="00000000">
              <w:rPr>
                <w:color w:val="ff0000"/>
                <w:sz w:val="20"/>
                <w:szCs w:val="20"/>
                <w:rtl w:val="0"/>
              </w:rPr>
              <w:t xml:space="preserve">(6.50x)</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C">
            <w:pPr>
              <w:spacing w:before="0" w:line="240" w:lineRule="auto"/>
              <w:jc w:val="left"/>
              <w:rPr>
                <w:color w:val="000000"/>
                <w:sz w:val="20"/>
                <w:szCs w:val="20"/>
              </w:rPr>
            </w:pPr>
            <w:r w:rsidDel="00000000" w:rsidR="00000000" w:rsidRPr="00000000">
              <w:rPr>
                <w:color w:val="000000"/>
                <w:sz w:val="20"/>
                <w:szCs w:val="20"/>
                <w:rtl w:val="0"/>
              </w:rPr>
              <w:t xml:space="preserve">(44 + 163) / 163 = 1.2699x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D">
            <w:pPr>
              <w:spacing w:before="0" w:line="240" w:lineRule="auto"/>
              <w:jc w:val="right"/>
              <w:rPr>
                <w:color w:val="000000"/>
                <w:sz w:val="20"/>
                <w:szCs w:val="20"/>
              </w:rPr>
            </w:pPr>
            <w:r w:rsidDel="00000000" w:rsidR="00000000" w:rsidRPr="00000000">
              <w:rPr>
                <w:color w:val="000000"/>
                <w:sz w:val="20"/>
                <w:szCs w:val="20"/>
                <w:rtl w:val="0"/>
              </w:rPr>
              <w:t xml:space="preserve">1.27x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E">
            <w:pPr>
              <w:spacing w:before="0" w:line="240" w:lineRule="auto"/>
              <w:jc w:val="left"/>
              <w:rPr>
                <w:color w:val="000000"/>
                <w:sz w:val="20"/>
                <w:szCs w:val="20"/>
              </w:rPr>
            </w:pPr>
            <w:r w:rsidDel="00000000" w:rsidR="00000000" w:rsidRPr="00000000">
              <w:rPr>
                <w:color w:val="000000"/>
                <w:sz w:val="20"/>
                <w:szCs w:val="20"/>
                <w:rtl w:val="0"/>
              </w:rPr>
              <w:t xml:space="preserve">(363 + 150) / 150 = 3.4200x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AF">
            <w:pPr>
              <w:spacing w:before="0" w:line="240" w:lineRule="auto"/>
              <w:jc w:val="right"/>
              <w:rPr>
                <w:color w:val="000000"/>
                <w:sz w:val="20"/>
                <w:szCs w:val="20"/>
              </w:rPr>
            </w:pPr>
            <w:r w:rsidDel="00000000" w:rsidR="00000000" w:rsidRPr="00000000">
              <w:rPr>
                <w:color w:val="000000"/>
                <w:sz w:val="20"/>
                <w:szCs w:val="20"/>
                <w:rtl w:val="0"/>
              </w:rPr>
              <w:t xml:space="preserve">3.42x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0">
            <w:pPr>
              <w:spacing w:before="0" w:line="240" w:lineRule="auto"/>
              <w:jc w:val="left"/>
              <w:rPr>
                <w:color w:val="000000"/>
                <w:sz w:val="20"/>
                <w:szCs w:val="20"/>
              </w:rPr>
            </w:pPr>
            <w:r w:rsidDel="00000000" w:rsidR="00000000" w:rsidRPr="00000000">
              <w:rPr>
                <w:color w:val="000000"/>
                <w:sz w:val="20"/>
                <w:szCs w:val="20"/>
                <w:rtl w:val="0"/>
              </w:rPr>
              <w:t xml:space="preserve">(310 + 145) / 145 = 3.1379x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1">
            <w:pPr>
              <w:spacing w:before="0" w:line="240" w:lineRule="auto"/>
              <w:jc w:val="right"/>
              <w:rPr>
                <w:color w:val="000000"/>
                <w:sz w:val="20"/>
                <w:szCs w:val="20"/>
              </w:rPr>
            </w:pPr>
            <w:r w:rsidDel="00000000" w:rsidR="00000000" w:rsidRPr="00000000">
              <w:rPr>
                <w:color w:val="000000"/>
                <w:sz w:val="20"/>
                <w:szCs w:val="20"/>
                <w:rtl w:val="0"/>
              </w:rPr>
              <w:t xml:space="preserve">3.14x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2">
            <w:pPr>
              <w:spacing w:before="0" w:line="240" w:lineRule="auto"/>
              <w:jc w:val="left"/>
              <w:rPr>
                <w:color w:val="000000"/>
                <w:sz w:val="20"/>
                <w:szCs w:val="20"/>
              </w:rPr>
            </w:pPr>
            <w:r w:rsidDel="00000000" w:rsidR="00000000" w:rsidRPr="00000000">
              <w:rPr>
                <w:color w:val="000000"/>
                <w:sz w:val="20"/>
                <w:szCs w:val="20"/>
                <w:rtl w:val="0"/>
              </w:rPr>
              <w:t xml:space="preserve">(1,563 + 180) / 180 = 9.6833x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3">
            <w:pPr>
              <w:spacing w:before="0" w:line="240" w:lineRule="auto"/>
              <w:jc w:val="right"/>
              <w:rPr>
                <w:color w:val="000000"/>
                <w:sz w:val="20"/>
                <w:szCs w:val="20"/>
              </w:rPr>
            </w:pPr>
            <w:r w:rsidDel="00000000" w:rsidR="00000000" w:rsidRPr="00000000">
              <w:rPr>
                <w:color w:val="000000"/>
                <w:sz w:val="20"/>
                <w:szCs w:val="20"/>
                <w:rtl w:val="0"/>
              </w:rPr>
              <w:t xml:space="preserve">9.68x</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B4">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5">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6">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7">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8">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9">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A">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B">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C">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D">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BE">
            <w:pPr>
              <w:spacing w:before="0" w:line="240" w:lineRule="auto"/>
              <w:jc w:val="left"/>
              <w:rPr>
                <w:color w:val="000000"/>
                <w:sz w:val="20"/>
                <w:szCs w:val="20"/>
              </w:rPr>
            </w:pPr>
            <w:r w:rsidDel="00000000" w:rsidR="00000000" w:rsidRPr="00000000">
              <w:rPr>
                <w:color w:val="000000"/>
                <w:sz w:val="20"/>
                <w:szCs w:val="20"/>
                <w:rtl w:val="0"/>
              </w:rPr>
              <w:t xml:space="preserve"> </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shd w:fill="2f75b5" w:val="clear"/>
            <w:vAlign w:val="center"/>
          </w:tcPr>
          <w:p w:rsidR="00000000" w:rsidDel="00000000" w:rsidP="00000000" w:rsidRDefault="00000000" w:rsidRPr="00000000" w14:paraId="000001BF">
            <w:pPr>
              <w:spacing w:before="0" w:line="240" w:lineRule="auto"/>
              <w:jc w:val="left"/>
              <w:rPr>
                <w:b w:val="1"/>
                <w:bCs w:val="1"/>
                <w:color w:val="ffffff"/>
                <w:sz w:val="20"/>
                <w:szCs w:val="20"/>
              </w:rPr>
            </w:pPr>
            <w:r w:rsidDel="00000000" w:rsidR="00000000" w:rsidRPr="00000000">
              <w:rPr>
                <w:b w:val="1"/>
                <w:bCs w:val="1"/>
                <w:color w:val="ffffff"/>
                <w:sz w:val="20"/>
                <w:szCs w:val="20"/>
                <w:rtl w:val="0"/>
              </w:rPr>
              <w:t xml:space="preserve">INVESTMENT</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0">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1">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2">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3">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4">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5">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6">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7">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8">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9">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2024</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CA">
            <w:pPr>
              <w:spacing w:before="0" w:line="240" w:lineRule="auto"/>
              <w:jc w:val="left"/>
              <w:rPr>
                <w:color w:val="000000"/>
                <w:sz w:val="20"/>
                <w:szCs w:val="20"/>
              </w:rPr>
            </w:pPr>
            <w:r w:rsidDel="00000000" w:rsidR="00000000" w:rsidRPr="00000000">
              <w:rPr>
                <w:color w:val="000000"/>
                <w:sz w:val="20"/>
                <w:szCs w:val="20"/>
                <w:rtl w:val="0"/>
              </w:rPr>
              <w:t xml:space="preserve">Diluted EPS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B">
            <w:pPr>
              <w:spacing w:before="0" w:line="240" w:lineRule="auto"/>
              <w:jc w:val="left"/>
              <w:rPr>
                <w:color w:val="000000"/>
                <w:sz w:val="20"/>
                <w:szCs w:val="20"/>
              </w:rPr>
            </w:pPr>
            <w:r w:rsidDel="00000000" w:rsidR="00000000" w:rsidRPr="00000000">
              <w:rPr>
                <w:color w:val="000000"/>
                <w:sz w:val="20"/>
                <w:szCs w:val="20"/>
                <w:rtl w:val="0"/>
              </w:rPr>
              <w:t xml:space="preserve">Reported diluted EPS = ($6.93)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C">
            <w:pPr>
              <w:spacing w:before="0" w:line="240" w:lineRule="auto"/>
              <w:jc w:val="right"/>
              <w:rPr>
                <w:color w:val="000000"/>
                <w:sz w:val="20"/>
                <w:szCs w:val="20"/>
              </w:rPr>
            </w:pPr>
            <w:r w:rsidDel="00000000" w:rsidR="00000000" w:rsidRPr="00000000">
              <w:rPr>
                <w:color w:val="ff0000"/>
                <w:sz w:val="20"/>
                <w:szCs w:val="20"/>
                <w:rtl w:val="0"/>
              </w:rPr>
              <w:t xml:space="preserve">($6.93)</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D">
            <w:pPr>
              <w:spacing w:before="0" w:line="240" w:lineRule="auto"/>
              <w:jc w:val="left"/>
              <w:rPr>
                <w:color w:val="000000"/>
                <w:sz w:val="20"/>
                <w:szCs w:val="20"/>
              </w:rPr>
            </w:pPr>
            <w:r w:rsidDel="00000000" w:rsidR="00000000" w:rsidRPr="00000000">
              <w:rPr>
                <w:color w:val="000000"/>
                <w:sz w:val="20"/>
                <w:szCs w:val="20"/>
                <w:rtl w:val="0"/>
              </w:rPr>
              <w:t xml:space="preserve">Reported diluted EPS = ($2.13)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E">
            <w:pPr>
              <w:spacing w:before="0" w:line="240" w:lineRule="auto"/>
              <w:jc w:val="right"/>
              <w:rPr>
                <w:color w:val="000000"/>
                <w:sz w:val="20"/>
                <w:szCs w:val="20"/>
              </w:rPr>
            </w:pPr>
            <w:r w:rsidDel="00000000" w:rsidR="00000000" w:rsidRPr="00000000">
              <w:rPr>
                <w:color w:val="ff0000"/>
                <w:sz w:val="20"/>
                <w:szCs w:val="20"/>
                <w:rtl w:val="0"/>
              </w:rPr>
              <w:t xml:space="preserve">($2.13)</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CF">
            <w:pPr>
              <w:spacing w:before="0" w:line="240" w:lineRule="auto"/>
              <w:jc w:val="left"/>
              <w:rPr>
                <w:color w:val="000000"/>
                <w:sz w:val="20"/>
                <w:szCs w:val="20"/>
              </w:rPr>
            </w:pPr>
            <w:r w:rsidDel="00000000" w:rsidR="00000000" w:rsidRPr="00000000">
              <w:rPr>
                <w:color w:val="000000"/>
                <w:sz w:val="20"/>
                <w:szCs w:val="20"/>
                <w:rtl w:val="0"/>
              </w:rPr>
              <w:t xml:space="preserve">Reported diluted EPS = $4.09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0">
            <w:pPr>
              <w:spacing w:before="0" w:line="240" w:lineRule="auto"/>
              <w:jc w:val="right"/>
              <w:rPr>
                <w:color w:val="000000"/>
                <w:sz w:val="20"/>
                <w:szCs w:val="20"/>
              </w:rPr>
            </w:pPr>
            <w:r w:rsidDel="00000000" w:rsidR="00000000" w:rsidRPr="00000000">
              <w:rPr>
                <w:color w:val="000000"/>
                <w:sz w:val="20"/>
                <w:szCs w:val="20"/>
                <w:rtl w:val="0"/>
              </w:rPr>
              <w:t xml:space="preserve">$4.09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1">
            <w:pPr>
              <w:spacing w:before="0" w:line="240" w:lineRule="auto"/>
              <w:jc w:val="left"/>
              <w:rPr>
                <w:color w:val="000000"/>
                <w:sz w:val="20"/>
                <w:szCs w:val="20"/>
              </w:rPr>
            </w:pPr>
            <w:r w:rsidDel="00000000" w:rsidR="00000000" w:rsidRPr="00000000">
              <w:rPr>
                <w:color w:val="000000"/>
                <w:sz w:val="20"/>
                <w:szCs w:val="20"/>
                <w:rtl w:val="0"/>
              </w:rPr>
              <w:t xml:space="preserve">Reported diluted EPS = $2.05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2">
            <w:pPr>
              <w:spacing w:before="0" w:line="240" w:lineRule="auto"/>
              <w:jc w:val="right"/>
              <w:rPr>
                <w:color w:val="000000"/>
                <w:sz w:val="20"/>
                <w:szCs w:val="20"/>
              </w:rPr>
            </w:pPr>
            <w:r w:rsidDel="00000000" w:rsidR="00000000" w:rsidRPr="00000000">
              <w:rPr>
                <w:color w:val="000000"/>
                <w:sz w:val="20"/>
                <w:szCs w:val="20"/>
                <w:rtl w:val="0"/>
              </w:rPr>
              <w:t xml:space="preserve">$2.05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3">
            <w:pPr>
              <w:spacing w:before="0" w:line="240" w:lineRule="auto"/>
              <w:jc w:val="left"/>
              <w:rPr>
                <w:color w:val="000000"/>
                <w:sz w:val="20"/>
                <w:szCs w:val="20"/>
              </w:rPr>
            </w:pPr>
            <w:r w:rsidDel="00000000" w:rsidR="00000000" w:rsidRPr="00000000">
              <w:rPr>
                <w:color w:val="000000"/>
                <w:sz w:val="20"/>
                <w:szCs w:val="20"/>
                <w:rtl w:val="0"/>
              </w:rPr>
              <w:t xml:space="preserve">Reported diluted EPS = $12.65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4">
            <w:pPr>
              <w:spacing w:before="0" w:line="240" w:lineRule="auto"/>
              <w:jc w:val="right"/>
              <w:rPr>
                <w:color w:val="000000"/>
                <w:sz w:val="20"/>
                <w:szCs w:val="20"/>
              </w:rPr>
            </w:pPr>
            <w:r w:rsidDel="00000000" w:rsidR="00000000" w:rsidRPr="00000000">
              <w:rPr>
                <w:color w:val="000000"/>
                <w:sz w:val="20"/>
                <w:szCs w:val="20"/>
                <w:rtl w:val="0"/>
              </w:rPr>
              <w:t xml:space="preserve">$12.65</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D5">
            <w:pPr>
              <w:spacing w:before="0" w:line="240" w:lineRule="auto"/>
              <w:jc w:val="left"/>
              <w:rPr>
                <w:color w:val="000000"/>
                <w:sz w:val="20"/>
                <w:szCs w:val="20"/>
              </w:rPr>
            </w:pPr>
            <w:r w:rsidDel="00000000" w:rsidR="00000000" w:rsidRPr="00000000">
              <w:rPr>
                <w:color w:val="000000"/>
                <w:sz w:val="20"/>
                <w:szCs w:val="20"/>
                <w:rtl w:val="0"/>
              </w:rPr>
              <w:t xml:space="preserve">Dividend payout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6">
            <w:pPr>
              <w:spacing w:before="0" w:line="240" w:lineRule="auto"/>
              <w:jc w:val="left"/>
              <w:rPr>
                <w:color w:val="000000"/>
                <w:sz w:val="20"/>
                <w:szCs w:val="20"/>
              </w:rPr>
            </w:pPr>
            <w:r w:rsidDel="00000000" w:rsidR="00000000" w:rsidRPr="00000000">
              <w:rPr>
                <w:color w:val="000000"/>
                <w:sz w:val="20"/>
                <w:szCs w:val="20"/>
                <w:rtl w:val="0"/>
              </w:rPr>
              <w:t xml:space="preserve">20 / (703) = -2.48%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7">
            <w:pPr>
              <w:spacing w:before="0" w:line="240" w:lineRule="auto"/>
              <w:jc w:val="right"/>
              <w:rPr>
                <w:color w:val="000000"/>
                <w:sz w:val="20"/>
                <w:szCs w:val="20"/>
              </w:rPr>
            </w:pPr>
            <w:r w:rsidDel="00000000" w:rsidR="00000000" w:rsidRPr="00000000">
              <w:rPr>
                <w:color w:val="ff0000"/>
                <w:sz w:val="20"/>
                <w:szCs w:val="20"/>
                <w:rtl w:val="0"/>
              </w:rPr>
              <w:t xml:space="preserve">(2.84%)</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8">
            <w:pPr>
              <w:spacing w:before="0" w:line="240" w:lineRule="auto"/>
              <w:jc w:val="left"/>
              <w:rPr>
                <w:color w:val="000000"/>
                <w:sz w:val="20"/>
                <w:szCs w:val="20"/>
              </w:rPr>
            </w:pPr>
            <w:r w:rsidDel="00000000" w:rsidR="00000000" w:rsidRPr="00000000">
              <w:rPr>
                <w:color w:val="000000"/>
                <w:sz w:val="20"/>
                <w:szCs w:val="20"/>
                <w:rtl w:val="0"/>
              </w:rPr>
              <w:t xml:space="preserve">0 / (222) =0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9">
            <w:pPr>
              <w:spacing w:before="0" w:line="240" w:lineRule="auto"/>
              <w:jc w:val="right"/>
              <w:rPr>
                <w:color w:val="000000"/>
                <w:sz w:val="20"/>
                <w:szCs w:val="20"/>
              </w:rPr>
            </w:pPr>
            <w:r w:rsidDel="00000000" w:rsidR="00000000" w:rsidRPr="00000000">
              <w:rPr>
                <w:color w:val="000000"/>
                <w:sz w:val="20"/>
                <w:szCs w:val="20"/>
                <w:rtl w:val="0"/>
              </w:rPr>
              <w:t xml:space="preserve">-</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A">
            <w:pPr>
              <w:spacing w:before="0" w:line="240" w:lineRule="auto"/>
              <w:jc w:val="left"/>
              <w:rPr>
                <w:color w:val="000000"/>
                <w:sz w:val="20"/>
                <w:szCs w:val="20"/>
              </w:rPr>
            </w:pPr>
            <w:r w:rsidDel="00000000" w:rsidR="00000000" w:rsidRPr="00000000">
              <w:rPr>
                <w:color w:val="000000"/>
                <w:sz w:val="20"/>
                <w:szCs w:val="20"/>
                <w:rtl w:val="0"/>
              </w:rPr>
              <w:t xml:space="preserve">0 / 455 = 0.0000%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B">
            <w:pPr>
              <w:spacing w:before="0" w:line="240" w:lineRule="auto"/>
              <w:jc w:val="right"/>
              <w:rPr>
                <w:color w:val="000000"/>
                <w:sz w:val="20"/>
                <w:szCs w:val="20"/>
              </w:rPr>
            </w:pPr>
            <w:r w:rsidDel="00000000" w:rsidR="00000000" w:rsidRPr="00000000">
              <w:rPr>
                <w:color w:val="000000"/>
                <w:sz w:val="20"/>
                <w:szCs w:val="20"/>
                <w:rtl w:val="0"/>
              </w:rPr>
              <w:t xml:space="preserve">-</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C">
            <w:pPr>
              <w:spacing w:before="0" w:line="240" w:lineRule="auto"/>
              <w:jc w:val="left"/>
              <w:rPr>
                <w:color w:val="000000"/>
                <w:sz w:val="20"/>
                <w:szCs w:val="20"/>
              </w:rPr>
            </w:pPr>
            <w:r w:rsidDel="00000000" w:rsidR="00000000" w:rsidRPr="00000000">
              <w:rPr>
                <w:color w:val="000000"/>
                <w:sz w:val="20"/>
                <w:szCs w:val="20"/>
                <w:rtl w:val="0"/>
              </w:rPr>
              <w:t xml:space="preserve">47 / 220 = 21.3636%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D">
            <w:pPr>
              <w:spacing w:before="0" w:line="240" w:lineRule="auto"/>
              <w:jc w:val="right"/>
              <w:rPr>
                <w:color w:val="000000"/>
                <w:sz w:val="20"/>
                <w:szCs w:val="20"/>
              </w:rPr>
            </w:pPr>
            <w:r w:rsidDel="00000000" w:rsidR="00000000" w:rsidRPr="00000000">
              <w:rPr>
                <w:color w:val="000000"/>
                <w:sz w:val="20"/>
                <w:szCs w:val="20"/>
                <w:rtl w:val="0"/>
              </w:rPr>
              <w:t xml:space="preserve">21.36%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E">
            <w:pPr>
              <w:spacing w:before="0" w:line="240" w:lineRule="auto"/>
              <w:jc w:val="left"/>
              <w:rPr>
                <w:color w:val="000000"/>
                <w:sz w:val="20"/>
                <w:szCs w:val="20"/>
              </w:rPr>
            </w:pPr>
            <w:r w:rsidDel="00000000" w:rsidR="00000000" w:rsidRPr="00000000">
              <w:rPr>
                <w:color w:val="000000"/>
                <w:sz w:val="20"/>
                <w:szCs w:val="20"/>
                <w:rtl w:val="0"/>
              </w:rPr>
              <w:t xml:space="preserve">60 / 1,296 = 4.6296%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DF">
            <w:pPr>
              <w:spacing w:before="0" w:line="240" w:lineRule="auto"/>
              <w:jc w:val="right"/>
              <w:rPr>
                <w:color w:val="000000"/>
                <w:sz w:val="20"/>
                <w:szCs w:val="20"/>
              </w:rPr>
            </w:pPr>
            <w:r w:rsidDel="00000000" w:rsidR="00000000" w:rsidRPr="00000000">
              <w:rPr>
                <w:color w:val="000000"/>
                <w:sz w:val="20"/>
                <w:szCs w:val="20"/>
                <w:rtl w:val="0"/>
              </w:rPr>
              <w:t xml:space="preserve">4.63%</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E0">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1">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2">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3">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4">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5">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6">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7">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8">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9">
            <w:pPr>
              <w:spacing w:before="0" w:line="240" w:lineRule="auto"/>
              <w:jc w:val="left"/>
              <w:rPr>
                <w:color w:val="000000"/>
                <w:sz w:val="20"/>
                <w:szCs w:val="20"/>
              </w:rPr>
            </w:pPr>
            <w:r w:rsidDel="00000000" w:rsidR="00000000" w:rsidRPr="00000000">
              <w:rPr>
                <w:color w:val="000000"/>
                <w:sz w:val="20"/>
                <w:szCs w:val="20"/>
                <w:rtl w:val="0"/>
              </w:rPr>
              <w:t xml:space="preserve"> </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A">
            <w:pPr>
              <w:spacing w:before="0" w:line="240" w:lineRule="auto"/>
              <w:jc w:val="left"/>
              <w:rPr>
                <w:color w:val="000000"/>
                <w:sz w:val="20"/>
                <w:szCs w:val="20"/>
              </w:rPr>
            </w:pPr>
            <w:r w:rsidDel="00000000" w:rsidR="00000000" w:rsidRPr="00000000">
              <w:rPr>
                <w:color w:val="000000"/>
                <w:sz w:val="20"/>
                <w:szCs w:val="20"/>
                <w:rtl w:val="0"/>
              </w:rPr>
              <w:t xml:space="preserve"> </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shd w:fill="2f75b5" w:val="clear"/>
            <w:vAlign w:val="center"/>
          </w:tcPr>
          <w:p w:rsidR="00000000" w:rsidDel="00000000" w:rsidP="00000000" w:rsidRDefault="00000000" w:rsidRPr="00000000" w14:paraId="000001EB">
            <w:pPr>
              <w:spacing w:before="0" w:line="240" w:lineRule="auto"/>
              <w:jc w:val="left"/>
              <w:rPr>
                <w:b w:val="1"/>
                <w:bCs w:val="1"/>
                <w:color w:val="ffffff"/>
                <w:sz w:val="20"/>
                <w:szCs w:val="20"/>
              </w:rPr>
            </w:pPr>
            <w:r w:rsidDel="00000000" w:rsidR="00000000" w:rsidRPr="00000000">
              <w:rPr>
                <w:b w:val="1"/>
                <w:bCs w:val="1"/>
                <w:color w:val="ffffff"/>
                <w:sz w:val="20"/>
                <w:szCs w:val="20"/>
                <w:rtl w:val="0"/>
              </w:rPr>
              <w:t xml:space="preserve">CASH FLOW</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C">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D">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E">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EF">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F0">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F1">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F2">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F3">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F4">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F5">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2024</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F6">
            <w:pPr>
              <w:spacing w:before="0" w:line="240" w:lineRule="auto"/>
              <w:jc w:val="left"/>
              <w:rPr>
                <w:color w:val="000000"/>
                <w:sz w:val="20"/>
                <w:szCs w:val="20"/>
              </w:rPr>
            </w:pPr>
            <w:r w:rsidDel="00000000" w:rsidR="00000000" w:rsidRPr="00000000">
              <w:rPr>
                <w:color w:val="000000"/>
                <w:sz w:val="20"/>
                <w:szCs w:val="20"/>
                <w:rtl w:val="0"/>
              </w:rPr>
              <w:t xml:space="preserve">Operating cash-flow margin</w:t>
            </w:r>
          </w:p>
        </w:tc>
        <w:tc>
          <w:tcPr>
            <w:tcBorders>
              <w:top w:color="000000" w:space="0" w:sz="0" w:val="nil"/>
              <w:left w:color="000000" w:space="0" w:sz="0" w:val="nil"/>
              <w:bottom w:color="000000" w:space="0" w:sz="4" w:val="single"/>
              <w:right w:color="000000" w:space="0" w:sz="4" w:val="single"/>
            </w:tcBorders>
            <w:vAlign w:val="bottom"/>
          </w:tcPr>
          <w:p w:rsidR="00000000" w:rsidDel="00000000" w:rsidP="00000000" w:rsidRDefault="00000000" w:rsidRPr="00000000" w14:paraId="000001F7">
            <w:pPr>
              <w:spacing w:before="0" w:line="240" w:lineRule="auto"/>
              <w:jc w:val="left"/>
              <w:rPr>
                <w:color w:val="000000"/>
                <w:sz w:val="20"/>
                <w:szCs w:val="20"/>
              </w:rPr>
            </w:pPr>
            <w:r w:rsidDel="00000000" w:rsidR="00000000" w:rsidRPr="00000000">
              <w:rPr>
                <w:color w:val="000000"/>
                <w:sz w:val="20"/>
                <w:szCs w:val="20"/>
                <w:rtl w:val="0"/>
              </w:rPr>
              <w:t xml:space="preserve">(611) / 2,066 = (29.5741%)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1F8">
            <w:pPr>
              <w:spacing w:before="0" w:line="240" w:lineRule="auto"/>
              <w:jc w:val="right"/>
              <w:rPr>
                <w:color w:val="000000"/>
                <w:sz w:val="20"/>
                <w:szCs w:val="20"/>
              </w:rPr>
            </w:pPr>
            <w:r w:rsidDel="00000000" w:rsidR="00000000" w:rsidRPr="00000000">
              <w:rPr>
                <w:color w:val="ff0000"/>
                <w:sz w:val="20"/>
                <w:szCs w:val="20"/>
                <w:rtl w:val="0"/>
              </w:rPr>
              <w:t xml:space="preserve">(29.57%)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9">
            <w:pPr>
              <w:spacing w:before="0" w:line="240" w:lineRule="auto"/>
              <w:jc w:val="left"/>
              <w:rPr>
                <w:color w:val="000000"/>
                <w:sz w:val="20"/>
                <w:szCs w:val="20"/>
              </w:rPr>
            </w:pPr>
            <w:r w:rsidDel="00000000" w:rsidR="00000000" w:rsidRPr="00000000">
              <w:rPr>
                <w:color w:val="000000"/>
                <w:sz w:val="20"/>
                <w:szCs w:val="20"/>
                <w:rtl w:val="0"/>
              </w:rPr>
              <w:t xml:space="preserve">315 / 3,028 = 10.4029%</w:t>
            </w:r>
          </w:p>
        </w:tc>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FA">
            <w:pPr>
              <w:spacing w:before="0" w:line="240" w:lineRule="auto"/>
              <w:jc w:val="right"/>
              <w:rPr>
                <w:color w:val="000000"/>
                <w:sz w:val="20"/>
                <w:szCs w:val="20"/>
              </w:rPr>
            </w:pPr>
            <w:r w:rsidDel="00000000" w:rsidR="00000000" w:rsidRPr="00000000">
              <w:rPr>
                <w:color w:val="000000"/>
                <w:sz w:val="20"/>
                <w:szCs w:val="20"/>
                <w:rtl w:val="0"/>
              </w:rPr>
              <w:t xml:space="preserve">10.40%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B">
            <w:pPr>
              <w:spacing w:before="0" w:line="240" w:lineRule="auto"/>
              <w:jc w:val="left"/>
              <w:rPr>
                <w:color w:val="000000"/>
                <w:sz w:val="20"/>
                <w:szCs w:val="20"/>
              </w:rPr>
            </w:pPr>
            <w:r w:rsidDel="00000000" w:rsidR="00000000" w:rsidRPr="00000000">
              <w:rPr>
                <w:color w:val="000000"/>
                <w:sz w:val="20"/>
                <w:szCs w:val="20"/>
                <w:rtl w:val="0"/>
              </w:rPr>
              <w:t xml:space="preserve">674 / 5,891 = 11.4412%</w:t>
            </w:r>
          </w:p>
        </w:tc>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FC">
            <w:pPr>
              <w:spacing w:before="0" w:line="240" w:lineRule="auto"/>
              <w:jc w:val="right"/>
              <w:rPr>
                <w:color w:val="000000"/>
                <w:sz w:val="20"/>
                <w:szCs w:val="20"/>
              </w:rPr>
            </w:pPr>
            <w:r w:rsidDel="00000000" w:rsidR="00000000" w:rsidRPr="00000000">
              <w:rPr>
                <w:color w:val="000000"/>
                <w:sz w:val="20"/>
                <w:szCs w:val="20"/>
                <w:rtl w:val="0"/>
              </w:rPr>
              <w:t xml:space="preserve">11.44%</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D">
            <w:pPr>
              <w:spacing w:before="0" w:line="240" w:lineRule="auto"/>
              <w:jc w:val="left"/>
              <w:rPr>
                <w:color w:val="000000"/>
                <w:sz w:val="20"/>
                <w:szCs w:val="20"/>
              </w:rPr>
            </w:pPr>
            <w:r w:rsidDel="00000000" w:rsidR="00000000" w:rsidRPr="00000000">
              <w:rPr>
                <w:color w:val="000000"/>
                <w:sz w:val="20"/>
                <w:szCs w:val="20"/>
                <w:rtl w:val="0"/>
              </w:rPr>
              <w:t xml:space="preserve">800 / 6,667 = 11.9994%</w:t>
            </w:r>
          </w:p>
        </w:tc>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1FE">
            <w:pPr>
              <w:spacing w:before="0" w:line="240" w:lineRule="auto"/>
              <w:jc w:val="right"/>
              <w:rPr>
                <w:color w:val="000000"/>
                <w:sz w:val="20"/>
                <w:szCs w:val="20"/>
              </w:rPr>
            </w:pPr>
            <w:r w:rsidDel="00000000" w:rsidR="00000000" w:rsidRPr="00000000">
              <w:rPr>
                <w:color w:val="000000"/>
                <w:sz w:val="20"/>
                <w:szCs w:val="20"/>
                <w:rtl w:val="0"/>
              </w:rPr>
              <w:t xml:space="preserve">12.00%</w:t>
            </w:r>
          </w:p>
        </w:tc>
        <w:tc>
          <w:tcPr>
            <w:tcBorders>
              <w:top w:color="000000" w:space="0" w:sz="0" w:val="nil"/>
              <w:left w:color="000000" w:space="0" w:sz="0" w:val="nil"/>
              <w:bottom w:color="000000" w:space="0" w:sz="0" w:val="nil"/>
              <w:right w:color="000000" w:space="0" w:sz="0" w:val="nil"/>
            </w:tcBorders>
            <w:vAlign w:val="bottom"/>
          </w:tcPr>
          <w:p w:rsidR="00000000" w:rsidDel="00000000" w:rsidP="00000000" w:rsidRDefault="00000000" w:rsidRPr="00000000" w14:paraId="000001FF">
            <w:pPr>
              <w:spacing w:before="0" w:line="240" w:lineRule="auto"/>
              <w:jc w:val="left"/>
              <w:rPr>
                <w:color w:val="000000"/>
                <w:sz w:val="20"/>
                <w:szCs w:val="20"/>
              </w:rPr>
            </w:pPr>
            <w:r w:rsidDel="00000000" w:rsidR="00000000" w:rsidRPr="00000000">
              <w:rPr>
                <w:color w:val="000000"/>
                <w:sz w:val="20"/>
                <w:szCs w:val="20"/>
                <w:rtl w:val="0"/>
              </w:rPr>
              <w:t xml:space="preserve">633 / 6,648 = 9.5217%</w:t>
            </w:r>
          </w:p>
        </w:tc>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00">
            <w:pPr>
              <w:spacing w:before="0" w:line="240" w:lineRule="auto"/>
              <w:jc w:val="right"/>
              <w:rPr>
                <w:color w:val="000000"/>
                <w:sz w:val="20"/>
                <w:szCs w:val="20"/>
              </w:rPr>
            </w:pPr>
            <w:r w:rsidDel="00000000" w:rsidR="00000000" w:rsidRPr="00000000">
              <w:rPr>
                <w:color w:val="000000"/>
                <w:sz w:val="20"/>
                <w:szCs w:val="20"/>
                <w:rtl w:val="0"/>
              </w:rPr>
              <w:t xml:space="preserve">9.52%</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01">
            <w:pPr>
              <w:spacing w:before="0" w:line="240" w:lineRule="auto"/>
              <w:jc w:val="left"/>
              <w:rPr>
                <w:color w:val="000000"/>
                <w:sz w:val="20"/>
                <w:szCs w:val="20"/>
              </w:rPr>
            </w:pPr>
            <w:r w:rsidDel="00000000" w:rsidR="00000000" w:rsidRPr="00000000">
              <w:rPr>
                <w:color w:val="000000"/>
                <w:sz w:val="20"/>
                <w:szCs w:val="20"/>
                <w:rtl w:val="0"/>
              </w:rPr>
              <w:t xml:space="preserve">Operating cash flow / current liabilities</w:t>
            </w:r>
          </w:p>
        </w:tc>
        <w:tc>
          <w:tcPr>
            <w:tcBorders>
              <w:top w:color="000000" w:space="0" w:sz="0" w:val="nil"/>
              <w:left w:color="000000" w:space="0" w:sz="0" w:val="nil"/>
              <w:bottom w:color="000000" w:space="0" w:sz="4" w:val="single"/>
              <w:right w:color="000000" w:space="0" w:sz="4" w:val="single"/>
            </w:tcBorders>
            <w:vAlign w:val="bottom"/>
          </w:tcPr>
          <w:p w:rsidR="00000000" w:rsidDel="00000000" w:rsidP="00000000" w:rsidRDefault="00000000" w:rsidRPr="00000000" w14:paraId="00000202">
            <w:pPr>
              <w:spacing w:before="0" w:line="240" w:lineRule="auto"/>
              <w:jc w:val="left"/>
              <w:rPr>
                <w:color w:val="000000"/>
                <w:sz w:val="20"/>
                <w:szCs w:val="20"/>
              </w:rPr>
            </w:pPr>
            <w:r w:rsidDel="00000000" w:rsidR="00000000" w:rsidRPr="00000000">
              <w:rPr>
                <w:color w:val="000000"/>
                <w:sz w:val="20"/>
                <w:szCs w:val="20"/>
                <w:rtl w:val="0"/>
              </w:rPr>
              <w:t xml:space="preserve">(611) / 984 = (62.0935%)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03">
            <w:pPr>
              <w:spacing w:before="0" w:line="240" w:lineRule="auto"/>
              <w:jc w:val="right"/>
              <w:rPr>
                <w:color w:val="000000"/>
                <w:sz w:val="20"/>
                <w:szCs w:val="20"/>
              </w:rPr>
            </w:pPr>
            <w:r w:rsidDel="00000000" w:rsidR="00000000" w:rsidRPr="00000000">
              <w:rPr>
                <w:color w:val="ff0000"/>
                <w:sz w:val="20"/>
                <w:szCs w:val="20"/>
                <w:rtl w:val="0"/>
              </w:rPr>
              <w:t xml:space="preserve">(62.09%)</w:t>
            </w:r>
            <w:r w:rsidDel="00000000" w:rsidR="00000000" w:rsidRPr="00000000">
              <w:rPr>
                <w:rtl w:val="0"/>
              </w:rPr>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04">
            <w:pPr>
              <w:spacing w:before="0" w:line="240" w:lineRule="auto"/>
              <w:jc w:val="left"/>
              <w:rPr>
                <w:color w:val="000000"/>
                <w:sz w:val="20"/>
                <w:szCs w:val="20"/>
              </w:rPr>
            </w:pPr>
            <w:r w:rsidDel="00000000" w:rsidR="00000000" w:rsidRPr="00000000">
              <w:rPr>
                <w:color w:val="000000"/>
                <w:sz w:val="20"/>
                <w:szCs w:val="20"/>
                <w:rtl w:val="0"/>
              </w:rPr>
              <w:t xml:space="preserve">315 / 2,232 = 14.1129%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05">
            <w:pPr>
              <w:spacing w:before="0" w:line="240" w:lineRule="auto"/>
              <w:jc w:val="right"/>
              <w:rPr>
                <w:color w:val="000000"/>
                <w:sz w:val="20"/>
                <w:szCs w:val="20"/>
              </w:rPr>
            </w:pPr>
            <w:r w:rsidDel="00000000" w:rsidR="00000000" w:rsidRPr="00000000">
              <w:rPr>
                <w:color w:val="000000"/>
                <w:sz w:val="20"/>
                <w:szCs w:val="20"/>
                <w:rtl w:val="0"/>
              </w:rPr>
              <w:t xml:space="preserve">14.11%</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06">
            <w:pPr>
              <w:spacing w:before="0" w:line="240" w:lineRule="auto"/>
              <w:jc w:val="left"/>
              <w:rPr>
                <w:color w:val="000000"/>
                <w:sz w:val="20"/>
                <w:szCs w:val="20"/>
              </w:rPr>
            </w:pPr>
            <w:r w:rsidDel="00000000" w:rsidR="00000000" w:rsidRPr="00000000">
              <w:rPr>
                <w:color w:val="000000"/>
                <w:sz w:val="20"/>
                <w:szCs w:val="20"/>
                <w:rtl w:val="0"/>
              </w:rPr>
              <w:t xml:space="preserve">674 / 3,287 = 20.5050%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07">
            <w:pPr>
              <w:spacing w:before="0" w:line="240" w:lineRule="auto"/>
              <w:jc w:val="right"/>
              <w:rPr>
                <w:color w:val="000000"/>
                <w:sz w:val="20"/>
                <w:szCs w:val="20"/>
              </w:rPr>
            </w:pPr>
            <w:r w:rsidDel="00000000" w:rsidR="00000000" w:rsidRPr="00000000">
              <w:rPr>
                <w:color w:val="000000"/>
                <w:sz w:val="20"/>
                <w:szCs w:val="20"/>
                <w:rtl w:val="0"/>
              </w:rPr>
              <w:t xml:space="preserve">20.51%</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08">
            <w:pPr>
              <w:spacing w:before="0" w:line="240" w:lineRule="auto"/>
              <w:jc w:val="left"/>
              <w:rPr>
                <w:color w:val="000000"/>
                <w:sz w:val="20"/>
                <w:szCs w:val="20"/>
              </w:rPr>
            </w:pPr>
            <w:r w:rsidDel="00000000" w:rsidR="00000000" w:rsidRPr="00000000">
              <w:rPr>
                <w:color w:val="000000"/>
                <w:sz w:val="20"/>
                <w:szCs w:val="20"/>
                <w:rtl w:val="0"/>
              </w:rPr>
              <w:t xml:space="preserve">800 / 3,578 = 22.3589%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09">
            <w:pPr>
              <w:spacing w:before="0" w:line="240" w:lineRule="auto"/>
              <w:jc w:val="right"/>
              <w:rPr>
                <w:color w:val="000000"/>
                <w:sz w:val="20"/>
                <w:szCs w:val="20"/>
              </w:rPr>
            </w:pPr>
            <w:r w:rsidDel="00000000" w:rsidR="00000000" w:rsidRPr="00000000">
              <w:rPr>
                <w:color w:val="000000"/>
                <w:sz w:val="20"/>
                <w:szCs w:val="20"/>
                <w:rtl w:val="0"/>
              </w:rPr>
              <w:t xml:space="preserve">22.36%</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0A">
            <w:pPr>
              <w:spacing w:before="0" w:line="240" w:lineRule="auto"/>
              <w:jc w:val="left"/>
              <w:rPr>
                <w:color w:val="000000"/>
                <w:sz w:val="20"/>
                <w:szCs w:val="20"/>
              </w:rPr>
            </w:pPr>
            <w:r w:rsidDel="00000000" w:rsidR="00000000" w:rsidRPr="00000000">
              <w:rPr>
                <w:color w:val="000000"/>
                <w:sz w:val="20"/>
                <w:szCs w:val="20"/>
                <w:rtl w:val="0"/>
              </w:rPr>
              <w:t xml:space="preserve">633 / 3,274 = 19.3341%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0B">
            <w:pPr>
              <w:spacing w:before="0" w:line="240" w:lineRule="auto"/>
              <w:jc w:val="right"/>
              <w:rPr>
                <w:color w:val="000000"/>
                <w:sz w:val="20"/>
                <w:szCs w:val="20"/>
              </w:rPr>
            </w:pPr>
            <w:r w:rsidDel="00000000" w:rsidR="00000000" w:rsidRPr="00000000">
              <w:rPr>
                <w:color w:val="000000"/>
                <w:sz w:val="20"/>
                <w:szCs w:val="20"/>
                <w:rtl w:val="0"/>
              </w:rPr>
              <w:t xml:space="preserve">19.33%</w:t>
            </w:r>
          </w:p>
        </w:tc>
      </w:tr>
      <w:tr>
        <w:trPr>
          <w:cantSplit w:val="0"/>
          <w:trHeight w:val="28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0C">
            <w:pPr>
              <w:spacing w:before="0" w:line="240" w:lineRule="auto"/>
              <w:jc w:val="left"/>
              <w:rPr>
                <w:color w:val="000000"/>
                <w:sz w:val="20"/>
                <w:szCs w:val="20"/>
              </w:rPr>
            </w:pPr>
            <w:r w:rsidDel="00000000" w:rsidR="00000000" w:rsidRPr="00000000">
              <w:rPr>
                <w:color w:val="000000"/>
                <w:sz w:val="20"/>
                <w:szCs w:val="20"/>
                <w:rtl w:val="0"/>
              </w:rPr>
              <w:t xml:space="preserve">Cash debt coverage</w:t>
            </w:r>
          </w:p>
        </w:tc>
        <w:tc>
          <w:tcPr>
            <w:tcBorders>
              <w:top w:color="000000" w:space="0" w:sz="0" w:val="nil"/>
              <w:left w:color="000000" w:space="0" w:sz="0" w:val="nil"/>
              <w:bottom w:color="000000" w:space="0" w:sz="4" w:val="single"/>
              <w:right w:color="000000" w:space="0" w:sz="4" w:val="single"/>
            </w:tcBorders>
            <w:vAlign w:val="bottom"/>
          </w:tcPr>
          <w:p w:rsidR="00000000" w:rsidDel="00000000" w:rsidP="00000000" w:rsidRDefault="00000000" w:rsidRPr="00000000" w14:paraId="0000020D">
            <w:pPr>
              <w:spacing w:before="0" w:line="240" w:lineRule="auto"/>
              <w:jc w:val="left"/>
              <w:rPr>
                <w:color w:val="000000"/>
                <w:sz w:val="20"/>
                <w:szCs w:val="20"/>
              </w:rPr>
            </w:pPr>
            <w:r w:rsidDel="00000000" w:rsidR="00000000" w:rsidRPr="00000000">
              <w:rPr>
                <w:color w:val="000000"/>
                <w:sz w:val="20"/>
                <w:szCs w:val="20"/>
                <w:rtl w:val="0"/>
              </w:rPr>
              <w:t xml:space="preserve">(611) / 3,244 = (18.8348%)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0E">
            <w:pPr>
              <w:spacing w:before="0" w:line="240" w:lineRule="auto"/>
              <w:jc w:val="right"/>
              <w:rPr>
                <w:color w:val="000000"/>
                <w:sz w:val="20"/>
                <w:szCs w:val="20"/>
              </w:rPr>
            </w:pPr>
            <w:r w:rsidDel="00000000" w:rsidR="00000000" w:rsidRPr="00000000">
              <w:rPr>
                <w:color w:val="ff0000"/>
                <w:sz w:val="20"/>
                <w:szCs w:val="20"/>
                <w:rtl w:val="0"/>
              </w:rPr>
              <w:t xml:space="preserve">(18.83%)</w:t>
            </w: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0F">
            <w:pPr>
              <w:spacing w:before="0" w:line="240" w:lineRule="auto"/>
              <w:jc w:val="left"/>
              <w:rPr>
                <w:color w:val="000000"/>
                <w:sz w:val="20"/>
                <w:szCs w:val="20"/>
              </w:rPr>
            </w:pPr>
            <w:r w:rsidDel="00000000" w:rsidR="00000000" w:rsidRPr="00000000">
              <w:rPr>
                <w:color w:val="000000"/>
                <w:sz w:val="20"/>
                <w:szCs w:val="20"/>
                <w:rtl w:val="0"/>
              </w:rPr>
              <w:t xml:space="preserve">315 / 3,978 = 7.9186%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10">
            <w:pPr>
              <w:spacing w:before="0" w:line="240" w:lineRule="auto"/>
              <w:jc w:val="right"/>
              <w:rPr>
                <w:color w:val="000000"/>
                <w:sz w:val="20"/>
                <w:szCs w:val="20"/>
              </w:rPr>
            </w:pPr>
            <w:r w:rsidDel="00000000" w:rsidR="00000000" w:rsidRPr="00000000">
              <w:rPr>
                <w:color w:val="000000"/>
                <w:sz w:val="20"/>
                <w:szCs w:val="20"/>
                <w:rtl w:val="0"/>
              </w:rPr>
              <w:t xml:space="preserve">7.92%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11">
            <w:pPr>
              <w:spacing w:before="0" w:line="240" w:lineRule="auto"/>
              <w:jc w:val="left"/>
              <w:rPr>
                <w:color w:val="000000"/>
                <w:sz w:val="20"/>
                <w:szCs w:val="20"/>
              </w:rPr>
            </w:pPr>
            <w:r w:rsidDel="00000000" w:rsidR="00000000" w:rsidRPr="00000000">
              <w:rPr>
                <w:color w:val="000000"/>
                <w:sz w:val="20"/>
                <w:szCs w:val="20"/>
                <w:rtl w:val="0"/>
              </w:rPr>
              <w:t xml:space="preserve">674 / 3,113 = 21.6511%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12">
            <w:pPr>
              <w:spacing w:before="0" w:line="240" w:lineRule="auto"/>
              <w:jc w:val="right"/>
              <w:rPr>
                <w:color w:val="000000"/>
                <w:sz w:val="20"/>
                <w:szCs w:val="20"/>
              </w:rPr>
            </w:pPr>
            <w:r w:rsidDel="00000000" w:rsidR="00000000" w:rsidRPr="00000000">
              <w:rPr>
                <w:color w:val="000000"/>
                <w:sz w:val="20"/>
                <w:szCs w:val="20"/>
                <w:rtl w:val="0"/>
              </w:rPr>
              <w:t xml:space="preserve">21.65%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13">
            <w:pPr>
              <w:spacing w:before="0" w:line="240" w:lineRule="auto"/>
              <w:jc w:val="left"/>
              <w:rPr>
                <w:color w:val="000000"/>
                <w:sz w:val="20"/>
                <w:szCs w:val="20"/>
              </w:rPr>
            </w:pPr>
            <w:r w:rsidDel="00000000" w:rsidR="00000000" w:rsidRPr="00000000">
              <w:rPr>
                <w:color w:val="000000"/>
                <w:sz w:val="20"/>
                <w:szCs w:val="20"/>
                <w:rtl w:val="0"/>
              </w:rPr>
              <w:t xml:space="preserve">800 / 3,056 = 26.1780%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14">
            <w:pPr>
              <w:spacing w:before="0" w:line="240" w:lineRule="auto"/>
              <w:jc w:val="right"/>
              <w:rPr>
                <w:color w:val="000000"/>
                <w:sz w:val="20"/>
                <w:szCs w:val="20"/>
              </w:rPr>
            </w:pPr>
            <w:r w:rsidDel="00000000" w:rsidR="00000000" w:rsidRPr="00000000">
              <w:rPr>
                <w:color w:val="000000"/>
                <w:sz w:val="20"/>
                <w:szCs w:val="20"/>
                <w:rtl w:val="0"/>
              </w:rPr>
              <w:t xml:space="preserve">26.18%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15">
            <w:pPr>
              <w:spacing w:before="0" w:line="240" w:lineRule="auto"/>
              <w:jc w:val="left"/>
              <w:rPr>
                <w:color w:val="000000"/>
                <w:sz w:val="20"/>
                <w:szCs w:val="20"/>
              </w:rPr>
            </w:pPr>
            <w:r w:rsidDel="00000000" w:rsidR="00000000" w:rsidRPr="00000000">
              <w:rPr>
                <w:color w:val="000000"/>
                <w:sz w:val="20"/>
                <w:szCs w:val="20"/>
                <w:rtl w:val="0"/>
              </w:rPr>
              <w:t xml:space="preserve">633 / 3,782 = 16.7372%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16">
            <w:pPr>
              <w:spacing w:before="0" w:line="240" w:lineRule="auto"/>
              <w:jc w:val="right"/>
              <w:rPr>
                <w:color w:val="000000"/>
                <w:sz w:val="20"/>
                <w:szCs w:val="20"/>
              </w:rPr>
            </w:pPr>
            <w:r w:rsidDel="00000000" w:rsidR="00000000" w:rsidRPr="00000000">
              <w:rPr>
                <w:color w:val="000000"/>
                <w:sz w:val="20"/>
                <w:szCs w:val="20"/>
                <w:rtl w:val="0"/>
              </w:rPr>
              <w:t xml:space="preserve">16.74%</w:t>
            </w:r>
          </w:p>
        </w:tc>
      </w:tr>
    </w:tbl>
    <w:p w:rsidR="00000000" w:rsidDel="00000000" w:rsidP="00000000" w:rsidRDefault="00000000" w:rsidRPr="00000000" w14:paraId="00000217">
      <w:pPr>
        <w:rPr/>
      </w:pPr>
      <w:r w:rsidDel="00000000" w:rsidR="00000000" w:rsidRPr="00000000">
        <w:rPr>
          <w:rtl w:val="0"/>
        </w:rPr>
      </w:r>
    </w:p>
    <w:p w:rsidR="00000000" w:rsidDel="00000000" w:rsidP="00000000" w:rsidRDefault="00000000" w:rsidRPr="00000000" w14:paraId="00000218">
      <w:pPr>
        <w:rPr/>
      </w:pPr>
      <w:r w:rsidDel="00000000" w:rsidR="00000000" w:rsidRPr="00000000">
        <w:rPr>
          <w:rtl w:val="0"/>
        </w:rPr>
      </w:r>
    </w:p>
    <w:p w:rsidR="00000000" w:rsidDel="00000000" w:rsidP="00000000" w:rsidRDefault="00000000" w:rsidRPr="00000000" w14:paraId="00000219">
      <w:pPr>
        <w:rPr/>
      </w:pPr>
      <w:r w:rsidDel="00000000" w:rsidR="00000000" w:rsidRPr="00000000">
        <w:rPr>
          <w:rtl w:val="0"/>
        </w:rPr>
      </w:r>
    </w:p>
    <w:p w:rsidR="00000000" w:rsidDel="00000000" w:rsidP="00000000" w:rsidRDefault="00000000" w:rsidRPr="00000000" w14:paraId="0000021A">
      <w:pPr>
        <w:rPr/>
      </w:pPr>
      <w:r w:rsidDel="00000000" w:rsidR="00000000" w:rsidRPr="00000000">
        <w:rPr>
          <w:rtl w:val="0"/>
        </w:rPr>
      </w:r>
    </w:p>
    <w:p w:rsidR="00000000" w:rsidDel="00000000" w:rsidP="00000000" w:rsidRDefault="00000000" w:rsidRPr="00000000" w14:paraId="0000021B">
      <w:pPr>
        <w:rPr/>
        <w:sectPr>
          <w:type w:val="nextPage"/>
          <w:pgSz w:h="12240" w:w="15840" w:orient="landscape"/>
          <w:pgMar w:bottom="1440" w:top="1440" w:left="1440" w:right="1440" w:header="720" w:footer="720"/>
        </w:sectPr>
      </w:pPr>
      <w:r w:rsidDel="00000000" w:rsidR="00000000" w:rsidRPr="00000000">
        <w:rPr>
          <w:rtl w:val="0"/>
        </w:rPr>
      </w:r>
    </w:p>
    <w:p w:rsidR="00000000" w:rsidDel="00000000" w:rsidP="00000000" w:rsidRDefault="00000000" w:rsidRPr="00000000" w14:paraId="0000021C">
      <w:pPr>
        <w:pStyle w:val="Heading3"/>
        <w:rPr/>
      </w:pPr>
      <w:bookmarkStart w:colFirst="0" w:colLast="0" w:name="_3zjzvw3o6t9m" w:id="26"/>
      <w:bookmarkEnd w:id="26"/>
      <w:r w:rsidDel="00000000" w:rsidR="00000000" w:rsidRPr="00000000">
        <w:rPr>
          <w:rtl w:val="0"/>
        </w:rPr>
        <w:t xml:space="preserve">1.2 Graphs </w:t>
      </w:r>
    </w:p>
    <w:p w:rsidR="00000000" w:rsidDel="00000000" w:rsidP="00000000" w:rsidRDefault="00000000" w:rsidRPr="00000000" w14:paraId="0000021D">
      <w:pPr>
        <w:rPr/>
      </w:pPr>
      <w:r w:rsidDel="00000000" w:rsidR="00000000" w:rsidRPr="00000000">
        <w:rPr/>
        <w:drawing>
          <wp:inline distB="0" distT="0" distL="0" distR="0">
            <wp:extent cx="5943600" cy="3582035"/>
            <wp:effectExtent b="18415" l="0" r="0" t="0"/>
            <wp:docPr id="1" name=""/>
            <a:graphic>
              <a:graphicData uri="http://schemas.openxmlformats.org/drawingml/2006/chart">
                <c:chart r:id="rId91"/>
              </a:graphicData>
            </a:graphic>
          </wp:inline>
        </w:drawing>
      </w:r>
      <w:r w:rsidDel="00000000" w:rsidR="00000000" w:rsidRPr="00000000">
        <w:rPr/>
        <w:drawing>
          <wp:inline distB="0" distT="0" distL="0" distR="0">
            <wp:extent cx="5888759" cy="3668568"/>
            <wp:effectExtent b="8255" l="0" r="17145" t="0"/>
            <wp:docPr id="3" name=""/>
            <a:graphic>
              <a:graphicData uri="http://schemas.openxmlformats.org/drawingml/2006/chart">
                <c:chart r:id="rId92"/>
              </a:graphicData>
            </a:graphic>
          </wp:inline>
        </w:drawing>
      </w:r>
      <w:r w:rsidDel="00000000" w:rsidR="00000000" w:rsidRPr="00000000">
        <w:rPr/>
        <w:drawing>
          <wp:inline distB="0" distT="0" distL="0" distR="0">
            <wp:extent cx="5943600" cy="3389630"/>
            <wp:effectExtent b="1270" l="0" r="0" t="0"/>
            <wp:docPr id="2" name=""/>
            <a:graphic>
              <a:graphicData uri="http://schemas.openxmlformats.org/drawingml/2006/chart">
                <c:chart r:id="rId93"/>
              </a:graphicData>
            </a:graphic>
          </wp:inline>
        </w:drawing>
      </w:r>
      <w:r w:rsidDel="00000000" w:rsidR="00000000" w:rsidRPr="00000000">
        <w:rPr/>
        <w:drawing>
          <wp:inline distB="0" distT="0" distL="0" distR="0">
            <wp:extent cx="5943600" cy="2491740"/>
            <wp:effectExtent b="3810" l="0" r="0" t="0"/>
            <wp:docPr id="6" name=""/>
            <a:graphic>
              <a:graphicData uri="http://schemas.openxmlformats.org/drawingml/2006/chart">
                <c:chart r:id="rId94"/>
              </a:graphicData>
            </a:graphic>
          </wp:inline>
        </w:drawing>
      </w:r>
      <w:r w:rsidDel="00000000" w:rsidR="00000000" w:rsidRPr="00000000">
        <w:rPr/>
        <w:drawing>
          <wp:inline distB="0" distT="0" distL="0" distR="0">
            <wp:extent cx="5943600" cy="3453765"/>
            <wp:effectExtent b="13335" l="0" r="0" t="0"/>
            <wp:docPr id="4" name=""/>
            <a:graphic>
              <a:graphicData uri="http://schemas.openxmlformats.org/drawingml/2006/chart">
                <c:chart r:id="rId95"/>
              </a:graphicData>
            </a:graphic>
          </wp:inline>
        </w:drawing>
      </w:r>
      <w:r w:rsidDel="00000000" w:rsidR="00000000" w:rsidRPr="00000000">
        <w:rPr/>
        <w:drawing>
          <wp:inline distB="0" distT="0" distL="0" distR="0">
            <wp:extent cx="5943600" cy="2707640"/>
            <wp:effectExtent b="16510" l="0" r="0" t="0"/>
            <wp:docPr id="5" name=""/>
            <a:graphic>
              <a:graphicData uri="http://schemas.openxmlformats.org/drawingml/2006/chart">
                <c:chart r:id="rId96"/>
              </a:graphicData>
            </a:graphic>
          </wp:inline>
        </w:drawing>
      </w:r>
      <w:r w:rsidDel="00000000" w:rsidR="00000000" w:rsidRPr="00000000">
        <w:rPr>
          <w:rtl w:val="0"/>
        </w:rPr>
      </w:r>
    </w:p>
    <w:p w:rsidR="00000000" w:rsidDel="00000000" w:rsidP="00000000" w:rsidRDefault="00000000" w:rsidRPr="00000000" w14:paraId="0000021E">
      <w:pPr>
        <w:rPr/>
      </w:pPr>
      <w:r w:rsidDel="00000000" w:rsidR="00000000" w:rsidRPr="00000000">
        <w:br w:type="page"/>
      </w:r>
      <w:r w:rsidDel="00000000" w:rsidR="00000000" w:rsidRPr="00000000">
        <w:rPr>
          <w:rtl w:val="0"/>
        </w:rPr>
      </w:r>
    </w:p>
    <w:p w:rsidR="00000000" w:rsidDel="00000000" w:rsidP="00000000" w:rsidRDefault="00000000" w:rsidRPr="00000000" w14:paraId="0000021F">
      <w:pPr>
        <w:pStyle w:val="Heading2"/>
        <w:rPr/>
      </w:pPr>
      <w:bookmarkStart w:colFirst="0" w:colLast="0" w:name="_rji86xa22gok" w:id="27"/>
      <w:bookmarkEnd w:id="27"/>
      <w:r w:rsidDel="00000000" w:rsidR="00000000" w:rsidRPr="00000000">
        <w:rPr>
          <w:rtl w:val="0"/>
        </w:rPr>
        <w:t xml:space="preserve">Appendix 2: Investment Appraisal (Calculations)</w:t>
      </w:r>
    </w:p>
    <w:tbl>
      <w:tblPr>
        <w:tblStyle w:val="Table2"/>
        <w:tblW w:w="9350.0" w:type="dxa"/>
        <w:jc w:val="left"/>
        <w:tblLayout w:type="fixed"/>
        <w:tblLook w:val="0400"/>
      </w:tblPr>
      <w:tblGrid>
        <w:gridCol w:w="1817"/>
        <w:gridCol w:w="1984"/>
        <w:gridCol w:w="4209"/>
        <w:gridCol w:w="1340"/>
        <w:tblGridChange w:id="0">
          <w:tblGrid>
            <w:gridCol w:w="1817"/>
            <w:gridCol w:w="1984"/>
            <w:gridCol w:w="4209"/>
            <w:gridCol w:w="1340"/>
          </w:tblGrid>
        </w:tblGridChange>
      </w:tblGrid>
      <w:tr>
        <w:trPr>
          <w:cantSplit w:val="0"/>
          <w:trHeight w:val="2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0">
            <w:pPr>
              <w:spacing w:before="0" w:line="240" w:lineRule="auto"/>
              <w:jc w:val="center"/>
              <w:rPr>
                <w:b w:val="1"/>
                <w:bCs w:val="1"/>
                <w:sz w:val="20"/>
                <w:szCs w:val="20"/>
              </w:rPr>
            </w:pPr>
            <w:r w:rsidDel="00000000" w:rsidR="00000000" w:rsidRPr="00000000">
              <w:rPr>
                <w:b w:val="1"/>
                <w:bCs w:val="1"/>
                <w:sz w:val="20"/>
                <w:szCs w:val="20"/>
                <w:rtl w:val="0"/>
              </w:rPr>
              <w:t xml:space="preserve">Project/selection</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21">
            <w:pPr>
              <w:spacing w:before="0" w:line="240" w:lineRule="auto"/>
              <w:jc w:val="center"/>
              <w:rPr>
                <w:b w:val="1"/>
                <w:bCs w:val="1"/>
                <w:sz w:val="20"/>
                <w:szCs w:val="20"/>
              </w:rPr>
            </w:pPr>
            <w:r w:rsidDel="00000000" w:rsidR="00000000" w:rsidRPr="00000000">
              <w:rPr>
                <w:b w:val="1"/>
                <w:bCs w:val="1"/>
                <w:sz w:val="20"/>
                <w:szCs w:val="20"/>
                <w:rtl w:val="0"/>
              </w:rPr>
              <w:t xml:space="preserve">Measure</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22">
            <w:pPr>
              <w:spacing w:before="0" w:line="240" w:lineRule="auto"/>
              <w:jc w:val="center"/>
              <w:rPr>
                <w:b w:val="1"/>
                <w:bCs w:val="1"/>
                <w:sz w:val="20"/>
                <w:szCs w:val="20"/>
              </w:rPr>
            </w:pPr>
            <w:r w:rsidDel="00000000" w:rsidR="00000000" w:rsidRPr="00000000">
              <w:rPr>
                <w:b w:val="1"/>
                <w:bCs w:val="1"/>
                <w:sz w:val="20"/>
                <w:szCs w:val="20"/>
                <w:rtl w:val="0"/>
              </w:rPr>
              <w:t xml:space="preserve">Calculation using figures</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23">
            <w:pPr>
              <w:spacing w:before="0" w:line="240" w:lineRule="auto"/>
              <w:jc w:val="center"/>
              <w:rPr>
                <w:b w:val="1"/>
                <w:bCs w:val="1"/>
                <w:sz w:val="20"/>
                <w:szCs w:val="20"/>
              </w:rPr>
            </w:pPr>
            <w:r w:rsidDel="00000000" w:rsidR="00000000" w:rsidRPr="00000000">
              <w:rPr>
                <w:b w:val="1"/>
                <w:bCs w:val="1"/>
                <w:sz w:val="20"/>
                <w:szCs w:val="20"/>
                <w:rtl w:val="0"/>
              </w:rPr>
              <w:t xml:space="preserve">Result</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24">
            <w:pPr>
              <w:spacing w:before="0" w:line="240" w:lineRule="auto"/>
              <w:jc w:val="left"/>
              <w:rPr>
                <w:sz w:val="20"/>
                <w:szCs w:val="20"/>
              </w:rPr>
            </w:pPr>
            <w:r w:rsidDel="00000000" w:rsidR="00000000" w:rsidRPr="00000000">
              <w:rPr>
                <w:sz w:val="20"/>
                <w:szCs w:val="20"/>
                <w:rtl w:val="0"/>
              </w:rPr>
              <w:t xml:space="preserve">All projects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5">
            <w:pPr>
              <w:spacing w:before="0" w:line="240" w:lineRule="auto"/>
              <w:jc w:val="left"/>
              <w:rPr>
                <w:sz w:val="20"/>
                <w:szCs w:val="20"/>
              </w:rPr>
            </w:pPr>
            <w:r w:rsidDel="00000000" w:rsidR="00000000" w:rsidRPr="00000000">
              <w:rPr>
                <w:sz w:val="20"/>
                <w:szCs w:val="20"/>
                <w:rtl w:val="0"/>
              </w:rPr>
              <w:t xml:space="preserve">Annual depreciation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6">
            <w:pPr>
              <w:spacing w:before="0" w:line="240" w:lineRule="auto"/>
              <w:jc w:val="left"/>
              <w:rPr>
                <w:sz w:val="20"/>
                <w:szCs w:val="20"/>
              </w:rPr>
            </w:pPr>
            <w:r w:rsidDel="00000000" w:rsidR="00000000" w:rsidRPr="00000000">
              <w:rPr>
                <w:sz w:val="20"/>
                <w:szCs w:val="20"/>
                <w:rtl w:val="0"/>
              </w:rPr>
              <w:t xml:space="preserve">(£50.00 - £0.00) / 5 = £10.000000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7">
            <w:pPr>
              <w:spacing w:before="0" w:line="240" w:lineRule="auto"/>
              <w:jc w:val="right"/>
              <w:rPr>
                <w:sz w:val="20"/>
                <w:szCs w:val="20"/>
              </w:rPr>
            </w:pPr>
            <w:r w:rsidDel="00000000" w:rsidR="00000000" w:rsidRPr="00000000">
              <w:rPr>
                <w:sz w:val="20"/>
                <w:szCs w:val="20"/>
                <w:rtl w:val="0"/>
              </w:rPr>
              <w:t xml:space="preserve">10.000000</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28">
            <w:pPr>
              <w:spacing w:before="0" w:line="240" w:lineRule="auto"/>
              <w:jc w:val="center"/>
              <w:rPr>
                <w:sz w:val="20"/>
                <w:szCs w:val="20"/>
              </w:rPr>
            </w:pPr>
            <w:r w:rsidDel="00000000" w:rsidR="00000000" w:rsidRPr="00000000">
              <w:rPr>
                <w:sz w:val="20"/>
                <w:szCs w:val="20"/>
                <w:rtl w:val="0"/>
              </w:rPr>
              <w:t xml:space="preserve">Project A</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9">
            <w:pPr>
              <w:spacing w:before="0" w:line="240" w:lineRule="auto"/>
              <w:jc w:val="left"/>
              <w:rPr>
                <w:sz w:val="20"/>
                <w:szCs w:val="20"/>
              </w:rPr>
            </w:pPr>
            <w:r w:rsidDel="00000000" w:rsidR="00000000" w:rsidRPr="00000000">
              <w:rPr>
                <w:sz w:val="20"/>
                <w:szCs w:val="20"/>
                <w:rtl w:val="0"/>
              </w:rPr>
              <w:t xml:space="preserve">Payback period</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A">
            <w:pPr>
              <w:spacing w:before="0" w:line="240" w:lineRule="auto"/>
              <w:jc w:val="left"/>
              <w:rPr>
                <w:sz w:val="20"/>
                <w:szCs w:val="20"/>
              </w:rPr>
            </w:pPr>
            <w:r w:rsidDel="00000000" w:rsidR="00000000" w:rsidRPr="00000000">
              <w:rPr>
                <w:sz w:val="20"/>
                <w:szCs w:val="20"/>
                <w:rtl w:val="0"/>
              </w:rPr>
              <w:t xml:space="preserve">4 + (£50.00 - £46.00) / £8.00 = 4.500000 years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B">
            <w:pPr>
              <w:spacing w:before="0" w:line="240" w:lineRule="auto"/>
              <w:jc w:val="right"/>
              <w:rPr>
                <w:sz w:val="20"/>
                <w:szCs w:val="20"/>
              </w:rPr>
            </w:pPr>
            <w:r w:rsidDel="00000000" w:rsidR="00000000" w:rsidRPr="00000000">
              <w:rPr>
                <w:sz w:val="20"/>
                <w:szCs w:val="20"/>
                <w:rtl w:val="0"/>
              </w:rPr>
              <w:t xml:space="preserve">4.500000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D">
            <w:pPr>
              <w:spacing w:before="0" w:line="240" w:lineRule="auto"/>
              <w:jc w:val="left"/>
              <w:rPr>
                <w:sz w:val="20"/>
                <w:szCs w:val="20"/>
              </w:rPr>
            </w:pPr>
            <w:r w:rsidDel="00000000" w:rsidR="00000000" w:rsidRPr="00000000">
              <w:rPr>
                <w:sz w:val="20"/>
                <w:szCs w:val="20"/>
                <w:rtl w:val="0"/>
              </w:rPr>
              <w:t xml:space="preserve">ARR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E">
            <w:pPr>
              <w:spacing w:before="0" w:line="240" w:lineRule="auto"/>
              <w:jc w:val="left"/>
              <w:rPr>
                <w:sz w:val="20"/>
                <w:szCs w:val="20"/>
              </w:rPr>
            </w:pPr>
            <w:r w:rsidDel="00000000" w:rsidR="00000000" w:rsidRPr="00000000">
              <w:rPr>
                <w:sz w:val="20"/>
                <w:szCs w:val="20"/>
                <w:rtl w:val="0"/>
              </w:rPr>
              <w:t xml:space="preserve">[(£54.00 / 5) - £10.00] / £25.00 = 3.200000%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2F">
            <w:pPr>
              <w:spacing w:before="0" w:line="240" w:lineRule="auto"/>
              <w:jc w:val="right"/>
              <w:rPr>
                <w:sz w:val="20"/>
                <w:szCs w:val="20"/>
              </w:rPr>
            </w:pPr>
            <w:r w:rsidDel="00000000" w:rsidR="00000000" w:rsidRPr="00000000">
              <w:rPr>
                <w:sz w:val="20"/>
                <w:szCs w:val="20"/>
                <w:rtl w:val="0"/>
              </w:rPr>
              <w:t xml:space="preserve">3.200000%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1">
            <w:pPr>
              <w:spacing w:before="0" w:line="240" w:lineRule="auto"/>
              <w:jc w:val="left"/>
              <w:rPr>
                <w:sz w:val="20"/>
                <w:szCs w:val="20"/>
              </w:rPr>
            </w:pPr>
            <w:r w:rsidDel="00000000" w:rsidR="00000000" w:rsidRPr="00000000">
              <w:rPr>
                <w:sz w:val="20"/>
                <w:szCs w:val="20"/>
                <w:rtl w:val="0"/>
              </w:rPr>
              <w:t xml:space="preserve">PV of inflows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2">
            <w:pPr>
              <w:spacing w:before="0" w:line="240" w:lineRule="auto"/>
              <w:jc w:val="left"/>
              <w:rPr>
                <w:sz w:val="20"/>
                <w:szCs w:val="20"/>
              </w:rPr>
            </w:pPr>
            <w:r w:rsidDel="00000000" w:rsidR="00000000" w:rsidRPr="00000000">
              <w:rPr>
                <w:sz w:val="20"/>
                <w:szCs w:val="20"/>
                <w:rtl w:val="0"/>
              </w:rPr>
              <w:t xml:space="preserve">£10.00 / 1.08^1 + £12.00 / 1.08^2 + £14.00 / 1.08^3 + £10.00 / 1.08^4 + £8.00 / 1.08^5 = £43.455941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3">
            <w:pPr>
              <w:spacing w:before="0" w:line="240" w:lineRule="auto"/>
              <w:jc w:val="right"/>
              <w:rPr>
                <w:sz w:val="20"/>
                <w:szCs w:val="20"/>
              </w:rPr>
            </w:pPr>
            <w:r w:rsidDel="00000000" w:rsidR="00000000" w:rsidRPr="00000000">
              <w:rPr>
                <w:sz w:val="20"/>
                <w:szCs w:val="20"/>
                <w:rtl w:val="0"/>
              </w:rPr>
              <w:t xml:space="preserve">43.455941</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5">
            <w:pPr>
              <w:spacing w:before="0" w:line="240" w:lineRule="auto"/>
              <w:jc w:val="left"/>
              <w:rPr>
                <w:sz w:val="20"/>
                <w:szCs w:val="20"/>
              </w:rPr>
            </w:pPr>
            <w:r w:rsidDel="00000000" w:rsidR="00000000" w:rsidRPr="00000000">
              <w:rPr>
                <w:sz w:val="20"/>
                <w:szCs w:val="20"/>
                <w:rtl w:val="0"/>
              </w:rPr>
              <w:t xml:space="preserve">NPV</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6">
            <w:pPr>
              <w:spacing w:before="0" w:line="240" w:lineRule="auto"/>
              <w:jc w:val="left"/>
              <w:rPr>
                <w:sz w:val="20"/>
                <w:szCs w:val="20"/>
              </w:rPr>
            </w:pPr>
            <w:r w:rsidDel="00000000" w:rsidR="00000000" w:rsidRPr="00000000">
              <w:rPr>
                <w:sz w:val="20"/>
                <w:szCs w:val="20"/>
                <w:rtl w:val="0"/>
              </w:rPr>
              <w:t xml:space="preserve">£43.455941 - £50.00 = £(6.544059)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7">
            <w:pPr>
              <w:spacing w:before="0" w:line="240" w:lineRule="auto"/>
              <w:jc w:val="right"/>
              <w:rPr>
                <w:sz w:val="20"/>
                <w:szCs w:val="20"/>
              </w:rPr>
            </w:pPr>
            <w:r w:rsidDel="00000000" w:rsidR="00000000" w:rsidRPr="00000000">
              <w:rPr>
                <w:color w:val="ff0000"/>
                <w:sz w:val="20"/>
                <w:szCs w:val="20"/>
                <w:rtl w:val="0"/>
              </w:rPr>
              <w:t xml:space="preserve">(6.544059)</w:t>
            </w:r>
            <w:r w:rsidDel="00000000" w:rsidR="00000000" w:rsidRPr="00000000">
              <w:rPr>
                <w:rtl w:val="0"/>
              </w:rPr>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9">
            <w:pPr>
              <w:spacing w:before="0" w:line="240" w:lineRule="auto"/>
              <w:jc w:val="left"/>
              <w:rPr>
                <w:sz w:val="20"/>
                <w:szCs w:val="20"/>
              </w:rPr>
            </w:pPr>
            <w:r w:rsidDel="00000000" w:rsidR="00000000" w:rsidRPr="00000000">
              <w:rPr>
                <w:sz w:val="20"/>
                <w:szCs w:val="20"/>
                <w:rtl w:val="0"/>
              </w:rPr>
              <w:t xml:space="preserve">Profitability index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A">
            <w:pPr>
              <w:spacing w:before="0" w:line="240" w:lineRule="auto"/>
              <w:jc w:val="left"/>
              <w:rPr>
                <w:sz w:val="20"/>
                <w:szCs w:val="20"/>
              </w:rPr>
            </w:pPr>
            <w:r w:rsidDel="00000000" w:rsidR="00000000" w:rsidRPr="00000000">
              <w:rPr>
                <w:sz w:val="20"/>
                <w:szCs w:val="20"/>
                <w:rtl w:val="0"/>
              </w:rPr>
              <w:t xml:space="preserve">£43.455941 / £50.00 = 0.869119x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B">
            <w:pPr>
              <w:spacing w:before="0" w:line="240" w:lineRule="auto"/>
              <w:jc w:val="right"/>
              <w:rPr>
                <w:sz w:val="20"/>
                <w:szCs w:val="20"/>
              </w:rPr>
            </w:pPr>
            <w:r w:rsidDel="00000000" w:rsidR="00000000" w:rsidRPr="00000000">
              <w:rPr>
                <w:sz w:val="20"/>
                <w:szCs w:val="20"/>
                <w:rtl w:val="0"/>
              </w:rPr>
              <w:t xml:space="preserve">0.869119x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D">
            <w:pPr>
              <w:spacing w:before="0" w:line="240" w:lineRule="auto"/>
              <w:jc w:val="left"/>
              <w:rPr>
                <w:sz w:val="20"/>
                <w:szCs w:val="20"/>
              </w:rPr>
            </w:pPr>
            <w:r w:rsidDel="00000000" w:rsidR="00000000" w:rsidRPr="00000000">
              <w:rPr>
                <w:sz w:val="20"/>
                <w:szCs w:val="20"/>
                <w:rtl w:val="0"/>
              </w:rPr>
              <w:t xml:space="preserve">IRR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E">
            <w:pPr>
              <w:spacing w:before="0" w:line="240" w:lineRule="auto"/>
              <w:jc w:val="left"/>
              <w:rPr>
                <w:sz w:val="20"/>
                <w:szCs w:val="20"/>
              </w:rPr>
            </w:pPr>
            <w:r w:rsidDel="00000000" w:rsidR="00000000" w:rsidRPr="00000000">
              <w:rPr>
                <w:sz w:val="20"/>
                <w:szCs w:val="20"/>
                <w:rtl w:val="0"/>
              </w:rPr>
              <w:t xml:space="preserve">IRR (£(50.00), £10.00, £12.00, £14.00, £10.00, £8.00) = 2.721968%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3F">
            <w:pPr>
              <w:spacing w:before="0" w:line="240" w:lineRule="auto"/>
              <w:jc w:val="right"/>
              <w:rPr>
                <w:sz w:val="20"/>
                <w:szCs w:val="20"/>
              </w:rPr>
            </w:pPr>
            <w:r w:rsidDel="00000000" w:rsidR="00000000" w:rsidRPr="00000000">
              <w:rPr>
                <w:sz w:val="20"/>
                <w:szCs w:val="20"/>
                <w:rtl w:val="0"/>
              </w:rPr>
              <w:t xml:space="preserve">2.721968%</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40">
            <w:pPr>
              <w:spacing w:before="0" w:line="240" w:lineRule="auto"/>
              <w:jc w:val="center"/>
              <w:rPr>
                <w:sz w:val="20"/>
                <w:szCs w:val="20"/>
              </w:rPr>
            </w:pPr>
            <w:r w:rsidDel="00000000" w:rsidR="00000000" w:rsidRPr="00000000">
              <w:rPr>
                <w:sz w:val="20"/>
                <w:szCs w:val="20"/>
                <w:rtl w:val="0"/>
              </w:rPr>
              <w:t xml:space="preserve">Project B</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1">
            <w:pPr>
              <w:spacing w:before="0" w:line="240" w:lineRule="auto"/>
              <w:jc w:val="left"/>
              <w:rPr>
                <w:sz w:val="20"/>
                <w:szCs w:val="20"/>
              </w:rPr>
            </w:pPr>
            <w:r w:rsidDel="00000000" w:rsidR="00000000" w:rsidRPr="00000000">
              <w:rPr>
                <w:sz w:val="20"/>
                <w:szCs w:val="20"/>
                <w:rtl w:val="0"/>
              </w:rPr>
              <w:t xml:space="preserve">Payback period</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2">
            <w:pPr>
              <w:spacing w:before="0" w:line="240" w:lineRule="auto"/>
              <w:jc w:val="left"/>
              <w:rPr>
                <w:sz w:val="20"/>
                <w:szCs w:val="20"/>
              </w:rPr>
            </w:pPr>
            <w:r w:rsidDel="00000000" w:rsidR="00000000" w:rsidRPr="00000000">
              <w:rPr>
                <w:sz w:val="20"/>
                <w:szCs w:val="20"/>
                <w:rtl w:val="0"/>
              </w:rPr>
              <w:t xml:space="preserve">4 + (£50.00 - £44.00) / £11.00 = 4.545455 years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3">
            <w:pPr>
              <w:spacing w:before="0" w:line="240" w:lineRule="auto"/>
              <w:jc w:val="right"/>
              <w:rPr>
                <w:sz w:val="20"/>
                <w:szCs w:val="20"/>
              </w:rPr>
            </w:pPr>
            <w:r w:rsidDel="00000000" w:rsidR="00000000" w:rsidRPr="00000000">
              <w:rPr>
                <w:sz w:val="20"/>
                <w:szCs w:val="20"/>
                <w:rtl w:val="0"/>
              </w:rPr>
              <w:t xml:space="preserve">4.545455</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5">
            <w:pPr>
              <w:spacing w:before="0" w:line="240" w:lineRule="auto"/>
              <w:jc w:val="left"/>
              <w:rPr>
                <w:sz w:val="20"/>
                <w:szCs w:val="20"/>
              </w:rPr>
            </w:pPr>
            <w:r w:rsidDel="00000000" w:rsidR="00000000" w:rsidRPr="00000000">
              <w:rPr>
                <w:sz w:val="20"/>
                <w:szCs w:val="20"/>
                <w:rtl w:val="0"/>
              </w:rPr>
              <w:t xml:space="preserve">ARR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6">
            <w:pPr>
              <w:spacing w:before="0" w:line="240" w:lineRule="auto"/>
              <w:jc w:val="left"/>
              <w:rPr>
                <w:sz w:val="20"/>
                <w:szCs w:val="20"/>
              </w:rPr>
            </w:pPr>
            <w:r w:rsidDel="00000000" w:rsidR="00000000" w:rsidRPr="00000000">
              <w:rPr>
                <w:sz w:val="20"/>
                <w:szCs w:val="20"/>
                <w:rtl w:val="0"/>
              </w:rPr>
              <w:t xml:space="preserve">[(£55.00 / 5) - £10.00] / £25.00 = 4.000000%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7">
            <w:pPr>
              <w:spacing w:before="0" w:line="240" w:lineRule="auto"/>
              <w:jc w:val="right"/>
              <w:rPr>
                <w:sz w:val="20"/>
                <w:szCs w:val="20"/>
              </w:rPr>
            </w:pPr>
            <w:r w:rsidDel="00000000" w:rsidR="00000000" w:rsidRPr="00000000">
              <w:rPr>
                <w:sz w:val="20"/>
                <w:szCs w:val="20"/>
                <w:rtl w:val="0"/>
              </w:rPr>
              <w:t xml:space="preserve">4.000000%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9">
            <w:pPr>
              <w:spacing w:before="0" w:line="240" w:lineRule="auto"/>
              <w:jc w:val="left"/>
              <w:rPr>
                <w:sz w:val="20"/>
                <w:szCs w:val="20"/>
              </w:rPr>
            </w:pPr>
            <w:r w:rsidDel="00000000" w:rsidR="00000000" w:rsidRPr="00000000">
              <w:rPr>
                <w:sz w:val="20"/>
                <w:szCs w:val="20"/>
                <w:rtl w:val="0"/>
              </w:rPr>
              <w:t xml:space="preserve">PV of inflows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A">
            <w:pPr>
              <w:spacing w:before="0" w:line="240" w:lineRule="auto"/>
              <w:jc w:val="left"/>
              <w:rPr>
                <w:sz w:val="20"/>
                <w:szCs w:val="20"/>
              </w:rPr>
            </w:pPr>
            <w:r w:rsidDel="00000000" w:rsidR="00000000" w:rsidRPr="00000000">
              <w:rPr>
                <w:sz w:val="20"/>
                <w:szCs w:val="20"/>
                <w:rtl w:val="0"/>
              </w:rPr>
              <w:t xml:space="preserve">£11.00 / 1.08^1 + £11.00 / 1.08^2 + £11.00 / 1.08^3 + £11.00 / 1.08^4 + £11.00 / 1.08^5 = £43.919810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B">
            <w:pPr>
              <w:spacing w:before="0" w:line="240" w:lineRule="auto"/>
              <w:jc w:val="right"/>
              <w:rPr>
                <w:sz w:val="20"/>
                <w:szCs w:val="20"/>
              </w:rPr>
            </w:pPr>
            <w:r w:rsidDel="00000000" w:rsidR="00000000" w:rsidRPr="00000000">
              <w:rPr>
                <w:sz w:val="20"/>
                <w:szCs w:val="20"/>
                <w:rtl w:val="0"/>
              </w:rPr>
              <w:t xml:space="preserve">43.919810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D">
            <w:pPr>
              <w:spacing w:before="0" w:line="240" w:lineRule="auto"/>
              <w:jc w:val="left"/>
              <w:rPr>
                <w:sz w:val="20"/>
                <w:szCs w:val="20"/>
              </w:rPr>
            </w:pPr>
            <w:r w:rsidDel="00000000" w:rsidR="00000000" w:rsidRPr="00000000">
              <w:rPr>
                <w:sz w:val="20"/>
                <w:szCs w:val="20"/>
                <w:rtl w:val="0"/>
              </w:rPr>
              <w:t xml:space="preserve">NPV</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E">
            <w:pPr>
              <w:spacing w:before="0" w:line="240" w:lineRule="auto"/>
              <w:jc w:val="left"/>
              <w:rPr>
                <w:sz w:val="20"/>
                <w:szCs w:val="20"/>
              </w:rPr>
            </w:pPr>
            <w:r w:rsidDel="00000000" w:rsidR="00000000" w:rsidRPr="00000000">
              <w:rPr>
                <w:sz w:val="20"/>
                <w:szCs w:val="20"/>
                <w:rtl w:val="0"/>
              </w:rPr>
              <w:t xml:space="preserve">£43.919810 - £50.00 = £(6.080190)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4F">
            <w:pPr>
              <w:spacing w:before="0" w:line="240" w:lineRule="auto"/>
              <w:jc w:val="right"/>
              <w:rPr>
                <w:sz w:val="20"/>
                <w:szCs w:val="20"/>
              </w:rPr>
            </w:pPr>
            <w:r w:rsidDel="00000000" w:rsidR="00000000" w:rsidRPr="00000000">
              <w:rPr>
                <w:color w:val="ff0000"/>
                <w:sz w:val="20"/>
                <w:szCs w:val="20"/>
                <w:rtl w:val="0"/>
              </w:rPr>
              <w:t xml:space="preserve">(6.080190)</w:t>
            </w:r>
            <w:r w:rsidDel="00000000" w:rsidR="00000000" w:rsidRPr="00000000">
              <w:rPr>
                <w:rtl w:val="0"/>
              </w:rPr>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1">
            <w:pPr>
              <w:spacing w:before="0" w:line="240" w:lineRule="auto"/>
              <w:jc w:val="left"/>
              <w:rPr>
                <w:sz w:val="20"/>
                <w:szCs w:val="20"/>
              </w:rPr>
            </w:pPr>
            <w:r w:rsidDel="00000000" w:rsidR="00000000" w:rsidRPr="00000000">
              <w:rPr>
                <w:sz w:val="20"/>
                <w:szCs w:val="20"/>
                <w:rtl w:val="0"/>
              </w:rPr>
              <w:t xml:space="preserve">Profitability index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2">
            <w:pPr>
              <w:spacing w:before="0" w:line="240" w:lineRule="auto"/>
              <w:jc w:val="left"/>
              <w:rPr>
                <w:sz w:val="20"/>
                <w:szCs w:val="20"/>
              </w:rPr>
            </w:pPr>
            <w:r w:rsidDel="00000000" w:rsidR="00000000" w:rsidRPr="00000000">
              <w:rPr>
                <w:sz w:val="20"/>
                <w:szCs w:val="20"/>
                <w:rtl w:val="0"/>
              </w:rPr>
              <w:t xml:space="preserve">£43.919810 / £50.00 = 0.878396x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3">
            <w:pPr>
              <w:spacing w:before="0" w:line="240" w:lineRule="auto"/>
              <w:jc w:val="right"/>
              <w:rPr>
                <w:sz w:val="20"/>
                <w:szCs w:val="20"/>
              </w:rPr>
            </w:pPr>
            <w:r w:rsidDel="00000000" w:rsidR="00000000" w:rsidRPr="00000000">
              <w:rPr>
                <w:sz w:val="20"/>
                <w:szCs w:val="20"/>
                <w:rtl w:val="0"/>
              </w:rPr>
              <w:t xml:space="preserve">0.878396x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5">
            <w:pPr>
              <w:spacing w:before="0" w:line="240" w:lineRule="auto"/>
              <w:jc w:val="left"/>
              <w:rPr>
                <w:sz w:val="20"/>
                <w:szCs w:val="20"/>
              </w:rPr>
            </w:pPr>
            <w:r w:rsidDel="00000000" w:rsidR="00000000" w:rsidRPr="00000000">
              <w:rPr>
                <w:sz w:val="20"/>
                <w:szCs w:val="20"/>
                <w:rtl w:val="0"/>
              </w:rPr>
              <w:t xml:space="preserve">IRR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6">
            <w:pPr>
              <w:spacing w:before="0" w:line="240" w:lineRule="auto"/>
              <w:jc w:val="left"/>
              <w:rPr>
                <w:sz w:val="20"/>
                <w:szCs w:val="20"/>
              </w:rPr>
            </w:pPr>
            <w:r w:rsidDel="00000000" w:rsidR="00000000" w:rsidRPr="00000000">
              <w:rPr>
                <w:sz w:val="20"/>
                <w:szCs w:val="20"/>
                <w:rtl w:val="0"/>
              </w:rPr>
              <w:t xml:space="preserve">IRR (£(50.00), £11.00, £11.00, £11.00, £11.00, £11.00) = 3.263496%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7">
            <w:pPr>
              <w:spacing w:before="0" w:line="240" w:lineRule="auto"/>
              <w:jc w:val="right"/>
              <w:rPr>
                <w:sz w:val="20"/>
                <w:szCs w:val="20"/>
              </w:rPr>
            </w:pPr>
            <w:r w:rsidDel="00000000" w:rsidR="00000000" w:rsidRPr="00000000">
              <w:rPr>
                <w:sz w:val="20"/>
                <w:szCs w:val="20"/>
                <w:rtl w:val="0"/>
              </w:rPr>
              <w:t xml:space="preserve">3.263496%</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58">
            <w:pPr>
              <w:spacing w:before="0" w:line="240" w:lineRule="auto"/>
              <w:jc w:val="center"/>
              <w:rPr>
                <w:sz w:val="20"/>
                <w:szCs w:val="20"/>
              </w:rPr>
            </w:pPr>
            <w:r w:rsidDel="00000000" w:rsidR="00000000" w:rsidRPr="00000000">
              <w:rPr>
                <w:sz w:val="20"/>
                <w:szCs w:val="20"/>
                <w:rtl w:val="0"/>
              </w:rPr>
              <w:t xml:space="preserve">Project C</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9">
            <w:pPr>
              <w:spacing w:before="0" w:line="240" w:lineRule="auto"/>
              <w:jc w:val="left"/>
              <w:rPr>
                <w:sz w:val="20"/>
                <w:szCs w:val="20"/>
              </w:rPr>
            </w:pPr>
            <w:r w:rsidDel="00000000" w:rsidR="00000000" w:rsidRPr="00000000">
              <w:rPr>
                <w:sz w:val="20"/>
                <w:szCs w:val="20"/>
                <w:rtl w:val="0"/>
              </w:rPr>
              <w:t xml:space="preserve">Payback period</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A">
            <w:pPr>
              <w:spacing w:before="0" w:line="240" w:lineRule="auto"/>
              <w:jc w:val="left"/>
              <w:rPr>
                <w:sz w:val="20"/>
                <w:szCs w:val="20"/>
              </w:rPr>
            </w:pPr>
            <w:r w:rsidDel="00000000" w:rsidR="00000000" w:rsidRPr="00000000">
              <w:rPr>
                <w:sz w:val="20"/>
                <w:szCs w:val="20"/>
                <w:rtl w:val="0"/>
              </w:rPr>
              <w:t xml:space="preserve">3 + (£50.00 - £35.00) / £25.00 = 3.600000 years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B">
            <w:pPr>
              <w:spacing w:before="0" w:line="240" w:lineRule="auto"/>
              <w:jc w:val="right"/>
              <w:rPr>
                <w:sz w:val="20"/>
                <w:szCs w:val="20"/>
              </w:rPr>
            </w:pPr>
            <w:r w:rsidDel="00000000" w:rsidR="00000000" w:rsidRPr="00000000">
              <w:rPr>
                <w:sz w:val="20"/>
                <w:szCs w:val="20"/>
                <w:rtl w:val="0"/>
              </w:rPr>
              <w:t xml:space="preserve">3.600000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D">
            <w:pPr>
              <w:spacing w:before="0" w:line="240" w:lineRule="auto"/>
              <w:jc w:val="left"/>
              <w:rPr>
                <w:sz w:val="20"/>
                <w:szCs w:val="20"/>
              </w:rPr>
            </w:pPr>
            <w:r w:rsidDel="00000000" w:rsidR="00000000" w:rsidRPr="00000000">
              <w:rPr>
                <w:sz w:val="20"/>
                <w:szCs w:val="20"/>
                <w:rtl w:val="0"/>
              </w:rPr>
              <w:t xml:space="preserve">ARR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E">
            <w:pPr>
              <w:spacing w:before="0" w:line="240" w:lineRule="auto"/>
              <w:jc w:val="left"/>
              <w:rPr>
                <w:sz w:val="20"/>
                <w:szCs w:val="20"/>
              </w:rPr>
            </w:pPr>
            <w:r w:rsidDel="00000000" w:rsidR="00000000" w:rsidRPr="00000000">
              <w:rPr>
                <w:sz w:val="20"/>
                <w:szCs w:val="20"/>
                <w:rtl w:val="0"/>
              </w:rPr>
              <w:t xml:space="preserve">[(£65.00 / 5) - £10.00] / £25.00 = 12.000000%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5F">
            <w:pPr>
              <w:spacing w:before="0" w:line="240" w:lineRule="auto"/>
              <w:jc w:val="right"/>
              <w:rPr>
                <w:sz w:val="20"/>
                <w:szCs w:val="20"/>
              </w:rPr>
            </w:pPr>
            <w:r w:rsidDel="00000000" w:rsidR="00000000" w:rsidRPr="00000000">
              <w:rPr>
                <w:sz w:val="20"/>
                <w:szCs w:val="20"/>
                <w:rtl w:val="0"/>
              </w:rPr>
              <w:t xml:space="preserve">12.000000%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1">
            <w:pPr>
              <w:spacing w:before="0" w:line="240" w:lineRule="auto"/>
              <w:jc w:val="left"/>
              <w:rPr>
                <w:sz w:val="20"/>
                <w:szCs w:val="20"/>
              </w:rPr>
            </w:pPr>
            <w:r w:rsidDel="00000000" w:rsidR="00000000" w:rsidRPr="00000000">
              <w:rPr>
                <w:sz w:val="20"/>
                <w:szCs w:val="20"/>
                <w:rtl w:val="0"/>
              </w:rPr>
              <w:t xml:space="preserve">PV of inflows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2">
            <w:pPr>
              <w:spacing w:before="0" w:line="240" w:lineRule="auto"/>
              <w:jc w:val="left"/>
              <w:rPr>
                <w:sz w:val="20"/>
                <w:szCs w:val="20"/>
              </w:rPr>
            </w:pPr>
            <w:r w:rsidDel="00000000" w:rsidR="00000000" w:rsidRPr="00000000">
              <w:rPr>
                <w:sz w:val="20"/>
                <w:szCs w:val="20"/>
                <w:rtl w:val="0"/>
              </w:rPr>
              <w:t xml:space="preserve">£5.00 / 1.08^1 + £10.00 / 1.08^2 + £20.00 / 1.08^3 + £25.00 / 1.08^4 + £5.00 / 1.08^5 = £50.858325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3">
            <w:pPr>
              <w:spacing w:before="0" w:line="240" w:lineRule="auto"/>
              <w:jc w:val="right"/>
              <w:rPr>
                <w:sz w:val="20"/>
                <w:szCs w:val="20"/>
              </w:rPr>
            </w:pPr>
            <w:r w:rsidDel="00000000" w:rsidR="00000000" w:rsidRPr="00000000">
              <w:rPr>
                <w:sz w:val="20"/>
                <w:szCs w:val="20"/>
                <w:rtl w:val="0"/>
              </w:rPr>
              <w:t xml:space="preserve">50.858325</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5">
            <w:pPr>
              <w:spacing w:before="0" w:line="240" w:lineRule="auto"/>
              <w:jc w:val="left"/>
              <w:rPr>
                <w:sz w:val="20"/>
                <w:szCs w:val="20"/>
              </w:rPr>
            </w:pPr>
            <w:r w:rsidDel="00000000" w:rsidR="00000000" w:rsidRPr="00000000">
              <w:rPr>
                <w:sz w:val="20"/>
                <w:szCs w:val="20"/>
                <w:rtl w:val="0"/>
              </w:rPr>
              <w:t xml:space="preserve">NPV</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6">
            <w:pPr>
              <w:spacing w:before="0" w:line="240" w:lineRule="auto"/>
              <w:jc w:val="left"/>
              <w:rPr>
                <w:sz w:val="20"/>
                <w:szCs w:val="20"/>
              </w:rPr>
            </w:pPr>
            <w:r w:rsidDel="00000000" w:rsidR="00000000" w:rsidRPr="00000000">
              <w:rPr>
                <w:sz w:val="20"/>
                <w:szCs w:val="20"/>
                <w:rtl w:val="0"/>
              </w:rPr>
              <w:t xml:space="preserve">£50.858325 - £50.00 = £0.858325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7">
            <w:pPr>
              <w:spacing w:before="0" w:line="240" w:lineRule="auto"/>
              <w:jc w:val="right"/>
              <w:rPr>
                <w:sz w:val="20"/>
                <w:szCs w:val="20"/>
              </w:rPr>
            </w:pPr>
            <w:r w:rsidDel="00000000" w:rsidR="00000000" w:rsidRPr="00000000">
              <w:rPr>
                <w:sz w:val="20"/>
                <w:szCs w:val="20"/>
                <w:rtl w:val="0"/>
              </w:rPr>
              <w:t xml:space="preserve">0.858325</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9">
            <w:pPr>
              <w:spacing w:before="0" w:line="240" w:lineRule="auto"/>
              <w:jc w:val="left"/>
              <w:rPr>
                <w:sz w:val="20"/>
                <w:szCs w:val="20"/>
              </w:rPr>
            </w:pPr>
            <w:r w:rsidDel="00000000" w:rsidR="00000000" w:rsidRPr="00000000">
              <w:rPr>
                <w:sz w:val="20"/>
                <w:szCs w:val="20"/>
                <w:rtl w:val="0"/>
              </w:rPr>
              <w:t xml:space="preserve">Profitability index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A">
            <w:pPr>
              <w:spacing w:before="0" w:line="240" w:lineRule="auto"/>
              <w:jc w:val="left"/>
              <w:rPr>
                <w:sz w:val="20"/>
                <w:szCs w:val="20"/>
              </w:rPr>
            </w:pPr>
            <w:r w:rsidDel="00000000" w:rsidR="00000000" w:rsidRPr="00000000">
              <w:rPr>
                <w:sz w:val="20"/>
                <w:szCs w:val="20"/>
                <w:rtl w:val="0"/>
              </w:rPr>
              <w:t xml:space="preserve">£50.858325 / £50.00 = 1.017166x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B">
            <w:pPr>
              <w:spacing w:before="0" w:line="240" w:lineRule="auto"/>
              <w:jc w:val="right"/>
              <w:rPr>
                <w:sz w:val="20"/>
                <w:szCs w:val="20"/>
              </w:rPr>
            </w:pPr>
            <w:r w:rsidDel="00000000" w:rsidR="00000000" w:rsidRPr="00000000">
              <w:rPr>
                <w:sz w:val="20"/>
                <w:szCs w:val="20"/>
                <w:rtl w:val="0"/>
              </w:rPr>
              <w:t xml:space="preserve">1.017166x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D">
            <w:pPr>
              <w:spacing w:before="0" w:line="240" w:lineRule="auto"/>
              <w:jc w:val="left"/>
              <w:rPr>
                <w:sz w:val="20"/>
                <w:szCs w:val="20"/>
              </w:rPr>
            </w:pPr>
            <w:r w:rsidDel="00000000" w:rsidR="00000000" w:rsidRPr="00000000">
              <w:rPr>
                <w:sz w:val="20"/>
                <w:szCs w:val="20"/>
                <w:rtl w:val="0"/>
              </w:rPr>
              <w:t xml:space="preserve">IRR</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E">
            <w:pPr>
              <w:spacing w:before="0" w:line="240" w:lineRule="auto"/>
              <w:jc w:val="left"/>
              <w:rPr>
                <w:sz w:val="20"/>
                <w:szCs w:val="20"/>
              </w:rPr>
            </w:pPr>
            <w:r w:rsidDel="00000000" w:rsidR="00000000" w:rsidRPr="00000000">
              <w:rPr>
                <w:sz w:val="20"/>
                <w:szCs w:val="20"/>
                <w:rtl w:val="0"/>
              </w:rPr>
              <w:t xml:space="preserve">IRR (£(50.00), £5.00, £10.00, £20.00, £25.00, £5.00) = 8.586756%</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6F">
            <w:pPr>
              <w:spacing w:before="0" w:line="240" w:lineRule="auto"/>
              <w:jc w:val="right"/>
              <w:rPr>
                <w:sz w:val="20"/>
                <w:szCs w:val="20"/>
              </w:rPr>
            </w:pPr>
            <w:r w:rsidDel="00000000" w:rsidR="00000000" w:rsidRPr="00000000">
              <w:rPr>
                <w:sz w:val="20"/>
                <w:szCs w:val="20"/>
                <w:rtl w:val="0"/>
              </w:rPr>
              <w:t xml:space="preserve">8.586756%</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70">
            <w:pPr>
              <w:spacing w:before="0" w:line="240" w:lineRule="auto"/>
              <w:jc w:val="left"/>
              <w:rPr>
                <w:sz w:val="20"/>
                <w:szCs w:val="20"/>
              </w:rPr>
            </w:pPr>
            <w:r w:rsidDel="00000000" w:rsidR="00000000" w:rsidRPr="00000000">
              <w:rPr>
                <w:sz w:val="20"/>
                <w:szCs w:val="20"/>
                <w:rtl w:val="0"/>
              </w:rPr>
              <w:t xml:space="preserve">C only</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1">
            <w:pPr>
              <w:spacing w:before="0" w:line="240" w:lineRule="auto"/>
              <w:jc w:val="left"/>
              <w:rPr>
                <w:sz w:val="20"/>
                <w:szCs w:val="20"/>
              </w:rPr>
            </w:pPr>
            <w:r w:rsidDel="00000000" w:rsidR="00000000" w:rsidRPr="00000000">
              <w:rPr>
                <w:sz w:val="20"/>
                <w:szCs w:val="20"/>
                <w:rtl w:val="0"/>
              </w:rPr>
              <w:t xml:space="preserve">Capital rationing</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2">
            <w:pPr>
              <w:spacing w:before="0" w:line="240" w:lineRule="auto"/>
              <w:jc w:val="left"/>
              <w:rPr>
                <w:sz w:val="20"/>
                <w:szCs w:val="20"/>
              </w:rPr>
            </w:pPr>
            <w:r w:rsidDel="00000000" w:rsidR="00000000" w:rsidRPr="00000000">
              <w:rPr>
                <w:sz w:val="20"/>
                <w:szCs w:val="20"/>
                <w:rtl w:val="0"/>
              </w:rPr>
              <w:t xml:space="preserve">Cost: £50.00; combined NPV: £0.858325 = £0.858325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3">
            <w:pPr>
              <w:spacing w:before="0" w:line="240" w:lineRule="auto"/>
              <w:jc w:val="right"/>
              <w:rPr>
                <w:sz w:val="20"/>
                <w:szCs w:val="20"/>
              </w:rPr>
            </w:pPr>
            <w:r w:rsidDel="00000000" w:rsidR="00000000" w:rsidRPr="00000000">
              <w:rPr>
                <w:sz w:val="20"/>
                <w:szCs w:val="20"/>
                <w:rtl w:val="0"/>
              </w:rPr>
              <w:t xml:space="preserve">0.858325</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74">
            <w:pPr>
              <w:spacing w:before="0" w:line="240" w:lineRule="auto"/>
              <w:jc w:val="left"/>
              <w:rPr>
                <w:sz w:val="20"/>
                <w:szCs w:val="20"/>
              </w:rPr>
            </w:pPr>
            <w:r w:rsidDel="00000000" w:rsidR="00000000" w:rsidRPr="00000000">
              <w:rPr>
                <w:sz w:val="20"/>
                <w:szCs w:val="20"/>
                <w:rtl w:val="0"/>
              </w:rPr>
              <w:t xml:space="preserve">A + B</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5">
            <w:pPr>
              <w:spacing w:before="0" w:line="240" w:lineRule="auto"/>
              <w:jc w:val="left"/>
              <w:rPr>
                <w:sz w:val="20"/>
                <w:szCs w:val="20"/>
              </w:rPr>
            </w:pPr>
            <w:r w:rsidDel="00000000" w:rsidR="00000000" w:rsidRPr="00000000">
              <w:rPr>
                <w:sz w:val="20"/>
                <w:szCs w:val="20"/>
                <w:rtl w:val="0"/>
              </w:rPr>
              <w:t xml:space="preserve">Capital rationing</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6">
            <w:pPr>
              <w:spacing w:before="0" w:line="240" w:lineRule="auto"/>
              <w:jc w:val="left"/>
              <w:rPr>
                <w:sz w:val="20"/>
                <w:szCs w:val="20"/>
              </w:rPr>
            </w:pPr>
            <w:r w:rsidDel="00000000" w:rsidR="00000000" w:rsidRPr="00000000">
              <w:rPr>
                <w:sz w:val="20"/>
                <w:szCs w:val="20"/>
                <w:rtl w:val="0"/>
              </w:rPr>
              <w:t xml:space="preserve">Cost: £50.00 + £50.00 = £100.00; combined NPV: £(6.544059) + £(6.080190) = £(12.624249)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7">
            <w:pPr>
              <w:spacing w:before="0" w:line="240" w:lineRule="auto"/>
              <w:jc w:val="right"/>
              <w:rPr>
                <w:sz w:val="20"/>
                <w:szCs w:val="20"/>
              </w:rPr>
            </w:pPr>
            <w:r w:rsidDel="00000000" w:rsidR="00000000" w:rsidRPr="00000000">
              <w:rPr>
                <w:color w:val="ff0000"/>
                <w:sz w:val="20"/>
                <w:szCs w:val="20"/>
                <w:rtl w:val="0"/>
              </w:rPr>
              <w:t xml:space="preserve">(12.624249)</w:t>
            </w:r>
            <w:r w:rsidDel="00000000" w:rsidR="00000000" w:rsidRPr="00000000">
              <w:rPr>
                <w:rtl w:val="0"/>
              </w:rPr>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78">
            <w:pPr>
              <w:spacing w:before="0" w:line="240" w:lineRule="auto"/>
              <w:jc w:val="left"/>
              <w:rPr>
                <w:sz w:val="20"/>
                <w:szCs w:val="20"/>
              </w:rPr>
            </w:pPr>
            <w:r w:rsidDel="00000000" w:rsidR="00000000" w:rsidRPr="00000000">
              <w:rPr>
                <w:sz w:val="20"/>
                <w:szCs w:val="20"/>
                <w:rtl w:val="0"/>
              </w:rPr>
              <w:t xml:space="preserve">A + C</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9">
            <w:pPr>
              <w:spacing w:before="0" w:line="240" w:lineRule="auto"/>
              <w:jc w:val="left"/>
              <w:rPr>
                <w:sz w:val="20"/>
                <w:szCs w:val="20"/>
              </w:rPr>
            </w:pPr>
            <w:r w:rsidDel="00000000" w:rsidR="00000000" w:rsidRPr="00000000">
              <w:rPr>
                <w:sz w:val="20"/>
                <w:szCs w:val="20"/>
                <w:rtl w:val="0"/>
              </w:rPr>
              <w:t xml:space="preserve">Capital rationing</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A">
            <w:pPr>
              <w:spacing w:before="0" w:line="240" w:lineRule="auto"/>
              <w:jc w:val="left"/>
              <w:rPr>
                <w:sz w:val="20"/>
                <w:szCs w:val="20"/>
              </w:rPr>
            </w:pPr>
            <w:r w:rsidDel="00000000" w:rsidR="00000000" w:rsidRPr="00000000">
              <w:rPr>
                <w:sz w:val="20"/>
                <w:szCs w:val="20"/>
                <w:rtl w:val="0"/>
              </w:rPr>
              <w:t xml:space="preserve">Cost: £50.00 + £50.00 = £100.00; combined NPV: £(6.544059) + £0.858325 = £(5.685734)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B">
            <w:pPr>
              <w:spacing w:before="0" w:line="240" w:lineRule="auto"/>
              <w:jc w:val="right"/>
              <w:rPr>
                <w:sz w:val="20"/>
                <w:szCs w:val="20"/>
              </w:rPr>
            </w:pPr>
            <w:r w:rsidDel="00000000" w:rsidR="00000000" w:rsidRPr="00000000">
              <w:rPr>
                <w:color w:val="ff0000"/>
                <w:sz w:val="20"/>
                <w:szCs w:val="20"/>
                <w:rtl w:val="0"/>
              </w:rPr>
              <w:t xml:space="preserve">(5.685734)</w:t>
            </w:r>
            <w:r w:rsidDel="00000000" w:rsidR="00000000" w:rsidRPr="00000000">
              <w:rPr>
                <w:rtl w:val="0"/>
              </w:rPr>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7C">
            <w:pPr>
              <w:spacing w:before="0" w:line="240" w:lineRule="auto"/>
              <w:jc w:val="left"/>
              <w:rPr>
                <w:sz w:val="20"/>
                <w:szCs w:val="20"/>
              </w:rPr>
            </w:pPr>
            <w:r w:rsidDel="00000000" w:rsidR="00000000" w:rsidRPr="00000000">
              <w:rPr>
                <w:sz w:val="20"/>
                <w:szCs w:val="20"/>
                <w:rtl w:val="0"/>
              </w:rPr>
              <w:t xml:space="preserve">B + C</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D">
            <w:pPr>
              <w:spacing w:before="0" w:line="240" w:lineRule="auto"/>
              <w:jc w:val="left"/>
              <w:rPr>
                <w:sz w:val="20"/>
                <w:szCs w:val="20"/>
              </w:rPr>
            </w:pPr>
            <w:r w:rsidDel="00000000" w:rsidR="00000000" w:rsidRPr="00000000">
              <w:rPr>
                <w:sz w:val="20"/>
                <w:szCs w:val="20"/>
                <w:rtl w:val="0"/>
              </w:rPr>
              <w:t xml:space="preserve">Capital rationing</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E">
            <w:pPr>
              <w:spacing w:before="0" w:line="240" w:lineRule="auto"/>
              <w:jc w:val="left"/>
              <w:rPr>
                <w:sz w:val="20"/>
                <w:szCs w:val="20"/>
              </w:rPr>
            </w:pPr>
            <w:r w:rsidDel="00000000" w:rsidR="00000000" w:rsidRPr="00000000">
              <w:rPr>
                <w:sz w:val="20"/>
                <w:szCs w:val="20"/>
                <w:rtl w:val="0"/>
              </w:rPr>
              <w:t xml:space="preserve">Cost: £50.00 + £50.00 = £100.00; combined NPV: £(6.080190) + £0.858325 = £(5.221865)</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7F">
            <w:pPr>
              <w:spacing w:before="0" w:line="240" w:lineRule="auto"/>
              <w:jc w:val="right"/>
              <w:rPr>
                <w:sz w:val="20"/>
                <w:szCs w:val="20"/>
              </w:rPr>
            </w:pPr>
            <w:r w:rsidDel="00000000" w:rsidR="00000000" w:rsidRPr="00000000">
              <w:rPr>
                <w:color w:val="ff0000"/>
                <w:sz w:val="20"/>
                <w:szCs w:val="20"/>
                <w:rtl w:val="0"/>
              </w:rPr>
              <w:t xml:space="preserve">(5.221865)</w:t>
            </w:r>
            <w:r w:rsidDel="00000000" w:rsidR="00000000" w:rsidRPr="00000000">
              <w:rPr>
                <w:rtl w:val="0"/>
              </w:rPr>
            </w:r>
          </w:p>
        </w:tc>
      </w:tr>
    </w:tbl>
    <w:p w:rsidR="00000000" w:rsidDel="00000000" w:rsidP="00000000" w:rsidRDefault="00000000" w:rsidRPr="00000000" w14:paraId="00000280">
      <w:pPr>
        <w:rPr/>
      </w:pPr>
      <w:r w:rsidDel="00000000" w:rsidR="00000000" w:rsidRPr="00000000">
        <w:rPr>
          <w:rtl w:val="0"/>
        </w:rPr>
      </w:r>
    </w:p>
    <w:p w:rsidR="00000000" w:rsidDel="00000000" w:rsidP="00000000" w:rsidRDefault="00000000" w:rsidRPr="00000000" w14:paraId="00000281">
      <w:pPr>
        <w:rPr/>
      </w:pPr>
      <w:r w:rsidDel="00000000" w:rsidR="00000000" w:rsidRPr="00000000">
        <w:br w:type="page"/>
      </w:r>
      <w:r w:rsidDel="00000000" w:rsidR="00000000" w:rsidRPr="00000000">
        <w:rPr>
          <w:rtl w:val="0"/>
        </w:rPr>
      </w:r>
    </w:p>
    <w:p w:rsidR="00000000" w:rsidDel="00000000" w:rsidP="00000000" w:rsidRDefault="00000000" w:rsidRPr="00000000" w14:paraId="00000282">
      <w:pPr>
        <w:pStyle w:val="Heading2"/>
        <w:rPr/>
      </w:pPr>
      <w:bookmarkStart w:colFirst="0" w:colLast="0" w:name="_if0fx5745ff8" w:id="28"/>
      <w:bookmarkEnd w:id="28"/>
      <w:r w:rsidDel="00000000" w:rsidR="00000000" w:rsidRPr="00000000">
        <w:rPr>
          <w:rtl w:val="0"/>
        </w:rPr>
        <w:t xml:space="preserve">Appendix 3: Liquidity benchmark Calculation </w:t>
      </w:r>
    </w:p>
    <w:tbl>
      <w:tblPr>
        <w:tblStyle w:val="Table3"/>
        <w:tblW w:w="7407.0" w:type="dxa"/>
        <w:jc w:val="center"/>
        <w:tblLayout w:type="fixed"/>
        <w:tblLook w:val="0400"/>
      </w:tblPr>
      <w:tblGrid>
        <w:gridCol w:w="1350"/>
        <w:gridCol w:w="1328"/>
        <w:gridCol w:w="3801"/>
        <w:gridCol w:w="928"/>
        <w:tblGridChange w:id="0">
          <w:tblGrid>
            <w:gridCol w:w="1350"/>
            <w:gridCol w:w="1328"/>
            <w:gridCol w:w="3801"/>
            <w:gridCol w:w="928"/>
          </w:tblGrid>
        </w:tblGridChange>
      </w:tblGrid>
      <w:tr>
        <w:trPr>
          <w:cantSplit w:val="0"/>
          <w:trHeight w:val="2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83">
            <w:pPr>
              <w:spacing w:before="0" w:line="240" w:lineRule="auto"/>
              <w:jc w:val="center"/>
              <w:rPr>
                <w:b w:val="1"/>
                <w:bCs w:val="1"/>
                <w:sz w:val="20"/>
                <w:szCs w:val="20"/>
              </w:rPr>
            </w:pPr>
            <w:r w:rsidDel="00000000" w:rsidR="00000000" w:rsidRPr="00000000">
              <w:rPr>
                <w:b w:val="1"/>
                <w:bCs w:val="1"/>
                <w:sz w:val="20"/>
                <w:szCs w:val="20"/>
                <w:rtl w:val="0"/>
              </w:rPr>
              <w:t xml:space="preserve">Company</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84">
            <w:pPr>
              <w:spacing w:before="0" w:line="240" w:lineRule="auto"/>
              <w:jc w:val="center"/>
              <w:rPr>
                <w:b w:val="1"/>
                <w:bCs w:val="1"/>
                <w:sz w:val="20"/>
                <w:szCs w:val="20"/>
              </w:rPr>
            </w:pPr>
            <w:r w:rsidDel="00000000" w:rsidR="00000000" w:rsidRPr="00000000">
              <w:rPr>
                <w:b w:val="1"/>
                <w:bCs w:val="1"/>
                <w:sz w:val="20"/>
                <w:szCs w:val="20"/>
                <w:rtl w:val="0"/>
              </w:rPr>
              <w:t xml:space="preserve">Ratio</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85">
            <w:pPr>
              <w:spacing w:before="0" w:line="240" w:lineRule="auto"/>
              <w:jc w:val="center"/>
              <w:rPr>
                <w:b w:val="1"/>
                <w:bCs w:val="1"/>
                <w:sz w:val="20"/>
                <w:szCs w:val="20"/>
              </w:rPr>
            </w:pPr>
            <w:r w:rsidDel="00000000" w:rsidR="00000000" w:rsidRPr="00000000">
              <w:rPr>
                <w:b w:val="1"/>
                <w:bCs w:val="1"/>
                <w:sz w:val="20"/>
                <w:szCs w:val="20"/>
                <w:rtl w:val="0"/>
              </w:rPr>
              <w:t xml:space="preserve">Calculation using figures</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86">
            <w:pPr>
              <w:spacing w:before="0" w:line="240" w:lineRule="auto"/>
              <w:jc w:val="center"/>
              <w:rPr>
                <w:b w:val="1"/>
                <w:bCs w:val="1"/>
                <w:sz w:val="20"/>
                <w:szCs w:val="20"/>
              </w:rPr>
            </w:pPr>
            <w:r w:rsidDel="00000000" w:rsidR="00000000" w:rsidRPr="00000000">
              <w:rPr>
                <w:b w:val="1"/>
                <w:bCs w:val="1"/>
                <w:sz w:val="20"/>
                <w:szCs w:val="20"/>
                <w:rtl w:val="0"/>
              </w:rPr>
              <w:t xml:space="preserve">Result</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87">
            <w:pPr>
              <w:spacing w:before="0" w:line="240" w:lineRule="auto"/>
              <w:jc w:val="left"/>
              <w:rPr>
                <w:color w:val="000000"/>
                <w:sz w:val="20"/>
                <w:szCs w:val="20"/>
              </w:rPr>
            </w:pPr>
            <w:r w:rsidDel="00000000" w:rsidR="00000000" w:rsidRPr="00000000">
              <w:rPr>
                <w:color w:val="000000"/>
                <w:sz w:val="20"/>
                <w:szCs w:val="20"/>
                <w:rtl w:val="0"/>
              </w:rPr>
              <w:t xml:space="preserve">Hyatt</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88">
            <w:pPr>
              <w:spacing w:before="0" w:line="240" w:lineRule="auto"/>
              <w:jc w:val="left"/>
              <w:rPr>
                <w:color w:val="000000"/>
                <w:sz w:val="20"/>
                <w:szCs w:val="20"/>
              </w:rPr>
            </w:pPr>
            <w:r w:rsidDel="00000000" w:rsidR="00000000" w:rsidRPr="00000000">
              <w:rPr>
                <w:color w:val="000000"/>
                <w:sz w:val="20"/>
                <w:szCs w:val="20"/>
                <w:rtl w:val="0"/>
              </w:rPr>
              <w:t xml:space="preserve">Current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89">
            <w:pPr>
              <w:spacing w:before="0" w:line="240" w:lineRule="auto"/>
              <w:jc w:val="left"/>
              <w:rPr>
                <w:color w:val="000000"/>
                <w:sz w:val="20"/>
                <w:szCs w:val="20"/>
              </w:rPr>
            </w:pPr>
            <w:r w:rsidDel="00000000" w:rsidR="00000000" w:rsidRPr="00000000">
              <w:rPr>
                <w:color w:val="000000"/>
                <w:sz w:val="20"/>
                <w:szCs w:val="20"/>
                <w:rtl w:val="0"/>
              </w:rPr>
              <w:t xml:space="preserve">2,733 ÷ 3,274 = 0.8348x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8A">
            <w:pPr>
              <w:spacing w:before="0" w:line="240" w:lineRule="auto"/>
              <w:jc w:val="right"/>
              <w:rPr>
                <w:color w:val="000000"/>
                <w:sz w:val="20"/>
                <w:szCs w:val="20"/>
              </w:rPr>
            </w:pPr>
            <w:r w:rsidDel="00000000" w:rsidR="00000000" w:rsidRPr="00000000">
              <w:rPr>
                <w:color w:val="000000"/>
                <w:sz w:val="20"/>
                <w:szCs w:val="20"/>
                <w:rtl w:val="0"/>
              </w:rPr>
              <w:t xml:space="preserve">0.8348x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8B">
            <w:pPr>
              <w:spacing w:before="0" w:line="240" w:lineRule="auto"/>
              <w:jc w:val="left"/>
              <w:rPr>
                <w:color w:val="000000"/>
                <w:sz w:val="20"/>
                <w:szCs w:val="20"/>
              </w:rPr>
            </w:pPr>
            <w:r w:rsidDel="00000000" w:rsidR="00000000" w:rsidRPr="00000000">
              <w:rPr>
                <w:color w:val="000000"/>
                <w:sz w:val="20"/>
                <w:szCs w:val="20"/>
                <w:rtl w:val="0"/>
              </w:rPr>
              <w:t xml:space="preserve">Hyatt</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8C">
            <w:pPr>
              <w:spacing w:before="0" w:line="240" w:lineRule="auto"/>
              <w:jc w:val="left"/>
              <w:rPr>
                <w:color w:val="000000"/>
                <w:sz w:val="20"/>
                <w:szCs w:val="20"/>
              </w:rPr>
            </w:pPr>
            <w:r w:rsidDel="00000000" w:rsidR="00000000" w:rsidRPr="00000000">
              <w:rPr>
                <w:color w:val="000000"/>
                <w:sz w:val="20"/>
                <w:szCs w:val="20"/>
                <w:rtl w:val="0"/>
              </w:rPr>
              <w:t xml:space="preserve">Quick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8D">
            <w:pPr>
              <w:spacing w:before="0" w:line="240" w:lineRule="auto"/>
              <w:jc w:val="left"/>
              <w:rPr>
                <w:color w:val="000000"/>
                <w:sz w:val="20"/>
                <w:szCs w:val="20"/>
              </w:rPr>
            </w:pPr>
            <w:r w:rsidDel="00000000" w:rsidR="00000000" w:rsidRPr="00000000">
              <w:rPr>
                <w:color w:val="000000"/>
                <w:sz w:val="20"/>
                <w:szCs w:val="20"/>
                <w:rtl w:val="0"/>
              </w:rPr>
              <w:t xml:space="preserve">(1,011 + 372 + 1,121) ÷ 3,274 = 0.7648x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8E">
            <w:pPr>
              <w:spacing w:before="0" w:line="240" w:lineRule="auto"/>
              <w:jc w:val="right"/>
              <w:rPr>
                <w:color w:val="000000"/>
                <w:sz w:val="20"/>
                <w:szCs w:val="20"/>
              </w:rPr>
            </w:pPr>
            <w:r w:rsidDel="00000000" w:rsidR="00000000" w:rsidRPr="00000000">
              <w:rPr>
                <w:color w:val="000000"/>
                <w:sz w:val="20"/>
                <w:szCs w:val="20"/>
                <w:rtl w:val="0"/>
              </w:rPr>
              <w:t xml:space="preserve">0.7648x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8F">
            <w:pPr>
              <w:spacing w:before="0" w:line="240" w:lineRule="auto"/>
              <w:jc w:val="left"/>
              <w:rPr>
                <w:color w:val="000000"/>
                <w:sz w:val="20"/>
                <w:szCs w:val="20"/>
              </w:rPr>
            </w:pPr>
            <w:r w:rsidDel="00000000" w:rsidR="00000000" w:rsidRPr="00000000">
              <w:rPr>
                <w:color w:val="000000"/>
                <w:sz w:val="20"/>
                <w:szCs w:val="20"/>
                <w:rtl w:val="0"/>
              </w:rPr>
              <w:t xml:space="preserve">Hyatt</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0">
            <w:pPr>
              <w:spacing w:before="0" w:line="240" w:lineRule="auto"/>
              <w:jc w:val="left"/>
              <w:rPr>
                <w:color w:val="000000"/>
                <w:sz w:val="20"/>
                <w:szCs w:val="20"/>
              </w:rPr>
            </w:pPr>
            <w:r w:rsidDel="00000000" w:rsidR="00000000" w:rsidRPr="00000000">
              <w:rPr>
                <w:color w:val="000000"/>
                <w:sz w:val="20"/>
                <w:szCs w:val="20"/>
                <w:rtl w:val="0"/>
              </w:rPr>
              <w:t xml:space="preserve">Cash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1">
            <w:pPr>
              <w:spacing w:before="0" w:line="240" w:lineRule="auto"/>
              <w:jc w:val="left"/>
              <w:rPr>
                <w:color w:val="000000"/>
                <w:sz w:val="20"/>
                <w:szCs w:val="20"/>
              </w:rPr>
            </w:pPr>
            <w:r w:rsidDel="00000000" w:rsidR="00000000" w:rsidRPr="00000000">
              <w:rPr>
                <w:color w:val="000000"/>
                <w:sz w:val="20"/>
                <w:szCs w:val="20"/>
                <w:rtl w:val="0"/>
              </w:rPr>
              <w:t xml:space="preserve">(1,011 + 372) ÷ 3,274 = 0.4224x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2">
            <w:pPr>
              <w:spacing w:before="0" w:line="240" w:lineRule="auto"/>
              <w:jc w:val="right"/>
              <w:rPr>
                <w:color w:val="000000"/>
                <w:sz w:val="20"/>
                <w:szCs w:val="20"/>
              </w:rPr>
            </w:pPr>
            <w:r w:rsidDel="00000000" w:rsidR="00000000" w:rsidRPr="00000000">
              <w:rPr>
                <w:color w:val="000000"/>
                <w:sz w:val="20"/>
                <w:szCs w:val="20"/>
                <w:rtl w:val="0"/>
              </w:rPr>
              <w:t xml:space="preserve">0.4224x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93">
            <w:pPr>
              <w:spacing w:before="0" w:line="240" w:lineRule="auto"/>
              <w:jc w:val="left"/>
              <w:rPr>
                <w:color w:val="000000"/>
                <w:sz w:val="20"/>
                <w:szCs w:val="20"/>
              </w:rPr>
            </w:pPr>
            <w:r w:rsidDel="00000000" w:rsidR="00000000" w:rsidRPr="00000000">
              <w:rPr>
                <w:color w:val="000000"/>
                <w:sz w:val="20"/>
                <w:szCs w:val="20"/>
                <w:rtl w:val="0"/>
              </w:rPr>
              <w:t xml:space="preserve">Hilton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4">
            <w:pPr>
              <w:spacing w:before="0" w:line="240" w:lineRule="auto"/>
              <w:jc w:val="left"/>
              <w:rPr>
                <w:color w:val="000000"/>
                <w:sz w:val="20"/>
                <w:szCs w:val="20"/>
              </w:rPr>
            </w:pPr>
            <w:r w:rsidDel="00000000" w:rsidR="00000000" w:rsidRPr="00000000">
              <w:rPr>
                <w:color w:val="000000"/>
                <w:sz w:val="20"/>
                <w:szCs w:val="20"/>
                <w:rtl w:val="0"/>
              </w:rPr>
              <w:t xml:space="preserve">Current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5">
            <w:pPr>
              <w:spacing w:before="0" w:line="240" w:lineRule="auto"/>
              <w:jc w:val="left"/>
              <w:rPr>
                <w:color w:val="000000"/>
                <w:sz w:val="20"/>
                <w:szCs w:val="20"/>
              </w:rPr>
            </w:pPr>
            <w:r w:rsidDel="00000000" w:rsidR="00000000" w:rsidRPr="00000000">
              <w:rPr>
                <w:color w:val="000000"/>
                <w:sz w:val="20"/>
                <w:szCs w:val="20"/>
                <w:rtl w:val="0"/>
              </w:rPr>
              <w:t xml:space="preserve">3,272 ÷ 4,700 = 0.6962x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6">
            <w:pPr>
              <w:spacing w:before="0" w:line="240" w:lineRule="auto"/>
              <w:jc w:val="right"/>
              <w:rPr>
                <w:color w:val="000000"/>
                <w:sz w:val="20"/>
                <w:szCs w:val="20"/>
              </w:rPr>
            </w:pPr>
            <w:r w:rsidDel="00000000" w:rsidR="00000000" w:rsidRPr="00000000">
              <w:rPr>
                <w:color w:val="000000"/>
                <w:sz w:val="20"/>
                <w:szCs w:val="20"/>
                <w:rtl w:val="0"/>
              </w:rPr>
              <w:t xml:space="preserve">0.6962x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97">
            <w:pPr>
              <w:spacing w:before="0" w:line="240" w:lineRule="auto"/>
              <w:jc w:val="left"/>
              <w:rPr>
                <w:color w:val="000000"/>
                <w:sz w:val="20"/>
                <w:szCs w:val="20"/>
              </w:rPr>
            </w:pPr>
            <w:r w:rsidDel="00000000" w:rsidR="00000000" w:rsidRPr="00000000">
              <w:rPr>
                <w:color w:val="000000"/>
                <w:sz w:val="20"/>
                <w:szCs w:val="20"/>
                <w:rtl w:val="0"/>
              </w:rPr>
              <w:t xml:space="preserve">Hilton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8">
            <w:pPr>
              <w:spacing w:before="0" w:line="240" w:lineRule="auto"/>
              <w:jc w:val="left"/>
              <w:rPr>
                <w:color w:val="000000"/>
                <w:sz w:val="20"/>
                <w:szCs w:val="20"/>
              </w:rPr>
            </w:pPr>
            <w:r w:rsidDel="00000000" w:rsidR="00000000" w:rsidRPr="00000000">
              <w:rPr>
                <w:color w:val="000000"/>
                <w:sz w:val="20"/>
                <w:szCs w:val="20"/>
                <w:rtl w:val="0"/>
              </w:rPr>
              <w:t xml:space="preserve">Quick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9">
            <w:pPr>
              <w:spacing w:before="0" w:line="240" w:lineRule="auto"/>
              <w:jc w:val="left"/>
              <w:rPr>
                <w:color w:val="000000"/>
                <w:sz w:val="20"/>
                <w:szCs w:val="20"/>
              </w:rPr>
            </w:pPr>
            <w:r w:rsidDel="00000000" w:rsidR="00000000" w:rsidRPr="00000000">
              <w:rPr>
                <w:color w:val="000000"/>
                <w:sz w:val="20"/>
                <w:szCs w:val="20"/>
                <w:rtl w:val="0"/>
              </w:rPr>
              <w:t xml:space="preserve">(1,301 + 0 + 1,583) ÷ 4,700 = 0.6136x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A">
            <w:pPr>
              <w:spacing w:before="0" w:line="240" w:lineRule="auto"/>
              <w:jc w:val="right"/>
              <w:rPr>
                <w:color w:val="000000"/>
                <w:sz w:val="20"/>
                <w:szCs w:val="20"/>
              </w:rPr>
            </w:pPr>
            <w:r w:rsidDel="00000000" w:rsidR="00000000" w:rsidRPr="00000000">
              <w:rPr>
                <w:color w:val="000000"/>
                <w:sz w:val="20"/>
                <w:szCs w:val="20"/>
                <w:rtl w:val="0"/>
              </w:rPr>
              <w:t xml:space="preserve">0.6136x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9B">
            <w:pPr>
              <w:spacing w:before="0" w:line="240" w:lineRule="auto"/>
              <w:jc w:val="left"/>
              <w:rPr>
                <w:color w:val="000000"/>
                <w:sz w:val="20"/>
                <w:szCs w:val="20"/>
              </w:rPr>
            </w:pPr>
            <w:r w:rsidDel="00000000" w:rsidR="00000000" w:rsidRPr="00000000">
              <w:rPr>
                <w:color w:val="000000"/>
                <w:sz w:val="20"/>
                <w:szCs w:val="20"/>
                <w:rtl w:val="0"/>
              </w:rPr>
              <w:t xml:space="preserve">Hilton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C">
            <w:pPr>
              <w:spacing w:before="0" w:line="240" w:lineRule="auto"/>
              <w:jc w:val="left"/>
              <w:rPr>
                <w:color w:val="000000"/>
                <w:sz w:val="20"/>
                <w:szCs w:val="20"/>
              </w:rPr>
            </w:pPr>
            <w:r w:rsidDel="00000000" w:rsidR="00000000" w:rsidRPr="00000000">
              <w:rPr>
                <w:color w:val="000000"/>
                <w:sz w:val="20"/>
                <w:szCs w:val="20"/>
                <w:rtl w:val="0"/>
              </w:rPr>
              <w:t xml:space="preserve">Cash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D">
            <w:pPr>
              <w:spacing w:before="0" w:line="240" w:lineRule="auto"/>
              <w:jc w:val="left"/>
              <w:rPr>
                <w:color w:val="000000"/>
                <w:sz w:val="20"/>
                <w:szCs w:val="20"/>
              </w:rPr>
            </w:pPr>
            <w:r w:rsidDel="00000000" w:rsidR="00000000" w:rsidRPr="00000000">
              <w:rPr>
                <w:color w:val="000000"/>
                <w:sz w:val="20"/>
                <w:szCs w:val="20"/>
                <w:rtl w:val="0"/>
              </w:rPr>
              <w:t xml:space="preserve">(1,301 + 0) ÷ 4,700 = 0.2768x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9E">
            <w:pPr>
              <w:spacing w:before="0" w:line="240" w:lineRule="auto"/>
              <w:jc w:val="right"/>
              <w:rPr>
                <w:color w:val="000000"/>
                <w:sz w:val="20"/>
                <w:szCs w:val="20"/>
              </w:rPr>
            </w:pPr>
            <w:r w:rsidDel="00000000" w:rsidR="00000000" w:rsidRPr="00000000">
              <w:rPr>
                <w:color w:val="000000"/>
                <w:sz w:val="20"/>
                <w:szCs w:val="20"/>
                <w:rtl w:val="0"/>
              </w:rPr>
              <w:t xml:space="preserve">0.2768x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9F">
            <w:pPr>
              <w:spacing w:before="0" w:line="240" w:lineRule="auto"/>
              <w:jc w:val="left"/>
              <w:rPr>
                <w:color w:val="000000"/>
                <w:sz w:val="20"/>
                <w:szCs w:val="20"/>
              </w:rPr>
            </w:pPr>
            <w:r w:rsidDel="00000000" w:rsidR="00000000" w:rsidRPr="00000000">
              <w:rPr>
                <w:color w:val="000000"/>
                <w:sz w:val="20"/>
                <w:szCs w:val="20"/>
                <w:rtl w:val="0"/>
              </w:rPr>
              <w:t xml:space="preserve">Marriott</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0">
            <w:pPr>
              <w:spacing w:before="0" w:line="240" w:lineRule="auto"/>
              <w:jc w:val="left"/>
              <w:rPr>
                <w:color w:val="000000"/>
                <w:sz w:val="20"/>
                <w:szCs w:val="20"/>
              </w:rPr>
            </w:pPr>
            <w:r w:rsidDel="00000000" w:rsidR="00000000" w:rsidRPr="00000000">
              <w:rPr>
                <w:color w:val="000000"/>
                <w:sz w:val="20"/>
                <w:szCs w:val="20"/>
                <w:rtl w:val="0"/>
              </w:rPr>
              <w:t xml:space="preserve">Current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1">
            <w:pPr>
              <w:spacing w:before="0" w:line="240" w:lineRule="auto"/>
              <w:jc w:val="left"/>
              <w:rPr>
                <w:color w:val="000000"/>
                <w:sz w:val="20"/>
                <w:szCs w:val="20"/>
              </w:rPr>
            </w:pPr>
            <w:r w:rsidDel="00000000" w:rsidR="00000000" w:rsidRPr="00000000">
              <w:rPr>
                <w:color w:val="000000"/>
                <w:sz w:val="20"/>
                <w:szCs w:val="20"/>
                <w:rtl w:val="0"/>
              </w:rPr>
              <w:t xml:space="preserve">3,485 ÷ 8,649 = 0.4029x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2">
            <w:pPr>
              <w:spacing w:before="0" w:line="240" w:lineRule="auto"/>
              <w:jc w:val="right"/>
              <w:rPr>
                <w:color w:val="000000"/>
                <w:sz w:val="20"/>
                <w:szCs w:val="20"/>
              </w:rPr>
            </w:pPr>
            <w:r w:rsidDel="00000000" w:rsidR="00000000" w:rsidRPr="00000000">
              <w:rPr>
                <w:color w:val="000000"/>
                <w:sz w:val="20"/>
                <w:szCs w:val="20"/>
                <w:rtl w:val="0"/>
              </w:rPr>
              <w:t xml:space="preserve">0.4029x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A3">
            <w:pPr>
              <w:spacing w:before="0" w:line="240" w:lineRule="auto"/>
              <w:jc w:val="left"/>
              <w:rPr>
                <w:color w:val="000000"/>
                <w:sz w:val="20"/>
                <w:szCs w:val="20"/>
              </w:rPr>
            </w:pPr>
            <w:r w:rsidDel="00000000" w:rsidR="00000000" w:rsidRPr="00000000">
              <w:rPr>
                <w:color w:val="000000"/>
                <w:sz w:val="20"/>
                <w:szCs w:val="20"/>
                <w:rtl w:val="0"/>
              </w:rPr>
              <w:t xml:space="preserve">Marriott</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4">
            <w:pPr>
              <w:spacing w:before="0" w:line="240" w:lineRule="auto"/>
              <w:jc w:val="left"/>
              <w:rPr>
                <w:color w:val="000000"/>
                <w:sz w:val="20"/>
                <w:szCs w:val="20"/>
              </w:rPr>
            </w:pPr>
            <w:r w:rsidDel="00000000" w:rsidR="00000000" w:rsidRPr="00000000">
              <w:rPr>
                <w:color w:val="000000"/>
                <w:sz w:val="20"/>
                <w:szCs w:val="20"/>
                <w:rtl w:val="0"/>
              </w:rPr>
              <w:t xml:space="preserve">Quick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5">
            <w:pPr>
              <w:spacing w:before="0" w:line="240" w:lineRule="auto"/>
              <w:jc w:val="left"/>
              <w:rPr>
                <w:color w:val="000000"/>
                <w:sz w:val="20"/>
                <w:szCs w:val="20"/>
              </w:rPr>
            </w:pPr>
            <w:r w:rsidDel="00000000" w:rsidR="00000000" w:rsidRPr="00000000">
              <w:rPr>
                <w:color w:val="000000"/>
                <w:sz w:val="20"/>
                <w:szCs w:val="20"/>
                <w:rtl w:val="0"/>
              </w:rPr>
              <w:t xml:space="preserve">(396 + 0 + 2,795) ÷ 8,649 = 0.3689x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6">
            <w:pPr>
              <w:spacing w:before="0" w:line="240" w:lineRule="auto"/>
              <w:jc w:val="right"/>
              <w:rPr>
                <w:color w:val="000000"/>
                <w:sz w:val="20"/>
                <w:szCs w:val="20"/>
              </w:rPr>
            </w:pPr>
            <w:r w:rsidDel="00000000" w:rsidR="00000000" w:rsidRPr="00000000">
              <w:rPr>
                <w:color w:val="000000"/>
                <w:sz w:val="20"/>
                <w:szCs w:val="20"/>
                <w:rtl w:val="0"/>
              </w:rPr>
              <w:t xml:space="preserve">0.3689x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A7">
            <w:pPr>
              <w:spacing w:before="0" w:line="240" w:lineRule="auto"/>
              <w:jc w:val="left"/>
              <w:rPr>
                <w:color w:val="000000"/>
                <w:sz w:val="20"/>
                <w:szCs w:val="20"/>
              </w:rPr>
            </w:pPr>
            <w:r w:rsidDel="00000000" w:rsidR="00000000" w:rsidRPr="00000000">
              <w:rPr>
                <w:color w:val="000000"/>
                <w:sz w:val="20"/>
                <w:szCs w:val="20"/>
                <w:rtl w:val="0"/>
              </w:rPr>
              <w:t xml:space="preserve">Marriott</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8">
            <w:pPr>
              <w:spacing w:before="0" w:line="240" w:lineRule="auto"/>
              <w:jc w:val="left"/>
              <w:rPr>
                <w:color w:val="000000"/>
                <w:sz w:val="20"/>
                <w:szCs w:val="20"/>
              </w:rPr>
            </w:pPr>
            <w:r w:rsidDel="00000000" w:rsidR="00000000" w:rsidRPr="00000000">
              <w:rPr>
                <w:color w:val="000000"/>
                <w:sz w:val="20"/>
                <w:szCs w:val="20"/>
                <w:rtl w:val="0"/>
              </w:rPr>
              <w:t xml:space="preserve">Cash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9">
            <w:pPr>
              <w:spacing w:before="0" w:line="240" w:lineRule="auto"/>
              <w:jc w:val="left"/>
              <w:rPr>
                <w:color w:val="000000"/>
                <w:sz w:val="20"/>
                <w:szCs w:val="20"/>
              </w:rPr>
            </w:pPr>
            <w:r w:rsidDel="00000000" w:rsidR="00000000" w:rsidRPr="00000000">
              <w:rPr>
                <w:color w:val="000000"/>
                <w:sz w:val="20"/>
                <w:szCs w:val="20"/>
                <w:rtl w:val="0"/>
              </w:rPr>
              <w:t xml:space="preserve">(396 + 0) ÷ 8,649 = 0.0458x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A">
            <w:pPr>
              <w:spacing w:before="0" w:line="240" w:lineRule="auto"/>
              <w:jc w:val="right"/>
              <w:rPr>
                <w:color w:val="000000"/>
                <w:sz w:val="20"/>
                <w:szCs w:val="20"/>
              </w:rPr>
            </w:pPr>
            <w:r w:rsidDel="00000000" w:rsidR="00000000" w:rsidRPr="00000000">
              <w:rPr>
                <w:color w:val="000000"/>
                <w:sz w:val="20"/>
                <w:szCs w:val="20"/>
                <w:rtl w:val="0"/>
              </w:rPr>
              <w:t xml:space="preserve">0.0458x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AB">
            <w:pPr>
              <w:spacing w:before="0" w:line="240" w:lineRule="auto"/>
              <w:jc w:val="left"/>
              <w:rPr>
                <w:color w:val="000000"/>
                <w:sz w:val="20"/>
                <w:szCs w:val="20"/>
              </w:rPr>
            </w:pPr>
            <w:r w:rsidDel="00000000" w:rsidR="00000000" w:rsidRPr="00000000">
              <w:rPr>
                <w:color w:val="000000"/>
                <w:sz w:val="20"/>
                <w:szCs w:val="20"/>
                <w:rtl w:val="0"/>
              </w:rPr>
              <w:t xml:space="preserve">Peer median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C">
            <w:pPr>
              <w:spacing w:before="0" w:line="240" w:lineRule="auto"/>
              <w:jc w:val="left"/>
              <w:rPr>
                <w:color w:val="000000"/>
                <w:sz w:val="20"/>
                <w:szCs w:val="20"/>
              </w:rPr>
            </w:pPr>
            <w:r w:rsidDel="00000000" w:rsidR="00000000" w:rsidRPr="00000000">
              <w:rPr>
                <w:color w:val="000000"/>
                <w:sz w:val="20"/>
                <w:szCs w:val="20"/>
                <w:rtl w:val="0"/>
              </w:rPr>
              <w:t xml:space="preserve">Current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D">
            <w:pPr>
              <w:spacing w:before="0" w:line="240" w:lineRule="auto"/>
              <w:jc w:val="left"/>
              <w:rPr>
                <w:color w:val="000000"/>
                <w:sz w:val="20"/>
                <w:szCs w:val="20"/>
              </w:rPr>
            </w:pPr>
            <w:r w:rsidDel="00000000" w:rsidR="00000000" w:rsidRPr="00000000">
              <w:rPr>
                <w:color w:val="000000"/>
                <w:sz w:val="20"/>
                <w:szCs w:val="20"/>
                <w:rtl w:val="0"/>
              </w:rPr>
              <w:t xml:space="preserve">Median (0.6962x, 0.4029x) = 0.5496x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AE">
            <w:pPr>
              <w:spacing w:before="0" w:line="240" w:lineRule="auto"/>
              <w:jc w:val="right"/>
              <w:rPr>
                <w:color w:val="000000"/>
                <w:sz w:val="20"/>
                <w:szCs w:val="20"/>
              </w:rPr>
            </w:pPr>
            <w:r w:rsidDel="00000000" w:rsidR="00000000" w:rsidRPr="00000000">
              <w:rPr>
                <w:color w:val="000000"/>
                <w:sz w:val="20"/>
                <w:szCs w:val="20"/>
                <w:rtl w:val="0"/>
              </w:rPr>
              <w:t xml:space="preserve">0.5496x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AF">
            <w:pPr>
              <w:spacing w:before="0" w:line="240" w:lineRule="auto"/>
              <w:jc w:val="left"/>
              <w:rPr>
                <w:color w:val="000000"/>
                <w:sz w:val="20"/>
                <w:szCs w:val="20"/>
              </w:rPr>
            </w:pPr>
            <w:r w:rsidDel="00000000" w:rsidR="00000000" w:rsidRPr="00000000">
              <w:rPr>
                <w:color w:val="000000"/>
                <w:sz w:val="20"/>
                <w:szCs w:val="20"/>
                <w:rtl w:val="0"/>
              </w:rPr>
              <w:t xml:space="preserve">Peer median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B0">
            <w:pPr>
              <w:spacing w:before="0" w:line="240" w:lineRule="auto"/>
              <w:jc w:val="left"/>
              <w:rPr>
                <w:color w:val="000000"/>
                <w:sz w:val="20"/>
                <w:szCs w:val="20"/>
              </w:rPr>
            </w:pPr>
            <w:r w:rsidDel="00000000" w:rsidR="00000000" w:rsidRPr="00000000">
              <w:rPr>
                <w:color w:val="000000"/>
                <w:sz w:val="20"/>
                <w:szCs w:val="20"/>
                <w:rtl w:val="0"/>
              </w:rPr>
              <w:t xml:space="preserve">Quick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B1">
            <w:pPr>
              <w:spacing w:before="0" w:line="240" w:lineRule="auto"/>
              <w:jc w:val="left"/>
              <w:rPr>
                <w:color w:val="000000"/>
                <w:sz w:val="20"/>
                <w:szCs w:val="20"/>
              </w:rPr>
            </w:pPr>
            <w:r w:rsidDel="00000000" w:rsidR="00000000" w:rsidRPr="00000000">
              <w:rPr>
                <w:color w:val="000000"/>
                <w:sz w:val="20"/>
                <w:szCs w:val="20"/>
                <w:rtl w:val="0"/>
              </w:rPr>
              <w:t xml:space="preserve">Median (0.6136x, 0.3689x) = 0.4913x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B2">
            <w:pPr>
              <w:spacing w:before="0" w:line="240" w:lineRule="auto"/>
              <w:jc w:val="right"/>
              <w:rPr>
                <w:color w:val="000000"/>
                <w:sz w:val="20"/>
                <w:szCs w:val="20"/>
              </w:rPr>
            </w:pPr>
            <w:r w:rsidDel="00000000" w:rsidR="00000000" w:rsidRPr="00000000">
              <w:rPr>
                <w:color w:val="000000"/>
                <w:sz w:val="20"/>
                <w:szCs w:val="20"/>
                <w:rtl w:val="0"/>
              </w:rPr>
              <w:t xml:space="preserve">0.4913x</w:t>
            </w:r>
          </w:p>
        </w:tc>
      </w:tr>
      <w:tr>
        <w:trPr>
          <w:cantSplit w:val="0"/>
          <w:trHeight w:val="20" w:hRule="atLeast"/>
          <w:tblHeader w:val="0"/>
        </w:trPr>
        <w:tc>
          <w:tcPr>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B3">
            <w:pPr>
              <w:spacing w:before="0" w:line="240" w:lineRule="auto"/>
              <w:jc w:val="left"/>
              <w:rPr>
                <w:color w:val="000000"/>
                <w:sz w:val="20"/>
                <w:szCs w:val="20"/>
              </w:rPr>
            </w:pPr>
            <w:r w:rsidDel="00000000" w:rsidR="00000000" w:rsidRPr="00000000">
              <w:rPr>
                <w:color w:val="000000"/>
                <w:sz w:val="20"/>
                <w:szCs w:val="20"/>
                <w:rtl w:val="0"/>
              </w:rPr>
              <w:t xml:space="preserve">Peer median</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B4">
            <w:pPr>
              <w:spacing w:before="0" w:line="240" w:lineRule="auto"/>
              <w:jc w:val="left"/>
              <w:rPr>
                <w:color w:val="000000"/>
                <w:sz w:val="20"/>
                <w:szCs w:val="20"/>
              </w:rPr>
            </w:pPr>
            <w:r w:rsidDel="00000000" w:rsidR="00000000" w:rsidRPr="00000000">
              <w:rPr>
                <w:color w:val="000000"/>
                <w:sz w:val="20"/>
                <w:szCs w:val="20"/>
                <w:rtl w:val="0"/>
              </w:rPr>
              <w:t xml:space="preserve">Cash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B5">
            <w:pPr>
              <w:spacing w:before="0" w:line="240" w:lineRule="auto"/>
              <w:jc w:val="left"/>
              <w:rPr>
                <w:color w:val="000000"/>
                <w:sz w:val="20"/>
                <w:szCs w:val="20"/>
              </w:rPr>
            </w:pPr>
            <w:r w:rsidDel="00000000" w:rsidR="00000000" w:rsidRPr="00000000">
              <w:rPr>
                <w:color w:val="000000"/>
                <w:sz w:val="20"/>
                <w:szCs w:val="20"/>
                <w:rtl w:val="0"/>
              </w:rPr>
              <w:t xml:space="preserve">Median (0.2768x, 0.0458x) = 0.1613x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B6">
            <w:pPr>
              <w:spacing w:before="0" w:line="240" w:lineRule="auto"/>
              <w:jc w:val="right"/>
              <w:rPr>
                <w:color w:val="000000"/>
                <w:sz w:val="20"/>
                <w:szCs w:val="20"/>
              </w:rPr>
            </w:pPr>
            <w:r w:rsidDel="00000000" w:rsidR="00000000" w:rsidRPr="00000000">
              <w:rPr>
                <w:color w:val="000000"/>
                <w:sz w:val="20"/>
                <w:szCs w:val="20"/>
                <w:rtl w:val="0"/>
              </w:rPr>
              <w:t xml:space="preserve">0.1613x</w:t>
            </w:r>
          </w:p>
        </w:tc>
      </w:tr>
    </w:tbl>
    <w:p w:rsidR="00000000" w:rsidDel="00000000" w:rsidP="00000000" w:rsidRDefault="00000000" w:rsidRPr="00000000" w14:paraId="000002B7">
      <w:pPr>
        <w:rPr/>
      </w:pPr>
      <w:r w:rsidDel="00000000" w:rsidR="00000000" w:rsidRPr="00000000">
        <w:rPr>
          <w:rtl w:val="0"/>
        </w:rPr>
      </w:r>
    </w:p>
    <w:p w:rsidR="00000000" w:rsidDel="00000000" w:rsidP="00000000" w:rsidRDefault="00000000" w:rsidRPr="00000000" w14:paraId="000002B8">
      <w:pPr>
        <w:rPr/>
      </w:pPr>
      <w:r w:rsidDel="00000000" w:rsidR="00000000" w:rsidRPr="00000000">
        <w:rPr>
          <w:rtl w:val="0"/>
        </w:rPr>
      </w:r>
    </w:p>
    <w:p w:rsidR="00000000" w:rsidDel="00000000" w:rsidP="00000000" w:rsidRDefault="00000000" w:rsidRPr="00000000" w14:paraId="000002B9">
      <w:pPr>
        <w:rPr/>
      </w:pPr>
      <w:r w:rsidDel="00000000" w:rsidR="00000000" w:rsidRPr="00000000">
        <w:rPr>
          <w:rtl w:val="0"/>
        </w:rPr>
      </w:r>
    </w:p>
    <w:p w:rsidR="00000000" w:rsidDel="00000000" w:rsidP="00000000" w:rsidRDefault="00000000" w:rsidRPr="00000000" w14:paraId="000002BA">
      <w:pPr>
        <w:rPr/>
      </w:pPr>
      <w:r w:rsidDel="00000000" w:rsidR="00000000" w:rsidRPr="00000000">
        <w:br w:type="page"/>
      </w:r>
      <w:r w:rsidDel="00000000" w:rsidR="00000000" w:rsidRPr="00000000">
        <w:rPr>
          <w:rtl w:val="0"/>
        </w:rPr>
      </w:r>
    </w:p>
    <w:p w:rsidR="00000000" w:rsidDel="00000000" w:rsidP="00000000" w:rsidRDefault="00000000" w:rsidRPr="00000000" w14:paraId="000002BB">
      <w:pPr>
        <w:pStyle w:val="Heading2"/>
        <w:rPr/>
      </w:pPr>
      <w:bookmarkStart w:colFirst="0" w:colLast="0" w:name="_9rw6uz69wkdf" w:id="29"/>
      <w:bookmarkEnd w:id="29"/>
      <w:r w:rsidDel="00000000" w:rsidR="00000000" w:rsidRPr="00000000">
        <w:rPr>
          <w:rtl w:val="0"/>
        </w:rPr>
        <w:t xml:space="preserve">Appendix 4: Working Capital management </w:t>
      </w:r>
    </w:p>
    <w:tbl>
      <w:tblPr>
        <w:tblStyle w:val="Table4"/>
        <w:tblW w:w="8649.0" w:type="dxa"/>
        <w:jc w:val="center"/>
        <w:tblLayout w:type="fixed"/>
        <w:tblLook w:val="0400"/>
      </w:tblPr>
      <w:tblGrid>
        <w:gridCol w:w="2940"/>
        <w:gridCol w:w="661"/>
        <w:gridCol w:w="4109"/>
        <w:gridCol w:w="939"/>
        <w:tblGridChange w:id="0">
          <w:tblGrid>
            <w:gridCol w:w="2940"/>
            <w:gridCol w:w="661"/>
            <w:gridCol w:w="4109"/>
            <w:gridCol w:w="939"/>
          </w:tblGrid>
        </w:tblGridChange>
      </w:tblGrid>
      <w:tr>
        <w:trPr>
          <w:cantSplit w:val="0"/>
          <w:trHeight w:val="20"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BC">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Measure</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BD">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Year</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BE">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Calculation using figures</w:t>
            </w:r>
          </w:p>
        </w:tc>
        <w:tc>
          <w:tcPr>
            <w:tcBorders>
              <w:top w:color="000000" w:space="0" w:sz="4" w:val="single"/>
              <w:left w:color="000000" w:space="0" w:sz="0" w:val="nil"/>
              <w:bottom w:color="000000" w:space="0" w:sz="4" w:val="single"/>
              <w:right w:color="000000" w:space="0" w:sz="4" w:val="single"/>
            </w:tcBorders>
            <w:vAlign w:val="center"/>
          </w:tcPr>
          <w:p w:rsidR="00000000" w:rsidDel="00000000" w:rsidP="00000000" w:rsidRDefault="00000000" w:rsidRPr="00000000" w14:paraId="000002BF">
            <w:pPr>
              <w:spacing w:before="0" w:line="240" w:lineRule="auto"/>
              <w:jc w:val="center"/>
              <w:rPr>
                <w:b w:val="1"/>
                <w:bCs w:val="1"/>
                <w:color w:val="000000"/>
                <w:sz w:val="20"/>
                <w:szCs w:val="20"/>
              </w:rPr>
            </w:pPr>
            <w:r w:rsidDel="00000000" w:rsidR="00000000" w:rsidRPr="00000000">
              <w:rPr>
                <w:b w:val="1"/>
                <w:bCs w:val="1"/>
                <w:color w:val="000000"/>
                <w:sz w:val="20"/>
                <w:szCs w:val="20"/>
                <w:rtl w:val="0"/>
              </w:rPr>
              <w:t xml:space="preserve">Result</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C0">
            <w:pPr>
              <w:spacing w:before="0" w:line="240" w:lineRule="auto"/>
              <w:jc w:val="center"/>
              <w:rPr>
                <w:color w:val="000000"/>
                <w:sz w:val="20"/>
                <w:szCs w:val="20"/>
              </w:rPr>
            </w:pPr>
            <w:r w:rsidDel="00000000" w:rsidR="00000000" w:rsidRPr="00000000">
              <w:rPr>
                <w:color w:val="000000"/>
                <w:sz w:val="20"/>
                <w:szCs w:val="20"/>
                <w:rtl w:val="0"/>
              </w:rPr>
              <w:t xml:space="preserve">Net working capital</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1">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2">
            <w:pPr>
              <w:spacing w:before="0" w:line="240" w:lineRule="auto"/>
              <w:jc w:val="left"/>
              <w:rPr>
                <w:color w:val="000000"/>
                <w:sz w:val="20"/>
                <w:szCs w:val="20"/>
              </w:rPr>
            </w:pPr>
            <w:r w:rsidDel="00000000" w:rsidR="00000000" w:rsidRPr="00000000">
              <w:rPr>
                <w:color w:val="000000"/>
                <w:sz w:val="20"/>
                <w:szCs w:val="20"/>
                <w:rtl w:val="0"/>
              </w:rPr>
              <w:t xml:space="preserve">2,563 - 984 = $1,579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3">
            <w:pPr>
              <w:spacing w:before="0" w:line="240" w:lineRule="auto"/>
              <w:jc w:val="right"/>
              <w:rPr>
                <w:color w:val="000000"/>
                <w:sz w:val="20"/>
                <w:szCs w:val="20"/>
              </w:rPr>
            </w:pPr>
            <w:r w:rsidDel="00000000" w:rsidR="00000000" w:rsidRPr="00000000">
              <w:rPr>
                <w:color w:val="000000"/>
                <w:sz w:val="20"/>
                <w:szCs w:val="20"/>
                <w:rtl w:val="0"/>
              </w:rPr>
              <w:t xml:space="preserve">$1,579</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5">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6">
            <w:pPr>
              <w:spacing w:before="0" w:line="240" w:lineRule="auto"/>
              <w:jc w:val="left"/>
              <w:rPr>
                <w:color w:val="000000"/>
                <w:sz w:val="20"/>
                <w:szCs w:val="20"/>
              </w:rPr>
            </w:pPr>
            <w:r w:rsidDel="00000000" w:rsidR="00000000" w:rsidRPr="00000000">
              <w:rPr>
                <w:color w:val="000000"/>
                <w:sz w:val="20"/>
                <w:szCs w:val="20"/>
                <w:rtl w:val="0"/>
              </w:rPr>
              <w:t xml:space="preserve">2,062 - 2,232 = ($170)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7">
            <w:pPr>
              <w:spacing w:before="0" w:line="240" w:lineRule="auto"/>
              <w:jc w:val="right"/>
              <w:rPr>
                <w:color w:val="000000"/>
                <w:sz w:val="20"/>
                <w:szCs w:val="20"/>
              </w:rPr>
            </w:pPr>
            <w:r w:rsidDel="00000000" w:rsidR="00000000" w:rsidRPr="00000000">
              <w:rPr>
                <w:color w:val="000000"/>
                <w:sz w:val="20"/>
                <w:szCs w:val="20"/>
                <w:rtl w:val="0"/>
              </w:rPr>
              <w:t xml:space="preserve">-$170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9">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A">
            <w:pPr>
              <w:spacing w:before="0" w:line="240" w:lineRule="auto"/>
              <w:jc w:val="left"/>
              <w:rPr>
                <w:color w:val="000000"/>
                <w:sz w:val="20"/>
                <w:szCs w:val="20"/>
              </w:rPr>
            </w:pPr>
            <w:r w:rsidDel="00000000" w:rsidR="00000000" w:rsidRPr="00000000">
              <w:rPr>
                <w:color w:val="000000"/>
                <w:sz w:val="20"/>
                <w:szCs w:val="20"/>
                <w:rtl w:val="0"/>
              </w:rPr>
              <w:t xml:space="preserve">2,250 - 3,287 = ($1,037)</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B">
            <w:pPr>
              <w:spacing w:before="0" w:line="240" w:lineRule="auto"/>
              <w:jc w:val="right"/>
              <w:rPr>
                <w:color w:val="000000"/>
                <w:sz w:val="20"/>
                <w:szCs w:val="20"/>
              </w:rPr>
            </w:pPr>
            <w:r w:rsidDel="00000000" w:rsidR="00000000" w:rsidRPr="00000000">
              <w:rPr>
                <w:color w:val="000000"/>
                <w:sz w:val="20"/>
                <w:szCs w:val="20"/>
                <w:rtl w:val="0"/>
              </w:rPr>
              <w:t xml:space="preserve">-$1,037</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D">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E">
            <w:pPr>
              <w:spacing w:before="0" w:line="240" w:lineRule="auto"/>
              <w:jc w:val="left"/>
              <w:rPr>
                <w:color w:val="000000"/>
                <w:sz w:val="20"/>
                <w:szCs w:val="20"/>
              </w:rPr>
            </w:pPr>
            <w:r w:rsidDel="00000000" w:rsidR="00000000" w:rsidRPr="00000000">
              <w:rPr>
                <w:color w:val="000000"/>
                <w:sz w:val="20"/>
                <w:szCs w:val="20"/>
                <w:rtl w:val="0"/>
              </w:rPr>
              <w:t xml:space="preserve">2,130 - 3,578 = ($1,448)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CF">
            <w:pPr>
              <w:spacing w:before="0" w:line="240" w:lineRule="auto"/>
              <w:jc w:val="right"/>
              <w:rPr>
                <w:color w:val="000000"/>
                <w:sz w:val="20"/>
                <w:szCs w:val="20"/>
              </w:rPr>
            </w:pPr>
            <w:r w:rsidDel="00000000" w:rsidR="00000000" w:rsidRPr="00000000">
              <w:rPr>
                <w:color w:val="000000"/>
                <w:sz w:val="20"/>
                <w:szCs w:val="20"/>
                <w:rtl w:val="0"/>
              </w:rPr>
              <w:t xml:space="preserve">-$1,448</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1">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2">
            <w:pPr>
              <w:spacing w:before="0" w:line="240" w:lineRule="auto"/>
              <w:jc w:val="left"/>
              <w:rPr>
                <w:color w:val="000000"/>
                <w:sz w:val="20"/>
                <w:szCs w:val="20"/>
              </w:rPr>
            </w:pPr>
            <w:r w:rsidDel="00000000" w:rsidR="00000000" w:rsidRPr="00000000">
              <w:rPr>
                <w:color w:val="000000"/>
                <w:sz w:val="20"/>
                <w:szCs w:val="20"/>
                <w:rtl w:val="0"/>
              </w:rPr>
              <w:t xml:space="preserve">2,733 - 3,274 = ($541)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3">
            <w:pPr>
              <w:spacing w:before="0" w:line="240" w:lineRule="auto"/>
              <w:jc w:val="right"/>
              <w:rPr>
                <w:color w:val="000000"/>
                <w:sz w:val="20"/>
                <w:szCs w:val="20"/>
              </w:rPr>
            </w:pPr>
            <w:r w:rsidDel="00000000" w:rsidR="00000000" w:rsidRPr="00000000">
              <w:rPr>
                <w:color w:val="000000"/>
                <w:sz w:val="20"/>
                <w:szCs w:val="20"/>
                <w:rtl w:val="0"/>
              </w:rPr>
              <w:t xml:space="preserve">-$541</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D4">
            <w:pPr>
              <w:spacing w:before="0" w:line="240" w:lineRule="auto"/>
              <w:jc w:val="center"/>
              <w:rPr>
                <w:color w:val="000000"/>
                <w:sz w:val="20"/>
                <w:szCs w:val="20"/>
              </w:rPr>
            </w:pPr>
            <w:r w:rsidDel="00000000" w:rsidR="00000000" w:rsidRPr="00000000">
              <w:rPr>
                <w:color w:val="000000"/>
                <w:sz w:val="20"/>
                <w:szCs w:val="20"/>
                <w:rtl w:val="0"/>
              </w:rPr>
              <w:t xml:space="preserve">Current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5">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6">
            <w:pPr>
              <w:spacing w:before="0" w:line="240" w:lineRule="auto"/>
              <w:jc w:val="left"/>
              <w:rPr>
                <w:color w:val="000000"/>
                <w:sz w:val="20"/>
                <w:szCs w:val="20"/>
              </w:rPr>
            </w:pPr>
            <w:r w:rsidDel="00000000" w:rsidR="00000000" w:rsidRPr="00000000">
              <w:rPr>
                <w:color w:val="000000"/>
                <w:sz w:val="20"/>
                <w:szCs w:val="20"/>
                <w:rtl w:val="0"/>
              </w:rPr>
              <w:t xml:space="preserve">2,563 / 984 = 2.6047x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7">
            <w:pPr>
              <w:spacing w:before="0" w:line="240" w:lineRule="auto"/>
              <w:jc w:val="right"/>
              <w:rPr>
                <w:color w:val="000000"/>
                <w:sz w:val="20"/>
                <w:szCs w:val="20"/>
              </w:rPr>
            </w:pPr>
            <w:r w:rsidDel="00000000" w:rsidR="00000000" w:rsidRPr="00000000">
              <w:rPr>
                <w:color w:val="000000"/>
                <w:sz w:val="20"/>
                <w:szCs w:val="20"/>
                <w:rtl w:val="0"/>
              </w:rPr>
              <w:t xml:space="preserve">2.6047x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9">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A">
            <w:pPr>
              <w:spacing w:before="0" w:line="240" w:lineRule="auto"/>
              <w:jc w:val="left"/>
              <w:rPr>
                <w:color w:val="000000"/>
                <w:sz w:val="20"/>
                <w:szCs w:val="20"/>
              </w:rPr>
            </w:pPr>
            <w:r w:rsidDel="00000000" w:rsidR="00000000" w:rsidRPr="00000000">
              <w:rPr>
                <w:color w:val="000000"/>
                <w:sz w:val="20"/>
                <w:szCs w:val="20"/>
                <w:rtl w:val="0"/>
              </w:rPr>
              <w:t xml:space="preserve">2,062 / 2,232 = 0.9238x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B">
            <w:pPr>
              <w:spacing w:before="0" w:line="240" w:lineRule="auto"/>
              <w:jc w:val="right"/>
              <w:rPr>
                <w:color w:val="000000"/>
                <w:sz w:val="20"/>
                <w:szCs w:val="20"/>
              </w:rPr>
            </w:pPr>
            <w:r w:rsidDel="00000000" w:rsidR="00000000" w:rsidRPr="00000000">
              <w:rPr>
                <w:color w:val="000000"/>
                <w:sz w:val="20"/>
                <w:szCs w:val="20"/>
                <w:rtl w:val="0"/>
              </w:rPr>
              <w:t xml:space="preserve">0.9238x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D">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E">
            <w:pPr>
              <w:spacing w:before="0" w:line="240" w:lineRule="auto"/>
              <w:jc w:val="left"/>
              <w:rPr>
                <w:color w:val="000000"/>
                <w:sz w:val="20"/>
                <w:szCs w:val="20"/>
              </w:rPr>
            </w:pPr>
            <w:r w:rsidDel="00000000" w:rsidR="00000000" w:rsidRPr="00000000">
              <w:rPr>
                <w:color w:val="000000"/>
                <w:sz w:val="20"/>
                <w:szCs w:val="20"/>
                <w:rtl w:val="0"/>
              </w:rPr>
              <w:t xml:space="preserve">2,250 / 3,287 = 0.6845x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DF">
            <w:pPr>
              <w:spacing w:before="0" w:line="240" w:lineRule="auto"/>
              <w:jc w:val="right"/>
              <w:rPr>
                <w:color w:val="000000"/>
                <w:sz w:val="20"/>
                <w:szCs w:val="20"/>
              </w:rPr>
            </w:pPr>
            <w:r w:rsidDel="00000000" w:rsidR="00000000" w:rsidRPr="00000000">
              <w:rPr>
                <w:color w:val="000000"/>
                <w:sz w:val="20"/>
                <w:szCs w:val="20"/>
                <w:rtl w:val="0"/>
              </w:rPr>
              <w:t xml:space="preserve">0.6845x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1">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2">
            <w:pPr>
              <w:spacing w:before="0" w:line="240" w:lineRule="auto"/>
              <w:jc w:val="left"/>
              <w:rPr>
                <w:color w:val="000000"/>
                <w:sz w:val="20"/>
                <w:szCs w:val="20"/>
              </w:rPr>
            </w:pPr>
            <w:r w:rsidDel="00000000" w:rsidR="00000000" w:rsidRPr="00000000">
              <w:rPr>
                <w:color w:val="000000"/>
                <w:sz w:val="20"/>
                <w:szCs w:val="20"/>
                <w:rtl w:val="0"/>
              </w:rPr>
              <w:t xml:space="preserve">2,130 / 3,578 = 0.5953x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3">
            <w:pPr>
              <w:spacing w:before="0" w:line="240" w:lineRule="auto"/>
              <w:jc w:val="right"/>
              <w:rPr>
                <w:color w:val="000000"/>
                <w:sz w:val="20"/>
                <w:szCs w:val="20"/>
              </w:rPr>
            </w:pPr>
            <w:r w:rsidDel="00000000" w:rsidR="00000000" w:rsidRPr="00000000">
              <w:rPr>
                <w:color w:val="000000"/>
                <w:sz w:val="20"/>
                <w:szCs w:val="20"/>
                <w:rtl w:val="0"/>
              </w:rPr>
              <w:t xml:space="preserve">0.5953x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5">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6">
            <w:pPr>
              <w:spacing w:before="0" w:line="240" w:lineRule="auto"/>
              <w:jc w:val="left"/>
              <w:rPr>
                <w:color w:val="000000"/>
                <w:sz w:val="20"/>
                <w:szCs w:val="20"/>
              </w:rPr>
            </w:pPr>
            <w:r w:rsidDel="00000000" w:rsidR="00000000" w:rsidRPr="00000000">
              <w:rPr>
                <w:color w:val="000000"/>
                <w:sz w:val="20"/>
                <w:szCs w:val="20"/>
                <w:rtl w:val="0"/>
              </w:rPr>
              <w:t xml:space="preserve">2,733 / 3,274 = 0.8348x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7">
            <w:pPr>
              <w:spacing w:before="0" w:line="240" w:lineRule="auto"/>
              <w:jc w:val="right"/>
              <w:rPr>
                <w:color w:val="000000"/>
                <w:sz w:val="20"/>
                <w:szCs w:val="20"/>
              </w:rPr>
            </w:pPr>
            <w:r w:rsidDel="00000000" w:rsidR="00000000" w:rsidRPr="00000000">
              <w:rPr>
                <w:color w:val="000000"/>
                <w:sz w:val="20"/>
                <w:szCs w:val="20"/>
                <w:rtl w:val="0"/>
              </w:rPr>
              <w:t xml:space="preserve">0.8348x</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E8">
            <w:pPr>
              <w:spacing w:before="0" w:line="240" w:lineRule="auto"/>
              <w:jc w:val="center"/>
              <w:rPr>
                <w:color w:val="000000"/>
                <w:sz w:val="20"/>
                <w:szCs w:val="20"/>
              </w:rPr>
            </w:pPr>
            <w:r w:rsidDel="00000000" w:rsidR="00000000" w:rsidRPr="00000000">
              <w:rPr>
                <w:color w:val="000000"/>
                <w:sz w:val="20"/>
                <w:szCs w:val="20"/>
                <w:rtl w:val="0"/>
              </w:rPr>
              <w:t xml:space="preserve">Quick ratio</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9">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A">
            <w:pPr>
              <w:spacing w:before="0" w:line="240" w:lineRule="auto"/>
              <w:jc w:val="left"/>
              <w:rPr>
                <w:color w:val="000000"/>
                <w:sz w:val="20"/>
                <w:szCs w:val="20"/>
              </w:rPr>
            </w:pPr>
            <w:r w:rsidDel="00000000" w:rsidR="00000000" w:rsidRPr="00000000">
              <w:rPr>
                <w:color w:val="000000"/>
                <w:sz w:val="20"/>
                <w:szCs w:val="20"/>
                <w:rtl w:val="0"/>
              </w:rPr>
              <w:t xml:space="preserve">(1,207 + 675 + 316) / 984 = 2.2337x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B">
            <w:pPr>
              <w:spacing w:before="0" w:line="240" w:lineRule="auto"/>
              <w:jc w:val="right"/>
              <w:rPr>
                <w:color w:val="000000"/>
                <w:sz w:val="20"/>
                <w:szCs w:val="20"/>
              </w:rPr>
            </w:pPr>
            <w:r w:rsidDel="00000000" w:rsidR="00000000" w:rsidRPr="00000000">
              <w:rPr>
                <w:color w:val="000000"/>
                <w:sz w:val="20"/>
                <w:szCs w:val="20"/>
                <w:rtl w:val="0"/>
              </w:rPr>
              <w:t xml:space="preserve">2.2337x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D">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E">
            <w:pPr>
              <w:spacing w:before="0" w:line="240" w:lineRule="auto"/>
              <w:jc w:val="left"/>
              <w:rPr>
                <w:color w:val="000000"/>
                <w:sz w:val="20"/>
                <w:szCs w:val="20"/>
              </w:rPr>
            </w:pPr>
            <w:r w:rsidDel="00000000" w:rsidR="00000000" w:rsidRPr="00000000">
              <w:rPr>
                <w:color w:val="000000"/>
                <w:sz w:val="20"/>
                <w:szCs w:val="20"/>
                <w:rtl w:val="0"/>
              </w:rPr>
              <w:t xml:space="preserve">(960 + 227 + 633) / 2,232 = 0.8154x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EF">
            <w:pPr>
              <w:spacing w:before="0" w:line="240" w:lineRule="auto"/>
              <w:jc w:val="right"/>
              <w:rPr>
                <w:color w:val="000000"/>
                <w:sz w:val="20"/>
                <w:szCs w:val="20"/>
              </w:rPr>
            </w:pPr>
            <w:r w:rsidDel="00000000" w:rsidR="00000000" w:rsidRPr="00000000">
              <w:rPr>
                <w:color w:val="000000"/>
                <w:sz w:val="20"/>
                <w:szCs w:val="20"/>
                <w:rtl w:val="0"/>
              </w:rPr>
              <w:t xml:space="preserve">0.8154x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1">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2">
            <w:pPr>
              <w:spacing w:before="0" w:line="240" w:lineRule="auto"/>
              <w:jc w:val="left"/>
              <w:rPr>
                <w:color w:val="000000"/>
                <w:sz w:val="20"/>
                <w:szCs w:val="20"/>
              </w:rPr>
            </w:pPr>
            <w:r w:rsidDel="00000000" w:rsidR="00000000" w:rsidRPr="00000000">
              <w:rPr>
                <w:color w:val="000000"/>
                <w:sz w:val="20"/>
                <w:szCs w:val="20"/>
                <w:rtl w:val="0"/>
              </w:rPr>
              <w:t xml:space="preserve">(991 + 158 + 834) / 3,287 = 0.6033x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3">
            <w:pPr>
              <w:spacing w:before="0" w:line="240" w:lineRule="auto"/>
              <w:jc w:val="right"/>
              <w:rPr>
                <w:color w:val="000000"/>
                <w:sz w:val="20"/>
                <w:szCs w:val="20"/>
              </w:rPr>
            </w:pPr>
            <w:r w:rsidDel="00000000" w:rsidR="00000000" w:rsidRPr="00000000">
              <w:rPr>
                <w:color w:val="000000"/>
                <w:sz w:val="20"/>
                <w:szCs w:val="20"/>
                <w:rtl w:val="0"/>
              </w:rPr>
              <w:t xml:space="preserve">0.6033x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5">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6">
            <w:pPr>
              <w:spacing w:before="0" w:line="240" w:lineRule="auto"/>
              <w:jc w:val="left"/>
              <w:rPr>
                <w:color w:val="000000"/>
                <w:sz w:val="20"/>
                <w:szCs w:val="20"/>
              </w:rPr>
            </w:pPr>
            <w:r w:rsidDel="00000000" w:rsidR="00000000" w:rsidRPr="00000000">
              <w:rPr>
                <w:color w:val="000000"/>
                <w:sz w:val="20"/>
                <w:szCs w:val="20"/>
                <w:rtl w:val="0"/>
              </w:rPr>
              <w:t xml:space="preserve">(881 + 15 + 883) / 3,578 = 0.4972x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7">
            <w:pPr>
              <w:spacing w:before="0" w:line="240" w:lineRule="auto"/>
              <w:jc w:val="right"/>
              <w:rPr>
                <w:color w:val="000000"/>
                <w:sz w:val="20"/>
                <w:szCs w:val="20"/>
              </w:rPr>
            </w:pPr>
            <w:r w:rsidDel="00000000" w:rsidR="00000000" w:rsidRPr="00000000">
              <w:rPr>
                <w:color w:val="000000"/>
                <w:sz w:val="20"/>
                <w:szCs w:val="20"/>
                <w:rtl w:val="0"/>
              </w:rPr>
              <w:t xml:space="preserve">0.4972x</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9">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A">
            <w:pPr>
              <w:spacing w:before="0" w:line="240" w:lineRule="auto"/>
              <w:jc w:val="left"/>
              <w:rPr>
                <w:color w:val="000000"/>
                <w:sz w:val="20"/>
                <w:szCs w:val="20"/>
              </w:rPr>
            </w:pPr>
            <w:r w:rsidDel="00000000" w:rsidR="00000000" w:rsidRPr="00000000">
              <w:rPr>
                <w:color w:val="000000"/>
                <w:sz w:val="20"/>
                <w:szCs w:val="20"/>
                <w:rtl w:val="0"/>
              </w:rPr>
              <w:t xml:space="preserve">(1,011 + 372 + 1,121) / 3,274 = 0.7648x</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B">
            <w:pPr>
              <w:spacing w:before="0" w:line="240" w:lineRule="auto"/>
              <w:jc w:val="right"/>
              <w:rPr>
                <w:color w:val="000000"/>
                <w:sz w:val="20"/>
                <w:szCs w:val="20"/>
              </w:rPr>
            </w:pPr>
            <w:r w:rsidDel="00000000" w:rsidR="00000000" w:rsidRPr="00000000">
              <w:rPr>
                <w:color w:val="000000"/>
                <w:sz w:val="20"/>
                <w:szCs w:val="20"/>
                <w:rtl w:val="0"/>
              </w:rPr>
              <w:t xml:space="preserve">0.7648x</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2FC">
            <w:pPr>
              <w:spacing w:before="0" w:line="240" w:lineRule="auto"/>
              <w:jc w:val="center"/>
              <w:rPr>
                <w:color w:val="000000"/>
                <w:sz w:val="20"/>
                <w:szCs w:val="20"/>
              </w:rPr>
            </w:pPr>
            <w:r w:rsidDel="00000000" w:rsidR="00000000" w:rsidRPr="00000000">
              <w:rPr>
                <w:color w:val="000000"/>
                <w:sz w:val="20"/>
                <w:szCs w:val="20"/>
                <w:rtl w:val="0"/>
              </w:rPr>
              <w:t xml:space="preserve">Receivables collection period</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D">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E">
            <w:pPr>
              <w:spacing w:before="0" w:line="240" w:lineRule="auto"/>
              <w:jc w:val="left"/>
              <w:rPr>
                <w:color w:val="000000"/>
                <w:sz w:val="20"/>
                <w:szCs w:val="20"/>
              </w:rPr>
            </w:pPr>
            <w:r w:rsidDel="00000000" w:rsidR="00000000" w:rsidRPr="00000000">
              <w:rPr>
                <w:color w:val="000000"/>
                <w:sz w:val="20"/>
                <w:szCs w:val="20"/>
                <w:rtl w:val="0"/>
              </w:rPr>
              <w:t xml:space="preserve">316 / 2,066 * 365 = 55.8277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2FF">
            <w:pPr>
              <w:spacing w:before="0" w:line="240" w:lineRule="auto"/>
              <w:jc w:val="right"/>
              <w:rPr>
                <w:color w:val="000000"/>
                <w:sz w:val="20"/>
                <w:szCs w:val="20"/>
              </w:rPr>
            </w:pPr>
            <w:r w:rsidDel="00000000" w:rsidR="00000000" w:rsidRPr="00000000">
              <w:rPr>
                <w:color w:val="000000"/>
                <w:sz w:val="20"/>
                <w:szCs w:val="20"/>
                <w:rtl w:val="0"/>
              </w:rPr>
              <w:t xml:space="preserve">55.8277</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1">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2">
            <w:pPr>
              <w:spacing w:before="0" w:line="240" w:lineRule="auto"/>
              <w:jc w:val="left"/>
              <w:rPr>
                <w:color w:val="000000"/>
                <w:sz w:val="20"/>
                <w:szCs w:val="20"/>
              </w:rPr>
            </w:pPr>
            <w:r w:rsidDel="00000000" w:rsidR="00000000" w:rsidRPr="00000000">
              <w:rPr>
                <w:color w:val="000000"/>
                <w:sz w:val="20"/>
                <w:szCs w:val="20"/>
                <w:rtl w:val="0"/>
              </w:rPr>
              <w:t xml:space="preserve">633 / 3,028 * 365 = 76.3028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3">
            <w:pPr>
              <w:spacing w:before="0" w:line="240" w:lineRule="auto"/>
              <w:jc w:val="right"/>
              <w:rPr>
                <w:color w:val="000000"/>
                <w:sz w:val="20"/>
                <w:szCs w:val="20"/>
              </w:rPr>
            </w:pPr>
            <w:r w:rsidDel="00000000" w:rsidR="00000000" w:rsidRPr="00000000">
              <w:rPr>
                <w:color w:val="000000"/>
                <w:sz w:val="20"/>
                <w:szCs w:val="20"/>
                <w:rtl w:val="0"/>
              </w:rPr>
              <w:t xml:space="preserve">76.3028</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5">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6">
            <w:pPr>
              <w:spacing w:before="0" w:line="240" w:lineRule="auto"/>
              <w:jc w:val="left"/>
              <w:rPr>
                <w:color w:val="000000"/>
                <w:sz w:val="20"/>
                <w:szCs w:val="20"/>
              </w:rPr>
            </w:pPr>
            <w:r w:rsidDel="00000000" w:rsidR="00000000" w:rsidRPr="00000000">
              <w:rPr>
                <w:color w:val="000000"/>
                <w:sz w:val="20"/>
                <w:szCs w:val="20"/>
                <w:rtl w:val="0"/>
              </w:rPr>
              <w:t xml:space="preserve">834 / 5,891 * 365 = 51.6737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7">
            <w:pPr>
              <w:spacing w:before="0" w:line="240" w:lineRule="auto"/>
              <w:jc w:val="right"/>
              <w:rPr>
                <w:color w:val="000000"/>
                <w:sz w:val="20"/>
                <w:szCs w:val="20"/>
              </w:rPr>
            </w:pPr>
            <w:r w:rsidDel="00000000" w:rsidR="00000000" w:rsidRPr="00000000">
              <w:rPr>
                <w:color w:val="000000"/>
                <w:sz w:val="20"/>
                <w:szCs w:val="20"/>
                <w:rtl w:val="0"/>
              </w:rPr>
              <w:t xml:space="preserve">51.6737</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9">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A">
            <w:pPr>
              <w:spacing w:before="0" w:line="240" w:lineRule="auto"/>
              <w:jc w:val="left"/>
              <w:rPr>
                <w:color w:val="000000"/>
                <w:sz w:val="20"/>
                <w:szCs w:val="20"/>
              </w:rPr>
            </w:pPr>
            <w:r w:rsidDel="00000000" w:rsidR="00000000" w:rsidRPr="00000000">
              <w:rPr>
                <w:color w:val="000000"/>
                <w:sz w:val="20"/>
                <w:szCs w:val="20"/>
                <w:rtl w:val="0"/>
              </w:rPr>
              <w:t xml:space="preserve">883 / 6,667 * 365 = 48.3418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B">
            <w:pPr>
              <w:spacing w:before="0" w:line="240" w:lineRule="auto"/>
              <w:jc w:val="right"/>
              <w:rPr>
                <w:color w:val="000000"/>
                <w:sz w:val="20"/>
                <w:szCs w:val="20"/>
              </w:rPr>
            </w:pPr>
            <w:r w:rsidDel="00000000" w:rsidR="00000000" w:rsidRPr="00000000">
              <w:rPr>
                <w:color w:val="000000"/>
                <w:sz w:val="20"/>
                <w:szCs w:val="20"/>
                <w:rtl w:val="0"/>
              </w:rPr>
              <w:t xml:space="preserve">48.3418</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D">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E">
            <w:pPr>
              <w:spacing w:before="0" w:line="240" w:lineRule="auto"/>
              <w:jc w:val="left"/>
              <w:rPr>
                <w:color w:val="000000"/>
                <w:sz w:val="20"/>
                <w:szCs w:val="20"/>
              </w:rPr>
            </w:pPr>
            <w:r w:rsidDel="00000000" w:rsidR="00000000" w:rsidRPr="00000000">
              <w:rPr>
                <w:color w:val="000000"/>
                <w:sz w:val="20"/>
                <w:szCs w:val="20"/>
                <w:rtl w:val="0"/>
              </w:rPr>
              <w:t xml:space="preserve">1,121 / 6,648 * 365 = 61.5471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0F">
            <w:pPr>
              <w:spacing w:before="0" w:line="240" w:lineRule="auto"/>
              <w:jc w:val="right"/>
              <w:rPr>
                <w:color w:val="000000"/>
                <w:sz w:val="20"/>
                <w:szCs w:val="20"/>
              </w:rPr>
            </w:pPr>
            <w:r w:rsidDel="00000000" w:rsidR="00000000" w:rsidRPr="00000000">
              <w:rPr>
                <w:color w:val="000000"/>
                <w:sz w:val="20"/>
                <w:szCs w:val="20"/>
                <w:rtl w:val="0"/>
              </w:rPr>
              <w:t xml:space="preserve">61.5471</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10">
            <w:pPr>
              <w:spacing w:before="0" w:line="240" w:lineRule="auto"/>
              <w:jc w:val="center"/>
              <w:rPr>
                <w:color w:val="000000"/>
                <w:sz w:val="20"/>
                <w:szCs w:val="20"/>
              </w:rPr>
            </w:pPr>
            <w:r w:rsidDel="00000000" w:rsidR="00000000" w:rsidRPr="00000000">
              <w:rPr>
                <w:color w:val="000000"/>
                <w:sz w:val="20"/>
                <w:szCs w:val="20"/>
                <w:rtl w:val="0"/>
              </w:rPr>
              <w:t xml:space="preserve">Cash operating-expense proxy</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1">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2">
            <w:pPr>
              <w:spacing w:before="0" w:line="240" w:lineRule="auto"/>
              <w:jc w:val="left"/>
              <w:rPr>
                <w:color w:val="000000"/>
                <w:sz w:val="20"/>
                <w:szCs w:val="20"/>
              </w:rPr>
            </w:pPr>
            <w:r w:rsidDel="00000000" w:rsidR="00000000" w:rsidRPr="00000000">
              <w:rPr>
                <w:color w:val="000000"/>
                <w:sz w:val="20"/>
                <w:szCs w:val="20"/>
                <w:rtl w:val="0"/>
              </w:rPr>
              <w:t xml:space="preserve">2,698 - 310 = $2,388</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3">
            <w:pPr>
              <w:spacing w:before="0" w:line="240" w:lineRule="auto"/>
              <w:jc w:val="right"/>
              <w:rPr>
                <w:color w:val="000000"/>
                <w:sz w:val="20"/>
                <w:szCs w:val="20"/>
              </w:rPr>
            </w:pPr>
            <w:r w:rsidDel="00000000" w:rsidR="00000000" w:rsidRPr="00000000">
              <w:rPr>
                <w:color w:val="000000"/>
                <w:sz w:val="20"/>
                <w:szCs w:val="20"/>
                <w:rtl w:val="0"/>
              </w:rPr>
              <w:t xml:space="preserve">$2,388</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5">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6">
            <w:pPr>
              <w:spacing w:before="0" w:line="240" w:lineRule="auto"/>
              <w:jc w:val="left"/>
              <w:rPr>
                <w:color w:val="000000"/>
                <w:sz w:val="20"/>
                <w:szCs w:val="20"/>
              </w:rPr>
            </w:pPr>
            <w:r w:rsidDel="00000000" w:rsidR="00000000" w:rsidRPr="00000000">
              <w:rPr>
                <w:color w:val="000000"/>
                <w:sz w:val="20"/>
                <w:szCs w:val="20"/>
                <w:rtl w:val="0"/>
              </w:rPr>
              <w:t xml:space="preserve">3,279 - 310 = $2,969</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7">
            <w:pPr>
              <w:spacing w:before="0" w:line="240" w:lineRule="auto"/>
              <w:jc w:val="right"/>
              <w:rPr>
                <w:color w:val="000000"/>
                <w:sz w:val="20"/>
                <w:szCs w:val="20"/>
              </w:rPr>
            </w:pPr>
            <w:r w:rsidDel="00000000" w:rsidR="00000000" w:rsidRPr="00000000">
              <w:rPr>
                <w:color w:val="000000"/>
                <w:sz w:val="20"/>
                <w:szCs w:val="20"/>
                <w:rtl w:val="0"/>
              </w:rPr>
              <w:t xml:space="preserve">$2,969</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9">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A">
            <w:pPr>
              <w:spacing w:before="0" w:line="240" w:lineRule="auto"/>
              <w:jc w:val="left"/>
              <w:rPr>
                <w:color w:val="000000"/>
                <w:sz w:val="20"/>
                <w:szCs w:val="20"/>
              </w:rPr>
            </w:pPr>
            <w:r w:rsidDel="00000000" w:rsidR="00000000" w:rsidRPr="00000000">
              <w:rPr>
                <w:color w:val="000000"/>
                <w:sz w:val="20"/>
                <w:szCs w:val="20"/>
                <w:rtl w:val="0"/>
              </w:rPr>
              <w:t xml:space="preserve">5,499 - 426 = $5,073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B">
            <w:pPr>
              <w:spacing w:before="0" w:line="240" w:lineRule="auto"/>
              <w:jc w:val="right"/>
              <w:rPr>
                <w:color w:val="000000"/>
                <w:sz w:val="20"/>
                <w:szCs w:val="20"/>
              </w:rPr>
            </w:pPr>
            <w:r w:rsidDel="00000000" w:rsidR="00000000" w:rsidRPr="00000000">
              <w:rPr>
                <w:color w:val="000000"/>
                <w:sz w:val="20"/>
                <w:szCs w:val="20"/>
                <w:rtl w:val="0"/>
              </w:rPr>
              <w:t xml:space="preserve">$5,073</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D">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E">
            <w:pPr>
              <w:spacing w:before="0" w:line="240" w:lineRule="auto"/>
              <w:jc w:val="left"/>
              <w:rPr>
                <w:color w:val="000000"/>
                <w:sz w:val="20"/>
                <w:szCs w:val="20"/>
              </w:rPr>
            </w:pPr>
            <w:r w:rsidDel="00000000" w:rsidR="00000000" w:rsidRPr="00000000">
              <w:rPr>
                <w:color w:val="000000"/>
                <w:sz w:val="20"/>
                <w:szCs w:val="20"/>
                <w:rtl w:val="0"/>
              </w:rPr>
              <w:t xml:space="preserve">6,378 - 397 = $5,981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1F">
            <w:pPr>
              <w:spacing w:before="0" w:line="240" w:lineRule="auto"/>
              <w:jc w:val="right"/>
              <w:rPr>
                <w:color w:val="000000"/>
                <w:sz w:val="20"/>
                <w:szCs w:val="20"/>
              </w:rPr>
            </w:pPr>
            <w:r w:rsidDel="00000000" w:rsidR="00000000" w:rsidRPr="00000000">
              <w:rPr>
                <w:color w:val="000000"/>
                <w:sz w:val="20"/>
                <w:szCs w:val="20"/>
                <w:rtl w:val="0"/>
              </w:rPr>
              <w:t xml:space="preserve">$5,981</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1">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2">
            <w:pPr>
              <w:spacing w:before="0" w:line="240" w:lineRule="auto"/>
              <w:jc w:val="left"/>
              <w:rPr>
                <w:color w:val="000000"/>
                <w:sz w:val="20"/>
                <w:szCs w:val="20"/>
              </w:rPr>
            </w:pPr>
            <w:r w:rsidDel="00000000" w:rsidR="00000000" w:rsidRPr="00000000">
              <w:rPr>
                <w:color w:val="000000"/>
                <w:sz w:val="20"/>
                <w:szCs w:val="20"/>
                <w:rtl w:val="0"/>
              </w:rPr>
              <w:t xml:space="preserve">6,274 - 333 = $5,941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3">
            <w:pPr>
              <w:spacing w:before="0" w:line="240" w:lineRule="auto"/>
              <w:jc w:val="right"/>
              <w:rPr>
                <w:color w:val="000000"/>
                <w:sz w:val="20"/>
                <w:szCs w:val="20"/>
              </w:rPr>
            </w:pPr>
            <w:r w:rsidDel="00000000" w:rsidR="00000000" w:rsidRPr="00000000">
              <w:rPr>
                <w:color w:val="000000"/>
                <w:sz w:val="20"/>
                <w:szCs w:val="20"/>
                <w:rtl w:val="0"/>
              </w:rPr>
              <w:t xml:space="preserve">$5,941</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24">
            <w:pPr>
              <w:spacing w:before="0" w:line="240" w:lineRule="auto"/>
              <w:jc w:val="center"/>
              <w:rPr>
                <w:color w:val="000000"/>
                <w:sz w:val="20"/>
                <w:szCs w:val="20"/>
              </w:rPr>
            </w:pPr>
            <w:r w:rsidDel="00000000" w:rsidR="00000000" w:rsidRPr="00000000">
              <w:rPr>
                <w:color w:val="000000"/>
                <w:sz w:val="20"/>
                <w:szCs w:val="20"/>
                <w:rtl w:val="0"/>
              </w:rPr>
              <w:t xml:space="preserve">Inventory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5">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6">
            <w:pPr>
              <w:spacing w:before="0" w:line="240" w:lineRule="auto"/>
              <w:jc w:val="left"/>
              <w:rPr>
                <w:color w:val="000000"/>
                <w:sz w:val="20"/>
                <w:szCs w:val="20"/>
              </w:rPr>
            </w:pPr>
            <w:r w:rsidDel="00000000" w:rsidR="00000000" w:rsidRPr="00000000">
              <w:rPr>
                <w:color w:val="000000"/>
                <w:sz w:val="20"/>
                <w:szCs w:val="20"/>
                <w:rtl w:val="0"/>
              </w:rPr>
              <w:t xml:space="preserve">9 / 2,388 * 365 = 1.3756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7">
            <w:pPr>
              <w:spacing w:before="0" w:line="240" w:lineRule="auto"/>
              <w:jc w:val="right"/>
              <w:rPr>
                <w:color w:val="000000"/>
                <w:sz w:val="20"/>
                <w:szCs w:val="20"/>
              </w:rPr>
            </w:pPr>
            <w:r w:rsidDel="00000000" w:rsidR="00000000" w:rsidRPr="00000000">
              <w:rPr>
                <w:color w:val="000000"/>
                <w:sz w:val="20"/>
                <w:szCs w:val="20"/>
                <w:rtl w:val="0"/>
              </w:rPr>
              <w:t xml:space="preserve">1.3756</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9">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A">
            <w:pPr>
              <w:spacing w:before="0" w:line="240" w:lineRule="auto"/>
              <w:jc w:val="left"/>
              <w:rPr>
                <w:color w:val="000000"/>
                <w:sz w:val="20"/>
                <w:szCs w:val="20"/>
              </w:rPr>
            </w:pPr>
            <w:r w:rsidDel="00000000" w:rsidR="00000000" w:rsidRPr="00000000">
              <w:rPr>
                <w:color w:val="000000"/>
                <w:sz w:val="20"/>
                <w:szCs w:val="20"/>
                <w:rtl w:val="0"/>
              </w:rPr>
              <w:t xml:space="preserve">10 / 2,969 * 365 = 1.2294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B">
            <w:pPr>
              <w:spacing w:before="0" w:line="240" w:lineRule="auto"/>
              <w:jc w:val="right"/>
              <w:rPr>
                <w:color w:val="000000"/>
                <w:sz w:val="20"/>
                <w:szCs w:val="20"/>
              </w:rPr>
            </w:pPr>
            <w:r w:rsidDel="00000000" w:rsidR="00000000" w:rsidRPr="00000000">
              <w:rPr>
                <w:color w:val="000000"/>
                <w:sz w:val="20"/>
                <w:szCs w:val="20"/>
                <w:rtl w:val="0"/>
              </w:rPr>
              <w:t xml:space="preserve">1.2294</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D">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E">
            <w:pPr>
              <w:spacing w:before="0" w:line="240" w:lineRule="auto"/>
              <w:jc w:val="left"/>
              <w:rPr>
                <w:color w:val="000000"/>
                <w:sz w:val="20"/>
                <w:szCs w:val="20"/>
              </w:rPr>
            </w:pPr>
            <w:r w:rsidDel="00000000" w:rsidR="00000000" w:rsidRPr="00000000">
              <w:rPr>
                <w:color w:val="000000"/>
                <w:sz w:val="20"/>
                <w:szCs w:val="20"/>
                <w:rtl w:val="0"/>
              </w:rPr>
              <w:t xml:space="preserve">9 / 5,073 * 365 = 0.6475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2F">
            <w:pPr>
              <w:spacing w:before="0" w:line="240" w:lineRule="auto"/>
              <w:jc w:val="right"/>
              <w:rPr>
                <w:color w:val="000000"/>
                <w:sz w:val="20"/>
                <w:szCs w:val="20"/>
              </w:rPr>
            </w:pPr>
            <w:r w:rsidDel="00000000" w:rsidR="00000000" w:rsidRPr="00000000">
              <w:rPr>
                <w:color w:val="000000"/>
                <w:sz w:val="20"/>
                <w:szCs w:val="20"/>
                <w:rtl w:val="0"/>
              </w:rPr>
              <w:t xml:space="preserve">0.6475</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1">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2">
            <w:pPr>
              <w:spacing w:before="0" w:line="240" w:lineRule="auto"/>
              <w:jc w:val="left"/>
              <w:rPr>
                <w:color w:val="000000"/>
                <w:sz w:val="20"/>
                <w:szCs w:val="20"/>
              </w:rPr>
            </w:pPr>
            <w:r w:rsidDel="00000000" w:rsidR="00000000" w:rsidRPr="00000000">
              <w:rPr>
                <w:color w:val="000000"/>
                <w:sz w:val="20"/>
                <w:szCs w:val="20"/>
                <w:rtl w:val="0"/>
              </w:rPr>
              <w:t xml:space="preserve">9 / 5,981 * 365 = 0.5492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3">
            <w:pPr>
              <w:spacing w:before="0" w:line="240" w:lineRule="auto"/>
              <w:jc w:val="right"/>
              <w:rPr>
                <w:color w:val="000000"/>
                <w:sz w:val="20"/>
                <w:szCs w:val="20"/>
              </w:rPr>
            </w:pPr>
            <w:r w:rsidDel="00000000" w:rsidR="00000000" w:rsidRPr="00000000">
              <w:rPr>
                <w:color w:val="000000"/>
                <w:sz w:val="20"/>
                <w:szCs w:val="20"/>
                <w:rtl w:val="0"/>
              </w:rPr>
              <w:t xml:space="preserve">0.5492</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5">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6">
            <w:pPr>
              <w:spacing w:before="0" w:line="240" w:lineRule="auto"/>
              <w:jc w:val="left"/>
              <w:rPr>
                <w:color w:val="000000"/>
                <w:sz w:val="20"/>
                <w:szCs w:val="20"/>
              </w:rPr>
            </w:pPr>
            <w:r w:rsidDel="00000000" w:rsidR="00000000" w:rsidRPr="00000000">
              <w:rPr>
                <w:color w:val="000000"/>
                <w:sz w:val="20"/>
                <w:szCs w:val="20"/>
                <w:rtl w:val="0"/>
              </w:rPr>
              <w:t xml:space="preserve">8 / 5,941 * 365 = 0.4915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7">
            <w:pPr>
              <w:spacing w:before="0" w:line="240" w:lineRule="auto"/>
              <w:jc w:val="right"/>
              <w:rPr>
                <w:color w:val="000000"/>
                <w:sz w:val="20"/>
                <w:szCs w:val="20"/>
              </w:rPr>
            </w:pPr>
            <w:r w:rsidDel="00000000" w:rsidR="00000000" w:rsidRPr="00000000">
              <w:rPr>
                <w:color w:val="000000"/>
                <w:sz w:val="20"/>
                <w:szCs w:val="20"/>
                <w:rtl w:val="0"/>
              </w:rPr>
              <w:t xml:space="preserve">0.4915</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38">
            <w:pPr>
              <w:spacing w:before="0" w:line="240" w:lineRule="auto"/>
              <w:jc w:val="center"/>
              <w:rPr>
                <w:color w:val="000000"/>
                <w:sz w:val="20"/>
                <w:szCs w:val="20"/>
              </w:rPr>
            </w:pPr>
            <w:r w:rsidDel="00000000" w:rsidR="00000000" w:rsidRPr="00000000">
              <w:rPr>
                <w:color w:val="000000"/>
                <w:sz w:val="20"/>
                <w:szCs w:val="20"/>
                <w:rtl w:val="0"/>
              </w:rPr>
              <w:t xml:space="preserve">Payables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9">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A">
            <w:pPr>
              <w:spacing w:before="0" w:line="240" w:lineRule="auto"/>
              <w:jc w:val="left"/>
              <w:rPr>
                <w:color w:val="000000"/>
                <w:sz w:val="20"/>
                <w:szCs w:val="20"/>
              </w:rPr>
            </w:pPr>
            <w:r w:rsidDel="00000000" w:rsidR="00000000" w:rsidRPr="00000000">
              <w:rPr>
                <w:color w:val="000000"/>
                <w:sz w:val="20"/>
                <w:szCs w:val="20"/>
                <w:rtl w:val="0"/>
              </w:rPr>
              <w:t xml:space="preserve">102 / 2,388 * 365 = 15.5905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B">
            <w:pPr>
              <w:spacing w:before="0" w:line="240" w:lineRule="auto"/>
              <w:jc w:val="right"/>
              <w:rPr>
                <w:color w:val="000000"/>
                <w:sz w:val="20"/>
                <w:szCs w:val="20"/>
              </w:rPr>
            </w:pPr>
            <w:r w:rsidDel="00000000" w:rsidR="00000000" w:rsidRPr="00000000">
              <w:rPr>
                <w:color w:val="000000"/>
                <w:sz w:val="20"/>
                <w:szCs w:val="20"/>
                <w:rtl w:val="0"/>
              </w:rPr>
              <w:t xml:space="preserve">15.5905</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D">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E">
            <w:pPr>
              <w:spacing w:before="0" w:line="240" w:lineRule="auto"/>
              <w:jc w:val="left"/>
              <w:rPr>
                <w:color w:val="000000"/>
                <w:sz w:val="20"/>
                <w:szCs w:val="20"/>
              </w:rPr>
            </w:pPr>
            <w:r w:rsidDel="00000000" w:rsidR="00000000" w:rsidRPr="00000000">
              <w:rPr>
                <w:color w:val="000000"/>
                <w:sz w:val="20"/>
                <w:szCs w:val="20"/>
                <w:rtl w:val="0"/>
              </w:rPr>
              <w:t xml:space="preserve">523 / 2,969 * 365 = 64.2961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3F">
            <w:pPr>
              <w:spacing w:before="0" w:line="240" w:lineRule="auto"/>
              <w:jc w:val="right"/>
              <w:rPr>
                <w:color w:val="000000"/>
                <w:sz w:val="20"/>
                <w:szCs w:val="20"/>
              </w:rPr>
            </w:pPr>
            <w:r w:rsidDel="00000000" w:rsidR="00000000" w:rsidRPr="00000000">
              <w:rPr>
                <w:color w:val="000000"/>
                <w:sz w:val="20"/>
                <w:szCs w:val="20"/>
                <w:rtl w:val="0"/>
              </w:rPr>
              <w:t xml:space="preserve">64.2961</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1">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2">
            <w:pPr>
              <w:spacing w:before="0" w:line="240" w:lineRule="auto"/>
              <w:jc w:val="left"/>
              <w:rPr>
                <w:color w:val="000000"/>
                <w:sz w:val="20"/>
                <w:szCs w:val="20"/>
              </w:rPr>
            </w:pPr>
            <w:r w:rsidDel="00000000" w:rsidR="00000000" w:rsidRPr="00000000">
              <w:rPr>
                <w:color w:val="000000"/>
                <w:sz w:val="20"/>
                <w:szCs w:val="20"/>
                <w:rtl w:val="0"/>
              </w:rPr>
              <w:t xml:space="preserve">500 / 5,073 * 365 = 35.9748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3">
            <w:pPr>
              <w:spacing w:before="0" w:line="240" w:lineRule="auto"/>
              <w:jc w:val="right"/>
              <w:rPr>
                <w:color w:val="000000"/>
                <w:sz w:val="20"/>
                <w:szCs w:val="20"/>
              </w:rPr>
            </w:pPr>
            <w:r w:rsidDel="00000000" w:rsidR="00000000" w:rsidRPr="00000000">
              <w:rPr>
                <w:color w:val="000000"/>
                <w:sz w:val="20"/>
                <w:szCs w:val="20"/>
                <w:rtl w:val="0"/>
              </w:rPr>
              <w:t xml:space="preserve">35.9748</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5">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6">
            <w:pPr>
              <w:spacing w:before="0" w:line="240" w:lineRule="auto"/>
              <w:jc w:val="left"/>
              <w:rPr>
                <w:color w:val="000000"/>
                <w:sz w:val="20"/>
                <w:szCs w:val="20"/>
              </w:rPr>
            </w:pPr>
            <w:r w:rsidDel="00000000" w:rsidR="00000000" w:rsidRPr="00000000">
              <w:rPr>
                <w:color w:val="000000"/>
                <w:sz w:val="20"/>
                <w:szCs w:val="20"/>
                <w:rtl w:val="0"/>
              </w:rPr>
              <w:t xml:space="preserve">493 / 5,981 * 365 = 30.0861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7">
            <w:pPr>
              <w:spacing w:before="0" w:line="240" w:lineRule="auto"/>
              <w:jc w:val="right"/>
              <w:rPr>
                <w:color w:val="000000"/>
                <w:sz w:val="20"/>
                <w:szCs w:val="20"/>
              </w:rPr>
            </w:pPr>
            <w:r w:rsidDel="00000000" w:rsidR="00000000" w:rsidRPr="00000000">
              <w:rPr>
                <w:color w:val="000000"/>
                <w:sz w:val="20"/>
                <w:szCs w:val="20"/>
                <w:rtl w:val="0"/>
              </w:rPr>
              <w:t xml:space="preserve">30.0861</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9">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A">
            <w:pPr>
              <w:spacing w:before="0" w:line="240" w:lineRule="auto"/>
              <w:jc w:val="left"/>
              <w:rPr>
                <w:color w:val="000000"/>
                <w:sz w:val="20"/>
                <w:szCs w:val="20"/>
              </w:rPr>
            </w:pPr>
            <w:r w:rsidDel="00000000" w:rsidR="00000000" w:rsidRPr="00000000">
              <w:rPr>
                <w:color w:val="000000"/>
                <w:sz w:val="20"/>
                <w:szCs w:val="20"/>
                <w:rtl w:val="0"/>
              </w:rPr>
              <w:t xml:space="preserve">475 / 5,941 * 365 = 29.1828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B">
            <w:pPr>
              <w:spacing w:before="0" w:line="240" w:lineRule="auto"/>
              <w:jc w:val="right"/>
              <w:rPr>
                <w:color w:val="000000"/>
                <w:sz w:val="20"/>
                <w:szCs w:val="20"/>
              </w:rPr>
            </w:pPr>
            <w:r w:rsidDel="00000000" w:rsidR="00000000" w:rsidRPr="00000000">
              <w:rPr>
                <w:color w:val="000000"/>
                <w:sz w:val="20"/>
                <w:szCs w:val="20"/>
                <w:rtl w:val="0"/>
              </w:rPr>
              <w:t xml:space="preserve">29.1828</w:t>
            </w:r>
          </w:p>
        </w:tc>
      </w:tr>
      <w:tr>
        <w:trPr>
          <w:cantSplit w:val="0"/>
          <w:trHeight w:val="20" w:hRule="atLeast"/>
          <w:tblHeader w:val="0"/>
        </w:trPr>
        <w:tc>
          <w:tcPr>
            <w:vMerge w:val="restart"/>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4C">
            <w:pPr>
              <w:spacing w:before="0" w:line="240" w:lineRule="auto"/>
              <w:jc w:val="center"/>
              <w:rPr>
                <w:color w:val="000000"/>
                <w:sz w:val="20"/>
                <w:szCs w:val="20"/>
              </w:rPr>
            </w:pPr>
            <w:r w:rsidDel="00000000" w:rsidR="00000000" w:rsidRPr="00000000">
              <w:rPr>
                <w:color w:val="000000"/>
                <w:sz w:val="20"/>
                <w:szCs w:val="20"/>
                <w:rtl w:val="0"/>
              </w:rPr>
              <w:t xml:space="preserve">Adapted cash operating cycle</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D">
            <w:pPr>
              <w:spacing w:before="0" w:line="240" w:lineRule="auto"/>
              <w:jc w:val="right"/>
              <w:rPr>
                <w:color w:val="000000"/>
                <w:sz w:val="20"/>
                <w:szCs w:val="20"/>
              </w:rPr>
            </w:pPr>
            <w:r w:rsidDel="00000000" w:rsidR="00000000" w:rsidRPr="00000000">
              <w:rPr>
                <w:color w:val="000000"/>
                <w:sz w:val="20"/>
                <w:szCs w:val="20"/>
                <w:rtl w:val="0"/>
              </w:rPr>
              <w:t xml:space="preserve">2020</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E">
            <w:pPr>
              <w:spacing w:before="0" w:line="240" w:lineRule="auto"/>
              <w:jc w:val="left"/>
              <w:rPr>
                <w:color w:val="000000"/>
                <w:sz w:val="20"/>
                <w:szCs w:val="20"/>
              </w:rPr>
            </w:pPr>
            <w:r w:rsidDel="00000000" w:rsidR="00000000" w:rsidRPr="00000000">
              <w:rPr>
                <w:color w:val="000000"/>
                <w:sz w:val="20"/>
                <w:szCs w:val="20"/>
                <w:rtl w:val="0"/>
              </w:rPr>
              <w:t xml:space="preserve">1.3756 + 55.8277 - 15.5905 = 41.6129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4F">
            <w:pPr>
              <w:spacing w:before="0" w:line="240" w:lineRule="auto"/>
              <w:jc w:val="right"/>
              <w:rPr>
                <w:color w:val="000000"/>
                <w:sz w:val="20"/>
                <w:szCs w:val="20"/>
              </w:rPr>
            </w:pPr>
            <w:r w:rsidDel="00000000" w:rsidR="00000000" w:rsidRPr="00000000">
              <w:rPr>
                <w:color w:val="000000"/>
                <w:sz w:val="20"/>
                <w:szCs w:val="20"/>
                <w:rtl w:val="0"/>
              </w:rPr>
              <w:t xml:space="preserve">41.6129</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1">
            <w:pPr>
              <w:spacing w:before="0" w:line="240" w:lineRule="auto"/>
              <w:jc w:val="right"/>
              <w:rPr>
                <w:color w:val="000000"/>
                <w:sz w:val="20"/>
                <w:szCs w:val="20"/>
              </w:rPr>
            </w:pPr>
            <w:r w:rsidDel="00000000" w:rsidR="00000000" w:rsidRPr="00000000">
              <w:rPr>
                <w:color w:val="000000"/>
                <w:sz w:val="20"/>
                <w:szCs w:val="20"/>
                <w:rtl w:val="0"/>
              </w:rPr>
              <w:t xml:space="preserve">2021</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2">
            <w:pPr>
              <w:spacing w:before="0" w:line="240" w:lineRule="auto"/>
              <w:jc w:val="left"/>
              <w:rPr>
                <w:color w:val="000000"/>
                <w:sz w:val="20"/>
                <w:szCs w:val="20"/>
              </w:rPr>
            </w:pPr>
            <w:r w:rsidDel="00000000" w:rsidR="00000000" w:rsidRPr="00000000">
              <w:rPr>
                <w:color w:val="000000"/>
                <w:sz w:val="20"/>
                <w:szCs w:val="20"/>
                <w:rtl w:val="0"/>
              </w:rPr>
              <w:t xml:space="preserve">1.2294 + 76.3028 - 64.2961 = 13.2362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3">
            <w:pPr>
              <w:spacing w:before="0" w:line="240" w:lineRule="auto"/>
              <w:jc w:val="right"/>
              <w:rPr>
                <w:color w:val="000000"/>
                <w:sz w:val="20"/>
                <w:szCs w:val="20"/>
              </w:rPr>
            </w:pPr>
            <w:r w:rsidDel="00000000" w:rsidR="00000000" w:rsidRPr="00000000">
              <w:rPr>
                <w:color w:val="000000"/>
                <w:sz w:val="20"/>
                <w:szCs w:val="20"/>
                <w:rtl w:val="0"/>
              </w:rPr>
              <w:t xml:space="preserve">13.2362</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5">
            <w:pPr>
              <w:spacing w:before="0" w:line="240" w:lineRule="auto"/>
              <w:jc w:val="right"/>
              <w:rPr>
                <w:color w:val="000000"/>
                <w:sz w:val="20"/>
                <w:szCs w:val="20"/>
              </w:rPr>
            </w:pPr>
            <w:r w:rsidDel="00000000" w:rsidR="00000000" w:rsidRPr="00000000">
              <w:rPr>
                <w:color w:val="000000"/>
                <w:sz w:val="20"/>
                <w:szCs w:val="20"/>
                <w:rtl w:val="0"/>
              </w:rPr>
              <w:t xml:space="preserve">2022</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6">
            <w:pPr>
              <w:spacing w:before="0" w:line="240" w:lineRule="auto"/>
              <w:jc w:val="left"/>
              <w:rPr>
                <w:color w:val="000000"/>
                <w:sz w:val="20"/>
                <w:szCs w:val="20"/>
              </w:rPr>
            </w:pPr>
            <w:r w:rsidDel="00000000" w:rsidR="00000000" w:rsidRPr="00000000">
              <w:rPr>
                <w:color w:val="000000"/>
                <w:sz w:val="20"/>
                <w:szCs w:val="20"/>
                <w:rtl w:val="0"/>
              </w:rPr>
              <w:t xml:space="preserve">0.6475 + 51.6737 - 35.9748 = 16.3465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7">
            <w:pPr>
              <w:spacing w:before="0" w:line="240" w:lineRule="auto"/>
              <w:jc w:val="right"/>
              <w:rPr>
                <w:color w:val="000000"/>
                <w:sz w:val="20"/>
                <w:szCs w:val="20"/>
              </w:rPr>
            </w:pPr>
            <w:r w:rsidDel="00000000" w:rsidR="00000000" w:rsidRPr="00000000">
              <w:rPr>
                <w:color w:val="000000"/>
                <w:sz w:val="20"/>
                <w:szCs w:val="20"/>
                <w:rtl w:val="0"/>
              </w:rPr>
              <w:t xml:space="preserve">16.3465</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9">
            <w:pPr>
              <w:spacing w:before="0" w:line="240" w:lineRule="auto"/>
              <w:jc w:val="right"/>
              <w:rPr>
                <w:color w:val="000000"/>
                <w:sz w:val="20"/>
                <w:szCs w:val="20"/>
              </w:rPr>
            </w:pPr>
            <w:r w:rsidDel="00000000" w:rsidR="00000000" w:rsidRPr="00000000">
              <w:rPr>
                <w:color w:val="000000"/>
                <w:sz w:val="20"/>
                <w:szCs w:val="20"/>
                <w:rtl w:val="0"/>
              </w:rPr>
              <w:t xml:space="preserve">2023</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A">
            <w:pPr>
              <w:spacing w:before="0" w:line="240" w:lineRule="auto"/>
              <w:jc w:val="left"/>
              <w:rPr>
                <w:color w:val="000000"/>
                <w:sz w:val="20"/>
                <w:szCs w:val="20"/>
              </w:rPr>
            </w:pPr>
            <w:r w:rsidDel="00000000" w:rsidR="00000000" w:rsidRPr="00000000">
              <w:rPr>
                <w:color w:val="000000"/>
                <w:sz w:val="20"/>
                <w:szCs w:val="20"/>
                <w:rtl w:val="0"/>
              </w:rPr>
              <w:t xml:space="preserve">0.5492 + 48.3418 - 30.0861 = 18.8050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B">
            <w:pPr>
              <w:spacing w:before="0" w:line="240" w:lineRule="auto"/>
              <w:jc w:val="right"/>
              <w:rPr>
                <w:color w:val="000000"/>
                <w:sz w:val="20"/>
                <w:szCs w:val="20"/>
              </w:rPr>
            </w:pPr>
            <w:r w:rsidDel="00000000" w:rsidR="00000000" w:rsidRPr="00000000">
              <w:rPr>
                <w:color w:val="000000"/>
                <w:sz w:val="20"/>
                <w:szCs w:val="20"/>
                <w:rtl w:val="0"/>
              </w:rPr>
              <w:t xml:space="preserve">18.8050</w:t>
            </w:r>
          </w:p>
        </w:tc>
      </w:tr>
      <w:tr>
        <w:trPr>
          <w:cantSplit w:val="0"/>
          <w:trHeight w:val="20" w:hRule="atLeast"/>
          <w:tblHeader w:val="0"/>
        </w:trPr>
        <w:tc>
          <w:tcPr>
            <w:vMerge w:val="continue"/>
            <w:tcBorders>
              <w:top w:color="000000" w:space="0" w:sz="0" w:val="nil"/>
              <w:left w:color="000000" w:space="0" w:sz="4" w:val="single"/>
              <w:bottom w:color="000000" w:space="0" w:sz="4" w:val="single"/>
              <w:right w:color="000000" w:space="0" w:sz="4" w:val="single"/>
            </w:tcBorders>
            <w:vAlign w:val="center"/>
          </w:tcPr>
          <w:p w:rsidR="00000000" w:rsidDel="00000000" w:rsidP="00000000" w:rsidRDefault="00000000" w:rsidRPr="00000000" w14:paraId="000003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D">
            <w:pPr>
              <w:spacing w:before="0" w:line="240" w:lineRule="auto"/>
              <w:jc w:val="right"/>
              <w:rPr>
                <w:color w:val="000000"/>
                <w:sz w:val="20"/>
                <w:szCs w:val="20"/>
              </w:rPr>
            </w:pPr>
            <w:r w:rsidDel="00000000" w:rsidR="00000000" w:rsidRPr="00000000">
              <w:rPr>
                <w:color w:val="000000"/>
                <w:sz w:val="20"/>
                <w:szCs w:val="20"/>
                <w:rtl w:val="0"/>
              </w:rPr>
              <w:t xml:space="preserve">2024</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E">
            <w:pPr>
              <w:spacing w:before="0" w:line="240" w:lineRule="auto"/>
              <w:jc w:val="left"/>
              <w:rPr>
                <w:color w:val="000000"/>
                <w:sz w:val="20"/>
                <w:szCs w:val="20"/>
              </w:rPr>
            </w:pPr>
            <w:r w:rsidDel="00000000" w:rsidR="00000000" w:rsidRPr="00000000">
              <w:rPr>
                <w:color w:val="000000"/>
                <w:sz w:val="20"/>
                <w:szCs w:val="20"/>
                <w:rtl w:val="0"/>
              </w:rPr>
              <w:t xml:space="preserve">0.4915 + 61.5471 - 29.1828 = 32.8558 days</w:t>
            </w:r>
          </w:p>
        </w:tc>
        <w:tc>
          <w:tcPr>
            <w:tcBorders>
              <w:top w:color="000000" w:space="0" w:sz="0" w:val="nil"/>
              <w:left w:color="000000" w:space="0" w:sz="0" w:val="nil"/>
              <w:bottom w:color="000000" w:space="0" w:sz="4" w:val="single"/>
              <w:right w:color="000000" w:space="0" w:sz="4" w:val="single"/>
            </w:tcBorders>
            <w:vAlign w:val="center"/>
          </w:tcPr>
          <w:p w:rsidR="00000000" w:rsidDel="00000000" w:rsidP="00000000" w:rsidRDefault="00000000" w:rsidRPr="00000000" w14:paraId="0000035F">
            <w:pPr>
              <w:spacing w:before="0" w:line="240" w:lineRule="auto"/>
              <w:jc w:val="right"/>
              <w:rPr>
                <w:color w:val="000000"/>
                <w:sz w:val="20"/>
                <w:szCs w:val="20"/>
              </w:rPr>
            </w:pPr>
            <w:r w:rsidDel="00000000" w:rsidR="00000000" w:rsidRPr="00000000">
              <w:rPr>
                <w:color w:val="000000"/>
                <w:sz w:val="20"/>
                <w:szCs w:val="20"/>
                <w:rtl w:val="0"/>
              </w:rPr>
              <w:t xml:space="preserve">32.8558</w:t>
            </w:r>
          </w:p>
        </w:tc>
      </w:tr>
    </w:tbl>
    <w:p w:rsidR="00000000" w:rsidDel="00000000" w:rsidP="00000000" w:rsidRDefault="00000000" w:rsidRPr="00000000" w14:paraId="00000360">
      <w:pPr>
        <w:rPr/>
      </w:pP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Times New Roman"/>
  <w:font w:name="Carlito"/>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400" w:hanging="400"/>
      </w:pPr>
      <w:rPr/>
    </w:lvl>
    <w:lvl w:ilvl="1">
      <w:start w:val="1"/>
      <w:numFmt w:val="decimal"/>
      <w:lvlText w:val="%1.%2"/>
      <w:lvlJc w:val="left"/>
      <w:pPr>
        <w:ind w:left="400" w:hanging="400"/>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440" w:hanging="1440"/>
      </w:pPr>
      <w:rPr/>
    </w:lvl>
    <w:lvl w:ilvl="7">
      <w:start w:val="1"/>
      <w:numFmt w:val="decimal"/>
      <w:lvlText w:val="%1.%2.%3.%4.%5.%6.%7.%8"/>
      <w:lvlJc w:val="left"/>
      <w:pPr>
        <w:ind w:left="1800" w:hanging="1800"/>
      </w:pPr>
      <w:rPr/>
    </w:lvl>
    <w:lvl w:ilvl="8">
      <w:start w:val="1"/>
      <w:numFmt w:val="decimal"/>
      <w:lvlText w:val="%1.%2.%3.%4.%5.%6.%7.%8.%9"/>
      <w:lvlJc w:val="left"/>
      <w:pPr>
        <w:ind w:left="1800" w:hanging="180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16/j.annale.2024.100153" TargetMode="External"/><Relationship Id="rId84" Type="http://schemas.openxmlformats.org/officeDocument/2006/relationships/hyperlink" Target="https://pre-webunwto.s3.eu-west-1.amazonaws.com/s3fs-public/2025-01/Barom_PPT_Jan_2025.pdf" TargetMode="External"/><Relationship Id="rId83" Type="http://schemas.openxmlformats.org/officeDocument/2006/relationships/hyperlink" Target="https://doi.org/10.3390/jrfm18040208" TargetMode="External"/><Relationship Id="rId42" Type="http://schemas.openxmlformats.org/officeDocument/2006/relationships/hyperlink" Target="https://doi.org/10.1016/j.bir.2024.03.004" TargetMode="External"/><Relationship Id="rId86" Type="http://schemas.openxmlformats.org/officeDocument/2006/relationships/hyperlink" Target="https://assets-global.website-files.com/6329bc97af73223b575983ac/6643349dbfbdc3e3c03afcb8_EIR2024-World-130524.pdf" TargetMode="External"/><Relationship Id="rId41" Type="http://schemas.openxmlformats.org/officeDocument/2006/relationships/hyperlink" Target="https://doi.org/10.1016/j.annale.2024.100153" TargetMode="External"/><Relationship Id="rId85" Type="http://schemas.openxmlformats.org/officeDocument/2006/relationships/hyperlink" Target="https://pre-webunwto.s3.eu-west-1.amazonaws.com/s3fs-public/2025-01/Barom_PPT_Jan_2025.pdf" TargetMode="External"/><Relationship Id="rId44" Type="http://schemas.openxmlformats.org/officeDocument/2006/relationships/hyperlink" Target="https://kpmg.com/xx/en/our-insights/ai-and-technology/ai-in-financial-reporting-and-audit.html" TargetMode="External"/><Relationship Id="rId88" Type="http://schemas.openxmlformats.org/officeDocument/2006/relationships/footer" Target="footer1.xml"/><Relationship Id="rId43" Type="http://schemas.openxmlformats.org/officeDocument/2006/relationships/hyperlink" Target="https://doi.org/10.1016/j.bir.2024.03.004" TargetMode="External"/><Relationship Id="rId87" Type="http://schemas.openxmlformats.org/officeDocument/2006/relationships/hyperlink" Target="https://assets-global.website-files.com/6329bc97af73223b575983ac/6643349dbfbdc3e3c03afcb8_EIR2024-World-130524.pdf" TargetMode="External"/><Relationship Id="rId46" Type="http://schemas.openxmlformats.org/officeDocument/2006/relationships/hyperlink" Target="https://doi.org/10.3390/fintech3030025" TargetMode="External"/><Relationship Id="rId45" Type="http://schemas.openxmlformats.org/officeDocument/2006/relationships/hyperlink" Target="https://kpmg.com/xx/en/our-insights/ai-and-technology/ai-in-financial-reporting-and-audit.html" TargetMode="External"/><Relationship Id="rId89" Type="http://schemas.openxmlformats.org/officeDocument/2006/relationships/hyperlink" Target="https://doi.org/10.1016/j.ijhm.2023.103530" TargetMode="External"/><Relationship Id="rId80" Type="http://schemas.openxmlformats.org/officeDocument/2006/relationships/hyperlink" Target="https://doi.org/10.1016/j.jmateco.2024.102992" TargetMode="External"/><Relationship Id="rId82" Type="http://schemas.openxmlformats.org/officeDocument/2006/relationships/hyperlink" Target="https://doi.org/10.3390/jrfm18040208" TargetMode="External"/><Relationship Id="rId81" Type="http://schemas.openxmlformats.org/officeDocument/2006/relationships/hyperlink" Target="https://doi.org/10.1016/j.jmateco.2024.10299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48" Type="http://schemas.openxmlformats.org/officeDocument/2006/relationships/hyperlink" Target="https://doi.org/10.1016/j.heliyon.2023.e13391" TargetMode="External"/><Relationship Id="rId47" Type="http://schemas.openxmlformats.org/officeDocument/2006/relationships/hyperlink" Target="https://doi.org/10.3390/fintech3030025" TargetMode="External"/><Relationship Id="rId49" Type="http://schemas.openxmlformats.org/officeDocument/2006/relationships/hyperlink" Target="https://doi.org/10.1016/j.heliyon.2023.e13391"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73" Type="http://schemas.openxmlformats.org/officeDocument/2006/relationships/hyperlink" Target="https://s203.q4cdn.com/249399152/files/doc_financials/2021/ar/ec2f121c-9941-4dd9-b50a-0aff00d26816-1.pdf" TargetMode="External"/><Relationship Id="rId72" Type="http://schemas.openxmlformats.org/officeDocument/2006/relationships/hyperlink" Target="https://s203.q4cdn.com/249399152/files/doc_financials/2021/ar/ec2f121c-9941-4dd9-b50a-0aff00d26816-1.pdf" TargetMode="External"/><Relationship Id="rId31" Type="http://schemas.openxmlformats.org/officeDocument/2006/relationships/hyperlink" Target="https://doi.org/10.3846/jbem.2023.19251" TargetMode="External"/><Relationship Id="rId75" Type="http://schemas.openxmlformats.org/officeDocument/2006/relationships/hyperlink" Target="https://s203.q4cdn.com/249399152/files/doc_financials/2021/ar/ec2f121c-9941-4dd9-b50a-0aff00d26816-1.pdf" TargetMode="External"/><Relationship Id="rId30" Type="http://schemas.openxmlformats.org/officeDocument/2006/relationships/hyperlink" Target="https://doi.org/10.3846/jbem.2023.19251" TargetMode="External"/><Relationship Id="rId74" Type="http://schemas.openxmlformats.org/officeDocument/2006/relationships/hyperlink" Target="https://s203.q4cdn.com/249399152/files/doc_financials/2021/ar/ec2f121c-9941-4dd9-b50a-0aff00d26816-1.pdf" TargetMode="External"/><Relationship Id="rId33" Type="http://schemas.openxmlformats.org/officeDocument/2006/relationships/hyperlink" Target="https://stories.hilton.com/2024-annual-report" TargetMode="External"/><Relationship Id="rId77" Type="http://schemas.openxmlformats.org/officeDocument/2006/relationships/hyperlink" Target="https://s203.q4cdn.com/249399152/files/doc_financials/2021/ar/ec2f121c-9941-4dd9-b50a-0aff00d26816-1.pdf" TargetMode="External"/><Relationship Id="rId32" Type="http://schemas.openxmlformats.org/officeDocument/2006/relationships/hyperlink" Target="https://stories.hilton.com/2024-annual-report" TargetMode="External"/><Relationship Id="rId76" Type="http://schemas.openxmlformats.org/officeDocument/2006/relationships/hyperlink" Target="https://s203.q4cdn.com/249399152/files/doc_financials/2021/ar/ec2f121c-9941-4dd9-b50a-0aff00d26816-1.pdf" TargetMode="External"/><Relationship Id="rId35" Type="http://schemas.openxmlformats.org/officeDocument/2006/relationships/hyperlink" Target="https://doi.org/10.1080/13032917.2024.2303639" TargetMode="External"/><Relationship Id="rId79" Type="http://schemas.openxmlformats.org/officeDocument/2006/relationships/hyperlink" Target="https://doi.org/10.1007/978-3-031-35009-2" TargetMode="External"/><Relationship Id="rId34" Type="http://schemas.openxmlformats.org/officeDocument/2006/relationships/hyperlink" Target="https://doi.org/10.1080/13032917.2024.2303639" TargetMode="External"/><Relationship Id="rId78" Type="http://schemas.openxmlformats.org/officeDocument/2006/relationships/hyperlink" Target="https://doi.org/10.1007/978-3-031-35009-2" TargetMode="External"/><Relationship Id="rId71" Type="http://schemas.openxmlformats.org/officeDocument/2006/relationships/hyperlink" Target="https://www.oecd.org/content/dam/oecd/en/publications/reports/2024/07/corporate-tax-statistics-2024_ce7e5701/9c27d6e8-en.pdf" TargetMode="External"/><Relationship Id="rId70" Type="http://schemas.openxmlformats.org/officeDocument/2006/relationships/hyperlink" Target="https://www.oecd.org/content/dam/oecd/en/publications/reports/2024/07/corporate-tax-statistics-2024_ce7e5701/9c27d6e8-en.pdf" TargetMode="External"/><Relationship Id="rId37" Type="http://schemas.openxmlformats.org/officeDocument/2006/relationships/hyperlink" Target="https://www.imf.org/en/-/media/files/publications/weo/2024/october/english/text.pdf" TargetMode="External"/><Relationship Id="rId36" Type="http://schemas.openxmlformats.org/officeDocument/2006/relationships/hyperlink" Target="https://www.imf.org/en/-/media/files/publications/weo/2024/october/english/text.pdf" TargetMode="External"/><Relationship Id="rId39" Type="http://schemas.openxmlformats.org/officeDocument/2006/relationships/hyperlink" Target="https://doi.org/10.1016/j.joitmc.2023.100081" TargetMode="External"/><Relationship Id="rId38" Type="http://schemas.openxmlformats.org/officeDocument/2006/relationships/hyperlink" Target="https://doi.org/10.1016/j.joitmc.2023.100081" TargetMode="External"/><Relationship Id="rId62" Type="http://schemas.openxmlformats.org/officeDocument/2006/relationships/hyperlink" Target="https://doi.org/10.3390/jrfm16030191" TargetMode="External"/><Relationship Id="rId61" Type="http://schemas.openxmlformats.org/officeDocument/2006/relationships/hyperlink" Target="https://doi.org/10.1007/s44206-023-00074-y" TargetMode="External"/><Relationship Id="rId20" Type="http://schemas.openxmlformats.org/officeDocument/2006/relationships/hyperlink" Target="http://dx.doi.org/10.6007/IJARBSS/v12-i11/15276" TargetMode="External"/><Relationship Id="rId64" Type="http://schemas.openxmlformats.org/officeDocument/2006/relationships/hyperlink" Target="https://doi.org/10.1016/j.ijhm.2022.103366" TargetMode="External"/><Relationship Id="rId63" Type="http://schemas.openxmlformats.org/officeDocument/2006/relationships/hyperlink" Target="https://doi.org/10.3390/jrfm16030191" TargetMode="External"/><Relationship Id="rId22" Type="http://schemas.openxmlformats.org/officeDocument/2006/relationships/hyperlink" Target="https://doi.org/10.1057/s41272-023-00461-7" TargetMode="External"/><Relationship Id="rId66" Type="http://schemas.openxmlformats.org/officeDocument/2006/relationships/hyperlink" Target="https://www.oecd.org/en/publications/2022/01/oecd-transfer-pricing-guidelines-for-multinational-enterprises-and-tax-administrations-2022_57104b3a.html" TargetMode="External"/><Relationship Id="rId21" Type="http://schemas.openxmlformats.org/officeDocument/2006/relationships/hyperlink" Target="http://dx.doi.org/10.6007/IJARBSS/v12-i11/15276" TargetMode="External"/><Relationship Id="rId65" Type="http://schemas.openxmlformats.org/officeDocument/2006/relationships/hyperlink" Target="https://doi.org/10.1016/j.ijhm.2022.103366" TargetMode="External"/><Relationship Id="rId24" Type="http://schemas.openxmlformats.org/officeDocument/2006/relationships/hyperlink" Target="https://doi.org/10.1016/j.ijhm.2022.103144" TargetMode="External"/><Relationship Id="rId68" Type="http://schemas.openxmlformats.org/officeDocument/2006/relationships/hyperlink" Target="https://www.oecd.org/en/publications/2024/07/oecd-tourism-trends-and-policies-2024_17ff33a3/full-report/component-5.html" TargetMode="External"/><Relationship Id="rId23" Type="http://schemas.openxmlformats.org/officeDocument/2006/relationships/hyperlink" Target="https://doi.org/10.1057/s41272-023-00461-7" TargetMode="External"/><Relationship Id="rId67" Type="http://schemas.openxmlformats.org/officeDocument/2006/relationships/hyperlink" Target="https://www.oecd.org/en/publications/2022/01/oecd-transfer-pricing-guidelines-for-multinational-enterprises-and-tax-administrations-2022_57104b3a.html" TargetMode="External"/><Relationship Id="rId60" Type="http://schemas.openxmlformats.org/officeDocument/2006/relationships/hyperlink" Target="https://doi.org/10.1007/s44206-023-00074-y" TargetMode="External"/><Relationship Id="rId26" Type="http://schemas.openxmlformats.org/officeDocument/2006/relationships/hyperlink" Target="https://doi.org/10.1016/j.tourman.2022.104581" TargetMode="External"/><Relationship Id="rId25" Type="http://schemas.openxmlformats.org/officeDocument/2006/relationships/hyperlink" Target="https://doi.org/10.1016/j.ijhm.2022.103144" TargetMode="External"/><Relationship Id="rId69" Type="http://schemas.openxmlformats.org/officeDocument/2006/relationships/hyperlink" Target="https://www.oecd.org/en/publications/2024/07/oecd-tourism-trends-and-policies-2024_17ff33a3/full-report/component-5.html" TargetMode="External"/><Relationship Id="rId28" Type="http://schemas.openxmlformats.org/officeDocument/2006/relationships/hyperlink" Target="https://doi.org/10.1016/j.heliyon.2023.e15850" TargetMode="External"/><Relationship Id="rId27" Type="http://schemas.openxmlformats.org/officeDocument/2006/relationships/hyperlink" Target="https://doi.org/10.1016/j.tourman.2022.104581" TargetMode="External"/><Relationship Id="rId29" Type="http://schemas.openxmlformats.org/officeDocument/2006/relationships/hyperlink" Target="https://doi.org/10.1016/j.heliyon.2023.e15850" TargetMode="External"/><Relationship Id="rId51" Type="http://schemas.openxmlformats.org/officeDocument/2006/relationships/hyperlink" Target="https://doi.org/10.3390/jrfm18010024" TargetMode="External"/><Relationship Id="rId95" Type="http://schemas.openxmlformats.org/officeDocument/2006/relationships/chart" Target="charts/chart4.xml"/><Relationship Id="rId50" Type="http://schemas.openxmlformats.org/officeDocument/2006/relationships/hyperlink" Target="https://doi.org/10.3390/jrfm18010024" TargetMode="External"/><Relationship Id="rId94" Type="http://schemas.openxmlformats.org/officeDocument/2006/relationships/chart" Target="charts/chart6.xml"/><Relationship Id="rId53" Type="http://schemas.openxmlformats.org/officeDocument/2006/relationships/hyperlink" Target="https://doi.org/10.2478/9788367405850-003" TargetMode="External"/><Relationship Id="rId52" Type="http://schemas.openxmlformats.org/officeDocument/2006/relationships/hyperlink" Target="https://doi.org/10.2478/9788367405850-003" TargetMode="External"/><Relationship Id="rId96" Type="http://schemas.openxmlformats.org/officeDocument/2006/relationships/chart" Target="charts/chart5.xml"/><Relationship Id="rId11" Type="http://schemas.openxmlformats.org/officeDocument/2006/relationships/image" Target="media/image6.png"/><Relationship Id="rId55" Type="http://schemas.openxmlformats.org/officeDocument/2006/relationships/hyperlink" Target="https://doi.org/10.1177/19389655211006076" TargetMode="External"/><Relationship Id="rId10" Type="http://schemas.openxmlformats.org/officeDocument/2006/relationships/image" Target="media/image4.png"/><Relationship Id="rId54" Type="http://schemas.openxmlformats.org/officeDocument/2006/relationships/hyperlink" Target="https://doi.org/10.1177/19389655211006076" TargetMode="External"/><Relationship Id="rId13" Type="http://schemas.openxmlformats.org/officeDocument/2006/relationships/hyperlink" Target="https://www.ahla.com/resource/beyond-recovery-american-hotel-lodging-association-2024-state-industry-report" TargetMode="External"/><Relationship Id="rId57" Type="http://schemas.openxmlformats.org/officeDocument/2006/relationships/hyperlink" Target="https://marriott.gcs-web.com/static-files/a7664c0f-5bd1-4066-9fc9-b05eb6c93772" TargetMode="External"/><Relationship Id="rId12" Type="http://schemas.openxmlformats.org/officeDocument/2006/relationships/hyperlink" Target="https://www.ahla.com/resource/beyond-recovery-american-hotel-lodging-association-2024-state-industry-report" TargetMode="External"/><Relationship Id="rId56" Type="http://schemas.openxmlformats.org/officeDocument/2006/relationships/hyperlink" Target="https://marriott.gcs-web.com/static-files/a7664c0f-5bd1-4066-9fc9-b05eb6c93772" TargetMode="External"/><Relationship Id="rId91" Type="http://schemas.openxmlformats.org/officeDocument/2006/relationships/chart" Target="charts/chart1.xml"/><Relationship Id="rId90" Type="http://schemas.openxmlformats.org/officeDocument/2006/relationships/hyperlink" Target="https://doi.org/10.1016/j.ijhm.2023.103530" TargetMode="External"/><Relationship Id="rId93" Type="http://schemas.openxmlformats.org/officeDocument/2006/relationships/chart" Target="charts/chart2.xml"/><Relationship Id="rId92" Type="http://schemas.openxmlformats.org/officeDocument/2006/relationships/chart" Target="charts/chart3.xml"/><Relationship Id="rId15" Type="http://schemas.openxmlformats.org/officeDocument/2006/relationships/hyperlink" Target="https://doi.org/10.1186/s40854-022-00425-7" TargetMode="External"/><Relationship Id="rId59" Type="http://schemas.openxmlformats.org/officeDocument/2006/relationships/hyperlink" Target="https://doi.org/10.3390/jrfm16070323" TargetMode="External"/><Relationship Id="rId14" Type="http://schemas.openxmlformats.org/officeDocument/2006/relationships/hyperlink" Target="https://doi.org/10.1186/s40854-022-00425-7" TargetMode="External"/><Relationship Id="rId58" Type="http://schemas.openxmlformats.org/officeDocument/2006/relationships/hyperlink" Target="https://doi.org/10.3390/jrfm16070323" TargetMode="External"/><Relationship Id="rId17" Type="http://schemas.openxmlformats.org/officeDocument/2006/relationships/hyperlink" Target="https://doi.org/10.3390/tourhosp5030043" TargetMode="External"/><Relationship Id="rId16" Type="http://schemas.openxmlformats.org/officeDocument/2006/relationships/hyperlink" Target="https://doi.org/10.3390/tourhosp5030043" TargetMode="External"/><Relationship Id="rId19" Type="http://schemas.openxmlformats.org/officeDocument/2006/relationships/hyperlink" Target="https://doi.org/10.1016/j.ijhm.2024.104067" TargetMode="External"/><Relationship Id="rId18" Type="http://schemas.openxmlformats.org/officeDocument/2006/relationships/hyperlink" Target="https://doi.org/10.1016/j.ijhm.2024.104067"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D:\Tanusree\2026\August%2026\11.8.2026\File%202\AZ3055.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D:\Tanusree\2026\August%2026\11.8.2026\File%202\AZ3055.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D:\Tanusree\2026\August%2026\11.8.2026\File%202\AZ3055.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D:\Tanusree\2026\August%2026\11.8.2026\File%202\AZ3055.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D:\Tanusree\2026\August%2026\11.8.2026\File%202\AZ3055.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D:\Tanusree\2026\August%2026\11.8.2026\File%202\AZ3055.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8.2527682086614193E-2"/>
          <c:y val="0.13801706036745406"/>
          <c:w val="0.95703125"/>
          <c:h val="0.75531627296587922"/>
        </c:manualLayout>
      </c:layout>
      <c:barChart>
        <c:barDir val="col"/>
        <c:grouping val="clustered"/>
        <c:varyColors val="0"/>
        <c:ser>
          <c:idx val="0"/>
          <c:order val="0"/>
          <c:tx>
            <c:strRef>
              <c:f>'Ratio Analysis'!$A$6</c:f>
              <c:strCache>
                <c:ptCount val="1"/>
                <c:pt idx="0">
                  <c:v>Net profit margin</c:v>
                </c:pt>
              </c:strCache>
            </c:strRef>
          </c:tx>
          <c:spPr>
            <a:gradFill rotWithShape="1">
              <a:gsLst>
                <a:gs pos="0">
                  <a:schemeClr val="accent6">
                    <a:tint val="67000"/>
                    <a:lumMod val="110000"/>
                    <a:satMod val="105000"/>
                  </a:schemeClr>
                </a:gs>
                <a:gs pos="50000">
                  <a:schemeClr val="accent6">
                    <a:tint val="73000"/>
                    <a:lumMod val="105000"/>
                    <a:satMod val="103000"/>
                  </a:schemeClr>
                </a:gs>
                <a:gs pos="100000">
                  <a:schemeClr val="accent6">
                    <a:tint val="81000"/>
                    <a:lumMod val="105000"/>
                    <a:satMod val="109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Analysis'!$C$5,'Ratio Analysis'!$E$5,'Ratio Analysis'!$G$5,'Ratio Analysis'!$I$5,'Ratio Analysis'!$K$5)</c:f>
              <c:numCache>
                <c:formatCode>General</c:formatCode>
                <c:ptCount val="5"/>
                <c:pt idx="0">
                  <c:v>2020</c:v>
                </c:pt>
                <c:pt idx="1">
                  <c:v>2021</c:v>
                </c:pt>
                <c:pt idx="2">
                  <c:v>2022</c:v>
                </c:pt>
                <c:pt idx="3">
                  <c:v>2023</c:v>
                </c:pt>
                <c:pt idx="4">
                  <c:v>2024</c:v>
                </c:pt>
              </c:numCache>
            </c:numRef>
          </c:cat>
          <c:val>
            <c:numRef>
              <c:f>('Ratio Analysis'!$C$6,'Ratio Analysis'!$E$6,'Ratio Analysis'!$G$6,'Ratio Analysis'!$I$6,'Ratio Analysis'!$K$6)</c:f>
              <c:numCache>
                <c:formatCode>0.00%;[Red]\(0.00%\);\-</c:formatCode>
                <c:ptCount val="5"/>
                <c:pt idx="0">
                  <c:v>-0.34027105517909001</c:v>
                </c:pt>
                <c:pt idx="1">
                  <c:v>-7.3315719947159838E-2</c:v>
                </c:pt>
                <c:pt idx="2">
                  <c:v>7.7236462400271599E-2</c:v>
                </c:pt>
                <c:pt idx="3">
                  <c:v>3.2998350082495874E-2</c:v>
                </c:pt>
                <c:pt idx="4">
                  <c:v>0.19494584837545126</c:v>
                </c:pt>
              </c:numCache>
            </c:numRef>
          </c:val>
          <c:extLst>
            <c:ext xmlns:c16="http://schemas.microsoft.com/office/drawing/2014/chart" uri="{C3380CC4-5D6E-409C-BE32-E72D297353CC}">
              <c16:uniqueId val="{00000000-082F-42D5-AC70-DEC61E542364}"/>
            </c:ext>
          </c:extLst>
        </c:ser>
        <c:ser>
          <c:idx val="1"/>
          <c:order val="1"/>
          <c:tx>
            <c:strRef>
              <c:f>'Ratio Analysis'!$A$7</c:f>
              <c:strCache>
                <c:ptCount val="1"/>
                <c:pt idx="0">
                  <c:v>Return on assets (closing assets)</c:v>
                </c:pt>
              </c:strCache>
            </c:strRef>
          </c:tx>
          <c:spPr>
            <a:gradFill rotWithShape="1">
              <a:gsLst>
                <a:gs pos="0">
                  <a:schemeClr val="accent5">
                    <a:tint val="67000"/>
                    <a:lumMod val="110000"/>
                    <a:satMod val="105000"/>
                  </a:schemeClr>
                </a:gs>
                <a:gs pos="50000">
                  <a:schemeClr val="accent5">
                    <a:tint val="73000"/>
                    <a:lumMod val="105000"/>
                    <a:satMod val="103000"/>
                  </a:schemeClr>
                </a:gs>
                <a:gs pos="100000">
                  <a:schemeClr val="accent5">
                    <a:tint val="81000"/>
                    <a:lumMod val="105000"/>
                    <a:satMod val="109000"/>
                  </a:schemeClr>
                </a:gs>
              </a:gsLst>
              <a:lin ang="5400000" scaled="0"/>
            </a:gradFill>
            <a:ln w="9525" cap="flat" cmpd="sng" algn="ctr">
              <a:solidFill>
                <a:schemeClr val="accent5">
                  <a:shade val="95000"/>
                </a:schemeClr>
              </a:solidFill>
              <a:round/>
            </a:ln>
            <a:effectLst/>
          </c:spPr>
          <c:invertIfNegative val="0"/>
          <c:dLbls>
            <c:dLbl>
              <c:idx val="1"/>
              <c:layout>
                <c:manualLayout>
                  <c:x val="-7.1613756045112456E-17"/>
                  <c:y val="-1.6666666666666666E-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82F-42D5-AC70-DEC61E54236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Analysis'!$C$5,'Ratio Analysis'!$E$5,'Ratio Analysis'!$G$5,'Ratio Analysis'!$I$5,'Ratio Analysis'!$K$5)</c:f>
              <c:numCache>
                <c:formatCode>General</c:formatCode>
                <c:ptCount val="5"/>
                <c:pt idx="0">
                  <c:v>2020</c:v>
                </c:pt>
                <c:pt idx="1">
                  <c:v>2021</c:v>
                </c:pt>
                <c:pt idx="2">
                  <c:v>2022</c:v>
                </c:pt>
                <c:pt idx="3">
                  <c:v>2023</c:v>
                </c:pt>
                <c:pt idx="4">
                  <c:v>2024</c:v>
                </c:pt>
              </c:numCache>
            </c:numRef>
          </c:cat>
          <c:val>
            <c:numRef>
              <c:f>('Ratio Analysis'!$C$7,'Ratio Analysis'!$E$7,'Ratio Analysis'!$G$7,'Ratio Analysis'!$I$7,'Ratio Analysis'!$K$7)</c:f>
              <c:numCache>
                <c:formatCode>0.00%;[Red]\(0.00%\);\-</c:formatCode>
                <c:ptCount val="5"/>
                <c:pt idx="0">
                  <c:v>-7.7007339248548579E-2</c:v>
                </c:pt>
                <c:pt idx="1">
                  <c:v>-1.7614853606284217E-2</c:v>
                </c:pt>
                <c:pt idx="2">
                  <c:v>3.6955815464587392E-2</c:v>
                </c:pt>
                <c:pt idx="3">
                  <c:v>1.7143302423439571E-2</c:v>
                </c:pt>
                <c:pt idx="4">
                  <c:v>9.7268087661362954E-2</c:v>
                </c:pt>
              </c:numCache>
            </c:numRef>
          </c:val>
          <c:extLst>
            <c:ext xmlns:c16="http://schemas.microsoft.com/office/drawing/2014/chart" uri="{C3380CC4-5D6E-409C-BE32-E72D297353CC}">
              <c16:uniqueId val="{00000002-082F-42D5-AC70-DEC61E542364}"/>
            </c:ext>
          </c:extLst>
        </c:ser>
        <c:ser>
          <c:idx val="2"/>
          <c:order val="2"/>
          <c:tx>
            <c:strRef>
              <c:f>'Ratio Analysis'!$A$8</c:f>
              <c:strCache>
                <c:ptCount val="1"/>
                <c:pt idx="0">
                  <c:v>Return on equity (closing equity)</c:v>
                </c:pt>
              </c:strCache>
            </c:strRef>
          </c:tx>
          <c:spPr>
            <a:gradFill rotWithShape="1">
              <a:gsLst>
                <a:gs pos="0">
                  <a:schemeClr val="accent4">
                    <a:tint val="67000"/>
                    <a:lumMod val="110000"/>
                    <a:satMod val="105000"/>
                  </a:schemeClr>
                </a:gs>
                <a:gs pos="50000">
                  <a:schemeClr val="accent4">
                    <a:tint val="73000"/>
                    <a:lumMod val="105000"/>
                    <a:satMod val="103000"/>
                  </a:schemeClr>
                </a:gs>
                <a:gs pos="100000">
                  <a:schemeClr val="accent4">
                    <a:tint val="81000"/>
                    <a:lumMod val="105000"/>
                    <a:satMod val="109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Analysis'!$C$5,'Ratio Analysis'!$E$5,'Ratio Analysis'!$G$5,'Ratio Analysis'!$I$5,'Ratio Analysis'!$K$5)</c:f>
              <c:numCache>
                <c:formatCode>General</c:formatCode>
                <c:ptCount val="5"/>
                <c:pt idx="0">
                  <c:v>2020</c:v>
                </c:pt>
                <c:pt idx="1">
                  <c:v>2021</c:v>
                </c:pt>
                <c:pt idx="2">
                  <c:v>2022</c:v>
                </c:pt>
                <c:pt idx="3">
                  <c:v>2023</c:v>
                </c:pt>
                <c:pt idx="4">
                  <c:v>2024</c:v>
                </c:pt>
              </c:numCache>
            </c:numRef>
          </c:cat>
          <c:val>
            <c:numRef>
              <c:f>('Ratio Analysis'!$C$8,'Ratio Analysis'!$E$8,'Ratio Analysis'!$G$8,'Ratio Analysis'!$I$8,'Ratio Analysis'!$K$8)</c:f>
              <c:numCache>
                <c:formatCode>0.00%;[Red]\(0.00%\);\-</c:formatCode>
                <c:ptCount val="5"/>
                <c:pt idx="0">
                  <c:v>-0.21893491124260356</c:v>
                </c:pt>
                <c:pt idx="1">
                  <c:v>-6.2307044625315743E-2</c:v>
                </c:pt>
                <c:pt idx="2">
                  <c:v>0.12300621789672884</c:v>
                </c:pt>
                <c:pt idx="3">
                  <c:v>6.1728395061728392E-2</c:v>
                </c:pt>
                <c:pt idx="4">
                  <c:v>0.36537919368480404</c:v>
                </c:pt>
              </c:numCache>
            </c:numRef>
          </c:val>
          <c:extLst>
            <c:ext xmlns:c16="http://schemas.microsoft.com/office/drawing/2014/chart" uri="{C3380CC4-5D6E-409C-BE32-E72D297353CC}">
              <c16:uniqueId val="{00000003-082F-42D5-AC70-DEC61E542364}"/>
            </c:ext>
          </c:extLst>
        </c:ser>
        <c:dLbls>
          <c:dLblPos val="outEnd"/>
          <c:showLegendKey val="0"/>
          <c:showVal val="1"/>
          <c:showCatName val="0"/>
          <c:showSerName val="0"/>
          <c:showPercent val="0"/>
          <c:showBubbleSize val="0"/>
        </c:dLbls>
        <c:gapWidth val="100"/>
        <c:overlap val="-24"/>
        <c:axId val="2126470112"/>
        <c:axId val="80492559"/>
      </c:barChart>
      <c:catAx>
        <c:axId val="2126470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80492559"/>
        <c:crosses val="autoZero"/>
        <c:auto val="1"/>
        <c:lblAlgn val="ctr"/>
        <c:lblOffset val="100"/>
        <c:noMultiLvlLbl val="0"/>
      </c:catAx>
      <c:valAx>
        <c:axId val="80492559"/>
        <c:scaling>
          <c:orientation val="minMax"/>
        </c:scaling>
        <c:delete val="0"/>
        <c:axPos val="l"/>
        <c:majorGridlines>
          <c:spPr>
            <a:ln w="9525" cap="flat" cmpd="sng" algn="ctr">
              <a:solidFill>
                <a:schemeClr val="tx1">
                  <a:lumMod val="15000"/>
                  <a:lumOff val="85000"/>
                </a:schemeClr>
              </a:solidFill>
              <a:round/>
            </a:ln>
            <a:effectLst/>
          </c:spPr>
        </c:majorGridlines>
        <c:numFmt formatCode="0.00%;[Red]\(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26470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'Ratio Analysis'!$A$16</c:f>
              <c:strCache>
                <c:ptCount val="1"/>
                <c:pt idx="0">
                  <c:v>Total asset turnover</c:v>
                </c:pt>
              </c:strCache>
            </c:strRef>
          </c:tx>
          <c:spPr>
            <a:gradFill rotWithShape="1">
              <a:gsLst>
                <a:gs pos="0">
                  <a:schemeClr val="accent1">
                    <a:tint val="94000"/>
                    <a:lumMod val="102000"/>
                    <a:satMod val="103000"/>
                  </a:schemeClr>
                </a:gs>
                <a:gs pos="50000">
                  <a:schemeClr val="accent1">
                    <a:shade val="100000"/>
                    <a:lumMod val="100000"/>
                    <a:satMod val="110000"/>
                  </a:schemeClr>
                </a:gs>
                <a:gs pos="100000">
                  <a:schemeClr val="accent1">
                    <a:shade val="78000"/>
                    <a:lumMod val="99000"/>
                    <a:satMod val="120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('Ratio Analysis'!$C$15,'Ratio Analysis'!$E$15,'Ratio Analysis'!$G$15,'Ratio Analysis'!$I$15,'Ratio Analysis'!$K$15)</c:f>
              <c:numCache>
                <c:formatCode>General</c:formatCode>
                <c:ptCount val="5"/>
                <c:pt idx="0">
                  <c:v>2020</c:v>
                </c:pt>
                <c:pt idx="1">
                  <c:v>2021</c:v>
                </c:pt>
                <c:pt idx="2">
                  <c:v>2022</c:v>
                </c:pt>
                <c:pt idx="3">
                  <c:v>2023</c:v>
                </c:pt>
                <c:pt idx="4">
                  <c:v>2024</c:v>
                </c:pt>
              </c:numCache>
            </c:numRef>
          </c:cat>
          <c:val>
            <c:numRef>
              <c:f>('Ratio Analysis'!$C$16,'Ratio Analysis'!$E$16,'Ratio Analysis'!$G$16,'Ratio Analysis'!$I$16,'Ratio Analysis'!$K$16)</c:f>
              <c:numCache>
                <c:formatCode>0.00\x;[Red]\(0.00\x\);\-</c:formatCode>
                <c:ptCount val="5"/>
                <c:pt idx="0">
                  <c:v>0.22631175375178003</c:v>
                </c:pt>
                <c:pt idx="1">
                  <c:v>0.24026025549472349</c:v>
                </c:pt>
                <c:pt idx="2">
                  <c:v>0.47847628330084468</c:v>
                </c:pt>
                <c:pt idx="3">
                  <c:v>0.51951998753214368</c:v>
                </c:pt>
                <c:pt idx="4">
                  <c:v>0.4989492644851396</c:v>
                </c:pt>
              </c:numCache>
            </c:numRef>
          </c:val>
          <c:extLst>
            <c:ext xmlns:c16="http://schemas.microsoft.com/office/drawing/2014/chart" uri="{C3380CC4-5D6E-409C-BE32-E72D297353CC}">
              <c16:uniqueId val="{00000000-BEBD-47FA-829C-71E9D71A2E08}"/>
            </c:ext>
          </c:extLst>
        </c:ser>
        <c:ser>
          <c:idx val="1"/>
          <c:order val="1"/>
          <c:tx>
            <c:strRef>
              <c:f>'Ratio Analysis'!$A$17</c:f>
              <c:strCache>
                <c:ptCount val="1"/>
                <c:pt idx="0">
                  <c:v>Receivables turnover</c:v>
                </c:pt>
              </c:strCache>
            </c:strRef>
          </c:tx>
          <c:spPr>
            <a:gradFill rotWithShape="1">
              <a:gsLst>
                <a:gs pos="0">
                  <a:schemeClr val="accent2">
                    <a:tint val="94000"/>
                    <a:lumMod val="102000"/>
                    <a:satMod val="103000"/>
                  </a:schemeClr>
                </a:gs>
                <a:gs pos="50000">
                  <a:schemeClr val="accent2">
                    <a:shade val="100000"/>
                    <a:lumMod val="100000"/>
                    <a:satMod val="110000"/>
                  </a:schemeClr>
                </a:gs>
                <a:gs pos="100000">
                  <a:schemeClr val="accent2">
                    <a:shade val="78000"/>
                    <a:lumMod val="99000"/>
                    <a:satMod val="120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('Ratio Analysis'!$C$15,'Ratio Analysis'!$E$15,'Ratio Analysis'!$G$15,'Ratio Analysis'!$I$15,'Ratio Analysis'!$K$15)</c:f>
              <c:numCache>
                <c:formatCode>General</c:formatCode>
                <c:ptCount val="5"/>
                <c:pt idx="0">
                  <c:v>2020</c:v>
                </c:pt>
                <c:pt idx="1">
                  <c:v>2021</c:v>
                </c:pt>
                <c:pt idx="2">
                  <c:v>2022</c:v>
                </c:pt>
                <c:pt idx="3">
                  <c:v>2023</c:v>
                </c:pt>
                <c:pt idx="4">
                  <c:v>2024</c:v>
                </c:pt>
              </c:numCache>
            </c:numRef>
          </c:cat>
          <c:val>
            <c:numRef>
              <c:f>('Ratio Analysis'!$C$17,'Ratio Analysis'!$E$17,'Ratio Analysis'!$G$17,'Ratio Analysis'!$I$17,'Ratio Analysis'!$K$17)</c:f>
              <c:numCache>
                <c:formatCode>0.00\x;[Red]\(0.00\x\);\-</c:formatCode>
                <c:ptCount val="5"/>
                <c:pt idx="0">
                  <c:v>6.537974683544304</c:v>
                </c:pt>
                <c:pt idx="1">
                  <c:v>4.7835703001579777</c:v>
                </c:pt>
                <c:pt idx="2">
                  <c:v>7.0635491606714629</c:v>
                </c:pt>
                <c:pt idx="3">
                  <c:v>7.5503963759909398</c:v>
                </c:pt>
                <c:pt idx="4">
                  <c:v>5.930419268510259</c:v>
                </c:pt>
              </c:numCache>
            </c:numRef>
          </c:val>
          <c:extLst>
            <c:ext xmlns:c16="http://schemas.microsoft.com/office/drawing/2014/chart" uri="{C3380CC4-5D6E-409C-BE32-E72D297353CC}">
              <c16:uniqueId val="{00000001-BEBD-47FA-829C-71E9D71A2E08}"/>
            </c:ext>
          </c:extLst>
        </c:ser>
        <c:ser>
          <c:idx val="2"/>
          <c:order val="2"/>
          <c:tx>
            <c:strRef>
              <c:f>'Ratio Analysis'!$A$18</c:f>
              <c:strCache>
                <c:ptCount val="1"/>
                <c:pt idx="0">
                  <c:v>Receivables collection period (days)</c:v>
                </c:pt>
              </c:strCache>
            </c:strRef>
          </c:tx>
          <c:spPr>
            <a:gradFill rotWithShape="1">
              <a:gsLst>
                <a:gs pos="0">
                  <a:schemeClr val="accent3">
                    <a:tint val="94000"/>
                    <a:lumMod val="102000"/>
                    <a:satMod val="103000"/>
                  </a:schemeClr>
                </a:gs>
                <a:gs pos="50000">
                  <a:schemeClr val="accent3">
                    <a:shade val="100000"/>
                    <a:lumMod val="100000"/>
                    <a:satMod val="110000"/>
                  </a:schemeClr>
                </a:gs>
                <a:gs pos="100000">
                  <a:schemeClr val="accent3">
                    <a:shade val="78000"/>
                    <a:lumMod val="99000"/>
                    <a:satMod val="120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('Ratio Analysis'!$C$15,'Ratio Analysis'!$E$15,'Ratio Analysis'!$G$15,'Ratio Analysis'!$I$15,'Ratio Analysis'!$K$15)</c:f>
              <c:numCache>
                <c:formatCode>General</c:formatCode>
                <c:ptCount val="5"/>
                <c:pt idx="0">
                  <c:v>2020</c:v>
                </c:pt>
                <c:pt idx="1">
                  <c:v>2021</c:v>
                </c:pt>
                <c:pt idx="2">
                  <c:v>2022</c:v>
                </c:pt>
                <c:pt idx="3">
                  <c:v>2023</c:v>
                </c:pt>
                <c:pt idx="4">
                  <c:v>2024</c:v>
                </c:pt>
              </c:numCache>
            </c:numRef>
          </c:cat>
          <c:val>
            <c:numRef>
              <c:f>('Ratio Analysis'!$C$18,'Ratio Analysis'!$E$18,'Ratio Analysis'!$G$18,'Ratio Analysis'!$I$18,'Ratio Analysis'!$K$18)</c:f>
              <c:numCache>
                <c:formatCode>0.00</c:formatCode>
                <c:ptCount val="5"/>
                <c:pt idx="0">
                  <c:v>55.827686350435627</c:v>
                </c:pt>
                <c:pt idx="1">
                  <c:v>76.302840158520482</c:v>
                </c:pt>
                <c:pt idx="2">
                  <c:v>51.673739602783904</c:v>
                </c:pt>
                <c:pt idx="3">
                  <c:v>48.341832908354576</c:v>
                </c:pt>
                <c:pt idx="4">
                  <c:v>61.547081829121538</c:v>
                </c:pt>
              </c:numCache>
            </c:numRef>
          </c:val>
          <c:extLst>
            <c:ext xmlns:c16="http://schemas.microsoft.com/office/drawing/2014/chart" uri="{C3380CC4-5D6E-409C-BE32-E72D297353CC}">
              <c16:uniqueId val="{00000002-BEBD-47FA-829C-71E9D71A2E08}"/>
            </c:ext>
          </c:extLst>
        </c:ser>
        <c:ser>
          <c:idx val="3"/>
          <c:order val="3"/>
          <c:tx>
            <c:strRef>
              <c:f>'Ratio Analysis'!$A$19</c:f>
              <c:strCache>
                <c:ptCount val="1"/>
                <c:pt idx="0">
                  <c:v>Fixed-asset turnover</c:v>
                </c:pt>
              </c:strCache>
            </c:strRef>
          </c:tx>
          <c:spPr>
            <a:gradFill rotWithShape="1">
              <a:gsLst>
                <a:gs pos="0">
                  <a:schemeClr val="accent4">
                    <a:tint val="94000"/>
                    <a:lumMod val="102000"/>
                    <a:satMod val="103000"/>
                  </a:schemeClr>
                </a:gs>
                <a:gs pos="50000">
                  <a:schemeClr val="accent4">
                    <a:shade val="100000"/>
                    <a:lumMod val="100000"/>
                    <a:satMod val="110000"/>
                  </a:schemeClr>
                </a:gs>
                <a:gs pos="100000">
                  <a:schemeClr val="accent4">
                    <a:shade val="78000"/>
                    <a:lumMod val="99000"/>
                    <a:satMod val="120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('Ratio Analysis'!$C$15,'Ratio Analysis'!$E$15,'Ratio Analysis'!$G$15,'Ratio Analysis'!$I$15,'Ratio Analysis'!$K$15)</c:f>
              <c:numCache>
                <c:formatCode>General</c:formatCode>
                <c:ptCount val="5"/>
                <c:pt idx="0">
                  <c:v>2020</c:v>
                </c:pt>
                <c:pt idx="1">
                  <c:v>2021</c:v>
                </c:pt>
                <c:pt idx="2">
                  <c:v>2022</c:v>
                </c:pt>
                <c:pt idx="3">
                  <c:v>2023</c:v>
                </c:pt>
                <c:pt idx="4">
                  <c:v>2024</c:v>
                </c:pt>
              </c:numCache>
            </c:numRef>
          </c:cat>
          <c:val>
            <c:numRef>
              <c:f>('Ratio Analysis'!$C$19,'Ratio Analysis'!$E$19,'Ratio Analysis'!$G$19,'Ratio Analysis'!$I$19,'Ratio Analysis'!$K$19)</c:f>
              <c:numCache>
                <c:formatCode>0.00\x;[Red]\(0.00\x\);\-</c:formatCode>
                <c:ptCount val="5"/>
                <c:pt idx="0">
                  <c:v>0.66090850927703138</c:v>
                </c:pt>
                <c:pt idx="1">
                  <c:v>1.0632022471910112</c:v>
                </c:pt>
                <c:pt idx="2">
                  <c:v>2.4710570469798658</c:v>
                </c:pt>
                <c:pt idx="3">
                  <c:v>2.8491452991452992</c:v>
                </c:pt>
                <c:pt idx="4">
                  <c:v>3.9360568383658969</c:v>
                </c:pt>
              </c:numCache>
            </c:numRef>
          </c:val>
          <c:extLst>
            <c:ext xmlns:c16="http://schemas.microsoft.com/office/drawing/2014/chart" uri="{C3380CC4-5D6E-409C-BE32-E72D297353CC}">
              <c16:uniqueId val="{00000003-BEBD-47FA-829C-71E9D71A2E08}"/>
            </c:ext>
          </c:extLst>
        </c:ser>
        <c:dLbls>
          <c:dLblPos val="outEnd"/>
          <c:showLegendKey val="0"/>
          <c:showVal val="1"/>
          <c:showCatName val="0"/>
          <c:showSerName val="0"/>
          <c:showPercent val="0"/>
          <c:showBubbleSize val="0"/>
        </c:dLbls>
        <c:gapWidth val="100"/>
        <c:overlap val="-24"/>
        <c:axId val="368882623"/>
        <c:axId val="321423567"/>
      </c:barChart>
      <c:catAx>
        <c:axId val="36888262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21423567"/>
        <c:crosses val="autoZero"/>
        <c:auto val="1"/>
        <c:lblAlgn val="ctr"/>
        <c:lblOffset val="100"/>
        <c:noMultiLvlLbl val="0"/>
      </c:catAx>
      <c:valAx>
        <c:axId val="321423567"/>
        <c:scaling>
          <c:orientation val="minMax"/>
        </c:scaling>
        <c:delete val="0"/>
        <c:axPos val="l"/>
        <c:majorGridlines>
          <c:spPr>
            <a:ln w="9525" cap="flat" cmpd="sng" algn="ctr">
              <a:solidFill>
                <a:schemeClr val="tx2">
                  <a:lumMod val="15000"/>
                  <a:lumOff val="85000"/>
                </a:schemeClr>
              </a:solidFill>
              <a:round/>
            </a:ln>
            <a:effectLst/>
          </c:spPr>
        </c:majorGridlines>
        <c:numFmt formatCode="0.00\x;[Red]\(0.00\x\);\-"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3688826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Analysis'!$A$11</c:f>
              <c:strCache>
                <c:ptCount val="1"/>
                <c:pt idx="0">
                  <c:v>Current ratio</c:v>
                </c:pt>
              </c:strCache>
            </c:strRef>
          </c:tx>
          <c:spPr>
            <a:gradFill rotWithShape="1">
              <a:gsLst>
                <a:gs pos="0">
                  <a:schemeClr val="accent6">
                    <a:tint val="67000"/>
                    <a:lumMod val="110000"/>
                    <a:satMod val="105000"/>
                  </a:schemeClr>
                </a:gs>
                <a:gs pos="50000">
                  <a:schemeClr val="accent6">
                    <a:tint val="73000"/>
                    <a:lumMod val="105000"/>
                    <a:satMod val="103000"/>
                  </a:schemeClr>
                </a:gs>
                <a:gs pos="100000">
                  <a:schemeClr val="accent6">
                    <a:tint val="81000"/>
                    <a:lumMod val="105000"/>
                    <a:satMod val="109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Analysis'!$C$10,'Ratio Analysis'!$E$10,'Ratio Analysis'!$G$10,'Ratio Analysis'!$I$10,'Ratio Analysis'!$K$10)</c:f>
              <c:numCache>
                <c:formatCode>General</c:formatCode>
                <c:ptCount val="5"/>
                <c:pt idx="0">
                  <c:v>2020</c:v>
                </c:pt>
                <c:pt idx="1">
                  <c:v>2021</c:v>
                </c:pt>
                <c:pt idx="2">
                  <c:v>2022</c:v>
                </c:pt>
                <c:pt idx="3">
                  <c:v>2023</c:v>
                </c:pt>
                <c:pt idx="4">
                  <c:v>2024</c:v>
                </c:pt>
              </c:numCache>
            </c:numRef>
          </c:cat>
          <c:val>
            <c:numRef>
              <c:f>('Ratio Analysis'!$C$11,'Ratio Analysis'!$E$11,'Ratio Analysis'!$G$11,'Ratio Analysis'!$I$11,'Ratio Analysis'!$K$11)</c:f>
              <c:numCache>
                <c:formatCode>0.00\x;[Red]\(0.00\x\);\-</c:formatCode>
                <c:ptCount val="5"/>
                <c:pt idx="0">
                  <c:v>2.6046747967479673</c:v>
                </c:pt>
                <c:pt idx="1">
                  <c:v>0.9238351254480287</c:v>
                </c:pt>
                <c:pt idx="2">
                  <c:v>0.68451475509583204</c:v>
                </c:pt>
                <c:pt idx="3">
                  <c:v>0.59530463946338741</c:v>
                </c:pt>
                <c:pt idx="4">
                  <c:v>0.8347587049480758</c:v>
                </c:pt>
              </c:numCache>
            </c:numRef>
          </c:val>
          <c:extLst>
            <c:ext xmlns:c16="http://schemas.microsoft.com/office/drawing/2014/chart" uri="{C3380CC4-5D6E-409C-BE32-E72D297353CC}">
              <c16:uniqueId val="{00000000-456C-456B-A42B-38BFD8EACBC3}"/>
            </c:ext>
          </c:extLst>
        </c:ser>
        <c:ser>
          <c:idx val="1"/>
          <c:order val="1"/>
          <c:tx>
            <c:strRef>
              <c:f>'Ratio Analysis'!$A$12</c:f>
              <c:strCache>
                <c:ptCount val="1"/>
                <c:pt idx="0">
                  <c:v>Quick ratio</c:v>
                </c:pt>
              </c:strCache>
            </c:strRef>
          </c:tx>
          <c:spPr>
            <a:gradFill rotWithShape="1">
              <a:gsLst>
                <a:gs pos="0">
                  <a:schemeClr val="accent5">
                    <a:tint val="67000"/>
                    <a:lumMod val="110000"/>
                    <a:satMod val="105000"/>
                  </a:schemeClr>
                </a:gs>
                <a:gs pos="50000">
                  <a:schemeClr val="accent5">
                    <a:tint val="73000"/>
                    <a:lumMod val="105000"/>
                    <a:satMod val="103000"/>
                  </a:schemeClr>
                </a:gs>
                <a:gs pos="100000">
                  <a:schemeClr val="accent5">
                    <a:tint val="81000"/>
                    <a:lumMod val="105000"/>
                    <a:satMod val="109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Analysis'!$C$10,'Ratio Analysis'!$E$10,'Ratio Analysis'!$G$10,'Ratio Analysis'!$I$10,'Ratio Analysis'!$K$10)</c:f>
              <c:numCache>
                <c:formatCode>General</c:formatCode>
                <c:ptCount val="5"/>
                <c:pt idx="0">
                  <c:v>2020</c:v>
                </c:pt>
                <c:pt idx="1">
                  <c:v>2021</c:v>
                </c:pt>
                <c:pt idx="2">
                  <c:v>2022</c:v>
                </c:pt>
                <c:pt idx="3">
                  <c:v>2023</c:v>
                </c:pt>
                <c:pt idx="4">
                  <c:v>2024</c:v>
                </c:pt>
              </c:numCache>
            </c:numRef>
          </c:cat>
          <c:val>
            <c:numRef>
              <c:f>('Ratio Analysis'!$C$12,'Ratio Analysis'!$E$12,'Ratio Analysis'!$G$12,'Ratio Analysis'!$I$12,'Ratio Analysis'!$K$12)</c:f>
              <c:numCache>
                <c:formatCode>0.00\x;[Red]\(0.00\x\);\-</c:formatCode>
                <c:ptCount val="5"/>
                <c:pt idx="0">
                  <c:v>2.2337398373983741</c:v>
                </c:pt>
                <c:pt idx="1">
                  <c:v>0.81541218637992829</c:v>
                </c:pt>
                <c:pt idx="2">
                  <c:v>0.60328567082445994</c:v>
                </c:pt>
                <c:pt idx="3">
                  <c:v>0.49720514253773057</c:v>
                </c:pt>
                <c:pt idx="4">
                  <c:v>0.76481368356750157</c:v>
                </c:pt>
              </c:numCache>
            </c:numRef>
          </c:val>
          <c:extLst>
            <c:ext xmlns:c16="http://schemas.microsoft.com/office/drawing/2014/chart" uri="{C3380CC4-5D6E-409C-BE32-E72D297353CC}">
              <c16:uniqueId val="{00000001-456C-456B-A42B-38BFD8EACBC3}"/>
            </c:ext>
          </c:extLst>
        </c:ser>
        <c:ser>
          <c:idx val="2"/>
          <c:order val="2"/>
          <c:tx>
            <c:strRef>
              <c:f>'Ratio Analysis'!$A$13</c:f>
              <c:strCache>
                <c:ptCount val="1"/>
                <c:pt idx="0">
                  <c:v>Cash ratio</c:v>
                </c:pt>
              </c:strCache>
            </c:strRef>
          </c:tx>
          <c:spPr>
            <a:gradFill rotWithShape="1">
              <a:gsLst>
                <a:gs pos="0">
                  <a:schemeClr val="accent4">
                    <a:tint val="67000"/>
                    <a:lumMod val="110000"/>
                    <a:satMod val="105000"/>
                  </a:schemeClr>
                </a:gs>
                <a:gs pos="50000">
                  <a:schemeClr val="accent4">
                    <a:tint val="73000"/>
                    <a:lumMod val="105000"/>
                    <a:satMod val="103000"/>
                  </a:schemeClr>
                </a:gs>
                <a:gs pos="100000">
                  <a:schemeClr val="accent4">
                    <a:tint val="81000"/>
                    <a:lumMod val="105000"/>
                    <a:satMod val="109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Analysis'!$C$10,'Ratio Analysis'!$E$10,'Ratio Analysis'!$G$10,'Ratio Analysis'!$I$10,'Ratio Analysis'!$K$10)</c:f>
              <c:numCache>
                <c:formatCode>General</c:formatCode>
                <c:ptCount val="5"/>
                <c:pt idx="0">
                  <c:v>2020</c:v>
                </c:pt>
                <c:pt idx="1">
                  <c:v>2021</c:v>
                </c:pt>
                <c:pt idx="2">
                  <c:v>2022</c:v>
                </c:pt>
                <c:pt idx="3">
                  <c:v>2023</c:v>
                </c:pt>
                <c:pt idx="4">
                  <c:v>2024</c:v>
                </c:pt>
              </c:numCache>
            </c:numRef>
          </c:cat>
          <c:val>
            <c:numRef>
              <c:f>('Ratio Analysis'!$C$13,'Ratio Analysis'!$E$13,'Ratio Analysis'!$G$13,'Ratio Analysis'!$I$13,'Ratio Analysis'!$K$13)</c:f>
              <c:numCache>
                <c:formatCode>0.00\x;[Red]\(0.00\x\);\-</c:formatCode>
                <c:ptCount val="5"/>
                <c:pt idx="0">
                  <c:v>1.9126016260162602</c:v>
                </c:pt>
                <c:pt idx="1">
                  <c:v>0.53181003584229392</c:v>
                </c:pt>
                <c:pt idx="2">
                  <c:v>0.34955886826893823</c:v>
                </c:pt>
                <c:pt idx="3">
                  <c:v>0.25041922861934041</c:v>
                </c:pt>
                <c:pt idx="4">
                  <c:v>0.42241905925473427</c:v>
                </c:pt>
              </c:numCache>
            </c:numRef>
          </c:val>
          <c:extLst>
            <c:ext xmlns:c16="http://schemas.microsoft.com/office/drawing/2014/chart" uri="{C3380CC4-5D6E-409C-BE32-E72D297353CC}">
              <c16:uniqueId val="{00000002-456C-456B-A42B-38BFD8EACBC3}"/>
            </c:ext>
          </c:extLst>
        </c:ser>
        <c:dLbls>
          <c:dLblPos val="outEnd"/>
          <c:showLegendKey val="0"/>
          <c:showVal val="1"/>
          <c:showCatName val="0"/>
          <c:showSerName val="0"/>
          <c:showPercent val="0"/>
          <c:showBubbleSize val="0"/>
        </c:dLbls>
        <c:gapWidth val="100"/>
        <c:overlap val="-24"/>
        <c:axId val="352563407"/>
        <c:axId val="321452367"/>
      </c:barChart>
      <c:catAx>
        <c:axId val="3525634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21452367"/>
        <c:crosses val="autoZero"/>
        <c:auto val="1"/>
        <c:lblAlgn val="ctr"/>
        <c:lblOffset val="100"/>
        <c:noMultiLvlLbl val="0"/>
      </c:catAx>
      <c:valAx>
        <c:axId val="321452367"/>
        <c:scaling>
          <c:orientation val="minMax"/>
        </c:scaling>
        <c:delete val="0"/>
        <c:axPos val="l"/>
        <c:majorGridlines>
          <c:spPr>
            <a:ln w="9525" cap="flat" cmpd="sng" algn="ctr">
              <a:solidFill>
                <a:schemeClr val="tx1">
                  <a:lumMod val="15000"/>
                  <a:lumOff val="85000"/>
                </a:schemeClr>
              </a:solidFill>
              <a:round/>
            </a:ln>
            <a:effectLst/>
          </c:spPr>
        </c:majorGridlines>
        <c:numFmt formatCode="0.00\x;[Red]\(0.00\x\);\-"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525634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CASH FLOW RATIOS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Analysis'!$A$32</c:f>
              <c:strCache>
                <c:ptCount val="1"/>
                <c:pt idx="0">
                  <c:v>Operating cash-flow margin</c:v>
                </c:pt>
              </c:strCache>
            </c:strRef>
          </c:tx>
          <c:spPr>
            <a:gradFill rotWithShape="1">
              <a:gsLst>
                <a:gs pos="0">
                  <a:schemeClr val="accent1">
                    <a:tint val="67000"/>
                    <a:lumMod val="110000"/>
                    <a:satMod val="105000"/>
                  </a:schemeClr>
                </a:gs>
                <a:gs pos="50000">
                  <a:schemeClr val="accent1">
                    <a:tint val="73000"/>
                    <a:lumMod val="105000"/>
                    <a:satMod val="103000"/>
                  </a:schemeClr>
                </a:gs>
                <a:gs pos="100000">
                  <a:schemeClr val="accent1">
                    <a:tint val="81000"/>
                    <a:lumMod val="105000"/>
                    <a:satMod val="109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Analysis'!$C$31,'Ratio Analysis'!$E$31,'Ratio Analysis'!$G$31,'Ratio Analysis'!$I$31,'Ratio Analysis'!$K$31)</c:f>
              <c:numCache>
                <c:formatCode>General</c:formatCode>
                <c:ptCount val="5"/>
                <c:pt idx="0">
                  <c:v>2020</c:v>
                </c:pt>
                <c:pt idx="1">
                  <c:v>2021</c:v>
                </c:pt>
                <c:pt idx="2">
                  <c:v>2022</c:v>
                </c:pt>
                <c:pt idx="3">
                  <c:v>2023</c:v>
                </c:pt>
                <c:pt idx="4">
                  <c:v>2024</c:v>
                </c:pt>
              </c:numCache>
            </c:numRef>
          </c:cat>
          <c:val>
            <c:numRef>
              <c:f>('Ratio Analysis'!$C$32,'Ratio Analysis'!$E$32,'Ratio Analysis'!$G$32,'Ratio Analysis'!$I$32,'Ratio Analysis'!$K$32)</c:f>
              <c:numCache>
                <c:formatCode>0.00%;[Red]\(0.00%\);\-</c:formatCode>
                <c:ptCount val="5"/>
                <c:pt idx="0">
                  <c:v>-0.2957405614714424</c:v>
                </c:pt>
                <c:pt idx="1">
                  <c:v>0.10402906208718626</c:v>
                </c:pt>
                <c:pt idx="2">
                  <c:v>0.11441181463249024</c:v>
                </c:pt>
                <c:pt idx="3">
                  <c:v>0.119994000299985</c:v>
                </c:pt>
                <c:pt idx="4">
                  <c:v>9.5216606498194939E-2</c:v>
                </c:pt>
              </c:numCache>
            </c:numRef>
          </c:val>
          <c:extLst>
            <c:ext xmlns:c16="http://schemas.microsoft.com/office/drawing/2014/chart" uri="{C3380CC4-5D6E-409C-BE32-E72D297353CC}">
              <c16:uniqueId val="{00000000-A0F4-4165-A061-D527D35F0D7C}"/>
            </c:ext>
          </c:extLst>
        </c:ser>
        <c:ser>
          <c:idx val="1"/>
          <c:order val="1"/>
          <c:tx>
            <c:strRef>
              <c:f>'Ratio Analysis'!$A$33</c:f>
              <c:strCache>
                <c:ptCount val="1"/>
                <c:pt idx="0">
                  <c:v>Operating cash flow / current liabilities</c:v>
                </c:pt>
              </c:strCache>
            </c:strRef>
          </c:tx>
          <c:spPr>
            <a:gradFill rotWithShape="1">
              <a:gsLst>
                <a:gs pos="0">
                  <a:schemeClr val="accent2">
                    <a:tint val="67000"/>
                    <a:lumMod val="110000"/>
                    <a:satMod val="105000"/>
                  </a:schemeClr>
                </a:gs>
                <a:gs pos="50000">
                  <a:schemeClr val="accent2">
                    <a:tint val="73000"/>
                    <a:lumMod val="105000"/>
                    <a:satMod val="103000"/>
                  </a:schemeClr>
                </a:gs>
                <a:gs pos="100000">
                  <a:schemeClr val="accent2">
                    <a:tint val="81000"/>
                    <a:lumMod val="105000"/>
                    <a:satMod val="109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Analysis'!$C$31,'Ratio Analysis'!$E$31,'Ratio Analysis'!$G$31,'Ratio Analysis'!$I$31,'Ratio Analysis'!$K$31)</c:f>
              <c:numCache>
                <c:formatCode>General</c:formatCode>
                <c:ptCount val="5"/>
                <c:pt idx="0">
                  <c:v>2020</c:v>
                </c:pt>
                <c:pt idx="1">
                  <c:v>2021</c:v>
                </c:pt>
                <c:pt idx="2">
                  <c:v>2022</c:v>
                </c:pt>
                <c:pt idx="3">
                  <c:v>2023</c:v>
                </c:pt>
                <c:pt idx="4">
                  <c:v>2024</c:v>
                </c:pt>
              </c:numCache>
            </c:numRef>
          </c:cat>
          <c:val>
            <c:numRef>
              <c:f>('Ratio Analysis'!$C$33,'Ratio Analysis'!$E$33,'Ratio Analysis'!$G$33,'Ratio Analysis'!$I$33,'Ratio Analysis'!$K$33)</c:f>
              <c:numCache>
                <c:formatCode>0.00%;[Red]\(0.00%\);\-</c:formatCode>
                <c:ptCount val="5"/>
                <c:pt idx="0">
                  <c:v>-0.62093495934959353</c:v>
                </c:pt>
                <c:pt idx="1">
                  <c:v>0.14112903225806453</c:v>
                </c:pt>
                <c:pt idx="2">
                  <c:v>0.20505019774870703</c:v>
                </c:pt>
                <c:pt idx="3">
                  <c:v>0.22358859698155395</c:v>
                </c:pt>
                <c:pt idx="4">
                  <c:v>0.19334147831398901</c:v>
                </c:pt>
              </c:numCache>
            </c:numRef>
          </c:val>
          <c:extLst>
            <c:ext xmlns:c16="http://schemas.microsoft.com/office/drawing/2014/chart" uri="{C3380CC4-5D6E-409C-BE32-E72D297353CC}">
              <c16:uniqueId val="{00000001-A0F4-4165-A061-D527D35F0D7C}"/>
            </c:ext>
          </c:extLst>
        </c:ser>
        <c:ser>
          <c:idx val="2"/>
          <c:order val="2"/>
          <c:tx>
            <c:strRef>
              <c:f>'Ratio Analysis'!$A$34</c:f>
              <c:strCache>
                <c:ptCount val="1"/>
                <c:pt idx="0">
                  <c:v>Cash debt coverage</c:v>
                </c:pt>
              </c:strCache>
            </c:strRef>
          </c:tx>
          <c:spPr>
            <a:gradFill rotWithShape="1">
              <a:gsLst>
                <a:gs pos="0">
                  <a:schemeClr val="accent3">
                    <a:tint val="67000"/>
                    <a:lumMod val="110000"/>
                    <a:satMod val="105000"/>
                  </a:schemeClr>
                </a:gs>
                <a:gs pos="50000">
                  <a:schemeClr val="accent3">
                    <a:tint val="73000"/>
                    <a:lumMod val="105000"/>
                    <a:satMod val="103000"/>
                  </a:schemeClr>
                </a:gs>
                <a:gs pos="100000">
                  <a:schemeClr val="accent3">
                    <a:tint val="81000"/>
                    <a:lumMod val="105000"/>
                    <a:satMod val="109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Analysis'!$C$31,'Ratio Analysis'!$E$31,'Ratio Analysis'!$G$31,'Ratio Analysis'!$I$31,'Ratio Analysis'!$K$31)</c:f>
              <c:numCache>
                <c:formatCode>General</c:formatCode>
                <c:ptCount val="5"/>
                <c:pt idx="0">
                  <c:v>2020</c:v>
                </c:pt>
                <c:pt idx="1">
                  <c:v>2021</c:v>
                </c:pt>
                <c:pt idx="2">
                  <c:v>2022</c:v>
                </c:pt>
                <c:pt idx="3">
                  <c:v>2023</c:v>
                </c:pt>
                <c:pt idx="4">
                  <c:v>2024</c:v>
                </c:pt>
              </c:numCache>
            </c:numRef>
          </c:cat>
          <c:val>
            <c:numRef>
              <c:f>('Ratio Analysis'!$C$34,'Ratio Analysis'!$E$34,'Ratio Analysis'!$G$34,'Ratio Analysis'!$I$34,'Ratio Analysis'!$K$34)</c:f>
              <c:numCache>
                <c:formatCode>0.00%;[Red]\(0.00%\);\-</c:formatCode>
                <c:ptCount val="5"/>
                <c:pt idx="0">
                  <c:v>-0.18834771886559803</c:v>
                </c:pt>
                <c:pt idx="1">
                  <c:v>7.9185520361990946E-2</c:v>
                </c:pt>
                <c:pt idx="2">
                  <c:v>0.21651140379055572</c:v>
                </c:pt>
                <c:pt idx="3">
                  <c:v>0.26178010471204188</c:v>
                </c:pt>
                <c:pt idx="4">
                  <c:v>0.16737176097303014</c:v>
                </c:pt>
              </c:numCache>
            </c:numRef>
          </c:val>
          <c:extLst>
            <c:ext xmlns:c16="http://schemas.microsoft.com/office/drawing/2014/chart" uri="{C3380CC4-5D6E-409C-BE32-E72D297353CC}">
              <c16:uniqueId val="{00000002-A0F4-4165-A061-D527D35F0D7C}"/>
            </c:ext>
          </c:extLst>
        </c:ser>
        <c:dLbls>
          <c:dLblPos val="outEnd"/>
          <c:showLegendKey val="0"/>
          <c:showVal val="1"/>
          <c:showCatName val="0"/>
          <c:showSerName val="0"/>
          <c:showPercent val="0"/>
          <c:showBubbleSize val="0"/>
        </c:dLbls>
        <c:gapWidth val="100"/>
        <c:overlap val="-24"/>
        <c:axId val="530635775"/>
        <c:axId val="456106191"/>
      </c:barChart>
      <c:catAx>
        <c:axId val="530635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56106191"/>
        <c:crosses val="autoZero"/>
        <c:auto val="1"/>
        <c:lblAlgn val="ctr"/>
        <c:lblOffset val="100"/>
        <c:noMultiLvlLbl val="0"/>
      </c:catAx>
      <c:valAx>
        <c:axId val="456106191"/>
        <c:scaling>
          <c:orientation val="minMax"/>
        </c:scaling>
        <c:delete val="0"/>
        <c:axPos val="l"/>
        <c:majorGridlines>
          <c:spPr>
            <a:ln w="9525" cap="flat" cmpd="sng" algn="ctr">
              <a:solidFill>
                <a:schemeClr val="tx1">
                  <a:lumMod val="15000"/>
                  <a:lumOff val="85000"/>
                </a:schemeClr>
              </a:solidFill>
              <a:round/>
            </a:ln>
            <a:effectLst/>
          </c:spPr>
        </c:majorGridlines>
        <c:numFmt formatCode="0.00%;[Red]\(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306357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INVESTMENT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Analysis'!$A$28</c:f>
              <c:strCache>
                <c:ptCount val="1"/>
                <c:pt idx="0">
                  <c:v>Diluted EPS ($)</c:v>
                </c:pt>
              </c:strCache>
            </c:strRef>
          </c:tx>
          <c:spPr>
            <a:gradFill rotWithShape="1">
              <a:gsLst>
                <a:gs pos="0">
                  <a:schemeClr val="accent6">
                    <a:tint val="67000"/>
                    <a:lumMod val="110000"/>
                    <a:satMod val="105000"/>
                  </a:schemeClr>
                </a:gs>
                <a:gs pos="50000">
                  <a:schemeClr val="accent6">
                    <a:tint val="73000"/>
                    <a:lumMod val="105000"/>
                    <a:satMod val="103000"/>
                  </a:schemeClr>
                </a:gs>
                <a:gs pos="100000">
                  <a:schemeClr val="accent6">
                    <a:tint val="81000"/>
                    <a:lumMod val="105000"/>
                    <a:satMod val="109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Analysis'!$C$27,'Ratio Analysis'!$E$27,'Ratio Analysis'!$G$27,'Ratio Analysis'!$I$27,'Ratio Analysis'!$K$27)</c:f>
              <c:numCache>
                <c:formatCode>General</c:formatCode>
                <c:ptCount val="5"/>
                <c:pt idx="0">
                  <c:v>2020</c:v>
                </c:pt>
                <c:pt idx="1">
                  <c:v>2021</c:v>
                </c:pt>
                <c:pt idx="2">
                  <c:v>2022</c:v>
                </c:pt>
                <c:pt idx="3">
                  <c:v>2023</c:v>
                </c:pt>
                <c:pt idx="4">
                  <c:v>2024</c:v>
                </c:pt>
              </c:numCache>
            </c:numRef>
          </c:cat>
          <c:val>
            <c:numRef>
              <c:f>('Ratio Analysis'!$C$28,'Ratio Analysis'!$E$28,'Ratio Analysis'!$G$28,'Ratio Analysis'!$I$28,'Ratio Analysis'!$K$28)</c:f>
              <c:numCache>
                <c:formatCode>\$0.00;[Red]\(\$0.00\);\-</c:formatCode>
                <c:ptCount val="5"/>
                <c:pt idx="0">
                  <c:v>-6.93</c:v>
                </c:pt>
                <c:pt idx="1">
                  <c:v>-2.13</c:v>
                </c:pt>
                <c:pt idx="2">
                  <c:v>4.09</c:v>
                </c:pt>
                <c:pt idx="3">
                  <c:v>2.0499999999999998</c:v>
                </c:pt>
                <c:pt idx="4">
                  <c:v>12.65</c:v>
                </c:pt>
              </c:numCache>
            </c:numRef>
          </c:val>
          <c:extLst>
            <c:ext xmlns:c16="http://schemas.microsoft.com/office/drawing/2014/chart" uri="{C3380CC4-5D6E-409C-BE32-E72D297353CC}">
              <c16:uniqueId val="{00000000-49B6-47E9-A548-A1F59F922A4F}"/>
            </c:ext>
          </c:extLst>
        </c:ser>
        <c:dLbls>
          <c:showLegendKey val="0"/>
          <c:showVal val="1"/>
          <c:showCatName val="0"/>
          <c:showSerName val="0"/>
          <c:showPercent val="0"/>
          <c:showBubbleSize val="0"/>
        </c:dLbls>
        <c:gapWidth val="219"/>
        <c:overlap val="-27"/>
        <c:axId val="530841327"/>
        <c:axId val="321447087"/>
      </c:barChart>
      <c:lineChart>
        <c:grouping val="standard"/>
        <c:varyColors val="0"/>
        <c:ser>
          <c:idx val="1"/>
          <c:order val="1"/>
          <c:tx>
            <c:strRef>
              <c:f>'Ratio Analysis'!$A$29</c:f>
              <c:strCache>
                <c:ptCount val="1"/>
                <c:pt idx="0">
                  <c:v>Dividend payout ratio</c:v>
                </c:pt>
              </c:strCache>
            </c:strRef>
          </c:tx>
          <c:spPr>
            <a:ln w="15875" cap="rnd">
              <a:solidFill>
                <a:schemeClr val="accent5"/>
              </a:solidFill>
              <a:round/>
            </a:ln>
            <a:effectLst/>
          </c:spPr>
          <c:marker>
            <c:symbol val="none"/>
          </c:marker>
          <c:dLbls>
            <c:dLbl>
              <c:idx val="0"/>
              <c:layout>
                <c:manualLayout>
                  <c:x val="-8.0058206728949016E-3"/>
                  <c:y val="2.811501031621638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9B6-47E9-A548-A1F59F922A4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Analysis'!$C$27,'Ratio Analysis'!$E$27,'Ratio Analysis'!$G$27,'Ratio Analysis'!$I$27,'Ratio Analysis'!$K$27)</c:f>
              <c:numCache>
                <c:formatCode>General</c:formatCode>
                <c:ptCount val="5"/>
                <c:pt idx="0">
                  <c:v>2020</c:v>
                </c:pt>
                <c:pt idx="1">
                  <c:v>2021</c:v>
                </c:pt>
                <c:pt idx="2">
                  <c:v>2022</c:v>
                </c:pt>
                <c:pt idx="3">
                  <c:v>2023</c:v>
                </c:pt>
                <c:pt idx="4">
                  <c:v>2024</c:v>
                </c:pt>
              </c:numCache>
            </c:numRef>
          </c:cat>
          <c:val>
            <c:numRef>
              <c:f>('Ratio Analysis'!$C$29,'Ratio Analysis'!$E$29,'Ratio Analysis'!$G$29,'Ratio Analysis'!$I$29,'Ratio Analysis'!$K$29)</c:f>
              <c:numCache>
                <c:formatCode>0.00%;[Red]\(0.00%\);\-</c:formatCode>
                <c:ptCount val="5"/>
                <c:pt idx="0">
                  <c:v>-2.8449502133712661E-2</c:v>
                </c:pt>
                <c:pt idx="1">
                  <c:v>0</c:v>
                </c:pt>
                <c:pt idx="2">
                  <c:v>0</c:v>
                </c:pt>
                <c:pt idx="3">
                  <c:v>0.21363636363636362</c:v>
                </c:pt>
                <c:pt idx="4">
                  <c:v>4.6296296296296294E-2</c:v>
                </c:pt>
              </c:numCache>
            </c:numRef>
          </c:val>
          <c:smooth val="0"/>
          <c:extLst>
            <c:ext xmlns:c16="http://schemas.microsoft.com/office/drawing/2014/chart" uri="{C3380CC4-5D6E-409C-BE32-E72D297353CC}">
              <c16:uniqueId val="{00000002-49B6-47E9-A548-A1F59F922A4F}"/>
            </c:ext>
          </c:extLst>
        </c:ser>
        <c:dLbls>
          <c:showLegendKey val="0"/>
          <c:showVal val="1"/>
          <c:showCatName val="0"/>
          <c:showSerName val="0"/>
          <c:showPercent val="0"/>
          <c:showBubbleSize val="0"/>
        </c:dLbls>
        <c:marker val="1"/>
        <c:smooth val="0"/>
        <c:axId val="530842719"/>
        <c:axId val="321448047"/>
      </c:lineChart>
      <c:catAx>
        <c:axId val="530841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21447087"/>
        <c:crosses val="autoZero"/>
        <c:auto val="1"/>
        <c:lblAlgn val="ctr"/>
        <c:lblOffset val="100"/>
        <c:noMultiLvlLbl val="0"/>
      </c:catAx>
      <c:valAx>
        <c:axId val="321447087"/>
        <c:scaling>
          <c:orientation val="minMax"/>
        </c:scaling>
        <c:delete val="0"/>
        <c:axPos val="l"/>
        <c:majorGridlines>
          <c:spPr>
            <a:ln w="9525" cap="flat" cmpd="sng" algn="ctr">
              <a:solidFill>
                <a:schemeClr val="tx1">
                  <a:lumMod val="15000"/>
                  <a:lumOff val="85000"/>
                </a:schemeClr>
              </a:solidFill>
              <a:round/>
            </a:ln>
            <a:effectLst/>
          </c:spPr>
        </c:majorGridlines>
        <c:numFmt formatCode="\$0.00;[Red]\(\$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30841327"/>
        <c:crosses val="autoZero"/>
        <c:crossBetween val="between"/>
      </c:valAx>
      <c:valAx>
        <c:axId val="321448047"/>
        <c:scaling>
          <c:orientation val="minMax"/>
        </c:scaling>
        <c:delete val="0"/>
        <c:axPos val="r"/>
        <c:numFmt formatCode="0.00%;[Red]\(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30842719"/>
        <c:crosses val="max"/>
        <c:crossBetween val="between"/>
      </c:valAx>
      <c:catAx>
        <c:axId val="530842719"/>
        <c:scaling>
          <c:orientation val="minMax"/>
        </c:scaling>
        <c:delete val="1"/>
        <c:axPos val="b"/>
        <c:numFmt formatCode="General" sourceLinked="1"/>
        <c:majorTickMark val="none"/>
        <c:minorTickMark val="none"/>
        <c:tickLblPos val="nextTo"/>
        <c:crossAx val="32144804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GEARING AND SOLVENCY RATIOS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8.5540615956232829E-2"/>
          <c:y val="0.13783448145900429"/>
          <c:w val="0.89860352998754001"/>
          <c:h val="0.73627823520082492"/>
        </c:manualLayout>
      </c:layout>
      <c:barChart>
        <c:barDir val="col"/>
        <c:grouping val="clustered"/>
        <c:varyColors val="0"/>
        <c:ser>
          <c:idx val="0"/>
          <c:order val="0"/>
          <c:tx>
            <c:strRef>
              <c:f>'Ratio Analysis'!$A$22</c:f>
              <c:strCache>
                <c:ptCount val="1"/>
                <c:pt idx="0">
                  <c:v>Debt-to-equity</c:v>
                </c:pt>
              </c:strCache>
            </c:strRef>
          </c:tx>
          <c:spPr>
            <a:gradFill rotWithShape="1">
              <a:gsLst>
                <a:gs pos="0">
                  <a:schemeClr val="accent1">
                    <a:tint val="67000"/>
                    <a:lumMod val="110000"/>
                    <a:satMod val="105000"/>
                  </a:schemeClr>
                </a:gs>
                <a:gs pos="50000">
                  <a:schemeClr val="accent1">
                    <a:tint val="73000"/>
                    <a:lumMod val="105000"/>
                    <a:satMod val="103000"/>
                  </a:schemeClr>
                </a:gs>
                <a:gs pos="100000">
                  <a:schemeClr val="accent1">
                    <a:tint val="81000"/>
                    <a:lumMod val="105000"/>
                    <a:satMod val="109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Analysis'!$C$21,'Ratio Analysis'!$E$21,'Ratio Analysis'!$G$21,'Ratio Analysis'!$I$21,'Ratio Analysis'!$K$21)</c:f>
              <c:numCache>
                <c:formatCode>General</c:formatCode>
                <c:ptCount val="5"/>
                <c:pt idx="0">
                  <c:v>2020</c:v>
                </c:pt>
                <c:pt idx="1">
                  <c:v>2021</c:v>
                </c:pt>
                <c:pt idx="2">
                  <c:v>2022</c:v>
                </c:pt>
                <c:pt idx="3">
                  <c:v>2023</c:v>
                </c:pt>
                <c:pt idx="4">
                  <c:v>2024</c:v>
                </c:pt>
              </c:numCache>
            </c:numRef>
          </c:cat>
          <c:val>
            <c:numRef>
              <c:f>('Ratio Analysis'!$C$22,'Ratio Analysis'!$E$22,'Ratio Analysis'!$G$22,'Ratio Analysis'!$I$22,'Ratio Analysis'!$K$22)</c:f>
              <c:numCache>
                <c:formatCode>0.00\x;[Red]\(0.00\x\);\-</c:formatCode>
                <c:ptCount val="5"/>
                <c:pt idx="0">
                  <c:v>1.010277172220492</c:v>
                </c:pt>
                <c:pt idx="1">
                  <c:v>1.1164748807184957</c:v>
                </c:pt>
                <c:pt idx="2">
                  <c:v>0.84157880508245475</c:v>
                </c:pt>
                <c:pt idx="3">
                  <c:v>0.85746352413019078</c:v>
                </c:pt>
                <c:pt idx="4">
                  <c:v>1.0662531716943897</c:v>
                </c:pt>
              </c:numCache>
            </c:numRef>
          </c:val>
          <c:extLst>
            <c:ext xmlns:c16="http://schemas.microsoft.com/office/drawing/2014/chart" uri="{C3380CC4-5D6E-409C-BE32-E72D297353CC}">
              <c16:uniqueId val="{00000000-6C0D-4C26-9F5E-EE984BA30709}"/>
            </c:ext>
          </c:extLst>
        </c:ser>
        <c:ser>
          <c:idx val="1"/>
          <c:order val="1"/>
          <c:tx>
            <c:strRef>
              <c:f>'Ratio Analysis'!$A$23</c:f>
              <c:strCache>
                <c:ptCount val="1"/>
                <c:pt idx="0">
                  <c:v>Debt-to-total-capital</c:v>
                </c:pt>
              </c:strCache>
            </c:strRef>
          </c:tx>
          <c:spPr>
            <a:gradFill rotWithShape="1">
              <a:gsLst>
                <a:gs pos="0">
                  <a:schemeClr val="accent2">
                    <a:tint val="67000"/>
                    <a:lumMod val="110000"/>
                    <a:satMod val="105000"/>
                  </a:schemeClr>
                </a:gs>
                <a:gs pos="50000">
                  <a:schemeClr val="accent2">
                    <a:tint val="73000"/>
                    <a:lumMod val="105000"/>
                    <a:satMod val="103000"/>
                  </a:schemeClr>
                </a:gs>
                <a:gs pos="100000">
                  <a:schemeClr val="accent2">
                    <a:tint val="81000"/>
                    <a:lumMod val="105000"/>
                    <a:satMod val="109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Analysis'!$C$21,'Ratio Analysis'!$E$21,'Ratio Analysis'!$G$21,'Ratio Analysis'!$I$21,'Ratio Analysis'!$K$21)</c:f>
              <c:numCache>
                <c:formatCode>General</c:formatCode>
                <c:ptCount val="5"/>
                <c:pt idx="0">
                  <c:v>2020</c:v>
                </c:pt>
                <c:pt idx="1">
                  <c:v>2021</c:v>
                </c:pt>
                <c:pt idx="2">
                  <c:v>2022</c:v>
                </c:pt>
                <c:pt idx="3">
                  <c:v>2023</c:v>
                </c:pt>
                <c:pt idx="4">
                  <c:v>2024</c:v>
                </c:pt>
              </c:numCache>
            </c:numRef>
          </c:cat>
          <c:val>
            <c:numRef>
              <c:f>('Ratio Analysis'!$C$23,'Ratio Analysis'!$E$23,'Ratio Analysis'!$G$23,'Ratio Analysis'!$I$23,'Ratio Analysis'!$K$23)</c:f>
              <c:numCache>
                <c:formatCode>0.00\x;[Red]\(0.00\x\);\-</c:formatCode>
                <c:ptCount val="5"/>
                <c:pt idx="0">
                  <c:v>0.50255615801704101</c:v>
                </c:pt>
                <c:pt idx="1">
                  <c:v>0.5275162445299032</c:v>
                </c:pt>
                <c:pt idx="2">
                  <c:v>0.45698766881972991</c:v>
                </c:pt>
                <c:pt idx="3">
                  <c:v>0.46163141993957701</c:v>
                </c:pt>
                <c:pt idx="4">
                  <c:v>0.51603220084595447</c:v>
                </c:pt>
              </c:numCache>
            </c:numRef>
          </c:val>
          <c:extLst>
            <c:ext xmlns:c16="http://schemas.microsoft.com/office/drawing/2014/chart" uri="{C3380CC4-5D6E-409C-BE32-E72D297353CC}">
              <c16:uniqueId val="{00000001-6C0D-4C26-9F5E-EE984BA30709}"/>
            </c:ext>
          </c:extLst>
        </c:ser>
        <c:ser>
          <c:idx val="2"/>
          <c:order val="2"/>
          <c:tx>
            <c:strRef>
              <c:f>'Ratio Analysis'!$A$24</c:f>
              <c:strCache>
                <c:ptCount val="1"/>
                <c:pt idx="0">
                  <c:v>Net debt-to-total-capital</c:v>
                </c:pt>
              </c:strCache>
            </c:strRef>
          </c:tx>
          <c:spPr>
            <a:gradFill rotWithShape="1">
              <a:gsLst>
                <a:gs pos="0">
                  <a:schemeClr val="accent3">
                    <a:tint val="67000"/>
                    <a:lumMod val="110000"/>
                    <a:satMod val="105000"/>
                  </a:schemeClr>
                </a:gs>
                <a:gs pos="50000">
                  <a:schemeClr val="accent3">
                    <a:tint val="73000"/>
                    <a:lumMod val="105000"/>
                    <a:satMod val="103000"/>
                  </a:schemeClr>
                </a:gs>
                <a:gs pos="100000">
                  <a:schemeClr val="accent3">
                    <a:tint val="81000"/>
                    <a:lumMod val="105000"/>
                    <a:satMod val="109000"/>
                  </a:schemeClr>
                </a:gs>
              </a:gsLst>
              <a:lin ang="5400000" scaled="0"/>
            </a:gradFill>
            <a:ln w="9525" cap="flat" cmpd="sng" algn="ctr">
              <a:solidFill>
                <a:schemeClr val="accent3">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Analysis'!$C$21,'Ratio Analysis'!$E$21,'Ratio Analysis'!$G$21,'Ratio Analysis'!$I$21,'Ratio Analysis'!$K$21)</c:f>
              <c:numCache>
                <c:formatCode>General</c:formatCode>
                <c:ptCount val="5"/>
                <c:pt idx="0">
                  <c:v>2020</c:v>
                </c:pt>
                <c:pt idx="1">
                  <c:v>2021</c:v>
                </c:pt>
                <c:pt idx="2">
                  <c:v>2022</c:v>
                </c:pt>
                <c:pt idx="3">
                  <c:v>2023</c:v>
                </c:pt>
                <c:pt idx="4">
                  <c:v>2024</c:v>
                </c:pt>
              </c:numCache>
            </c:numRef>
          </c:cat>
          <c:val>
            <c:numRef>
              <c:f>('Ratio Analysis'!$C$24,'Ratio Analysis'!$E$24,'Ratio Analysis'!$G$24,'Ratio Analysis'!$I$24,'Ratio Analysis'!$K$24)</c:f>
              <c:numCache>
                <c:formatCode>0.00%;[Red]\(0.00%\);\-</c:formatCode>
                <c:ptCount val="5"/>
                <c:pt idx="0">
                  <c:v>0.21099922540666149</c:v>
                </c:pt>
                <c:pt idx="1">
                  <c:v>0.3701100649781196</c:v>
                </c:pt>
                <c:pt idx="2">
                  <c:v>0.2883147386964181</c:v>
                </c:pt>
                <c:pt idx="3">
                  <c:v>0.32628398791540786</c:v>
                </c:pt>
                <c:pt idx="4">
                  <c:v>0.32732978578250782</c:v>
                </c:pt>
              </c:numCache>
            </c:numRef>
          </c:val>
          <c:extLst>
            <c:ext xmlns:c16="http://schemas.microsoft.com/office/drawing/2014/chart" uri="{C3380CC4-5D6E-409C-BE32-E72D297353CC}">
              <c16:uniqueId val="{00000002-6C0D-4C26-9F5E-EE984BA30709}"/>
            </c:ext>
          </c:extLst>
        </c:ser>
        <c:ser>
          <c:idx val="3"/>
          <c:order val="3"/>
          <c:tx>
            <c:strRef>
              <c:f>'Ratio Analysis'!$A$25</c:f>
              <c:strCache>
                <c:ptCount val="1"/>
                <c:pt idx="0">
                  <c:v>Interest coverage</c:v>
                </c:pt>
              </c:strCache>
            </c:strRef>
          </c:tx>
          <c:spPr>
            <a:gradFill rotWithShape="1">
              <a:gsLst>
                <a:gs pos="0">
                  <a:schemeClr val="accent4">
                    <a:tint val="67000"/>
                    <a:lumMod val="110000"/>
                    <a:satMod val="105000"/>
                  </a:schemeClr>
                </a:gs>
                <a:gs pos="50000">
                  <a:schemeClr val="accent4">
                    <a:tint val="73000"/>
                    <a:lumMod val="105000"/>
                    <a:satMod val="103000"/>
                  </a:schemeClr>
                </a:gs>
                <a:gs pos="100000">
                  <a:schemeClr val="accent4">
                    <a:tint val="81000"/>
                    <a:lumMod val="105000"/>
                    <a:satMod val="109000"/>
                  </a:schemeClr>
                </a:gs>
              </a:gsLst>
              <a:lin ang="5400000" scaled="0"/>
            </a:gradFill>
            <a:ln w="9525" cap="flat" cmpd="sng" algn="ctr">
              <a:solidFill>
                <a:schemeClr val="accent4">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('Ratio Analysis'!$C$21,'Ratio Analysis'!$E$21,'Ratio Analysis'!$G$21,'Ratio Analysis'!$I$21,'Ratio Analysis'!$K$21)</c:f>
              <c:numCache>
                <c:formatCode>General</c:formatCode>
                <c:ptCount val="5"/>
                <c:pt idx="0">
                  <c:v>2020</c:v>
                </c:pt>
                <c:pt idx="1">
                  <c:v>2021</c:v>
                </c:pt>
                <c:pt idx="2">
                  <c:v>2022</c:v>
                </c:pt>
                <c:pt idx="3">
                  <c:v>2023</c:v>
                </c:pt>
                <c:pt idx="4">
                  <c:v>2024</c:v>
                </c:pt>
              </c:numCache>
            </c:numRef>
          </c:cat>
          <c:val>
            <c:numRef>
              <c:f>('Ratio Analysis'!$C$25,'Ratio Analysis'!$E$25,'Ratio Analysis'!$G$25,'Ratio Analysis'!$I$25,'Ratio Analysis'!$K$25)</c:f>
              <c:numCache>
                <c:formatCode>0.00\x;[Red]\(0.00\x\);\-</c:formatCode>
                <c:ptCount val="5"/>
                <c:pt idx="0">
                  <c:v>-6.5</c:v>
                </c:pt>
                <c:pt idx="1">
                  <c:v>1.2699386503067485</c:v>
                </c:pt>
                <c:pt idx="2">
                  <c:v>3.42</c:v>
                </c:pt>
                <c:pt idx="3">
                  <c:v>3.1379310344827585</c:v>
                </c:pt>
                <c:pt idx="4">
                  <c:v>9.6833333333333336</c:v>
                </c:pt>
              </c:numCache>
            </c:numRef>
          </c:val>
          <c:extLst>
            <c:ext xmlns:c16="http://schemas.microsoft.com/office/drawing/2014/chart" uri="{C3380CC4-5D6E-409C-BE32-E72D297353CC}">
              <c16:uniqueId val="{00000003-6C0D-4C26-9F5E-EE984BA30709}"/>
            </c:ext>
          </c:extLst>
        </c:ser>
        <c:dLbls>
          <c:dLblPos val="outEnd"/>
          <c:showLegendKey val="0"/>
          <c:showVal val="1"/>
          <c:showCatName val="0"/>
          <c:showSerName val="0"/>
          <c:showPercent val="0"/>
          <c:showBubbleSize val="0"/>
        </c:dLbls>
        <c:gapWidth val="100"/>
        <c:overlap val="-24"/>
        <c:axId val="206566463"/>
        <c:axId val="456099471"/>
      </c:barChart>
      <c:catAx>
        <c:axId val="206566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56099471"/>
        <c:crosses val="autoZero"/>
        <c:auto val="1"/>
        <c:lblAlgn val="ctr"/>
        <c:lblOffset val="100"/>
        <c:noMultiLvlLbl val="0"/>
      </c:catAx>
      <c:valAx>
        <c:axId val="456099471"/>
        <c:scaling>
          <c:orientation val="minMax"/>
        </c:scaling>
        <c:delete val="0"/>
        <c:axPos val="l"/>
        <c:majorGridlines>
          <c:spPr>
            <a:ln w="9525" cap="flat" cmpd="sng" algn="ctr">
              <a:solidFill>
                <a:schemeClr val="tx1">
                  <a:lumMod val="15000"/>
                  <a:lumOff val="85000"/>
                </a:schemeClr>
              </a:solidFill>
              <a:round/>
            </a:ln>
            <a:effectLst/>
          </c:spPr>
        </c:majorGridlines>
        <c:numFmt formatCode="0.00\x;[Red]\(0.00\x\);\-"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65664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