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rPr>
        <w:id w:val="191122127"/>
        <w:docPartObj>
          <w:docPartGallery w:val="Cover Pages"/>
          <w:docPartUnique/>
        </w:docPartObj>
      </w:sdtPr>
      <w:sdtEndPr>
        <w:rPr>
          <w:color w:val="auto"/>
        </w:rPr>
      </w:sdtEndPr>
      <w:sdtContent>
        <w:p w14:paraId="3B8B3DBE" w14:textId="663E9065" w:rsidR="007D1FA2" w:rsidRDefault="007D1FA2">
          <w:pPr>
            <w:pStyle w:val="NoSpacing"/>
            <w:spacing w:before="1540" w:after="240"/>
            <w:jc w:val="center"/>
            <w:rPr>
              <w:color w:val="4472C4" w:themeColor="accent1"/>
            </w:rPr>
          </w:pPr>
        </w:p>
        <w:p w14:paraId="589C3794" w14:textId="5A9CD06B" w:rsidR="007D1FA2" w:rsidRDefault="00513567" w:rsidP="00513567">
          <w:pPr>
            <w:pStyle w:val="NoSpacing"/>
            <w:spacing w:before="480"/>
            <w:jc w:val="center"/>
            <w:rPr>
              <w:color w:val="4472C4" w:themeColor="accent1"/>
            </w:rPr>
          </w:pPr>
          <w:r>
            <w:rPr>
              <w:noProof/>
              <w:color w:val="4472C4" w:themeColor="accent1"/>
            </w:rPr>
            <w:drawing>
              <wp:inline distT="0" distB="0" distL="0" distR="0" wp14:anchorId="36926B13" wp14:editId="4CF4854B">
                <wp:extent cx="4916954" cy="25298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22056" cy="2532465"/>
                        </a:xfrm>
                        <a:prstGeom prst="rect">
                          <a:avLst/>
                        </a:prstGeom>
                      </pic:spPr>
                    </pic:pic>
                  </a:graphicData>
                </a:graphic>
              </wp:inline>
            </w:drawing>
          </w:r>
        </w:p>
        <w:p w14:paraId="2DCF2062" w14:textId="0BDFFD8B" w:rsidR="009C0511" w:rsidRPr="00EB3A8A" w:rsidRDefault="009C0511" w:rsidP="00EB3A8A">
          <w:pPr>
            <w:jc w:val="center"/>
            <w:rPr>
              <w:b/>
              <w:bCs/>
              <w:sz w:val="28"/>
              <w:szCs w:val="28"/>
            </w:rPr>
          </w:pPr>
          <w:r w:rsidRPr="00EB3A8A">
            <w:rPr>
              <w:b/>
              <w:bCs/>
              <w:sz w:val="28"/>
              <w:szCs w:val="28"/>
            </w:rPr>
            <w:t>Assignment 1</w:t>
          </w:r>
        </w:p>
        <w:p w14:paraId="494DACE8" w14:textId="77777777" w:rsidR="009C0511" w:rsidRDefault="009C0511" w:rsidP="00EB3A8A">
          <w:pPr>
            <w:jc w:val="center"/>
          </w:pPr>
        </w:p>
        <w:p w14:paraId="580E3683" w14:textId="45803E7F" w:rsidR="00AE6C71" w:rsidRPr="00EB3A8A" w:rsidRDefault="009C0511" w:rsidP="00EB3A8A">
          <w:pPr>
            <w:jc w:val="center"/>
            <w:rPr>
              <w:b/>
              <w:bCs/>
            </w:rPr>
          </w:pPr>
          <w:proofErr w:type="spellStart"/>
          <w:r w:rsidRPr="00EB3A8A">
            <w:rPr>
              <w:b/>
              <w:bCs/>
            </w:rPr>
            <w:t>C</w:t>
          </w:r>
          <w:r w:rsidR="007428FA" w:rsidRPr="00EB3A8A">
            <w:rPr>
              <w:b/>
              <w:bCs/>
            </w:rPr>
            <w:t>ourse:BA</w:t>
          </w:r>
          <w:proofErr w:type="spellEnd"/>
          <w:r w:rsidR="007428FA" w:rsidRPr="00EB3A8A">
            <w:rPr>
              <w:b/>
              <w:bCs/>
            </w:rPr>
            <w:t xml:space="preserve"> Business Management</w:t>
          </w:r>
        </w:p>
        <w:p w14:paraId="0E6971F4" w14:textId="26D798F6" w:rsidR="007428FA" w:rsidRPr="00EB3A8A" w:rsidRDefault="00A702D5" w:rsidP="00EB3A8A">
          <w:pPr>
            <w:jc w:val="center"/>
            <w:rPr>
              <w:b/>
              <w:bCs/>
            </w:rPr>
          </w:pPr>
          <w:r w:rsidRPr="00EB3A8A">
            <w:rPr>
              <w:b/>
              <w:bCs/>
            </w:rPr>
            <w:t>Module name: Community Engagement</w:t>
          </w:r>
        </w:p>
        <w:p w14:paraId="40749D74" w14:textId="3813CBD7" w:rsidR="00124F3E" w:rsidRPr="00EB3A8A" w:rsidRDefault="00124F3E" w:rsidP="00EB3A8A">
          <w:pPr>
            <w:jc w:val="center"/>
            <w:rPr>
              <w:b/>
              <w:bCs/>
            </w:rPr>
          </w:pPr>
          <w:r w:rsidRPr="00EB3A8A">
            <w:rPr>
              <w:b/>
              <w:bCs/>
            </w:rPr>
            <w:t>Module code:LCBB4002</w:t>
          </w:r>
        </w:p>
        <w:p w14:paraId="543DAC4F" w14:textId="29075FAE" w:rsidR="00124F3E" w:rsidRPr="00EB3A8A" w:rsidRDefault="00124F3E" w:rsidP="00EB3A8A">
          <w:pPr>
            <w:jc w:val="center"/>
            <w:rPr>
              <w:b/>
              <w:bCs/>
            </w:rPr>
          </w:pPr>
          <w:r w:rsidRPr="00EB3A8A">
            <w:rPr>
              <w:b/>
              <w:bCs/>
            </w:rPr>
            <w:t xml:space="preserve">Lecturer </w:t>
          </w:r>
          <w:proofErr w:type="spellStart"/>
          <w:r w:rsidRPr="00EB3A8A">
            <w:rPr>
              <w:b/>
              <w:bCs/>
            </w:rPr>
            <w:t>name:</w:t>
          </w:r>
          <w:r w:rsidR="007E3BE1" w:rsidRPr="00EB3A8A">
            <w:rPr>
              <w:b/>
              <w:bCs/>
            </w:rPr>
            <w:t>Anita</w:t>
          </w:r>
          <w:proofErr w:type="spellEnd"/>
          <w:r w:rsidR="007E3BE1" w:rsidRPr="00EB3A8A">
            <w:rPr>
              <w:b/>
              <w:bCs/>
            </w:rPr>
            <w:t xml:space="preserve"> Nan</w:t>
          </w:r>
        </w:p>
        <w:p w14:paraId="1AEE5561" w14:textId="6A7FD2F7" w:rsidR="007E3BE1" w:rsidRPr="00EB3A8A" w:rsidRDefault="007E3BE1" w:rsidP="00EB3A8A">
          <w:pPr>
            <w:jc w:val="center"/>
            <w:rPr>
              <w:b/>
              <w:bCs/>
            </w:rPr>
          </w:pPr>
          <w:r w:rsidRPr="00EB3A8A">
            <w:rPr>
              <w:b/>
              <w:bCs/>
            </w:rPr>
            <w:t xml:space="preserve">Title of essay: </w:t>
          </w:r>
          <w:r w:rsidR="00C219E8" w:rsidRPr="00EB3A8A">
            <w:rPr>
              <w:b/>
              <w:bCs/>
            </w:rPr>
            <w:t>Community Engagement</w:t>
          </w:r>
        </w:p>
        <w:p w14:paraId="7EBA5B28" w14:textId="44CD4218" w:rsidR="00C219E8" w:rsidRPr="00EB3A8A" w:rsidRDefault="00C219E8" w:rsidP="00EB3A8A">
          <w:pPr>
            <w:jc w:val="center"/>
            <w:rPr>
              <w:b/>
              <w:bCs/>
            </w:rPr>
          </w:pPr>
          <w:r w:rsidRPr="00EB3A8A">
            <w:rPr>
              <w:b/>
              <w:bCs/>
            </w:rPr>
            <w:t xml:space="preserve">Student name: </w:t>
          </w:r>
          <w:proofErr w:type="spellStart"/>
          <w:r w:rsidRPr="00EB3A8A">
            <w:rPr>
              <w:b/>
              <w:bCs/>
            </w:rPr>
            <w:t>Tsveta</w:t>
          </w:r>
          <w:proofErr w:type="spellEnd"/>
          <w:r w:rsidRPr="00EB3A8A">
            <w:rPr>
              <w:b/>
              <w:bCs/>
            </w:rPr>
            <w:t xml:space="preserve"> </w:t>
          </w:r>
          <w:proofErr w:type="spellStart"/>
          <w:r w:rsidRPr="00EB3A8A">
            <w:rPr>
              <w:b/>
              <w:bCs/>
            </w:rPr>
            <w:t>Valerieva</w:t>
          </w:r>
          <w:proofErr w:type="spellEnd"/>
          <w:r w:rsidRPr="00EB3A8A">
            <w:rPr>
              <w:b/>
              <w:bCs/>
            </w:rPr>
            <w:t xml:space="preserve"> </w:t>
          </w:r>
          <w:proofErr w:type="spellStart"/>
          <w:r w:rsidRPr="00EB3A8A">
            <w:rPr>
              <w:b/>
              <w:bCs/>
            </w:rPr>
            <w:t>Lyushtova</w:t>
          </w:r>
          <w:proofErr w:type="spellEnd"/>
        </w:p>
        <w:p w14:paraId="3898C142" w14:textId="196CFA5A" w:rsidR="00C219E8" w:rsidRPr="00EB3A8A" w:rsidRDefault="007E5562" w:rsidP="00EB3A8A">
          <w:pPr>
            <w:jc w:val="center"/>
            <w:rPr>
              <w:b/>
              <w:bCs/>
            </w:rPr>
          </w:pPr>
          <w:r w:rsidRPr="00EB3A8A">
            <w:rPr>
              <w:b/>
              <w:bCs/>
            </w:rPr>
            <w:t>Student number:2124712</w:t>
          </w:r>
        </w:p>
        <w:p w14:paraId="3454B592" w14:textId="77777777" w:rsidR="00AE6C71" w:rsidRDefault="00AE6C71"/>
        <w:p w14:paraId="4A574F3A" w14:textId="77777777" w:rsidR="00AE6C71" w:rsidRDefault="00AE6C71"/>
        <w:p w14:paraId="6B72AD64" w14:textId="77777777" w:rsidR="00AE6C71" w:rsidRDefault="00AE6C71"/>
        <w:p w14:paraId="30606ED0" w14:textId="77777777" w:rsidR="00AE6C71" w:rsidRDefault="00AE6C71"/>
        <w:p w14:paraId="41D88F2F" w14:textId="77777777" w:rsidR="00AE6C71" w:rsidRDefault="00AE6C71"/>
        <w:p w14:paraId="2C3BADE7" w14:textId="77777777" w:rsidR="00AE6C71" w:rsidRDefault="00AE6C71"/>
        <w:p w14:paraId="62F97BE8" w14:textId="77777777" w:rsidR="00AE6C71" w:rsidRDefault="00AE6C71"/>
        <w:p w14:paraId="0C85B65B" w14:textId="77777777" w:rsidR="00AE6C71" w:rsidRDefault="00AE6C71"/>
        <w:p w14:paraId="35DE5A44" w14:textId="77777777" w:rsidR="00AE6C71" w:rsidRDefault="00AE6C71"/>
        <w:p w14:paraId="76AFCCE4" w14:textId="77777777" w:rsidR="00AE6C71" w:rsidRDefault="00AE6C71"/>
        <w:p w14:paraId="2613D3A9" w14:textId="77777777" w:rsidR="00AE6C71" w:rsidRDefault="00AE6C71"/>
        <w:p w14:paraId="17BD7630" w14:textId="77777777" w:rsidR="00AE6C71" w:rsidRDefault="00AE6C71"/>
        <w:p w14:paraId="7C0CFDE1" w14:textId="61ABD2A9" w:rsidR="007D1FA2" w:rsidRDefault="00BA34A8"/>
      </w:sdtContent>
    </w:sdt>
    <w:sdt>
      <w:sdtPr>
        <w:rPr>
          <w:rFonts w:ascii="Times New Roman" w:eastAsiaTheme="minorHAnsi" w:hAnsi="Times New Roman" w:cstheme="minorBidi"/>
          <w:color w:val="auto"/>
          <w:sz w:val="24"/>
          <w:szCs w:val="22"/>
        </w:rPr>
        <w:id w:val="1474640774"/>
        <w:docPartObj>
          <w:docPartGallery w:val="Table of Contents"/>
          <w:docPartUnique/>
        </w:docPartObj>
      </w:sdtPr>
      <w:sdtEndPr>
        <w:rPr>
          <w:b/>
          <w:bCs/>
          <w:noProof/>
        </w:rPr>
      </w:sdtEndPr>
      <w:sdtContent>
        <w:p w14:paraId="22E40C95" w14:textId="6D95EEB0" w:rsidR="00D47C5F" w:rsidRDefault="00D47C5F">
          <w:pPr>
            <w:pStyle w:val="TOCHeading"/>
          </w:pPr>
          <w:r>
            <w:t>Contents</w:t>
          </w:r>
        </w:p>
        <w:p w14:paraId="36B52CEE" w14:textId="32F0BA1C" w:rsidR="00D47C5F" w:rsidRDefault="00D47C5F">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12338554" w:history="1">
            <w:r w:rsidRPr="00727D1C">
              <w:rPr>
                <w:rStyle w:val="Hyperlink"/>
                <w:noProof/>
              </w:rPr>
              <w:t>Introduction</w:t>
            </w:r>
            <w:r>
              <w:rPr>
                <w:noProof/>
                <w:webHidden/>
              </w:rPr>
              <w:tab/>
            </w:r>
            <w:r>
              <w:rPr>
                <w:noProof/>
                <w:webHidden/>
              </w:rPr>
              <w:fldChar w:fldCharType="begin"/>
            </w:r>
            <w:r>
              <w:rPr>
                <w:noProof/>
                <w:webHidden/>
              </w:rPr>
              <w:instrText xml:space="preserve"> PAGEREF _Toc112338554 \h </w:instrText>
            </w:r>
            <w:r>
              <w:rPr>
                <w:noProof/>
                <w:webHidden/>
              </w:rPr>
            </w:r>
            <w:r>
              <w:rPr>
                <w:noProof/>
                <w:webHidden/>
              </w:rPr>
              <w:fldChar w:fldCharType="separate"/>
            </w:r>
            <w:r>
              <w:rPr>
                <w:noProof/>
                <w:webHidden/>
              </w:rPr>
              <w:t>2</w:t>
            </w:r>
            <w:r>
              <w:rPr>
                <w:noProof/>
                <w:webHidden/>
              </w:rPr>
              <w:fldChar w:fldCharType="end"/>
            </w:r>
          </w:hyperlink>
        </w:p>
        <w:p w14:paraId="5F8977C2" w14:textId="4D5C4F55"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55" w:history="1">
            <w:r w:rsidR="00D47C5F" w:rsidRPr="00727D1C">
              <w:rPr>
                <w:rStyle w:val="Hyperlink"/>
                <w:noProof/>
              </w:rPr>
              <w:t>Community engagement</w:t>
            </w:r>
            <w:r w:rsidR="00D47C5F">
              <w:rPr>
                <w:noProof/>
                <w:webHidden/>
              </w:rPr>
              <w:tab/>
            </w:r>
            <w:r w:rsidR="00D47C5F">
              <w:rPr>
                <w:noProof/>
                <w:webHidden/>
              </w:rPr>
              <w:fldChar w:fldCharType="begin"/>
            </w:r>
            <w:r w:rsidR="00D47C5F">
              <w:rPr>
                <w:noProof/>
                <w:webHidden/>
              </w:rPr>
              <w:instrText xml:space="preserve"> PAGEREF _Toc112338555 \h </w:instrText>
            </w:r>
            <w:r w:rsidR="00D47C5F">
              <w:rPr>
                <w:noProof/>
                <w:webHidden/>
              </w:rPr>
            </w:r>
            <w:r w:rsidR="00D47C5F">
              <w:rPr>
                <w:noProof/>
                <w:webHidden/>
              </w:rPr>
              <w:fldChar w:fldCharType="separate"/>
            </w:r>
            <w:r w:rsidR="00D47C5F">
              <w:rPr>
                <w:noProof/>
                <w:webHidden/>
              </w:rPr>
              <w:t>2</w:t>
            </w:r>
            <w:r w:rsidR="00D47C5F">
              <w:rPr>
                <w:noProof/>
                <w:webHidden/>
              </w:rPr>
              <w:fldChar w:fldCharType="end"/>
            </w:r>
          </w:hyperlink>
        </w:p>
        <w:p w14:paraId="37C42A63" w14:textId="5B9DEF9B"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56" w:history="1">
            <w:r w:rsidR="00D47C5F" w:rsidRPr="00727D1C">
              <w:rPr>
                <w:rStyle w:val="Hyperlink"/>
                <w:noProof/>
              </w:rPr>
              <w:t>Stakeholders</w:t>
            </w:r>
            <w:r w:rsidR="00D47C5F">
              <w:rPr>
                <w:noProof/>
                <w:webHidden/>
              </w:rPr>
              <w:tab/>
            </w:r>
            <w:r w:rsidR="00D47C5F">
              <w:rPr>
                <w:noProof/>
                <w:webHidden/>
              </w:rPr>
              <w:fldChar w:fldCharType="begin"/>
            </w:r>
            <w:r w:rsidR="00D47C5F">
              <w:rPr>
                <w:noProof/>
                <w:webHidden/>
              </w:rPr>
              <w:instrText xml:space="preserve"> PAGEREF _Toc112338556 \h </w:instrText>
            </w:r>
            <w:r w:rsidR="00D47C5F">
              <w:rPr>
                <w:noProof/>
                <w:webHidden/>
              </w:rPr>
            </w:r>
            <w:r w:rsidR="00D47C5F">
              <w:rPr>
                <w:noProof/>
                <w:webHidden/>
              </w:rPr>
              <w:fldChar w:fldCharType="separate"/>
            </w:r>
            <w:r w:rsidR="00D47C5F">
              <w:rPr>
                <w:noProof/>
                <w:webHidden/>
              </w:rPr>
              <w:t>3</w:t>
            </w:r>
            <w:r w:rsidR="00D47C5F">
              <w:rPr>
                <w:noProof/>
                <w:webHidden/>
              </w:rPr>
              <w:fldChar w:fldCharType="end"/>
            </w:r>
          </w:hyperlink>
        </w:p>
        <w:p w14:paraId="7B9AFACB" w14:textId="33F5BE86"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57" w:history="1">
            <w:r w:rsidR="00D47C5F" w:rsidRPr="00727D1C">
              <w:rPr>
                <w:rStyle w:val="Hyperlink"/>
                <w:noProof/>
              </w:rPr>
              <w:t>Social media</w:t>
            </w:r>
            <w:r w:rsidR="00D47C5F">
              <w:rPr>
                <w:noProof/>
                <w:webHidden/>
              </w:rPr>
              <w:tab/>
            </w:r>
            <w:r w:rsidR="00D47C5F">
              <w:rPr>
                <w:noProof/>
                <w:webHidden/>
              </w:rPr>
              <w:fldChar w:fldCharType="begin"/>
            </w:r>
            <w:r w:rsidR="00D47C5F">
              <w:rPr>
                <w:noProof/>
                <w:webHidden/>
              </w:rPr>
              <w:instrText xml:space="preserve"> PAGEREF _Toc112338557 \h </w:instrText>
            </w:r>
            <w:r w:rsidR="00D47C5F">
              <w:rPr>
                <w:noProof/>
                <w:webHidden/>
              </w:rPr>
            </w:r>
            <w:r w:rsidR="00D47C5F">
              <w:rPr>
                <w:noProof/>
                <w:webHidden/>
              </w:rPr>
              <w:fldChar w:fldCharType="separate"/>
            </w:r>
            <w:r w:rsidR="00D47C5F">
              <w:rPr>
                <w:noProof/>
                <w:webHidden/>
              </w:rPr>
              <w:t>4</w:t>
            </w:r>
            <w:r w:rsidR="00D47C5F">
              <w:rPr>
                <w:noProof/>
                <w:webHidden/>
              </w:rPr>
              <w:fldChar w:fldCharType="end"/>
            </w:r>
          </w:hyperlink>
        </w:p>
        <w:p w14:paraId="03942DFE" w14:textId="06C72D31"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58" w:history="1">
            <w:r w:rsidR="00D47C5F" w:rsidRPr="00727D1C">
              <w:rPr>
                <w:rStyle w:val="Hyperlink"/>
                <w:noProof/>
              </w:rPr>
              <w:t>Community participation</w:t>
            </w:r>
            <w:r w:rsidR="00D47C5F">
              <w:rPr>
                <w:noProof/>
                <w:webHidden/>
              </w:rPr>
              <w:tab/>
            </w:r>
            <w:r w:rsidR="00D47C5F">
              <w:rPr>
                <w:noProof/>
                <w:webHidden/>
              </w:rPr>
              <w:fldChar w:fldCharType="begin"/>
            </w:r>
            <w:r w:rsidR="00D47C5F">
              <w:rPr>
                <w:noProof/>
                <w:webHidden/>
              </w:rPr>
              <w:instrText xml:space="preserve"> PAGEREF _Toc112338558 \h </w:instrText>
            </w:r>
            <w:r w:rsidR="00D47C5F">
              <w:rPr>
                <w:noProof/>
                <w:webHidden/>
              </w:rPr>
            </w:r>
            <w:r w:rsidR="00D47C5F">
              <w:rPr>
                <w:noProof/>
                <w:webHidden/>
              </w:rPr>
              <w:fldChar w:fldCharType="separate"/>
            </w:r>
            <w:r w:rsidR="00D47C5F">
              <w:rPr>
                <w:noProof/>
                <w:webHidden/>
              </w:rPr>
              <w:t>5</w:t>
            </w:r>
            <w:r w:rsidR="00D47C5F">
              <w:rPr>
                <w:noProof/>
                <w:webHidden/>
              </w:rPr>
              <w:fldChar w:fldCharType="end"/>
            </w:r>
          </w:hyperlink>
        </w:p>
        <w:p w14:paraId="66B520A5" w14:textId="4EAE73A3"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59" w:history="1">
            <w:r w:rsidR="00D47C5F" w:rsidRPr="00727D1C">
              <w:rPr>
                <w:rStyle w:val="Hyperlink"/>
                <w:noProof/>
              </w:rPr>
              <w:t>Community collaboration</w:t>
            </w:r>
            <w:r w:rsidR="00D47C5F">
              <w:rPr>
                <w:noProof/>
                <w:webHidden/>
              </w:rPr>
              <w:tab/>
            </w:r>
            <w:r w:rsidR="00D47C5F">
              <w:rPr>
                <w:noProof/>
                <w:webHidden/>
              </w:rPr>
              <w:fldChar w:fldCharType="begin"/>
            </w:r>
            <w:r w:rsidR="00D47C5F">
              <w:rPr>
                <w:noProof/>
                <w:webHidden/>
              </w:rPr>
              <w:instrText xml:space="preserve"> PAGEREF _Toc112338559 \h </w:instrText>
            </w:r>
            <w:r w:rsidR="00D47C5F">
              <w:rPr>
                <w:noProof/>
                <w:webHidden/>
              </w:rPr>
            </w:r>
            <w:r w:rsidR="00D47C5F">
              <w:rPr>
                <w:noProof/>
                <w:webHidden/>
              </w:rPr>
              <w:fldChar w:fldCharType="separate"/>
            </w:r>
            <w:r w:rsidR="00D47C5F">
              <w:rPr>
                <w:noProof/>
                <w:webHidden/>
              </w:rPr>
              <w:t>5</w:t>
            </w:r>
            <w:r w:rsidR="00D47C5F">
              <w:rPr>
                <w:noProof/>
                <w:webHidden/>
              </w:rPr>
              <w:fldChar w:fldCharType="end"/>
            </w:r>
          </w:hyperlink>
        </w:p>
        <w:p w14:paraId="4DB23CB2" w14:textId="1920BC61"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60" w:history="1">
            <w:r w:rsidR="00D47C5F" w:rsidRPr="00727D1C">
              <w:rPr>
                <w:rStyle w:val="Hyperlink"/>
                <w:noProof/>
              </w:rPr>
              <w:t>Conclusion</w:t>
            </w:r>
            <w:r w:rsidR="00D47C5F">
              <w:rPr>
                <w:noProof/>
                <w:webHidden/>
              </w:rPr>
              <w:tab/>
            </w:r>
            <w:r w:rsidR="00D47C5F">
              <w:rPr>
                <w:noProof/>
                <w:webHidden/>
              </w:rPr>
              <w:fldChar w:fldCharType="begin"/>
            </w:r>
            <w:r w:rsidR="00D47C5F">
              <w:rPr>
                <w:noProof/>
                <w:webHidden/>
              </w:rPr>
              <w:instrText xml:space="preserve"> PAGEREF _Toc112338560 \h </w:instrText>
            </w:r>
            <w:r w:rsidR="00D47C5F">
              <w:rPr>
                <w:noProof/>
                <w:webHidden/>
              </w:rPr>
            </w:r>
            <w:r w:rsidR="00D47C5F">
              <w:rPr>
                <w:noProof/>
                <w:webHidden/>
              </w:rPr>
              <w:fldChar w:fldCharType="separate"/>
            </w:r>
            <w:r w:rsidR="00D47C5F">
              <w:rPr>
                <w:noProof/>
                <w:webHidden/>
              </w:rPr>
              <w:t>6</w:t>
            </w:r>
            <w:r w:rsidR="00D47C5F">
              <w:rPr>
                <w:noProof/>
                <w:webHidden/>
              </w:rPr>
              <w:fldChar w:fldCharType="end"/>
            </w:r>
          </w:hyperlink>
        </w:p>
        <w:p w14:paraId="49CF61F0" w14:textId="30F8305E" w:rsidR="00D47C5F" w:rsidRDefault="00BA34A8">
          <w:pPr>
            <w:pStyle w:val="TOC1"/>
            <w:tabs>
              <w:tab w:val="right" w:leader="dot" w:pos="9016"/>
            </w:tabs>
            <w:rPr>
              <w:rFonts w:asciiTheme="minorHAnsi" w:eastAsiaTheme="minorEastAsia" w:hAnsiTheme="minorHAnsi"/>
              <w:noProof/>
              <w:sz w:val="22"/>
              <w:lang w:val="en-GB" w:eastAsia="en-GB"/>
            </w:rPr>
          </w:pPr>
          <w:hyperlink w:anchor="_Toc112338561" w:history="1">
            <w:r w:rsidR="00D47C5F" w:rsidRPr="00727D1C">
              <w:rPr>
                <w:rStyle w:val="Hyperlink"/>
                <w:rFonts w:cs="Times New Roman"/>
                <w:b/>
                <w:bCs/>
                <w:noProof/>
              </w:rPr>
              <w:t>References</w:t>
            </w:r>
            <w:r w:rsidR="00D47C5F">
              <w:rPr>
                <w:noProof/>
                <w:webHidden/>
              </w:rPr>
              <w:tab/>
            </w:r>
            <w:r w:rsidR="00D47C5F">
              <w:rPr>
                <w:noProof/>
                <w:webHidden/>
              </w:rPr>
              <w:fldChar w:fldCharType="begin"/>
            </w:r>
            <w:r w:rsidR="00D47C5F">
              <w:rPr>
                <w:noProof/>
                <w:webHidden/>
              </w:rPr>
              <w:instrText xml:space="preserve"> PAGEREF _Toc112338561 \h </w:instrText>
            </w:r>
            <w:r w:rsidR="00D47C5F">
              <w:rPr>
                <w:noProof/>
                <w:webHidden/>
              </w:rPr>
            </w:r>
            <w:r w:rsidR="00D47C5F">
              <w:rPr>
                <w:noProof/>
                <w:webHidden/>
              </w:rPr>
              <w:fldChar w:fldCharType="separate"/>
            </w:r>
            <w:r w:rsidR="00D47C5F">
              <w:rPr>
                <w:noProof/>
                <w:webHidden/>
              </w:rPr>
              <w:t>7</w:t>
            </w:r>
            <w:r w:rsidR="00D47C5F">
              <w:rPr>
                <w:noProof/>
                <w:webHidden/>
              </w:rPr>
              <w:fldChar w:fldCharType="end"/>
            </w:r>
          </w:hyperlink>
        </w:p>
        <w:p w14:paraId="21C3713E" w14:textId="3C64441D" w:rsidR="00D47C5F" w:rsidRDefault="00D47C5F">
          <w:r>
            <w:rPr>
              <w:b/>
              <w:bCs/>
              <w:noProof/>
            </w:rPr>
            <w:fldChar w:fldCharType="end"/>
          </w:r>
        </w:p>
      </w:sdtContent>
    </w:sdt>
    <w:p w14:paraId="62DFEC23" w14:textId="77777777" w:rsidR="009F4F77" w:rsidRDefault="009F4F77">
      <w:pPr>
        <w:rPr>
          <w:b/>
          <w:bCs/>
          <w:color w:val="2F5496" w:themeColor="accent1" w:themeShade="BF"/>
          <w:sz w:val="28"/>
          <w:szCs w:val="28"/>
        </w:rPr>
      </w:pPr>
    </w:p>
    <w:p w14:paraId="2936E767" w14:textId="77777777" w:rsidR="009F4F77" w:rsidRDefault="009F4F77">
      <w:pPr>
        <w:rPr>
          <w:b/>
          <w:bCs/>
          <w:color w:val="2F5496" w:themeColor="accent1" w:themeShade="BF"/>
          <w:sz w:val="28"/>
          <w:szCs w:val="28"/>
        </w:rPr>
      </w:pPr>
      <w:r>
        <w:rPr>
          <w:b/>
          <w:bCs/>
          <w:color w:val="2F5496" w:themeColor="accent1" w:themeShade="BF"/>
          <w:sz w:val="28"/>
          <w:szCs w:val="28"/>
        </w:rPr>
        <w:br w:type="page"/>
      </w:r>
    </w:p>
    <w:p w14:paraId="1974AE21" w14:textId="4372E138" w:rsidR="001913FB" w:rsidRPr="00766CBC" w:rsidRDefault="00A905DD" w:rsidP="00991743">
      <w:pPr>
        <w:pStyle w:val="Heading1"/>
      </w:pPr>
      <w:bookmarkStart w:id="0" w:name="_Toc112338554"/>
      <w:r w:rsidRPr="00A11A1B">
        <w:lastRenderedPageBreak/>
        <w:t>Introduction</w:t>
      </w:r>
      <w:bookmarkEnd w:id="0"/>
      <w:r w:rsidRPr="00766CBC">
        <w:t xml:space="preserve"> </w:t>
      </w:r>
    </w:p>
    <w:p w14:paraId="2C48F88A" w14:textId="20FBEF77" w:rsidR="007D1FA2" w:rsidRDefault="002A7E70" w:rsidP="001E0933">
      <w:pPr>
        <w:jc w:val="both"/>
      </w:pPr>
      <w:bookmarkStart w:id="1" w:name="_Hlk112051243"/>
      <w:r>
        <w:t xml:space="preserve">Community management </w:t>
      </w:r>
      <w:bookmarkEnd w:id="1"/>
      <w:r>
        <w:t>is defined as a strategic process</w:t>
      </w:r>
      <w:r w:rsidR="004743FF">
        <w:t xml:space="preserve"> with the specific purpose of working</w:t>
      </w:r>
      <w:r w:rsidR="00AB2F38">
        <w:t xml:space="preserve"> as a</w:t>
      </w:r>
      <w:r w:rsidR="004743FF">
        <w:t xml:space="preserve"> group of people</w:t>
      </w:r>
      <w:r w:rsidR="00F75172">
        <w:t xml:space="preserve"> (</w:t>
      </w:r>
      <w:proofErr w:type="spellStart"/>
      <w:r w:rsidR="00F75172">
        <w:t>Burivalova</w:t>
      </w:r>
      <w:proofErr w:type="spellEnd"/>
      <w:r w:rsidR="00F75172">
        <w:t xml:space="preserve"> et al., 2017)</w:t>
      </w:r>
      <w:r w:rsidR="004743FF">
        <w:t>.</w:t>
      </w:r>
      <w:r w:rsidR="006F473A">
        <w:t xml:space="preserve"> In order to highlight</w:t>
      </w:r>
      <w:r w:rsidR="001E0933">
        <w:t xml:space="preserve"> </w:t>
      </w:r>
      <w:r w:rsidR="00752F77">
        <w:t>different types of viewpoints that is combines with Community engagement, so the primary goal is to provide a brief overview on it</w:t>
      </w:r>
      <w:r w:rsidR="00055350">
        <w:t xml:space="preserve">. </w:t>
      </w:r>
      <w:r w:rsidR="007173E8">
        <w:t xml:space="preserve">This essay also aims on providing an </w:t>
      </w:r>
      <w:r w:rsidR="001D5228">
        <w:t xml:space="preserve">overview of the primary benefits and challenges which has been combined with it. </w:t>
      </w:r>
      <w:r w:rsidR="00AF291B">
        <w:t>Th</w:t>
      </w:r>
      <w:r w:rsidR="00E92999">
        <w:t>e essay</w:t>
      </w:r>
      <w:r w:rsidR="00AF291B">
        <w:t xml:space="preserve"> </w:t>
      </w:r>
      <w:r w:rsidR="00BE63BA">
        <w:t>explores</w:t>
      </w:r>
      <w:r w:rsidR="00AF291B">
        <w:t xml:space="preserve"> a critical analysis of how the challenges create an impact on the possibility of engaging with different types of stakeholders in the field of community engagement.</w:t>
      </w:r>
      <w:r w:rsidR="006B7CAF">
        <w:t xml:space="preserve"> Concerning this, the essay will</w:t>
      </w:r>
      <w:r w:rsidR="006142B7">
        <w:t xml:space="preserve"> </w:t>
      </w:r>
      <w:r w:rsidR="006A3348">
        <w:t>define</w:t>
      </w:r>
      <w:r w:rsidR="006142B7">
        <w:t xml:space="preserve"> stakeholders with the evaluation of internal and external stakeholders through exploring possible ways to engage with the community members effectively.</w:t>
      </w:r>
      <w:r w:rsidR="00E4524F">
        <w:t xml:space="preserve"> The primary ways which </w:t>
      </w:r>
      <w:r w:rsidR="006A3348">
        <w:t>have</w:t>
      </w:r>
      <w:r w:rsidR="00E4524F">
        <w:t xml:space="preserve"> been identified in the exploration part are </w:t>
      </w:r>
      <w:r w:rsidR="00E6189D">
        <w:t>meetings, platforms and individual vs focused group interviews.</w:t>
      </w:r>
      <w:r w:rsidR="00D4682D">
        <w:t xml:space="preserve"> In the last section, this essay will analyze and evaluate the approach to community participation, collaboration diversity, and inclusion which have been considered the integral part of community engagement</w:t>
      </w:r>
      <w:r w:rsidR="006D4E90">
        <w:t>.</w:t>
      </w:r>
    </w:p>
    <w:p w14:paraId="6ECC2CA2" w14:textId="3A95429B" w:rsidR="00A905DD" w:rsidRPr="00A11A1B" w:rsidRDefault="00A905DD" w:rsidP="00991743">
      <w:pPr>
        <w:pStyle w:val="Heading1"/>
      </w:pPr>
      <w:bookmarkStart w:id="2" w:name="_Toc112338555"/>
      <w:r w:rsidRPr="00A11A1B">
        <w:t xml:space="preserve">Community </w:t>
      </w:r>
      <w:r w:rsidR="00C54A1B" w:rsidRPr="00A11A1B">
        <w:t>engagement</w:t>
      </w:r>
      <w:bookmarkEnd w:id="2"/>
    </w:p>
    <w:p w14:paraId="189135E3" w14:textId="6458092B" w:rsidR="006A3348" w:rsidRDefault="002A7E70" w:rsidP="001E0933">
      <w:pPr>
        <w:jc w:val="both"/>
      </w:pPr>
      <w:r>
        <w:t xml:space="preserve">In general terms, the approach of community engagement is </w:t>
      </w:r>
      <w:r w:rsidR="00584396">
        <w:t>defined</w:t>
      </w:r>
      <w:r>
        <w:t xml:space="preserve"> with the implication of a specific purpose of collaborating or working with a group of people</w:t>
      </w:r>
      <w:sdt>
        <w:sdtPr>
          <w:id w:val="1528837597"/>
          <w:citation/>
        </w:sdtPr>
        <w:sdtEndPr/>
        <w:sdtContent>
          <w:r w:rsidR="00680848">
            <w:fldChar w:fldCharType="begin"/>
          </w:r>
          <w:r w:rsidR="00680848">
            <w:instrText xml:space="preserve"> CITATION Gra17 \l 1033 </w:instrText>
          </w:r>
          <w:r w:rsidR="00680848">
            <w:fldChar w:fldCharType="separate"/>
          </w:r>
          <w:r w:rsidR="00680848">
            <w:rPr>
              <w:noProof/>
            </w:rPr>
            <w:t xml:space="preserve"> </w:t>
          </w:r>
          <w:r w:rsidR="00680848" w:rsidRPr="00680848">
            <w:rPr>
              <w:noProof/>
            </w:rPr>
            <w:t>(Stuart, 2017)</w:t>
          </w:r>
          <w:r w:rsidR="00680848">
            <w:fldChar w:fldCharType="end"/>
          </w:r>
        </w:sdtContent>
      </w:sdt>
      <w:r>
        <w:t>. The primary factor is that the group combines the implication of similar goals to achieve where the people are connected through various mediums such as common goals, interests, identit</w:t>
      </w:r>
      <w:r w:rsidR="00A43605">
        <w:t>y, geographically, and many more factors.</w:t>
      </w:r>
      <w:r w:rsidR="00584396">
        <w:t xml:space="preserve"> </w:t>
      </w:r>
      <w:r w:rsidR="00620EAE">
        <w:t>There is a wide range of definitions th</w:t>
      </w:r>
      <w:r w:rsidR="00BE63BA">
        <w:t xml:space="preserve">at is </w:t>
      </w:r>
      <w:r w:rsidR="00620EAE">
        <w:t>combine</w:t>
      </w:r>
      <w:r w:rsidR="002938A3">
        <w:t xml:space="preserve">s </w:t>
      </w:r>
      <w:r w:rsidR="00620EAE">
        <w:t xml:space="preserve">with community </w:t>
      </w:r>
      <w:r w:rsidR="000620B5">
        <w:t>enga</w:t>
      </w:r>
      <w:r w:rsidR="00620EAE">
        <w:t>gement but it is related to the engagement of the community for the achievement of certain goals with a certain process or disclosure.</w:t>
      </w:r>
      <w:r w:rsidR="00684AD8">
        <w:t xml:space="preserve"> It is not combined with a model or systematic approach where the groups are in form of the interest group, citizen groups, and group of stakeholders. </w:t>
      </w:r>
      <w:r w:rsidR="00282753">
        <w:t xml:space="preserve">Thus, community management is related to a process in which a wide range of people combines who share some common interests or </w:t>
      </w:r>
      <w:r w:rsidR="005F1AB8">
        <w:t>goals to</w:t>
      </w:r>
      <w:r w:rsidR="00282753">
        <w:t xml:space="preserve"> achieve</w:t>
      </w:r>
      <w:sdt>
        <w:sdtPr>
          <w:id w:val="185880373"/>
          <w:citation/>
        </w:sdtPr>
        <w:sdtEndPr/>
        <w:sdtContent>
          <w:r w:rsidR="00681A4A">
            <w:fldChar w:fldCharType="begin"/>
          </w:r>
          <w:r w:rsidR="00681A4A">
            <w:instrText xml:space="preserve"> CITATION Ats22 \l 1033 </w:instrText>
          </w:r>
          <w:r w:rsidR="00681A4A">
            <w:fldChar w:fldCharType="separate"/>
          </w:r>
          <w:r w:rsidR="00681A4A">
            <w:rPr>
              <w:noProof/>
            </w:rPr>
            <w:t xml:space="preserve"> </w:t>
          </w:r>
          <w:r w:rsidR="00681A4A" w:rsidRPr="00681A4A">
            <w:rPr>
              <w:noProof/>
            </w:rPr>
            <w:t>(Atsdr.cdc.gov, 2022)</w:t>
          </w:r>
          <w:r w:rsidR="00681A4A">
            <w:fldChar w:fldCharType="end"/>
          </w:r>
        </w:sdtContent>
      </w:sdt>
      <w:r w:rsidR="00282753">
        <w:t>. It involves the process of partnership and coalitions which provides helps in influencing a system</w:t>
      </w:r>
      <w:r w:rsidR="005F1AB8">
        <w:t xml:space="preserve"> where a primary example of community engagement is providing help for setting up a </w:t>
      </w:r>
      <w:r w:rsidR="00FD1AEE">
        <w:t>local farmers' market.</w:t>
      </w:r>
      <w:r w:rsidR="005852C2">
        <w:t xml:space="preserve"> </w:t>
      </w:r>
      <w:r w:rsidR="00334093">
        <w:t xml:space="preserve">The approach to community engagement is mainly based on </w:t>
      </w:r>
      <w:r w:rsidR="009F7F59">
        <w:t>different types of models which is as follows-</w:t>
      </w:r>
    </w:p>
    <w:p w14:paraId="15CD0B9A" w14:textId="77777777" w:rsidR="009F7F59" w:rsidRDefault="002A7E70" w:rsidP="009F7F59">
      <w:pPr>
        <w:pStyle w:val="ListParagraph"/>
        <w:numPr>
          <w:ilvl w:val="0"/>
          <w:numId w:val="1"/>
        </w:numPr>
        <w:jc w:val="both"/>
      </w:pPr>
      <w:r>
        <w:t>Community building.</w:t>
      </w:r>
    </w:p>
    <w:p w14:paraId="7642C704" w14:textId="77777777" w:rsidR="009F7F59" w:rsidRDefault="002A7E70" w:rsidP="009F7F59">
      <w:pPr>
        <w:pStyle w:val="ListParagraph"/>
        <w:numPr>
          <w:ilvl w:val="0"/>
          <w:numId w:val="1"/>
        </w:numPr>
        <w:jc w:val="both"/>
      </w:pPr>
      <w:r>
        <w:t>Community education.</w:t>
      </w:r>
    </w:p>
    <w:p w14:paraId="7AD9EDDE" w14:textId="0D77C2A2" w:rsidR="009F7F59" w:rsidRDefault="002A7E70" w:rsidP="009F7F59">
      <w:pPr>
        <w:pStyle w:val="ListParagraph"/>
        <w:numPr>
          <w:ilvl w:val="0"/>
          <w:numId w:val="1"/>
        </w:numPr>
        <w:jc w:val="both"/>
      </w:pPr>
      <w:r>
        <w:t>Organizing community</w:t>
      </w:r>
      <w:sdt>
        <w:sdtPr>
          <w:id w:val="-294294500"/>
          <w:citation/>
        </w:sdtPr>
        <w:sdtEndPr/>
        <w:sdtContent>
          <w:r w:rsidR="002E3015">
            <w:fldChar w:fldCharType="begin"/>
          </w:r>
          <w:r w:rsidR="002E3015">
            <w:instrText xml:space="preserve"> CITATION Stu223 \l 1033 </w:instrText>
          </w:r>
          <w:r w:rsidR="002E3015">
            <w:fldChar w:fldCharType="separate"/>
          </w:r>
          <w:r w:rsidR="002E3015">
            <w:rPr>
              <w:noProof/>
            </w:rPr>
            <w:t xml:space="preserve"> </w:t>
          </w:r>
          <w:r w:rsidR="002E3015" w:rsidRPr="002E3015">
            <w:rPr>
              <w:noProof/>
            </w:rPr>
            <w:t>(Students.morris.umn.edu, 2022)</w:t>
          </w:r>
          <w:r w:rsidR="002E3015">
            <w:fldChar w:fldCharType="end"/>
          </w:r>
        </w:sdtContent>
      </w:sdt>
      <w:r w:rsidR="00681A4A">
        <w:t>.</w:t>
      </w:r>
    </w:p>
    <w:p w14:paraId="158762F3" w14:textId="77777777" w:rsidR="009F7F59" w:rsidRDefault="002A7E70" w:rsidP="009F7F59">
      <w:pPr>
        <w:pStyle w:val="ListParagraph"/>
        <w:numPr>
          <w:ilvl w:val="0"/>
          <w:numId w:val="1"/>
        </w:numPr>
        <w:jc w:val="both"/>
      </w:pPr>
      <w:r>
        <w:t>Direct services.</w:t>
      </w:r>
    </w:p>
    <w:p w14:paraId="05EBBD27" w14:textId="77777777" w:rsidR="009F7F59" w:rsidRDefault="002A7E70" w:rsidP="009F7F59">
      <w:pPr>
        <w:pStyle w:val="ListParagraph"/>
        <w:numPr>
          <w:ilvl w:val="0"/>
          <w:numId w:val="1"/>
        </w:numPr>
        <w:jc w:val="both"/>
      </w:pPr>
      <w:r>
        <w:lastRenderedPageBreak/>
        <w:t>Institutional engagement.</w:t>
      </w:r>
    </w:p>
    <w:p w14:paraId="3FC42F79" w14:textId="77777777" w:rsidR="00C03DA1" w:rsidRDefault="002A7E70" w:rsidP="001E0933">
      <w:pPr>
        <w:jc w:val="both"/>
      </w:pPr>
      <w:r>
        <w:t>Through the implication of community engagement, the common and desired goals can be achieved effectively which leads to improving different types of outcomes for underprivileged members of a group. It combines the voice, demand, and ideas of those people who wants to make some positive change in their life on a community level.</w:t>
      </w:r>
    </w:p>
    <w:p w14:paraId="08E028F9" w14:textId="167AEC3A" w:rsidR="009F7F59" w:rsidRDefault="002A7E70" w:rsidP="001E0933">
      <w:pPr>
        <w:jc w:val="both"/>
      </w:pPr>
      <w:r>
        <w:t>The primary benefit of community engagement is that it provides a common platform for those people who wants to raise their voice by sharing common goals to achieve.</w:t>
      </w:r>
      <w:r w:rsidR="00961AFE">
        <w:t xml:space="preserve"> The approach will promote sustainable decisions through recognizing and communicating the primary needs of the members associated with it</w:t>
      </w:r>
      <w:sdt>
        <w:sdtPr>
          <w:id w:val="1170145343"/>
          <w:citation/>
        </w:sdtPr>
        <w:sdtEndPr/>
        <w:sdtContent>
          <w:r w:rsidR="002E3015">
            <w:fldChar w:fldCharType="begin"/>
          </w:r>
          <w:r w:rsidR="002E3015">
            <w:instrText xml:space="preserve"> CITATION Aes22 \l 1033 </w:instrText>
          </w:r>
          <w:r w:rsidR="002E3015">
            <w:fldChar w:fldCharType="separate"/>
          </w:r>
          <w:r w:rsidR="002E3015">
            <w:rPr>
              <w:noProof/>
            </w:rPr>
            <w:t xml:space="preserve"> </w:t>
          </w:r>
          <w:r w:rsidR="002E3015" w:rsidRPr="002E3015">
            <w:rPr>
              <w:noProof/>
            </w:rPr>
            <w:t>(Aese.psu.edu, 2022)</w:t>
          </w:r>
          <w:r w:rsidR="002E3015">
            <w:fldChar w:fldCharType="end"/>
          </w:r>
        </w:sdtContent>
      </w:sdt>
      <w:r w:rsidR="00961AFE">
        <w:t>. It increases the acceptance of a diverse group with inclusiveness and effective solutions.</w:t>
      </w:r>
      <w:r w:rsidR="001B6881">
        <w:t xml:space="preserve"> Community engagement is a critical process to deepening democracies where the primary benefit is that it encourages the</w:t>
      </w:r>
      <w:r w:rsidR="00C24524">
        <w:t xml:space="preserve"> participation of society in common activities</w:t>
      </w:r>
      <w:r w:rsidR="00372BE7">
        <w:t>.</w:t>
      </w:r>
    </w:p>
    <w:p w14:paraId="36779FF2" w14:textId="3E5D6723" w:rsidR="00501B21" w:rsidRDefault="002A7E70" w:rsidP="001E0933">
      <w:pPr>
        <w:jc w:val="both"/>
      </w:pPr>
      <w:r>
        <w:t>There are different types of challenges which has been existing with community engagement where the primary challenge is to engage and manage community involvement with overcoming the primary difference between the community approach and academics</w:t>
      </w:r>
      <w:sdt>
        <w:sdtPr>
          <w:id w:val="-693614163"/>
          <w:citation/>
        </w:sdtPr>
        <w:sdtEndPr/>
        <w:sdtContent>
          <w:r w:rsidR="00CA72AF">
            <w:fldChar w:fldCharType="begin"/>
          </w:r>
          <w:r w:rsidR="00CA72AF">
            <w:instrText xml:space="preserve"> CITATION Ats22 \l 1033 </w:instrText>
          </w:r>
          <w:r w:rsidR="00CA72AF">
            <w:fldChar w:fldCharType="separate"/>
          </w:r>
          <w:r w:rsidR="00CA72AF">
            <w:rPr>
              <w:noProof/>
            </w:rPr>
            <w:t xml:space="preserve"> </w:t>
          </w:r>
          <w:r w:rsidR="00CA72AF" w:rsidRPr="00CA72AF">
            <w:rPr>
              <w:noProof/>
            </w:rPr>
            <w:t>(Atsdr.cdc.gov, 2022)</w:t>
          </w:r>
          <w:r w:rsidR="00CA72AF">
            <w:fldChar w:fldCharType="end"/>
          </w:r>
        </w:sdtContent>
      </w:sdt>
      <w:r>
        <w:t>. In a community group working with different types of traditional and non-traditional group</w:t>
      </w:r>
      <w:r w:rsidR="00F2026B">
        <w:t xml:space="preserve">s is also considered a major challenge when it initiating </w:t>
      </w:r>
      <w:r w:rsidR="00473BBB">
        <w:t xml:space="preserve">with a community advisory board. One of the major </w:t>
      </w:r>
      <w:r w:rsidR="006E1042">
        <w:t>challenges</w:t>
      </w:r>
      <w:r w:rsidR="00473BBB">
        <w:t xml:space="preserve"> is also to compete with institutional differences.</w:t>
      </w:r>
    </w:p>
    <w:p w14:paraId="204A7146" w14:textId="070EE222" w:rsidR="002A0D99" w:rsidRPr="002F6BB7" w:rsidRDefault="00136407" w:rsidP="00991743">
      <w:pPr>
        <w:pStyle w:val="Heading1"/>
      </w:pPr>
      <w:bookmarkStart w:id="3" w:name="_Toc112338556"/>
      <w:r w:rsidRPr="002F6BB7">
        <w:t>Stakeholders</w:t>
      </w:r>
      <w:bookmarkEnd w:id="3"/>
      <w:r w:rsidRPr="002F6BB7">
        <w:t xml:space="preserve"> </w:t>
      </w:r>
    </w:p>
    <w:p w14:paraId="258DCE40" w14:textId="6F65462B" w:rsidR="00820422" w:rsidRDefault="002A7E70" w:rsidP="001E0933">
      <w:pPr>
        <w:jc w:val="both"/>
      </w:pPr>
      <w:r>
        <w:t xml:space="preserve">The approach of community engagement is also related to stakeholders </w:t>
      </w:r>
      <w:r w:rsidR="00061A8D">
        <w:t>which</w:t>
      </w:r>
      <w:r w:rsidR="0038481C">
        <w:t xml:space="preserve"> is </w:t>
      </w:r>
      <w:r w:rsidR="00061A8D">
        <w:t xml:space="preserve">related with the specific purpose of working across with the stakeholders or </w:t>
      </w:r>
      <w:r w:rsidR="00A61477">
        <w:t>stakeholders’</w:t>
      </w:r>
      <w:r w:rsidR="00061A8D">
        <w:t xml:space="preserve"> community to effectively execute the process of decision making for the members engage in a community</w:t>
      </w:r>
      <w:r w:rsidR="00A61477">
        <w:t xml:space="preserve"> (Freiwirth, 2013)</w:t>
      </w:r>
      <w:r w:rsidR="00061A8D">
        <w:t>.</w:t>
      </w:r>
      <w:r w:rsidR="002F18B4">
        <w:t xml:space="preserve"> In general terms, a stakeholder is a group or individual people that contains their primary interest in the </w:t>
      </w:r>
      <w:r w:rsidR="00F623BF">
        <w:t>decision-making</w:t>
      </w:r>
      <w:r w:rsidR="002F18B4">
        <w:t xml:space="preserve"> process of an organization</w:t>
      </w:r>
      <w:r w:rsidR="00F10966">
        <w:t xml:space="preserve"> (Jones, Wicks and Freeman, 2017)</w:t>
      </w:r>
      <w:r w:rsidR="002F18B4">
        <w:t>.</w:t>
      </w:r>
      <w:r w:rsidR="00F623BF">
        <w:t xml:space="preserve"> They are directly or indirectly interconnected with an organization because they</w:t>
      </w:r>
      <w:r w:rsidR="0006417D">
        <w:t xml:space="preserve"> invest their capital in the organization.</w:t>
      </w:r>
      <w:r w:rsidR="008B7E0C">
        <w:t xml:space="preserve"> </w:t>
      </w:r>
      <w:r w:rsidR="009D0DC7">
        <w:t>There are different types</w:t>
      </w:r>
      <w:r w:rsidR="005E6054">
        <w:t xml:space="preserve"> of stakeholders</w:t>
      </w:r>
      <w:r w:rsidR="00BD6C91">
        <w:t xml:space="preserve"> </w:t>
      </w:r>
      <w:r w:rsidR="00E81A42">
        <w:t>is associated</w:t>
      </w:r>
      <w:r w:rsidR="005E6054">
        <w:t xml:space="preserve"> with an organization which are mainly categorized into internal and external stakeholders of the company</w:t>
      </w:r>
      <w:r w:rsidR="008F722E">
        <w:t xml:space="preserve">. Internal stakeholders are </w:t>
      </w:r>
      <w:r w:rsidR="008F6728">
        <w:t>the people who ha</w:t>
      </w:r>
      <w:r w:rsidR="001D58A8">
        <w:t>ve a direct relationship</w:t>
      </w:r>
      <w:r w:rsidR="00FF6402">
        <w:t xml:space="preserve"> with an organization such as employees, owners, managers, and many more</w:t>
      </w:r>
      <w:r w:rsidR="00910966">
        <w:t>.</w:t>
      </w:r>
      <w:r w:rsidR="00A95C23">
        <w:t xml:space="preserve"> External stakeholders are</w:t>
      </w:r>
      <w:r w:rsidR="003E3EC6">
        <w:t xml:space="preserve"> the</w:t>
      </w:r>
      <w:r>
        <w:t xml:space="preserve"> external part of an organization where they are in form of customers, government agencies, investors, and many more</w:t>
      </w:r>
      <w:r w:rsidR="00DD0AE3">
        <w:t xml:space="preserve"> (</w:t>
      </w:r>
      <w:proofErr w:type="spellStart"/>
      <w:r w:rsidR="00DD0AE3">
        <w:t>Henisz</w:t>
      </w:r>
      <w:proofErr w:type="spellEnd"/>
      <w:r w:rsidR="00DD0AE3">
        <w:t>, 2017)</w:t>
      </w:r>
      <w:r>
        <w:t>. Thus, both internal and external stakeholders of an organization</w:t>
      </w:r>
      <w:r w:rsidR="00527DE8">
        <w:t xml:space="preserve"> are considered very important parts where they</w:t>
      </w:r>
      <w:r w:rsidR="00543D90">
        <w:t xml:space="preserve"> </w:t>
      </w:r>
      <w:r w:rsidR="00E1077B">
        <w:t>provide</w:t>
      </w:r>
      <w:r w:rsidR="00543D90">
        <w:t xml:space="preserve"> funds to the organization</w:t>
      </w:r>
      <w:r w:rsidR="00D433C3">
        <w:t>.</w:t>
      </w:r>
      <w:r w:rsidR="00E1077B">
        <w:t xml:space="preserve"> The stakeholders of an organization </w:t>
      </w:r>
      <w:r w:rsidR="00E74464">
        <w:t>have</w:t>
      </w:r>
      <w:r w:rsidR="00E1077B">
        <w:t xml:space="preserve"> also </w:t>
      </w:r>
      <w:r w:rsidR="00E74464">
        <w:t>engaged</w:t>
      </w:r>
      <w:r w:rsidR="00E1077B">
        <w:t xml:space="preserve"> with </w:t>
      </w:r>
      <w:r w:rsidR="00E1077B">
        <w:lastRenderedPageBreak/>
        <w:t>each other</w:t>
      </w:r>
      <w:r w:rsidR="00E63403">
        <w:t xml:space="preserve"> in the form of a community through which they raise their voice and protects their rights.</w:t>
      </w:r>
      <w:r w:rsidR="00805DA5">
        <w:t xml:space="preserve"> For engaging the stakeholders through the implication of community engagement d</w:t>
      </w:r>
      <w:r w:rsidR="00DE2C3A">
        <w:t>ifferent types of challenges have been faced</w:t>
      </w:r>
      <w:r w:rsidR="003624DE">
        <w:t xml:space="preserve"> in community engagement. One of the major </w:t>
      </w:r>
      <w:r w:rsidR="007C622C">
        <w:t>challenges</w:t>
      </w:r>
      <w:r w:rsidR="003624DE">
        <w:t xml:space="preserve"> is that different types of stakeholders in a community group have their interests and it is very difficult to combine these efforts.</w:t>
      </w:r>
      <w:r w:rsidR="006C2162">
        <w:t xml:space="preserve"> </w:t>
      </w:r>
      <w:r w:rsidR="00323909">
        <w:t>The effective implication of priorities among the stakeholders is also a major challenge where they have highly committed to their interests.</w:t>
      </w:r>
      <w:r w:rsidR="007C622C">
        <w:t xml:space="preserve"> In a wide or diversified range of stakeholder group breakdowns in communication between them is a major issue because clear communication between the stakeholders is very important for the essentials of the group. In, some situations stakeholders resist </w:t>
      </w:r>
      <w:r w:rsidR="00186E03">
        <w:t>sharing their personal information with the rest of the group where another challenge is that it increases</w:t>
      </w:r>
      <w:r w:rsidR="00FC3F34">
        <w:t xml:space="preserve"> the direct cost for an organization.</w:t>
      </w:r>
      <w:r w:rsidR="008C2E6E">
        <w:t xml:space="preserve"> In some situations, big stakeholders </w:t>
      </w:r>
      <w:r w:rsidR="00E74464">
        <w:t>have</w:t>
      </w:r>
      <w:r w:rsidR="008C2E6E">
        <w:t xml:space="preserve"> the power to influence small stakeholders who have low investment in comparison to others</w:t>
      </w:r>
      <w:r w:rsidR="00D4479B">
        <w:t xml:space="preserve"> (Concannon et al., 2014)</w:t>
      </w:r>
      <w:r w:rsidR="00E74464">
        <w:t>.</w:t>
      </w:r>
      <w:r w:rsidR="001F4BEC">
        <w:t xml:space="preserve"> Thus, engaging with community stakeholders improves the process of decision-making in an organization</w:t>
      </w:r>
      <w:r w:rsidR="002A2CA1">
        <w:t xml:space="preserve"> where community engagement is a platform that provides a common platform through which they can combine their effort.</w:t>
      </w:r>
    </w:p>
    <w:p w14:paraId="547CEDFA" w14:textId="4921B466" w:rsidR="00764B58" w:rsidRDefault="002A7E70" w:rsidP="001E0933">
      <w:pPr>
        <w:jc w:val="both"/>
      </w:pPr>
      <w:r>
        <w:t>There are different types of ways that</w:t>
      </w:r>
      <w:r w:rsidR="00FD6FEA">
        <w:t xml:space="preserve"> is </w:t>
      </w:r>
      <w:r>
        <w:t>used for engaging the community members with each other. The engagement of community members with each other is mainly based on the development of an effective communication process between them.</w:t>
      </w:r>
      <w:r w:rsidR="00613937">
        <w:t xml:space="preserve"> The effective communication </w:t>
      </w:r>
      <w:r w:rsidR="007E0835">
        <w:t xml:space="preserve">process between the community increases the active participation of the concerned </w:t>
      </w:r>
      <w:r w:rsidR="00DD1EE4">
        <w:t>stakeholders,</w:t>
      </w:r>
      <w:r w:rsidR="007E0835">
        <w:t xml:space="preserve"> information sharing, and consultation of different types of levels where it clearly defines the leveraging support and ownership of them</w:t>
      </w:r>
      <w:sdt>
        <w:sdtPr>
          <w:id w:val="-2027012589"/>
          <w:citation/>
        </w:sdtPr>
        <w:sdtEndPr/>
        <w:sdtContent>
          <w:r w:rsidR="00BC458E">
            <w:fldChar w:fldCharType="begin"/>
          </w:r>
          <w:r w:rsidR="00BC458E">
            <w:instrText xml:space="preserve"> CITATION Ssw22 \l 1033 </w:instrText>
          </w:r>
          <w:r w:rsidR="00BC458E">
            <w:fldChar w:fldCharType="separate"/>
          </w:r>
          <w:r w:rsidR="00BC458E">
            <w:rPr>
              <w:noProof/>
            </w:rPr>
            <w:t xml:space="preserve"> </w:t>
          </w:r>
          <w:r w:rsidR="00BC458E" w:rsidRPr="00BC458E">
            <w:rPr>
              <w:noProof/>
            </w:rPr>
            <w:t>(Sswm.info, 2022)</w:t>
          </w:r>
          <w:r w:rsidR="00BC458E">
            <w:fldChar w:fldCharType="end"/>
          </w:r>
        </w:sdtContent>
      </w:sdt>
      <w:r w:rsidR="00CA287A">
        <w:t>.</w:t>
      </w:r>
      <w:r w:rsidR="00DD1EE4">
        <w:t xml:space="preserve"> </w:t>
      </w:r>
    </w:p>
    <w:p w14:paraId="2D12883F" w14:textId="7F4D084E" w:rsidR="00C90120" w:rsidRPr="002F6BB7" w:rsidRDefault="00C90120" w:rsidP="00991743">
      <w:pPr>
        <w:pStyle w:val="Heading1"/>
      </w:pPr>
      <w:bookmarkStart w:id="4" w:name="_Toc112338557"/>
      <w:r w:rsidRPr="002F6BB7">
        <w:t xml:space="preserve">Social </w:t>
      </w:r>
      <w:r w:rsidR="00E712BC" w:rsidRPr="002F6BB7">
        <w:t>media</w:t>
      </w:r>
      <w:bookmarkEnd w:id="4"/>
    </w:p>
    <w:p w14:paraId="57C28382" w14:textId="13A758B6" w:rsidR="00DD1EE4" w:rsidRDefault="002A7E70" w:rsidP="001E0933">
      <w:pPr>
        <w:jc w:val="both"/>
      </w:pPr>
      <w:r>
        <w:t>Concerning this</w:t>
      </w:r>
      <w:r w:rsidR="0014174D">
        <w:t>,</w:t>
      </w:r>
      <w:r>
        <w:t xml:space="preserve"> in modern times social media platforms are the most effective way to communicate with </w:t>
      </w:r>
      <w:r w:rsidR="0014174D">
        <w:t>stakeholders where it is the most effective way to communicate through the platforms such as Instagram, Facebook, LinkedIn, and many more. Out of them</w:t>
      </w:r>
      <w:r w:rsidR="00E15F37">
        <w:t xml:space="preserve"> Instagram and Facebook </w:t>
      </w:r>
      <w:r w:rsidR="00C95687">
        <w:t>are</w:t>
      </w:r>
      <w:r w:rsidR="00E15F37">
        <w:t xml:space="preserve"> the most common platform to communicate with community members because both platforms </w:t>
      </w:r>
      <w:r w:rsidR="00C95687">
        <w:t>have</w:t>
      </w:r>
      <w:r w:rsidR="00E15F37">
        <w:t xml:space="preserve"> a wide range of audiences through which organizations can easily share between them.</w:t>
      </w:r>
      <w:r w:rsidR="00C95687">
        <w:t xml:space="preserve"> Instagram has the </w:t>
      </w:r>
      <w:r w:rsidR="00D735F9">
        <w:t xml:space="preserve">highest engagement with more than </w:t>
      </w:r>
      <w:r w:rsidR="00252829">
        <w:t>1.94</w:t>
      </w:r>
      <w:r w:rsidR="00D735F9">
        <w:t>% of the pos</w:t>
      </w:r>
      <w:r w:rsidR="007E3722">
        <w:t>t</w:t>
      </w:r>
      <w:r w:rsidR="00D735F9">
        <w:t xml:space="preserve"> received on the platform</w:t>
      </w:r>
      <w:sdt>
        <w:sdtPr>
          <w:id w:val="807663740"/>
          <w:citation/>
        </w:sdtPr>
        <w:sdtEndPr/>
        <w:sdtContent>
          <w:r w:rsidR="00695F7F">
            <w:fldChar w:fldCharType="begin"/>
          </w:r>
          <w:r w:rsidR="00695F7F">
            <w:instrText xml:space="preserve"> CITATION Gri22 \l 1033 </w:instrText>
          </w:r>
          <w:r w:rsidR="00695F7F">
            <w:fldChar w:fldCharType="separate"/>
          </w:r>
          <w:r w:rsidR="00695F7F">
            <w:rPr>
              <w:noProof/>
            </w:rPr>
            <w:t xml:space="preserve"> </w:t>
          </w:r>
          <w:r w:rsidR="00695F7F" w:rsidRPr="00695F7F">
            <w:rPr>
              <w:noProof/>
            </w:rPr>
            <w:t>(Grin.co, 2022)</w:t>
          </w:r>
          <w:r w:rsidR="00695F7F">
            <w:fldChar w:fldCharType="end"/>
          </w:r>
        </w:sdtContent>
      </w:sdt>
      <w:r w:rsidR="00D735F9">
        <w:t>.</w:t>
      </w:r>
      <w:r w:rsidR="00ED1874">
        <w:t xml:space="preserve"> In modern times, Facebook is considered the most effective community engagement too</w:t>
      </w:r>
      <w:r w:rsidR="00D12CD3">
        <w:t>l to keep the community infor</w:t>
      </w:r>
      <w:r w:rsidR="007B0DEC">
        <w:t xml:space="preserve">med about the latest news. The primary process to engage in a meeting is initiated by welcoming new members to the group </w:t>
      </w:r>
      <w:r w:rsidR="00BF2143">
        <w:t>by leveraging the power of storytelling through which different types of materials related to the community group have been posted and shared.</w:t>
      </w:r>
    </w:p>
    <w:p w14:paraId="5C3BFD73" w14:textId="14CEEFE0" w:rsidR="00424CC3" w:rsidRDefault="002A7E70" w:rsidP="001E0933">
      <w:pPr>
        <w:jc w:val="both"/>
      </w:pPr>
      <w:r>
        <w:lastRenderedPageBreak/>
        <w:t>The engagement of the groups in a community is also established through the traditional way of communication where one of the most effective ways is a general meeting where the team authority decides the time and place of the meeting where all the community members take active participation in it</w:t>
      </w:r>
      <w:sdt>
        <w:sdtPr>
          <w:id w:val="598229744"/>
          <w:citation/>
        </w:sdtPr>
        <w:sdtEndPr/>
        <w:sdtContent>
          <w:r w:rsidR="00695F7F">
            <w:fldChar w:fldCharType="begin"/>
          </w:r>
          <w:r w:rsidR="00695F7F">
            <w:instrText xml:space="preserve"> CITATION Sus222 \l 1033 </w:instrText>
          </w:r>
          <w:r w:rsidR="00695F7F">
            <w:fldChar w:fldCharType="separate"/>
          </w:r>
          <w:r w:rsidR="00695F7F">
            <w:rPr>
              <w:noProof/>
            </w:rPr>
            <w:t xml:space="preserve"> </w:t>
          </w:r>
          <w:r w:rsidR="00695F7F" w:rsidRPr="00695F7F">
            <w:rPr>
              <w:noProof/>
            </w:rPr>
            <w:t>(Sustainet, 2022)</w:t>
          </w:r>
          <w:r w:rsidR="00695F7F">
            <w:fldChar w:fldCharType="end"/>
          </w:r>
        </w:sdtContent>
      </w:sdt>
      <w:r>
        <w:t>.</w:t>
      </w:r>
      <w:r w:rsidR="00034C40">
        <w:t xml:space="preserve"> In the current scenario, through the implication of</w:t>
      </w:r>
      <w:r w:rsidR="00EA5AE0">
        <w:t xml:space="preserve"> social media platforms, the general meetings are organized on social media platforms such</w:t>
      </w:r>
      <w:r w:rsidR="00D63C82">
        <w:t xml:space="preserve"> as</w:t>
      </w:r>
      <w:r w:rsidR="005C3033">
        <w:t xml:space="preserve"> </w:t>
      </w:r>
      <w:r w:rsidR="00727881">
        <w:t>Zoom, Google Meet, and many more.</w:t>
      </w:r>
      <w:r w:rsidR="00231EC8">
        <w:t xml:space="preserve"> The sessions organized online help in discussing the primary issue and objectives where they communicate with each other.</w:t>
      </w:r>
      <w:r w:rsidR="00B62E0E">
        <w:t xml:space="preserve"> </w:t>
      </w:r>
    </w:p>
    <w:p w14:paraId="4EF1CEF9" w14:textId="6D4186C9" w:rsidR="00D55BBC" w:rsidRDefault="002A7E70" w:rsidP="001E0933">
      <w:pPr>
        <w:jc w:val="both"/>
      </w:pPr>
      <w:r w:rsidRPr="00424CC3">
        <w:t>Individuals’ vs focus group interviews</w:t>
      </w:r>
      <w:r>
        <w:t xml:space="preserve"> </w:t>
      </w:r>
      <w:r w:rsidR="008E6D0D">
        <w:t>are</w:t>
      </w:r>
      <w:r>
        <w:t xml:space="preserve"> also an effective strategic approach for improving the communication process between the members whereas in a focused group interview</w:t>
      </w:r>
      <w:r w:rsidR="00245D86">
        <w:t xml:space="preserve"> the interaction between the participants has been increased</w:t>
      </w:r>
      <w:r w:rsidR="00D96621">
        <w:t xml:space="preserve"> (Krueger and Casey, 2015)</w:t>
      </w:r>
      <w:r w:rsidR="00245D86">
        <w:t>.</w:t>
      </w:r>
      <w:r w:rsidR="0032266B">
        <w:t xml:space="preserve"> </w:t>
      </w:r>
      <w:r w:rsidR="008E6D0D">
        <w:t>The individual interview skill is related to where small groups question about a topic.</w:t>
      </w:r>
      <w:r w:rsidR="000D5905">
        <w:t xml:space="preserve"> The formation of personal groups in community engagement helps in sharing the information between the members</w:t>
      </w:r>
      <w:r w:rsidR="008B2AF7">
        <w:t xml:space="preserve"> </w:t>
      </w:r>
      <w:r w:rsidR="00AD2D7D">
        <w:t>to encourage formal activities</w:t>
      </w:r>
      <w:r w:rsidR="00267C01">
        <w:t>.</w:t>
      </w:r>
    </w:p>
    <w:p w14:paraId="05DCAD88" w14:textId="4028A868" w:rsidR="00714ED8" w:rsidRPr="002F07C8" w:rsidRDefault="00714ED8" w:rsidP="00991743">
      <w:pPr>
        <w:pStyle w:val="Heading1"/>
      </w:pPr>
      <w:bookmarkStart w:id="5" w:name="_Toc112338558"/>
      <w:r w:rsidRPr="002F07C8">
        <w:t xml:space="preserve">Community </w:t>
      </w:r>
      <w:r w:rsidR="00CB55CB" w:rsidRPr="002F07C8">
        <w:t>participation</w:t>
      </w:r>
      <w:bookmarkEnd w:id="5"/>
      <w:r w:rsidR="00CB55CB" w:rsidRPr="002F07C8">
        <w:t xml:space="preserve"> </w:t>
      </w:r>
    </w:p>
    <w:p w14:paraId="2D9E0D2F" w14:textId="72D16868" w:rsidR="00D55BBC" w:rsidRDefault="002A7E70" w:rsidP="00693291">
      <w:pPr>
        <w:jc w:val="both"/>
      </w:pPr>
      <w:r>
        <w:t xml:space="preserve">Community participation is an internal approach in the field of community engagement where it mainly involves the involvement of people in a </w:t>
      </w:r>
      <w:r w:rsidR="00693291">
        <w:t>non-community project</w:t>
      </w:r>
      <w:r>
        <w:t xml:space="preserve"> where they have their problems to solve</w:t>
      </w:r>
      <w:sdt>
        <w:sdtPr>
          <w:id w:val="-846324024"/>
          <w:citation/>
        </w:sdtPr>
        <w:sdtEndPr/>
        <w:sdtContent>
          <w:r w:rsidR="00195317">
            <w:fldChar w:fldCharType="begin"/>
          </w:r>
          <w:r w:rsidR="00195317">
            <w:instrText xml:space="preserve"> CITATION Pla20 \l 1033 </w:instrText>
          </w:r>
          <w:r w:rsidR="00195317">
            <w:fldChar w:fldCharType="separate"/>
          </w:r>
          <w:r w:rsidR="00195317">
            <w:rPr>
              <w:noProof/>
            </w:rPr>
            <w:t xml:space="preserve"> </w:t>
          </w:r>
          <w:r w:rsidR="00195317" w:rsidRPr="00195317">
            <w:rPr>
              <w:noProof/>
            </w:rPr>
            <w:t>(Planningtank, 2020)</w:t>
          </w:r>
          <w:r w:rsidR="00195317">
            <w:fldChar w:fldCharType="end"/>
          </w:r>
        </w:sdtContent>
      </w:sdt>
      <w:r>
        <w:t>.</w:t>
      </w:r>
      <w:r w:rsidR="00693291">
        <w:t xml:space="preserve"> The active approach of community participation is related to the participation in a group with self-agreement because participants in the community cannot be forced to participate in a project.</w:t>
      </w:r>
      <w:r w:rsidR="00675853">
        <w:t xml:space="preserve"> The primary way for increasing community participation in a group of people is related to creating urgency through which they feel a sense of urgency. The promotion of culture is combined with soliciting earned media through which a wide range of audiences has been targeted easily and wants to share common benefits. The initiation of a campaign is an effective strategic approach for competing against the </w:t>
      </w:r>
      <w:r w:rsidR="00126684">
        <w:t>short attention span of potential participants. One of the most effective approaches to increase community participation is the implication of different types of incentives because using prizes and rewards motivates people to engage in community engagement activities.</w:t>
      </w:r>
    </w:p>
    <w:p w14:paraId="669F5AAF" w14:textId="59C3C3F0" w:rsidR="00CB55CB" w:rsidRPr="002F07C8" w:rsidRDefault="00CB55CB" w:rsidP="000B59B2">
      <w:pPr>
        <w:pStyle w:val="Heading1"/>
      </w:pPr>
      <w:bookmarkStart w:id="6" w:name="_Toc112338559"/>
      <w:r w:rsidRPr="002F07C8">
        <w:t>Community collaboration</w:t>
      </w:r>
      <w:bookmarkEnd w:id="6"/>
      <w:r w:rsidRPr="002F07C8">
        <w:t xml:space="preserve"> </w:t>
      </w:r>
    </w:p>
    <w:p w14:paraId="236C9F0A" w14:textId="06502740" w:rsidR="00012A82" w:rsidRDefault="002A7E70" w:rsidP="00693291">
      <w:pPr>
        <w:jc w:val="both"/>
      </w:pPr>
      <w:r>
        <w:t xml:space="preserve">Community </w:t>
      </w:r>
      <w:r w:rsidR="005C7EC6">
        <w:t xml:space="preserve">collaboration is also an integral activity of </w:t>
      </w:r>
      <w:r w:rsidR="00CC7661">
        <w:t>community-based engagement where it promotes collaboration with each other</w:t>
      </w:r>
      <w:sdt>
        <w:sdtPr>
          <w:id w:val="1997224661"/>
          <w:citation/>
        </w:sdtPr>
        <w:sdtEndPr/>
        <w:sdtContent>
          <w:r w:rsidR="00322009">
            <w:fldChar w:fldCharType="begin"/>
          </w:r>
          <w:r w:rsidR="00322009">
            <w:instrText xml:space="preserve"> CITATION Law221 \l 1033 </w:instrText>
          </w:r>
          <w:r w:rsidR="00322009">
            <w:fldChar w:fldCharType="separate"/>
          </w:r>
          <w:r w:rsidR="00322009">
            <w:rPr>
              <w:noProof/>
            </w:rPr>
            <w:t xml:space="preserve"> </w:t>
          </w:r>
          <w:r w:rsidR="00322009" w:rsidRPr="00322009">
            <w:rPr>
              <w:noProof/>
            </w:rPr>
            <w:t>(Lawinsider, 2022)</w:t>
          </w:r>
          <w:r w:rsidR="00322009">
            <w:fldChar w:fldCharType="end"/>
          </w:r>
        </w:sdtContent>
      </w:sdt>
      <w:r w:rsidR="00CC7661">
        <w:t>. The approach of community collaboration</w:t>
      </w:r>
      <w:r w:rsidR="002D373D">
        <w:t xml:space="preserve"> ais on </w:t>
      </w:r>
      <w:r w:rsidR="00D809E4">
        <w:t>an</w:t>
      </w:r>
      <w:r w:rsidR="002D373D">
        <w:t xml:space="preserve"> environment in which individuals, organizations, and groups </w:t>
      </w:r>
      <w:r w:rsidR="00D809E4">
        <w:t>try</w:t>
      </w:r>
      <w:r w:rsidR="002D373D">
        <w:t xml:space="preserve"> to work with each other formally where they shared common goals and vision.</w:t>
      </w:r>
      <w:r w:rsidR="00D809E4">
        <w:t xml:space="preserve"> In an effective community group collaboration of the group is very important</w:t>
      </w:r>
      <w:r w:rsidR="00886869">
        <w:t xml:space="preserve"> </w:t>
      </w:r>
      <w:r w:rsidR="00105DEC">
        <w:t xml:space="preserve">because it brings individuals and agencies together where they work in a common environment to supportively promote </w:t>
      </w:r>
      <w:r w:rsidR="00105DEC">
        <w:lastRenderedPageBreak/>
        <w:t>their activities and find solutions for the different types of issues faced by them.</w:t>
      </w:r>
      <w:r w:rsidR="00361129">
        <w:t xml:space="preserve"> The promotion and implication of community partnership are defined by prioritizing the goals and </w:t>
      </w:r>
      <w:r w:rsidR="00C9335E">
        <w:t>building new partner relationships leading to the promotion of the community engagement group.</w:t>
      </w:r>
    </w:p>
    <w:p w14:paraId="4BFE7F2B" w14:textId="41ED221B" w:rsidR="00A74923" w:rsidRPr="00ED4A3A" w:rsidRDefault="00A74923" w:rsidP="000B59B2">
      <w:pPr>
        <w:pStyle w:val="Heading1"/>
      </w:pPr>
      <w:bookmarkStart w:id="7" w:name="_Toc112338560"/>
      <w:r w:rsidRPr="00ED4A3A">
        <w:t>Conclusion</w:t>
      </w:r>
      <w:bookmarkEnd w:id="7"/>
    </w:p>
    <w:p w14:paraId="30687FF6" w14:textId="77777777" w:rsidR="00FC7D7F" w:rsidRDefault="002A7E70" w:rsidP="00693291">
      <w:pPr>
        <w:jc w:val="both"/>
      </w:pPr>
      <w:r>
        <w:t xml:space="preserve">Based on the above study </w:t>
      </w:r>
      <w:r w:rsidR="00DB3A24">
        <w:t>it is concluded that</w:t>
      </w:r>
      <w:r w:rsidR="00D771C6">
        <w:t xml:space="preserve"> Community engagement is a strategic process that has been used for the specific purpose of working where people </w:t>
      </w:r>
      <w:r w:rsidR="0043372A">
        <w:t>combine</w:t>
      </w:r>
      <w:r w:rsidR="00D771C6">
        <w:t xml:space="preserve"> in a group who shared some common goals.</w:t>
      </w:r>
      <w:r w:rsidR="0043372A">
        <w:t xml:space="preserve"> People are connected because of several reasons</w:t>
      </w:r>
      <w:r w:rsidR="00741A3A">
        <w:t xml:space="preserve"> where they are connected geographically, common interests, and affiliation of identity</w:t>
      </w:r>
      <w:r w:rsidR="00D86483">
        <w:t>.</w:t>
      </w:r>
      <w:r w:rsidR="00CF0341">
        <w:t xml:space="preserve"> The approach of community engagement</w:t>
      </w:r>
      <w:r w:rsidR="00FF1627">
        <w:t xml:space="preserve"> is categorized as community building, education, direct service, and community</w:t>
      </w:r>
      <w:r w:rsidR="000C724F">
        <w:t xml:space="preserve"> which improves the </w:t>
      </w:r>
      <w:r w:rsidR="006D29D4">
        <w:t>community-based</w:t>
      </w:r>
      <w:r w:rsidR="000C724F">
        <w:t xml:space="preserve"> process in a community.</w:t>
      </w:r>
      <w:r w:rsidR="006D29D4">
        <w:t xml:space="preserve"> The primary benefit of the approach is that it develops a sustainable </w:t>
      </w:r>
      <w:r w:rsidR="00870A48">
        <w:t>decision-making</w:t>
      </w:r>
      <w:r w:rsidR="003E0A14">
        <w:t xml:space="preserve"> process by increasing the acceptance of diverse groups in a group.</w:t>
      </w:r>
      <w:r w:rsidR="00870A48">
        <w:t xml:space="preserve"> Many challenges have been associated with the approach which is related to engaging and managing community involvement</w:t>
      </w:r>
      <w:r w:rsidR="003E07FB">
        <w:t xml:space="preserve"> with institutional differences.</w:t>
      </w:r>
      <w:r w:rsidR="00F07FF1">
        <w:t xml:space="preserve"> </w:t>
      </w:r>
    </w:p>
    <w:p w14:paraId="3401D437" w14:textId="07E68E75" w:rsidR="00F07FF1" w:rsidRDefault="002A7E70" w:rsidP="00693291">
      <w:pPr>
        <w:jc w:val="both"/>
      </w:pPr>
      <w:r>
        <w:t xml:space="preserve">Stakeholders are also an integral part of the </w:t>
      </w:r>
      <w:r w:rsidR="000758AC">
        <w:t xml:space="preserve">community groups where in general terms they are the individual or group who has some interest in the </w:t>
      </w:r>
      <w:r w:rsidR="00276AD6">
        <w:t>decision-making</w:t>
      </w:r>
      <w:r w:rsidR="000758AC">
        <w:t xml:space="preserve"> process of an organization because they invest their capital.</w:t>
      </w:r>
      <w:r w:rsidR="00853629">
        <w:t xml:space="preserve"> The stakeholder community is important because through the implication of a formal group they can raise their issues and</w:t>
      </w:r>
      <w:r w:rsidR="000B4066">
        <w:t xml:space="preserve"> agree on some common goals shared by them.</w:t>
      </w:r>
      <w:r w:rsidR="00452BC9">
        <w:t xml:space="preserve"> The primary challenge in the engagement of stakeholders is that it is a costly process and they have their interests where it is very difficult to combine them.</w:t>
      </w:r>
      <w:r w:rsidR="005543AA">
        <w:t xml:space="preserve"> There are different ways to involve</w:t>
      </w:r>
      <w:r w:rsidR="00862C00">
        <w:t xml:space="preserve"> community members</w:t>
      </w:r>
      <w:r w:rsidR="005E1DF8">
        <w:t xml:space="preserve"> in group affirmation where meetings are also organized through online platforms such as Zoom, Google Meet, and </w:t>
      </w:r>
      <w:r w:rsidR="00A66577">
        <w:t>many more because social media is the most eff</w:t>
      </w:r>
      <w:r w:rsidR="00CA6B46">
        <w:t>ective way to share necessary information about the</w:t>
      </w:r>
      <w:r w:rsidR="00B52B68">
        <w:t xml:space="preserve"> formation of group activities</w:t>
      </w:r>
      <w:r w:rsidR="00352A1C">
        <w:t>.</w:t>
      </w:r>
      <w:r w:rsidR="00787713">
        <w:t xml:space="preserve"> Community participation</w:t>
      </w:r>
      <w:r w:rsidR="00507CCB">
        <w:t xml:space="preserve"> is a modern approach to community engagement</w:t>
      </w:r>
      <w:r w:rsidR="0033283B">
        <w:t xml:space="preserve"> where they involve</w:t>
      </w:r>
      <w:r w:rsidR="00CC01EE">
        <w:t xml:space="preserve"> the people in a community project to solve their issues</w:t>
      </w:r>
      <w:r w:rsidR="0097799B">
        <w:t xml:space="preserve"> where the direct promotion is related </w:t>
      </w:r>
      <w:r w:rsidR="0032390B">
        <w:t>to the implication of the social programs.</w:t>
      </w:r>
      <w:r w:rsidR="0046412C">
        <w:t xml:space="preserve"> The community collaboration approach is related to combining the efforts of citizens, organizations</w:t>
      </w:r>
      <w:r w:rsidR="00DD3794">
        <w:t>, and business that shares some common goals</w:t>
      </w:r>
      <w:r w:rsidR="00E87E54">
        <w:t>.</w:t>
      </w:r>
    </w:p>
    <w:p w14:paraId="35A7CBE9" w14:textId="01467C25" w:rsidR="00322009" w:rsidRDefault="00322009" w:rsidP="00322009">
      <w:pPr>
        <w:rPr>
          <w:rFonts w:cs="Times New Roman"/>
          <w:color w:val="222222"/>
          <w:szCs w:val="24"/>
          <w:shd w:val="clear" w:color="auto" w:fill="FFFFFF"/>
        </w:rPr>
      </w:pPr>
      <w:r>
        <w:rPr>
          <w:rFonts w:cs="Times New Roman"/>
          <w:color w:val="222222"/>
          <w:szCs w:val="24"/>
          <w:shd w:val="clear" w:color="auto" w:fill="FFFFFF"/>
        </w:rPr>
        <w:br w:type="page"/>
      </w:r>
    </w:p>
    <w:bookmarkStart w:id="8" w:name="_Toc112338561" w:displacedByCustomXml="next"/>
    <w:sdt>
      <w:sdtPr>
        <w:rPr>
          <w:rFonts w:ascii="Times New Roman" w:eastAsiaTheme="minorHAnsi" w:hAnsi="Times New Roman" w:cstheme="minorBidi"/>
          <w:color w:val="auto"/>
          <w:sz w:val="24"/>
          <w:szCs w:val="22"/>
        </w:rPr>
        <w:id w:val="-2077879409"/>
        <w:docPartObj>
          <w:docPartGallery w:val="Bibliographies"/>
          <w:docPartUnique/>
        </w:docPartObj>
      </w:sdtPr>
      <w:sdtEndPr/>
      <w:sdtContent>
        <w:p w14:paraId="27CDC686" w14:textId="780A66B9" w:rsidR="00322009" w:rsidRPr="004745DF" w:rsidRDefault="00322009">
          <w:pPr>
            <w:pStyle w:val="Heading1"/>
            <w:rPr>
              <w:rFonts w:ascii="Times New Roman" w:hAnsi="Times New Roman" w:cs="Times New Roman"/>
              <w:b/>
              <w:bCs/>
              <w:color w:val="000000" w:themeColor="text1"/>
              <w:sz w:val="24"/>
              <w:szCs w:val="24"/>
            </w:rPr>
          </w:pPr>
          <w:r w:rsidRPr="004745DF">
            <w:rPr>
              <w:rFonts w:ascii="Times New Roman" w:hAnsi="Times New Roman" w:cs="Times New Roman"/>
              <w:b/>
              <w:bCs/>
              <w:color w:val="000000" w:themeColor="text1"/>
              <w:sz w:val="24"/>
              <w:szCs w:val="24"/>
            </w:rPr>
            <w:t>References</w:t>
          </w:r>
          <w:bookmarkEnd w:id="8"/>
        </w:p>
        <w:sdt>
          <w:sdtPr>
            <w:id w:val="-573587230"/>
            <w:bibliography/>
          </w:sdtPr>
          <w:sdtEndPr/>
          <w:sdtContent>
            <w:p w14:paraId="67CB3224" w14:textId="77777777" w:rsidR="00322009" w:rsidRDefault="00322009" w:rsidP="00322009">
              <w:pPr>
                <w:pStyle w:val="Bibliography"/>
                <w:jc w:val="both"/>
                <w:rPr>
                  <w:noProof/>
                  <w:szCs w:val="24"/>
                </w:rPr>
              </w:pPr>
              <w:r>
                <w:fldChar w:fldCharType="begin"/>
              </w:r>
              <w:r>
                <w:instrText xml:space="preserve"> BIBLIOGRAPHY </w:instrText>
              </w:r>
              <w:r>
                <w:fldChar w:fldCharType="separate"/>
              </w:r>
              <w:r>
                <w:rPr>
                  <w:noProof/>
                </w:rPr>
                <w:t xml:space="preserve">Aese.psu.edu, 2022. </w:t>
              </w:r>
              <w:r>
                <w:rPr>
                  <w:i/>
                  <w:iCs/>
                  <w:noProof/>
                </w:rPr>
                <w:t xml:space="preserve">Why Community Engagement Matters. </w:t>
              </w:r>
              <w:r>
                <w:rPr>
                  <w:noProof/>
                </w:rPr>
                <w:t xml:space="preserve">[Online] </w:t>
              </w:r>
              <w:r>
                <w:rPr>
                  <w:noProof/>
                </w:rPr>
                <w:br/>
                <w:t xml:space="preserve">Available at: </w:t>
              </w:r>
              <w:r>
                <w:rPr>
                  <w:noProof/>
                  <w:u w:val="single"/>
                </w:rPr>
                <w:t>https://aese.psu.edu/research/centers/cecd/engagement-toolbox/engagement/why-community-engagement-matters</w:t>
              </w:r>
              <w:r>
                <w:rPr>
                  <w:noProof/>
                </w:rPr>
                <w:br/>
                <w:t>[Accessed 27 July 2022].</w:t>
              </w:r>
            </w:p>
            <w:p w14:paraId="794F77D3" w14:textId="79CC21DE" w:rsidR="00322009" w:rsidRDefault="00322009" w:rsidP="00322009">
              <w:pPr>
                <w:pStyle w:val="Bibliography"/>
                <w:jc w:val="both"/>
                <w:rPr>
                  <w:noProof/>
                </w:rPr>
              </w:pPr>
              <w:r>
                <w:rPr>
                  <w:noProof/>
                </w:rPr>
                <w:t xml:space="preserve">Atsdr.cdc.gov, 2022. </w:t>
              </w:r>
              <w:r>
                <w:rPr>
                  <w:i/>
                  <w:iCs/>
                  <w:noProof/>
                </w:rPr>
                <w:t xml:space="preserve">What Is Community Engagement?. </w:t>
              </w:r>
              <w:r>
                <w:rPr>
                  <w:noProof/>
                </w:rPr>
                <w:t xml:space="preserve">[Online] </w:t>
              </w:r>
              <w:r>
                <w:rPr>
                  <w:noProof/>
                </w:rPr>
                <w:br/>
                <w:t xml:space="preserve">Available at: </w:t>
              </w:r>
              <w:r>
                <w:rPr>
                  <w:noProof/>
                  <w:u w:val="single"/>
                </w:rPr>
                <w:t>https://www.atsdr.cdc.gov/communityengagement/pce_what.html</w:t>
              </w:r>
              <w:r>
                <w:rPr>
                  <w:noProof/>
                </w:rPr>
                <w:br/>
                <w:t>[Accessed 27 July 2022].</w:t>
              </w:r>
            </w:p>
            <w:p w14:paraId="273C491F" w14:textId="4ED0FE84" w:rsidR="00322009" w:rsidRPr="00322009" w:rsidRDefault="00322009" w:rsidP="00322009">
              <w:pPr>
                <w:jc w:val="both"/>
                <w:rPr>
                  <w:rFonts w:cs="Times New Roman"/>
                  <w:color w:val="222222"/>
                  <w:szCs w:val="24"/>
                  <w:shd w:val="clear" w:color="auto" w:fill="FFFFFF"/>
                </w:rPr>
              </w:pPr>
              <w:r w:rsidRPr="00322009">
                <w:rPr>
                  <w:rFonts w:cs="Times New Roman"/>
                  <w:color w:val="222222"/>
                  <w:szCs w:val="24"/>
                  <w:shd w:val="clear" w:color="auto" w:fill="FFFFFF"/>
                </w:rPr>
                <w:t>Burivalova, Z., Hua, F., Koh, L.P., Garcia, C. and Putz, F., 2017. A critical comparison of conventional, certified, and community management of tropical forests for timber in terms of environmental, economic, and social variables. </w:t>
              </w:r>
              <w:r w:rsidRPr="00322009">
                <w:rPr>
                  <w:rFonts w:cs="Times New Roman"/>
                  <w:i/>
                  <w:iCs/>
                  <w:color w:val="222222"/>
                  <w:szCs w:val="24"/>
                  <w:shd w:val="clear" w:color="auto" w:fill="FFFFFF"/>
                </w:rPr>
                <w:t>Conservation Letters</w:t>
              </w:r>
              <w:r w:rsidRPr="00322009">
                <w:rPr>
                  <w:rFonts w:cs="Times New Roman"/>
                  <w:color w:val="222222"/>
                  <w:szCs w:val="24"/>
                  <w:shd w:val="clear" w:color="auto" w:fill="FFFFFF"/>
                </w:rPr>
                <w:t>, </w:t>
              </w:r>
              <w:r w:rsidRPr="00322009">
                <w:rPr>
                  <w:rFonts w:cs="Times New Roman"/>
                  <w:i/>
                  <w:iCs/>
                  <w:color w:val="222222"/>
                  <w:szCs w:val="24"/>
                  <w:shd w:val="clear" w:color="auto" w:fill="FFFFFF"/>
                </w:rPr>
                <w:t>10</w:t>
              </w:r>
              <w:r w:rsidRPr="00322009">
                <w:rPr>
                  <w:rFonts w:cs="Times New Roman"/>
                  <w:color w:val="222222"/>
                  <w:szCs w:val="24"/>
                  <w:shd w:val="clear" w:color="auto" w:fill="FFFFFF"/>
                </w:rPr>
                <w:t>(1), pp.4-14.</w:t>
              </w:r>
            </w:p>
            <w:p w14:paraId="69EFC3AE" w14:textId="77777777" w:rsidR="00322009" w:rsidRPr="00322009" w:rsidRDefault="00322009" w:rsidP="00322009">
              <w:pPr>
                <w:jc w:val="both"/>
                <w:rPr>
                  <w:rFonts w:cs="Times New Roman"/>
                  <w:color w:val="222222"/>
                  <w:szCs w:val="24"/>
                  <w:shd w:val="clear" w:color="auto" w:fill="FFFFFF"/>
                </w:rPr>
              </w:pPr>
              <w:r w:rsidRPr="00322009">
                <w:rPr>
                  <w:rFonts w:cs="Times New Roman"/>
                  <w:color w:val="222222"/>
                  <w:szCs w:val="24"/>
                  <w:shd w:val="clear" w:color="auto" w:fill="FFFFFF"/>
                </w:rPr>
                <w:t>Concannon, T.W., Fuster, M., Saunders, T., Patel, K., Wong, J.B., Leslie, L.K. and Lau, J., 2014. A systematic review of stakeholder engagement in comparative effectiveness and patient-centered outcomes research. </w:t>
              </w:r>
              <w:r w:rsidRPr="00322009">
                <w:rPr>
                  <w:rFonts w:cs="Times New Roman"/>
                  <w:i/>
                  <w:iCs/>
                  <w:color w:val="222222"/>
                  <w:szCs w:val="24"/>
                  <w:shd w:val="clear" w:color="auto" w:fill="FFFFFF"/>
                </w:rPr>
                <w:t>Journal of general internal medicine</w:t>
              </w:r>
              <w:r w:rsidRPr="00322009">
                <w:rPr>
                  <w:rFonts w:cs="Times New Roman"/>
                  <w:color w:val="222222"/>
                  <w:szCs w:val="24"/>
                  <w:shd w:val="clear" w:color="auto" w:fill="FFFFFF"/>
                </w:rPr>
                <w:t>, </w:t>
              </w:r>
              <w:r w:rsidRPr="00322009">
                <w:rPr>
                  <w:rFonts w:cs="Times New Roman"/>
                  <w:i/>
                  <w:iCs/>
                  <w:color w:val="222222"/>
                  <w:szCs w:val="24"/>
                  <w:shd w:val="clear" w:color="auto" w:fill="FFFFFF"/>
                </w:rPr>
                <w:t>29</w:t>
              </w:r>
              <w:r w:rsidRPr="00322009">
                <w:rPr>
                  <w:rFonts w:cs="Times New Roman"/>
                  <w:color w:val="222222"/>
                  <w:szCs w:val="24"/>
                  <w:shd w:val="clear" w:color="auto" w:fill="FFFFFF"/>
                </w:rPr>
                <w:t>(12), pp.1692-1701.</w:t>
              </w:r>
            </w:p>
            <w:p w14:paraId="0A4A92D6" w14:textId="7D4A7733" w:rsidR="00322009" w:rsidRPr="009D3521" w:rsidRDefault="00322009" w:rsidP="00322009">
              <w:pPr>
                <w:jc w:val="both"/>
                <w:rPr>
                  <w:rFonts w:cs="Times New Roman"/>
                  <w:color w:val="222222"/>
                  <w:szCs w:val="24"/>
                  <w:shd w:val="clear" w:color="auto" w:fill="FFFFFF"/>
                </w:rPr>
              </w:pPr>
              <w:r w:rsidRPr="00322009">
                <w:rPr>
                  <w:rFonts w:cs="Times New Roman"/>
                  <w:color w:val="222222"/>
                  <w:szCs w:val="24"/>
                  <w:shd w:val="clear" w:color="auto" w:fill="FFFFFF"/>
                </w:rPr>
                <w:t>Freiwirth, J., 2013. Community-Engagement Governance™: Engaging stakeholders for community impact. In </w:t>
              </w:r>
              <w:r w:rsidRPr="00322009">
                <w:rPr>
                  <w:rFonts w:cs="Times New Roman"/>
                  <w:i/>
                  <w:iCs/>
                  <w:color w:val="222222"/>
                  <w:szCs w:val="24"/>
                  <w:shd w:val="clear" w:color="auto" w:fill="FFFFFF"/>
                </w:rPr>
                <w:t>Nonprofit Governance</w:t>
              </w:r>
              <w:r w:rsidRPr="00322009">
                <w:rPr>
                  <w:rFonts w:cs="Times New Roman"/>
                  <w:color w:val="222222"/>
                  <w:szCs w:val="24"/>
                  <w:shd w:val="clear" w:color="auto" w:fill="FFFFFF"/>
                </w:rPr>
                <w:t> (pp. 183-209). Routledge.</w:t>
              </w:r>
            </w:p>
            <w:p w14:paraId="78B4D74E" w14:textId="6D4020CA" w:rsidR="00322009" w:rsidRDefault="00322009" w:rsidP="00322009">
              <w:pPr>
                <w:pStyle w:val="Bibliography"/>
                <w:jc w:val="both"/>
                <w:rPr>
                  <w:noProof/>
                </w:rPr>
              </w:pPr>
              <w:r>
                <w:rPr>
                  <w:noProof/>
                </w:rPr>
                <w:t xml:space="preserve">Grin.co, 2022. </w:t>
              </w:r>
              <w:r>
                <w:rPr>
                  <w:i/>
                  <w:iCs/>
                  <w:noProof/>
                </w:rPr>
                <w:t xml:space="preserve">Influencer Engagement Rate Calculator. </w:t>
              </w:r>
              <w:r>
                <w:rPr>
                  <w:noProof/>
                </w:rPr>
                <w:t xml:space="preserve">[Online] </w:t>
              </w:r>
              <w:r>
                <w:rPr>
                  <w:noProof/>
                </w:rPr>
                <w:br/>
                <w:t xml:space="preserve">Available at: </w:t>
              </w:r>
              <w:r>
                <w:rPr>
                  <w:noProof/>
                  <w:u w:val="single"/>
                </w:rPr>
                <w:t>https://grin.co/influencer-marketing-tools/engagement-rate-calculator/#:~:text=What%20is%20the%20average%20engagement,photo%20posts%20earning%20the%20least.</w:t>
              </w:r>
              <w:r>
                <w:rPr>
                  <w:noProof/>
                </w:rPr>
                <w:br/>
                <w:t>[Accessed 27 July 2022].</w:t>
              </w:r>
            </w:p>
            <w:p w14:paraId="62D956D8" w14:textId="77777777" w:rsidR="00322009" w:rsidRPr="00322009" w:rsidRDefault="00322009" w:rsidP="00322009">
              <w:pPr>
                <w:jc w:val="both"/>
                <w:rPr>
                  <w:rFonts w:cs="Times New Roman"/>
                  <w:color w:val="222222"/>
                  <w:szCs w:val="24"/>
                  <w:shd w:val="clear" w:color="auto" w:fill="FFFFFF"/>
                </w:rPr>
              </w:pPr>
              <w:r w:rsidRPr="00322009">
                <w:rPr>
                  <w:rFonts w:cs="Times New Roman"/>
                  <w:color w:val="222222"/>
                  <w:szCs w:val="24"/>
                  <w:shd w:val="clear" w:color="auto" w:fill="FFFFFF"/>
                </w:rPr>
                <w:t>Henisz, W.J., 2017. </w:t>
              </w:r>
              <w:r w:rsidRPr="00322009">
                <w:rPr>
                  <w:rFonts w:cs="Times New Roman"/>
                  <w:i/>
                  <w:iCs/>
                  <w:color w:val="222222"/>
                  <w:szCs w:val="24"/>
                  <w:shd w:val="clear" w:color="auto" w:fill="FFFFFF"/>
                </w:rPr>
                <w:t>Corporate diplomacy: Building reputations and relationships with external stakeholders</w:t>
              </w:r>
              <w:r w:rsidRPr="00322009">
                <w:rPr>
                  <w:rFonts w:cs="Times New Roman"/>
                  <w:color w:val="222222"/>
                  <w:szCs w:val="24"/>
                  <w:shd w:val="clear" w:color="auto" w:fill="FFFFFF"/>
                </w:rPr>
                <w:t>. Routledge.</w:t>
              </w:r>
            </w:p>
            <w:p w14:paraId="5036D6C0" w14:textId="49D149AC" w:rsidR="00322009" w:rsidRPr="00386D63" w:rsidRDefault="00322009" w:rsidP="00322009">
              <w:pPr>
                <w:jc w:val="both"/>
                <w:rPr>
                  <w:rFonts w:cs="Times New Roman"/>
                  <w:color w:val="222222"/>
                  <w:szCs w:val="24"/>
                  <w:shd w:val="clear" w:color="auto" w:fill="FFFFFF"/>
                </w:rPr>
              </w:pPr>
              <w:r w:rsidRPr="00322009">
                <w:rPr>
                  <w:rFonts w:cs="Times New Roman"/>
                  <w:color w:val="222222"/>
                  <w:szCs w:val="24"/>
                  <w:shd w:val="clear" w:color="auto" w:fill="FFFFFF"/>
                </w:rPr>
                <w:t>Jones, T.M., Wicks, A.C. and Freeman, R.E., 2017. Stakeholder theory: The state of the art. </w:t>
              </w:r>
              <w:r w:rsidRPr="00322009">
                <w:rPr>
                  <w:rFonts w:cs="Times New Roman"/>
                  <w:i/>
                  <w:iCs/>
                  <w:color w:val="222222"/>
                  <w:szCs w:val="24"/>
                  <w:shd w:val="clear" w:color="auto" w:fill="FFFFFF"/>
                </w:rPr>
                <w:t>The Blackwell guide to business ethics</w:t>
              </w:r>
              <w:r w:rsidRPr="00322009">
                <w:rPr>
                  <w:rFonts w:cs="Times New Roman"/>
                  <w:color w:val="222222"/>
                  <w:szCs w:val="24"/>
                  <w:shd w:val="clear" w:color="auto" w:fill="FFFFFF"/>
                </w:rPr>
                <w:t>, pp.17-37.</w:t>
              </w:r>
            </w:p>
            <w:p w14:paraId="445B65E5" w14:textId="7B7E839E" w:rsidR="00322009" w:rsidRPr="00322009" w:rsidRDefault="00322009" w:rsidP="00322009">
              <w:pPr>
                <w:jc w:val="both"/>
                <w:rPr>
                  <w:rFonts w:cs="Times New Roman"/>
                  <w:color w:val="222222"/>
                  <w:szCs w:val="24"/>
                  <w:shd w:val="clear" w:color="auto" w:fill="FFFFFF"/>
                </w:rPr>
              </w:pPr>
              <w:r w:rsidRPr="00322009">
                <w:rPr>
                  <w:rFonts w:cs="Times New Roman"/>
                  <w:color w:val="222222"/>
                  <w:szCs w:val="24"/>
                  <w:shd w:val="clear" w:color="auto" w:fill="FFFFFF"/>
                </w:rPr>
                <w:t>Krueger, R.A. and Casey, M.A., 2015. Focus group interviewing. </w:t>
              </w:r>
              <w:r w:rsidRPr="00322009">
                <w:rPr>
                  <w:rFonts w:cs="Times New Roman"/>
                  <w:i/>
                  <w:iCs/>
                  <w:color w:val="222222"/>
                  <w:szCs w:val="24"/>
                  <w:shd w:val="clear" w:color="auto" w:fill="FFFFFF"/>
                </w:rPr>
                <w:t>Handbook of practical program evaluation</w:t>
              </w:r>
              <w:r w:rsidRPr="00322009">
                <w:rPr>
                  <w:rFonts w:cs="Times New Roman"/>
                  <w:color w:val="222222"/>
                  <w:szCs w:val="24"/>
                  <w:shd w:val="clear" w:color="auto" w:fill="FFFFFF"/>
                </w:rPr>
                <w:t>, pp.506-534.</w:t>
              </w:r>
            </w:p>
            <w:p w14:paraId="4CB4BCB4" w14:textId="77777777" w:rsidR="00322009" w:rsidRDefault="00322009" w:rsidP="00322009">
              <w:pPr>
                <w:pStyle w:val="Bibliography"/>
                <w:jc w:val="both"/>
                <w:rPr>
                  <w:noProof/>
                </w:rPr>
              </w:pPr>
              <w:r>
                <w:rPr>
                  <w:noProof/>
                </w:rPr>
                <w:t xml:space="preserve">Lawinsider, 2022. </w:t>
              </w:r>
              <w:r>
                <w:rPr>
                  <w:i/>
                  <w:iCs/>
                  <w:noProof/>
                </w:rPr>
                <w:t xml:space="preserve">Community Collaboration definition. </w:t>
              </w:r>
              <w:r>
                <w:rPr>
                  <w:noProof/>
                </w:rPr>
                <w:t xml:space="preserve">[Online] </w:t>
              </w:r>
              <w:r>
                <w:rPr>
                  <w:noProof/>
                </w:rPr>
                <w:br/>
                <w:t xml:space="preserve">Available at: </w:t>
              </w:r>
              <w:r>
                <w:rPr>
                  <w:noProof/>
                  <w:u w:val="single"/>
                </w:rPr>
                <w:t xml:space="preserve">https://www.lawinsider.com/dictionary/community-collaboration </w:t>
              </w:r>
              <w:r>
                <w:rPr>
                  <w:noProof/>
                </w:rPr>
                <w:br/>
                <w:t>[Accessed 27 July 2022].</w:t>
              </w:r>
            </w:p>
            <w:p w14:paraId="4CB8187C" w14:textId="77777777" w:rsidR="00322009" w:rsidRDefault="00322009" w:rsidP="00322009">
              <w:pPr>
                <w:pStyle w:val="Bibliography"/>
                <w:jc w:val="both"/>
                <w:rPr>
                  <w:noProof/>
                </w:rPr>
              </w:pPr>
              <w:r>
                <w:rPr>
                  <w:noProof/>
                </w:rPr>
                <w:lastRenderedPageBreak/>
                <w:t xml:space="preserve">Planningtank, 2020. </w:t>
              </w:r>
              <w:r>
                <w:rPr>
                  <w:i/>
                  <w:iCs/>
                  <w:noProof/>
                </w:rPr>
                <w:t xml:space="preserve">Community Participation | Types, Process &amp; Facilitation. </w:t>
              </w:r>
              <w:r>
                <w:rPr>
                  <w:noProof/>
                </w:rPr>
                <w:t xml:space="preserve">[Online] </w:t>
              </w:r>
              <w:r>
                <w:rPr>
                  <w:noProof/>
                </w:rPr>
                <w:br/>
                <w:t xml:space="preserve">Available at: </w:t>
              </w:r>
              <w:r>
                <w:rPr>
                  <w:noProof/>
                  <w:u w:val="single"/>
                </w:rPr>
                <w:t>https://planningtank.com/planning-theory/community-participation</w:t>
              </w:r>
              <w:r>
                <w:rPr>
                  <w:noProof/>
                </w:rPr>
                <w:br/>
                <w:t>[Accessed 27 July 2022].</w:t>
              </w:r>
            </w:p>
            <w:p w14:paraId="4D9037BF" w14:textId="77777777" w:rsidR="00322009" w:rsidRDefault="00322009" w:rsidP="00322009">
              <w:pPr>
                <w:pStyle w:val="Bibliography"/>
                <w:jc w:val="both"/>
                <w:rPr>
                  <w:noProof/>
                </w:rPr>
              </w:pPr>
              <w:r>
                <w:rPr>
                  <w:noProof/>
                </w:rPr>
                <w:t xml:space="preserve">Sswm.info, 2022. </w:t>
              </w:r>
              <w:r>
                <w:rPr>
                  <w:i/>
                  <w:iCs/>
                  <w:noProof/>
                </w:rPr>
                <w:t xml:space="preserve">Community Engagement &amp; Communication. </w:t>
              </w:r>
              <w:r>
                <w:rPr>
                  <w:noProof/>
                </w:rPr>
                <w:t xml:space="preserve">[Online] </w:t>
              </w:r>
              <w:r>
                <w:rPr>
                  <w:noProof/>
                </w:rPr>
                <w:br/>
                <w:t xml:space="preserve">Available at: </w:t>
              </w:r>
              <w:r>
                <w:rPr>
                  <w:noProof/>
                  <w:u w:val="single"/>
                </w:rPr>
                <w:t>https://sswm.info/sanitation-project-implementation/participatory-planning-and-community-engagement/community-engagement-%26-communication</w:t>
              </w:r>
              <w:r>
                <w:rPr>
                  <w:noProof/>
                </w:rPr>
                <w:br/>
                <w:t>[Accessed 27 July 2022].</w:t>
              </w:r>
            </w:p>
            <w:p w14:paraId="30B7670A" w14:textId="77777777" w:rsidR="00322009" w:rsidRDefault="00322009" w:rsidP="00322009">
              <w:pPr>
                <w:pStyle w:val="Bibliography"/>
                <w:jc w:val="both"/>
                <w:rPr>
                  <w:noProof/>
                </w:rPr>
              </w:pPr>
              <w:r>
                <w:rPr>
                  <w:noProof/>
                </w:rPr>
                <w:t xml:space="preserve">Stuart, G., 2017. </w:t>
              </w:r>
              <w:r>
                <w:rPr>
                  <w:i/>
                  <w:iCs/>
                  <w:noProof/>
                </w:rPr>
                <w:t xml:space="preserve">Definitions of community engagement. </w:t>
              </w:r>
              <w:r>
                <w:rPr>
                  <w:noProof/>
                </w:rPr>
                <w:t xml:space="preserve">[Online] </w:t>
              </w:r>
              <w:r>
                <w:rPr>
                  <w:noProof/>
                </w:rPr>
                <w:br/>
                <w:t xml:space="preserve">Available at: </w:t>
              </w:r>
              <w:r>
                <w:rPr>
                  <w:noProof/>
                  <w:u w:val="single"/>
                </w:rPr>
                <w:t>https://sustainingcommunity.wordpress.com/2011/03/21/what-is-community-engagement/</w:t>
              </w:r>
              <w:r>
                <w:rPr>
                  <w:noProof/>
                </w:rPr>
                <w:br/>
                <w:t>[Accessed 27 July 2022].</w:t>
              </w:r>
            </w:p>
            <w:p w14:paraId="06F8BD82" w14:textId="77777777" w:rsidR="00322009" w:rsidRDefault="00322009" w:rsidP="00322009">
              <w:pPr>
                <w:pStyle w:val="Bibliography"/>
                <w:jc w:val="both"/>
                <w:rPr>
                  <w:noProof/>
                </w:rPr>
              </w:pPr>
              <w:r>
                <w:rPr>
                  <w:noProof/>
                </w:rPr>
                <w:t xml:space="preserve">Students.morris.umn.edu, 2022. </w:t>
              </w:r>
              <w:r>
                <w:rPr>
                  <w:i/>
                  <w:iCs/>
                  <w:noProof/>
                </w:rPr>
                <w:t xml:space="preserve">Types of Community engagement. </w:t>
              </w:r>
              <w:r>
                <w:rPr>
                  <w:noProof/>
                </w:rPr>
                <w:t xml:space="preserve">[Online] </w:t>
              </w:r>
              <w:r>
                <w:rPr>
                  <w:noProof/>
                </w:rPr>
                <w:br/>
                <w:t xml:space="preserve">Available at: </w:t>
              </w:r>
              <w:r>
                <w:rPr>
                  <w:noProof/>
                  <w:u w:val="single"/>
                </w:rPr>
                <w:t>https://students.morris.umn.edu/community-engagement/types-community-engagement</w:t>
              </w:r>
              <w:r>
                <w:rPr>
                  <w:noProof/>
                </w:rPr>
                <w:br/>
                <w:t>[Accessed 27 July 2022].</w:t>
              </w:r>
            </w:p>
            <w:p w14:paraId="0F8AD3A9" w14:textId="77777777" w:rsidR="00322009" w:rsidRDefault="00322009" w:rsidP="00322009">
              <w:pPr>
                <w:pStyle w:val="Bibliography"/>
                <w:jc w:val="both"/>
                <w:rPr>
                  <w:noProof/>
                </w:rPr>
              </w:pPr>
              <w:r>
                <w:rPr>
                  <w:noProof/>
                </w:rPr>
                <w:t xml:space="preserve">Sustainet, 2022. </w:t>
              </w:r>
              <w:r>
                <w:rPr>
                  <w:i/>
                  <w:iCs/>
                  <w:noProof/>
                </w:rPr>
                <w:t xml:space="preserve">An overview of effective community engagement methods. </w:t>
              </w:r>
              <w:r>
                <w:rPr>
                  <w:noProof/>
                </w:rPr>
                <w:t xml:space="preserve">[Online] </w:t>
              </w:r>
              <w:r>
                <w:rPr>
                  <w:noProof/>
                </w:rPr>
                <w:br/>
                <w:t xml:space="preserve">Available at: </w:t>
              </w:r>
              <w:r>
                <w:rPr>
                  <w:noProof/>
                  <w:u w:val="single"/>
                </w:rPr>
                <w:t>https://www.sustainet.com/community-engagement-methods/</w:t>
              </w:r>
              <w:r>
                <w:rPr>
                  <w:noProof/>
                </w:rPr>
                <w:br/>
                <w:t>[Accessed 27 July 2022].</w:t>
              </w:r>
            </w:p>
            <w:p w14:paraId="1C45CAC3" w14:textId="23AB272B" w:rsidR="00322009" w:rsidRDefault="00322009" w:rsidP="00322009">
              <w:pPr>
                <w:jc w:val="both"/>
              </w:pPr>
              <w:r>
                <w:rPr>
                  <w:b/>
                  <w:bCs/>
                  <w:noProof/>
                </w:rPr>
                <w:fldChar w:fldCharType="end"/>
              </w:r>
            </w:p>
          </w:sdtContent>
        </w:sdt>
      </w:sdtContent>
    </w:sdt>
    <w:p w14:paraId="3DC6611A" w14:textId="77777777" w:rsidR="00322009" w:rsidRPr="00322009" w:rsidRDefault="00322009" w:rsidP="00693291">
      <w:pPr>
        <w:jc w:val="both"/>
        <w:rPr>
          <w:rFonts w:cs="Times New Roman"/>
          <w:szCs w:val="24"/>
        </w:rPr>
      </w:pPr>
    </w:p>
    <w:sectPr w:rsidR="00322009" w:rsidRPr="00322009" w:rsidSect="00513567">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E5C60" w14:textId="77777777" w:rsidR="0095196F" w:rsidRDefault="0095196F" w:rsidP="00386D63">
      <w:pPr>
        <w:spacing w:after="0" w:line="240" w:lineRule="auto"/>
      </w:pPr>
      <w:r>
        <w:separator/>
      </w:r>
    </w:p>
  </w:endnote>
  <w:endnote w:type="continuationSeparator" w:id="0">
    <w:p w14:paraId="686C93EA" w14:textId="77777777" w:rsidR="0095196F" w:rsidRDefault="0095196F" w:rsidP="00386D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C77CF" w14:textId="77777777" w:rsidR="0095196F" w:rsidRDefault="0095196F" w:rsidP="00386D63">
      <w:pPr>
        <w:spacing w:after="0" w:line="240" w:lineRule="auto"/>
      </w:pPr>
      <w:r>
        <w:separator/>
      </w:r>
    </w:p>
  </w:footnote>
  <w:footnote w:type="continuationSeparator" w:id="0">
    <w:p w14:paraId="1668A436" w14:textId="77777777" w:rsidR="0095196F" w:rsidRDefault="0095196F" w:rsidP="00386D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28214"/>
      <w:docPartObj>
        <w:docPartGallery w:val="Page Numbers (Top of Page)"/>
        <w:docPartUnique/>
      </w:docPartObj>
    </w:sdtPr>
    <w:sdtEndPr>
      <w:rPr>
        <w:noProof/>
      </w:rPr>
    </w:sdtEndPr>
    <w:sdtContent>
      <w:p w14:paraId="5E709BEA" w14:textId="09D32159" w:rsidR="00386D63" w:rsidRDefault="00386D6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359D50" w14:textId="77777777" w:rsidR="00386D63" w:rsidRDefault="00386D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8890279"/>
      <w:docPartObj>
        <w:docPartGallery w:val="Page Numbers (Top of Page)"/>
        <w:docPartUnique/>
      </w:docPartObj>
    </w:sdtPr>
    <w:sdtEndPr>
      <w:rPr>
        <w:noProof/>
      </w:rPr>
    </w:sdtEndPr>
    <w:sdtContent>
      <w:p w14:paraId="6C2C1B9C" w14:textId="7EFC4FBA" w:rsidR="00386D63" w:rsidRDefault="00386D6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5B2B9A" w14:textId="77777777" w:rsidR="00386D63" w:rsidRDefault="00386D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84633"/>
    <w:multiLevelType w:val="hybridMultilevel"/>
    <w:tmpl w:val="BCD268B6"/>
    <w:lvl w:ilvl="0" w:tplc="DC30A20C">
      <w:start w:val="1"/>
      <w:numFmt w:val="bullet"/>
      <w:lvlText w:val=""/>
      <w:lvlJc w:val="left"/>
      <w:pPr>
        <w:ind w:left="720" w:hanging="360"/>
      </w:pPr>
      <w:rPr>
        <w:rFonts w:ascii="Symbol" w:hAnsi="Symbol" w:hint="default"/>
      </w:rPr>
    </w:lvl>
    <w:lvl w:ilvl="1" w:tplc="567C2354" w:tentative="1">
      <w:start w:val="1"/>
      <w:numFmt w:val="bullet"/>
      <w:lvlText w:val="o"/>
      <w:lvlJc w:val="left"/>
      <w:pPr>
        <w:ind w:left="1440" w:hanging="360"/>
      </w:pPr>
      <w:rPr>
        <w:rFonts w:ascii="Courier New" w:hAnsi="Courier New" w:cs="Courier New" w:hint="default"/>
      </w:rPr>
    </w:lvl>
    <w:lvl w:ilvl="2" w:tplc="93324788" w:tentative="1">
      <w:start w:val="1"/>
      <w:numFmt w:val="bullet"/>
      <w:lvlText w:val=""/>
      <w:lvlJc w:val="left"/>
      <w:pPr>
        <w:ind w:left="2160" w:hanging="360"/>
      </w:pPr>
      <w:rPr>
        <w:rFonts w:ascii="Wingdings" w:hAnsi="Wingdings" w:hint="default"/>
      </w:rPr>
    </w:lvl>
    <w:lvl w:ilvl="3" w:tplc="C10C6254" w:tentative="1">
      <w:start w:val="1"/>
      <w:numFmt w:val="bullet"/>
      <w:lvlText w:val=""/>
      <w:lvlJc w:val="left"/>
      <w:pPr>
        <w:ind w:left="2880" w:hanging="360"/>
      </w:pPr>
      <w:rPr>
        <w:rFonts w:ascii="Symbol" w:hAnsi="Symbol" w:hint="default"/>
      </w:rPr>
    </w:lvl>
    <w:lvl w:ilvl="4" w:tplc="A7002D7A" w:tentative="1">
      <w:start w:val="1"/>
      <w:numFmt w:val="bullet"/>
      <w:lvlText w:val="o"/>
      <w:lvlJc w:val="left"/>
      <w:pPr>
        <w:ind w:left="3600" w:hanging="360"/>
      </w:pPr>
      <w:rPr>
        <w:rFonts w:ascii="Courier New" w:hAnsi="Courier New" w:cs="Courier New" w:hint="default"/>
      </w:rPr>
    </w:lvl>
    <w:lvl w:ilvl="5" w:tplc="0E74CE6E" w:tentative="1">
      <w:start w:val="1"/>
      <w:numFmt w:val="bullet"/>
      <w:lvlText w:val=""/>
      <w:lvlJc w:val="left"/>
      <w:pPr>
        <w:ind w:left="4320" w:hanging="360"/>
      </w:pPr>
      <w:rPr>
        <w:rFonts w:ascii="Wingdings" w:hAnsi="Wingdings" w:hint="default"/>
      </w:rPr>
    </w:lvl>
    <w:lvl w:ilvl="6" w:tplc="F96C2DBA" w:tentative="1">
      <w:start w:val="1"/>
      <w:numFmt w:val="bullet"/>
      <w:lvlText w:val=""/>
      <w:lvlJc w:val="left"/>
      <w:pPr>
        <w:ind w:left="5040" w:hanging="360"/>
      </w:pPr>
      <w:rPr>
        <w:rFonts w:ascii="Symbol" w:hAnsi="Symbol" w:hint="default"/>
      </w:rPr>
    </w:lvl>
    <w:lvl w:ilvl="7" w:tplc="ABA67602" w:tentative="1">
      <w:start w:val="1"/>
      <w:numFmt w:val="bullet"/>
      <w:lvlText w:val="o"/>
      <w:lvlJc w:val="left"/>
      <w:pPr>
        <w:ind w:left="5760" w:hanging="360"/>
      </w:pPr>
      <w:rPr>
        <w:rFonts w:ascii="Courier New" w:hAnsi="Courier New" w:cs="Courier New" w:hint="default"/>
      </w:rPr>
    </w:lvl>
    <w:lvl w:ilvl="8" w:tplc="9B9ACBB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E16"/>
    <w:rsid w:val="00012A82"/>
    <w:rsid w:val="00031831"/>
    <w:rsid w:val="00034C40"/>
    <w:rsid w:val="00055350"/>
    <w:rsid w:val="00061A8D"/>
    <w:rsid w:val="000620B5"/>
    <w:rsid w:val="0006417D"/>
    <w:rsid w:val="000758AC"/>
    <w:rsid w:val="00085B24"/>
    <w:rsid w:val="000B4066"/>
    <w:rsid w:val="000B59B2"/>
    <w:rsid w:val="000C724F"/>
    <w:rsid w:val="000D2270"/>
    <w:rsid w:val="000D5905"/>
    <w:rsid w:val="00105DEC"/>
    <w:rsid w:val="00124F3E"/>
    <w:rsid w:val="00125B2E"/>
    <w:rsid w:val="00126684"/>
    <w:rsid w:val="00136407"/>
    <w:rsid w:val="00136FB9"/>
    <w:rsid w:val="0014174D"/>
    <w:rsid w:val="00181026"/>
    <w:rsid w:val="00186E03"/>
    <w:rsid w:val="00186FB5"/>
    <w:rsid w:val="001909A2"/>
    <w:rsid w:val="001913FB"/>
    <w:rsid w:val="00195317"/>
    <w:rsid w:val="001A2B99"/>
    <w:rsid w:val="001A5DFF"/>
    <w:rsid w:val="001B6881"/>
    <w:rsid w:val="001C5D80"/>
    <w:rsid w:val="001D5228"/>
    <w:rsid w:val="001D58A8"/>
    <w:rsid w:val="001E0933"/>
    <w:rsid w:val="001E42D7"/>
    <w:rsid w:val="001E588E"/>
    <w:rsid w:val="001F4BEC"/>
    <w:rsid w:val="001F7E1F"/>
    <w:rsid w:val="00231EC8"/>
    <w:rsid w:val="00245D86"/>
    <w:rsid w:val="00252829"/>
    <w:rsid w:val="00267C01"/>
    <w:rsid w:val="00272400"/>
    <w:rsid w:val="00273031"/>
    <w:rsid w:val="00276AD6"/>
    <w:rsid w:val="00282753"/>
    <w:rsid w:val="002938A3"/>
    <w:rsid w:val="002A0D99"/>
    <w:rsid w:val="002A2CA1"/>
    <w:rsid w:val="002A7E70"/>
    <w:rsid w:val="002D373D"/>
    <w:rsid w:val="002E3015"/>
    <w:rsid w:val="002F07C8"/>
    <w:rsid w:val="002F18B4"/>
    <w:rsid w:val="002F6BB7"/>
    <w:rsid w:val="00322009"/>
    <w:rsid w:val="0032266B"/>
    <w:rsid w:val="00323909"/>
    <w:rsid w:val="0032390B"/>
    <w:rsid w:val="00327416"/>
    <w:rsid w:val="0033244C"/>
    <w:rsid w:val="0033283B"/>
    <w:rsid w:val="00334093"/>
    <w:rsid w:val="00352A1C"/>
    <w:rsid w:val="00360558"/>
    <w:rsid w:val="00361129"/>
    <w:rsid w:val="003624DE"/>
    <w:rsid w:val="00372BE7"/>
    <w:rsid w:val="003825FE"/>
    <w:rsid w:val="0038481C"/>
    <w:rsid w:val="00386D63"/>
    <w:rsid w:val="00390A55"/>
    <w:rsid w:val="003962B2"/>
    <w:rsid w:val="003E07FB"/>
    <w:rsid w:val="003E0A14"/>
    <w:rsid w:val="003E3EC6"/>
    <w:rsid w:val="00421F81"/>
    <w:rsid w:val="00424CC3"/>
    <w:rsid w:val="0043372A"/>
    <w:rsid w:val="00452BC9"/>
    <w:rsid w:val="0046412C"/>
    <w:rsid w:val="00473BBB"/>
    <w:rsid w:val="004741D2"/>
    <w:rsid w:val="004743FF"/>
    <w:rsid w:val="004745DF"/>
    <w:rsid w:val="004C0CD0"/>
    <w:rsid w:val="004C0E8D"/>
    <w:rsid w:val="004E55F3"/>
    <w:rsid w:val="004F4E76"/>
    <w:rsid w:val="00501B21"/>
    <w:rsid w:val="00507CCB"/>
    <w:rsid w:val="00512F30"/>
    <w:rsid w:val="00513567"/>
    <w:rsid w:val="00527DE8"/>
    <w:rsid w:val="00543D90"/>
    <w:rsid w:val="005543AA"/>
    <w:rsid w:val="00572726"/>
    <w:rsid w:val="00574913"/>
    <w:rsid w:val="00584396"/>
    <w:rsid w:val="005852C2"/>
    <w:rsid w:val="00592DC6"/>
    <w:rsid w:val="005A770C"/>
    <w:rsid w:val="005B1321"/>
    <w:rsid w:val="005C3033"/>
    <w:rsid w:val="005C7EC6"/>
    <w:rsid w:val="005E1DF8"/>
    <w:rsid w:val="005E6054"/>
    <w:rsid w:val="005F1AB8"/>
    <w:rsid w:val="00613937"/>
    <w:rsid w:val="006142B7"/>
    <w:rsid w:val="00620EAE"/>
    <w:rsid w:val="006569B3"/>
    <w:rsid w:val="00675853"/>
    <w:rsid w:val="00680848"/>
    <w:rsid w:val="00681A4A"/>
    <w:rsid w:val="00684AD8"/>
    <w:rsid w:val="006850FC"/>
    <w:rsid w:val="006914B2"/>
    <w:rsid w:val="00693291"/>
    <w:rsid w:val="00695F7F"/>
    <w:rsid w:val="006A3348"/>
    <w:rsid w:val="006B4C26"/>
    <w:rsid w:val="006B7CAF"/>
    <w:rsid w:val="006C2162"/>
    <w:rsid w:val="006D29D4"/>
    <w:rsid w:val="006D4E90"/>
    <w:rsid w:val="006D770E"/>
    <w:rsid w:val="006E1042"/>
    <w:rsid w:val="006E5F83"/>
    <w:rsid w:val="006F473A"/>
    <w:rsid w:val="006F6C0E"/>
    <w:rsid w:val="00703D97"/>
    <w:rsid w:val="00714ED8"/>
    <w:rsid w:val="007173E8"/>
    <w:rsid w:val="00727881"/>
    <w:rsid w:val="0073677D"/>
    <w:rsid w:val="00741A3A"/>
    <w:rsid w:val="00741BF9"/>
    <w:rsid w:val="007428FA"/>
    <w:rsid w:val="00752F77"/>
    <w:rsid w:val="00755702"/>
    <w:rsid w:val="00764B58"/>
    <w:rsid w:val="00766CBC"/>
    <w:rsid w:val="00787713"/>
    <w:rsid w:val="007B0DEC"/>
    <w:rsid w:val="007C622C"/>
    <w:rsid w:val="007D1FA2"/>
    <w:rsid w:val="007E0835"/>
    <w:rsid w:val="007E3722"/>
    <w:rsid w:val="007E3BE1"/>
    <w:rsid w:val="007E5562"/>
    <w:rsid w:val="007E7AEF"/>
    <w:rsid w:val="00803E53"/>
    <w:rsid w:val="00805DA5"/>
    <w:rsid w:val="00820422"/>
    <w:rsid w:val="00853629"/>
    <w:rsid w:val="00862C00"/>
    <w:rsid w:val="00870A48"/>
    <w:rsid w:val="00886869"/>
    <w:rsid w:val="00887104"/>
    <w:rsid w:val="00891E6A"/>
    <w:rsid w:val="008B2AF7"/>
    <w:rsid w:val="008B6C3F"/>
    <w:rsid w:val="008B7E0C"/>
    <w:rsid w:val="008C2E6E"/>
    <w:rsid w:val="008E6D0D"/>
    <w:rsid w:val="008F6728"/>
    <w:rsid w:val="008F722E"/>
    <w:rsid w:val="0091028D"/>
    <w:rsid w:val="00910966"/>
    <w:rsid w:val="0095196F"/>
    <w:rsid w:val="00961AFE"/>
    <w:rsid w:val="0097799B"/>
    <w:rsid w:val="009805A9"/>
    <w:rsid w:val="00991743"/>
    <w:rsid w:val="0099701A"/>
    <w:rsid w:val="009C0511"/>
    <w:rsid w:val="009D0DC7"/>
    <w:rsid w:val="009D3521"/>
    <w:rsid w:val="009F4F77"/>
    <w:rsid w:val="009F7F59"/>
    <w:rsid w:val="009F7FA6"/>
    <w:rsid w:val="00A11A1B"/>
    <w:rsid w:val="00A363F7"/>
    <w:rsid w:val="00A43605"/>
    <w:rsid w:val="00A50982"/>
    <w:rsid w:val="00A61477"/>
    <w:rsid w:val="00A66577"/>
    <w:rsid w:val="00A702D5"/>
    <w:rsid w:val="00A74923"/>
    <w:rsid w:val="00A905DD"/>
    <w:rsid w:val="00A954AC"/>
    <w:rsid w:val="00A95C23"/>
    <w:rsid w:val="00AB2F38"/>
    <w:rsid w:val="00AB5987"/>
    <w:rsid w:val="00AD2D7D"/>
    <w:rsid w:val="00AE02B7"/>
    <w:rsid w:val="00AE6C71"/>
    <w:rsid w:val="00AF291B"/>
    <w:rsid w:val="00B52B68"/>
    <w:rsid w:val="00B53953"/>
    <w:rsid w:val="00B62E0E"/>
    <w:rsid w:val="00B82954"/>
    <w:rsid w:val="00B93629"/>
    <w:rsid w:val="00BA33FB"/>
    <w:rsid w:val="00BA34A8"/>
    <w:rsid w:val="00BB497F"/>
    <w:rsid w:val="00BC458E"/>
    <w:rsid w:val="00BD6C91"/>
    <w:rsid w:val="00BE63BA"/>
    <w:rsid w:val="00BF2143"/>
    <w:rsid w:val="00C03DA1"/>
    <w:rsid w:val="00C15A35"/>
    <w:rsid w:val="00C219E8"/>
    <w:rsid w:val="00C24524"/>
    <w:rsid w:val="00C54A1B"/>
    <w:rsid w:val="00C90120"/>
    <w:rsid w:val="00C9335E"/>
    <w:rsid w:val="00C939FD"/>
    <w:rsid w:val="00C95687"/>
    <w:rsid w:val="00CA287A"/>
    <w:rsid w:val="00CA6B46"/>
    <w:rsid w:val="00CA72AF"/>
    <w:rsid w:val="00CB55CB"/>
    <w:rsid w:val="00CC01EE"/>
    <w:rsid w:val="00CC7661"/>
    <w:rsid w:val="00CE41BD"/>
    <w:rsid w:val="00CF0341"/>
    <w:rsid w:val="00CF7572"/>
    <w:rsid w:val="00D12CD3"/>
    <w:rsid w:val="00D433C3"/>
    <w:rsid w:val="00D4479B"/>
    <w:rsid w:val="00D4682D"/>
    <w:rsid w:val="00D47C5F"/>
    <w:rsid w:val="00D55BBC"/>
    <w:rsid w:val="00D62D28"/>
    <w:rsid w:val="00D63C82"/>
    <w:rsid w:val="00D735F9"/>
    <w:rsid w:val="00D771C6"/>
    <w:rsid w:val="00D809E4"/>
    <w:rsid w:val="00D86483"/>
    <w:rsid w:val="00D96621"/>
    <w:rsid w:val="00DB1E5B"/>
    <w:rsid w:val="00DB3A24"/>
    <w:rsid w:val="00DD0AE3"/>
    <w:rsid w:val="00DD1EE4"/>
    <w:rsid w:val="00DD3794"/>
    <w:rsid w:val="00DE2C3A"/>
    <w:rsid w:val="00DF5BD2"/>
    <w:rsid w:val="00E00768"/>
    <w:rsid w:val="00E1077B"/>
    <w:rsid w:val="00E15F37"/>
    <w:rsid w:val="00E32132"/>
    <w:rsid w:val="00E35753"/>
    <w:rsid w:val="00E4524F"/>
    <w:rsid w:val="00E6189D"/>
    <w:rsid w:val="00E63403"/>
    <w:rsid w:val="00E63435"/>
    <w:rsid w:val="00E712BC"/>
    <w:rsid w:val="00E74464"/>
    <w:rsid w:val="00E80936"/>
    <w:rsid w:val="00E81A42"/>
    <w:rsid w:val="00E87E54"/>
    <w:rsid w:val="00E92999"/>
    <w:rsid w:val="00EA5AE0"/>
    <w:rsid w:val="00EB3A8A"/>
    <w:rsid w:val="00ED1874"/>
    <w:rsid w:val="00ED4A3A"/>
    <w:rsid w:val="00EF64D0"/>
    <w:rsid w:val="00F07FF1"/>
    <w:rsid w:val="00F10966"/>
    <w:rsid w:val="00F2026B"/>
    <w:rsid w:val="00F2133D"/>
    <w:rsid w:val="00F21A1A"/>
    <w:rsid w:val="00F5139F"/>
    <w:rsid w:val="00F623BF"/>
    <w:rsid w:val="00F75172"/>
    <w:rsid w:val="00F90D3A"/>
    <w:rsid w:val="00F965B7"/>
    <w:rsid w:val="00FC3F34"/>
    <w:rsid w:val="00FC7D7F"/>
    <w:rsid w:val="00FD1AEE"/>
    <w:rsid w:val="00FD6FEA"/>
    <w:rsid w:val="00FE1E16"/>
    <w:rsid w:val="00FF1627"/>
    <w:rsid w:val="00FF6402"/>
    <w:rsid w:val="00FF66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7546D"/>
  <w15:chartTrackingRefBased/>
  <w15:docId w15:val="{F117B1FB-2F97-4536-8CD1-CC6DF6A9A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42D7"/>
    <w:rPr>
      <w:rFonts w:ascii="Times New Roman" w:hAnsi="Times New Roman"/>
      <w:sz w:val="24"/>
      <w:lang w:val="en-US"/>
    </w:rPr>
  </w:style>
  <w:style w:type="paragraph" w:styleId="Heading1">
    <w:name w:val="heading 1"/>
    <w:basedOn w:val="Normal"/>
    <w:next w:val="Normal"/>
    <w:link w:val="Heading1Char"/>
    <w:uiPriority w:val="9"/>
    <w:qFormat/>
    <w:rsid w:val="0032200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F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FA2"/>
    <w:rPr>
      <w:rFonts w:eastAsiaTheme="minorEastAsia"/>
      <w:lang w:val="en-US"/>
    </w:rPr>
  </w:style>
  <w:style w:type="paragraph" w:styleId="ListParagraph">
    <w:name w:val="List Paragraph"/>
    <w:basedOn w:val="Normal"/>
    <w:uiPriority w:val="34"/>
    <w:qFormat/>
    <w:rsid w:val="009F7F59"/>
    <w:pPr>
      <w:ind w:left="720"/>
      <w:contextualSpacing/>
    </w:pPr>
  </w:style>
  <w:style w:type="character" w:customStyle="1" w:styleId="Heading1Char">
    <w:name w:val="Heading 1 Char"/>
    <w:basedOn w:val="DefaultParagraphFont"/>
    <w:link w:val="Heading1"/>
    <w:uiPriority w:val="9"/>
    <w:rsid w:val="0032200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22009"/>
  </w:style>
  <w:style w:type="paragraph" w:styleId="Header">
    <w:name w:val="header"/>
    <w:basedOn w:val="Normal"/>
    <w:link w:val="HeaderChar"/>
    <w:uiPriority w:val="99"/>
    <w:unhideWhenUsed/>
    <w:rsid w:val="00386D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D63"/>
    <w:rPr>
      <w:rFonts w:ascii="Times New Roman" w:hAnsi="Times New Roman"/>
      <w:sz w:val="24"/>
      <w:lang w:val="en-US"/>
    </w:rPr>
  </w:style>
  <w:style w:type="paragraph" w:styleId="Footer">
    <w:name w:val="footer"/>
    <w:basedOn w:val="Normal"/>
    <w:link w:val="FooterChar"/>
    <w:uiPriority w:val="99"/>
    <w:unhideWhenUsed/>
    <w:rsid w:val="00386D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D63"/>
    <w:rPr>
      <w:rFonts w:ascii="Times New Roman" w:hAnsi="Times New Roman"/>
      <w:sz w:val="24"/>
      <w:lang w:val="en-US"/>
    </w:rPr>
  </w:style>
  <w:style w:type="paragraph" w:styleId="TOCHeading">
    <w:name w:val="TOC Heading"/>
    <w:basedOn w:val="Heading1"/>
    <w:next w:val="Normal"/>
    <w:uiPriority w:val="39"/>
    <w:unhideWhenUsed/>
    <w:qFormat/>
    <w:rsid w:val="00991743"/>
    <w:pPr>
      <w:outlineLvl w:val="9"/>
    </w:pPr>
  </w:style>
  <w:style w:type="paragraph" w:styleId="TOC1">
    <w:name w:val="toc 1"/>
    <w:basedOn w:val="Normal"/>
    <w:next w:val="Normal"/>
    <w:autoRedefine/>
    <w:uiPriority w:val="39"/>
    <w:unhideWhenUsed/>
    <w:rsid w:val="00991743"/>
    <w:pPr>
      <w:spacing w:after="100"/>
    </w:pPr>
  </w:style>
  <w:style w:type="character" w:styleId="Hyperlink">
    <w:name w:val="Hyperlink"/>
    <w:basedOn w:val="DefaultParagraphFont"/>
    <w:uiPriority w:val="99"/>
    <w:unhideWhenUsed/>
    <w:rsid w:val="009917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7887">
      <w:bodyDiv w:val="1"/>
      <w:marLeft w:val="0"/>
      <w:marRight w:val="0"/>
      <w:marTop w:val="0"/>
      <w:marBottom w:val="0"/>
      <w:divBdr>
        <w:top w:val="none" w:sz="0" w:space="0" w:color="auto"/>
        <w:left w:val="none" w:sz="0" w:space="0" w:color="auto"/>
        <w:bottom w:val="none" w:sz="0" w:space="0" w:color="auto"/>
        <w:right w:val="none" w:sz="0" w:space="0" w:color="auto"/>
      </w:divBdr>
    </w:div>
    <w:div w:id="482544747">
      <w:bodyDiv w:val="1"/>
      <w:marLeft w:val="0"/>
      <w:marRight w:val="0"/>
      <w:marTop w:val="0"/>
      <w:marBottom w:val="0"/>
      <w:divBdr>
        <w:top w:val="none" w:sz="0" w:space="0" w:color="auto"/>
        <w:left w:val="none" w:sz="0" w:space="0" w:color="auto"/>
        <w:bottom w:val="none" w:sz="0" w:space="0" w:color="auto"/>
        <w:right w:val="none" w:sz="0" w:space="0" w:color="auto"/>
      </w:divBdr>
    </w:div>
    <w:div w:id="512500592">
      <w:bodyDiv w:val="1"/>
      <w:marLeft w:val="0"/>
      <w:marRight w:val="0"/>
      <w:marTop w:val="0"/>
      <w:marBottom w:val="0"/>
      <w:divBdr>
        <w:top w:val="none" w:sz="0" w:space="0" w:color="auto"/>
        <w:left w:val="none" w:sz="0" w:space="0" w:color="auto"/>
        <w:bottom w:val="none" w:sz="0" w:space="0" w:color="auto"/>
        <w:right w:val="none" w:sz="0" w:space="0" w:color="auto"/>
      </w:divBdr>
    </w:div>
    <w:div w:id="1014965640">
      <w:bodyDiv w:val="1"/>
      <w:marLeft w:val="0"/>
      <w:marRight w:val="0"/>
      <w:marTop w:val="0"/>
      <w:marBottom w:val="0"/>
      <w:divBdr>
        <w:top w:val="none" w:sz="0" w:space="0" w:color="auto"/>
        <w:left w:val="none" w:sz="0" w:space="0" w:color="auto"/>
        <w:bottom w:val="none" w:sz="0" w:space="0" w:color="auto"/>
        <w:right w:val="none" w:sz="0" w:space="0" w:color="auto"/>
      </w:divBdr>
    </w:div>
    <w:div w:id="1164247579">
      <w:bodyDiv w:val="1"/>
      <w:marLeft w:val="0"/>
      <w:marRight w:val="0"/>
      <w:marTop w:val="0"/>
      <w:marBottom w:val="0"/>
      <w:divBdr>
        <w:top w:val="none" w:sz="0" w:space="0" w:color="auto"/>
        <w:left w:val="none" w:sz="0" w:space="0" w:color="auto"/>
        <w:bottom w:val="none" w:sz="0" w:space="0" w:color="auto"/>
        <w:right w:val="none" w:sz="0" w:space="0" w:color="auto"/>
      </w:divBdr>
    </w:div>
    <w:div w:id="1515727395">
      <w:bodyDiv w:val="1"/>
      <w:marLeft w:val="0"/>
      <w:marRight w:val="0"/>
      <w:marTop w:val="0"/>
      <w:marBottom w:val="0"/>
      <w:divBdr>
        <w:top w:val="none" w:sz="0" w:space="0" w:color="auto"/>
        <w:left w:val="none" w:sz="0" w:space="0" w:color="auto"/>
        <w:bottom w:val="none" w:sz="0" w:space="0" w:color="auto"/>
        <w:right w:val="none" w:sz="0" w:space="0" w:color="auto"/>
      </w:divBdr>
    </w:div>
    <w:div w:id="1591308908">
      <w:bodyDiv w:val="1"/>
      <w:marLeft w:val="0"/>
      <w:marRight w:val="0"/>
      <w:marTop w:val="0"/>
      <w:marBottom w:val="0"/>
      <w:divBdr>
        <w:top w:val="none" w:sz="0" w:space="0" w:color="auto"/>
        <w:left w:val="none" w:sz="0" w:space="0" w:color="auto"/>
        <w:bottom w:val="none" w:sz="0" w:space="0" w:color="auto"/>
        <w:right w:val="none" w:sz="0" w:space="0" w:color="auto"/>
      </w:divBdr>
    </w:div>
    <w:div w:id="1726179739">
      <w:bodyDiv w:val="1"/>
      <w:marLeft w:val="0"/>
      <w:marRight w:val="0"/>
      <w:marTop w:val="0"/>
      <w:marBottom w:val="0"/>
      <w:divBdr>
        <w:top w:val="none" w:sz="0" w:space="0" w:color="auto"/>
        <w:left w:val="none" w:sz="0" w:space="0" w:color="auto"/>
        <w:bottom w:val="none" w:sz="0" w:space="0" w:color="auto"/>
        <w:right w:val="none" w:sz="0" w:space="0" w:color="auto"/>
      </w:divBdr>
    </w:div>
    <w:div w:id="1758820544">
      <w:bodyDiv w:val="1"/>
      <w:marLeft w:val="0"/>
      <w:marRight w:val="0"/>
      <w:marTop w:val="0"/>
      <w:marBottom w:val="0"/>
      <w:divBdr>
        <w:top w:val="none" w:sz="0" w:space="0" w:color="auto"/>
        <w:left w:val="none" w:sz="0" w:space="0" w:color="auto"/>
        <w:bottom w:val="none" w:sz="0" w:space="0" w:color="auto"/>
        <w:right w:val="none" w:sz="0" w:space="0" w:color="auto"/>
      </w:divBdr>
    </w:div>
    <w:div w:id="1796604163">
      <w:bodyDiv w:val="1"/>
      <w:marLeft w:val="0"/>
      <w:marRight w:val="0"/>
      <w:marTop w:val="0"/>
      <w:marBottom w:val="0"/>
      <w:divBdr>
        <w:top w:val="none" w:sz="0" w:space="0" w:color="auto"/>
        <w:left w:val="none" w:sz="0" w:space="0" w:color="auto"/>
        <w:bottom w:val="none" w:sz="0" w:space="0" w:color="auto"/>
        <w:right w:val="none" w:sz="0" w:space="0" w:color="auto"/>
      </w:divBdr>
    </w:div>
    <w:div w:id="181274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Gra17</b:Tag>
    <b:SourceType>InternetSite</b:SourceType>
    <b:Guid>{C5DC92F6-062C-4165-9CF2-5A14D5627B94}</b:Guid>
    <b:Author>
      <b:Author>
        <b:NameList>
          <b:Person>
            <b:Last>Stuart</b:Last>
            <b:First>Graeme</b:First>
          </b:Person>
        </b:NameList>
      </b:Author>
    </b:Author>
    <b:Title>Definitions of community engagement</b:Title>
    <b:Year>2017</b:Year>
    <b:YearAccessed>2022</b:YearAccessed>
    <b:MonthAccessed>July</b:MonthAccessed>
    <b:DayAccessed>27</b:DayAccessed>
    <b:URL>https://sustainingcommunity.wordpress.com/2011/03/21/what-is-community-engagement/</b:URL>
    <b:RefOrder>1</b:RefOrder>
  </b:Source>
  <b:Source>
    <b:Tag>Ats22</b:Tag>
    <b:SourceType>InternetSite</b:SourceType>
    <b:Guid>{6EDDDD72-CBDA-4D61-B55E-DDA32C5D8DA7}</b:Guid>
    <b:Author>
      <b:Author>
        <b:Corporate>Atsdr.cdc.gov</b:Corporate>
      </b:Author>
    </b:Author>
    <b:Title>What Is Community Engagement?</b:Title>
    <b:Year>2022</b:Year>
    <b:YearAccessed>2022</b:YearAccessed>
    <b:MonthAccessed>July</b:MonthAccessed>
    <b:DayAccessed>27</b:DayAccessed>
    <b:URL>https://www.atsdr.cdc.gov/communityengagement/pce_what.html</b:URL>
    <b:RefOrder>2</b:RefOrder>
  </b:Source>
  <b:Source>
    <b:Tag>Stu223</b:Tag>
    <b:SourceType>InternetSite</b:SourceType>
    <b:Guid>{B2B95E2F-30FD-4A5B-B5CF-C8F02E874B96}</b:Guid>
    <b:Author>
      <b:Author>
        <b:Corporate>Students.morris.umn.edu</b:Corporate>
      </b:Author>
    </b:Author>
    <b:Title>Types of Community engagement</b:Title>
    <b:Year>2022</b:Year>
    <b:YearAccessed>2022</b:YearAccessed>
    <b:MonthAccessed>July</b:MonthAccessed>
    <b:DayAccessed>27</b:DayAccessed>
    <b:URL>https://students.morris.umn.edu/community-engagement/types-community-engagement</b:URL>
    <b:RefOrder>3</b:RefOrder>
  </b:Source>
  <b:Source>
    <b:Tag>Aes22</b:Tag>
    <b:SourceType>InternetSite</b:SourceType>
    <b:Guid>{B429934A-2BF6-4775-806C-25BBB851BA9E}</b:Guid>
    <b:Author>
      <b:Author>
        <b:Corporate>Aese.psu.edu</b:Corporate>
      </b:Author>
    </b:Author>
    <b:Title>Why Community Engagement Matters</b:Title>
    <b:Year>2022</b:Year>
    <b:YearAccessed>2022</b:YearAccessed>
    <b:MonthAccessed>July</b:MonthAccessed>
    <b:DayAccessed>27</b:DayAccessed>
    <b:URL>https://aese.psu.edu/research/centers/cecd/engagement-toolbox/engagement/why-community-engagement-matters</b:URL>
    <b:RefOrder>4</b:RefOrder>
  </b:Source>
  <b:Source>
    <b:Tag>Ssw22</b:Tag>
    <b:SourceType>InternetSite</b:SourceType>
    <b:Guid>{106BE89B-026C-4F18-B6FA-AA78F0481BDC}</b:Guid>
    <b:Author>
      <b:Author>
        <b:Corporate>Sswm.info</b:Corporate>
      </b:Author>
    </b:Author>
    <b:Title>Community Engagement &amp; Communication</b:Title>
    <b:Year>2022</b:Year>
    <b:YearAccessed>2022</b:YearAccessed>
    <b:MonthAccessed>July</b:MonthAccessed>
    <b:DayAccessed>27</b:DayAccessed>
    <b:URL>https://sswm.info/sanitation-project-implementation/participatory-planning-and-community-engagement/community-engagement-%26-communication</b:URL>
    <b:RefOrder>5</b:RefOrder>
  </b:Source>
  <b:Source>
    <b:Tag>Gri22</b:Tag>
    <b:SourceType>InternetSite</b:SourceType>
    <b:Guid>{9F611FA3-CD05-47B8-8E4C-13E1204D5E4B}</b:Guid>
    <b:Author>
      <b:Author>
        <b:Corporate>Grin.co</b:Corporate>
      </b:Author>
    </b:Author>
    <b:Title>Influencer Engagement Rate Calculator</b:Title>
    <b:Year>2022</b:Year>
    <b:YearAccessed>2022</b:YearAccessed>
    <b:MonthAccessed>July</b:MonthAccessed>
    <b:DayAccessed>27</b:DayAccessed>
    <b:URL>https://grin.co/influencer-marketing-tools/engagement-rate-calculator/#:~:text=What%20is%20the%20average%20engagement,photo%20posts%20earning%20the%20least.</b:URL>
    <b:RefOrder>6</b:RefOrder>
  </b:Source>
  <b:Source>
    <b:Tag>Sus222</b:Tag>
    <b:SourceType>InternetSite</b:SourceType>
    <b:Guid>{29A77028-BC82-42C4-85AC-F7E1474483BD}</b:Guid>
    <b:Author>
      <b:Author>
        <b:Corporate>Sustainet</b:Corporate>
      </b:Author>
    </b:Author>
    <b:Title>An overview of effective community engagement methods</b:Title>
    <b:Year>2022</b:Year>
    <b:YearAccessed>2022</b:YearAccessed>
    <b:MonthAccessed>July</b:MonthAccessed>
    <b:DayAccessed>27</b:DayAccessed>
    <b:URL>https://www.sustainet.com/community-engagement-methods/</b:URL>
    <b:RefOrder>7</b:RefOrder>
  </b:Source>
  <b:Source>
    <b:Tag>Pla20</b:Tag>
    <b:SourceType>InternetSite</b:SourceType>
    <b:Guid>{76A8FBD1-ABB6-4E44-B0C7-FE0343F8F39D}</b:Guid>
    <b:Author>
      <b:Author>
        <b:Corporate>Planningtank</b:Corporate>
      </b:Author>
    </b:Author>
    <b:Title>Community Participation | Types, Process &amp; Facilitation</b:Title>
    <b:Year>2020</b:Year>
    <b:YearAccessed>2022</b:YearAccessed>
    <b:MonthAccessed>July</b:MonthAccessed>
    <b:DayAccessed>27</b:DayAccessed>
    <b:URL>https://planningtank.com/planning-theory/community-participation</b:URL>
    <b:RefOrder>8</b:RefOrder>
  </b:Source>
  <b:Source>
    <b:Tag>Law221</b:Tag>
    <b:SourceType>InternetSite</b:SourceType>
    <b:Guid>{951DEFC5-9A6A-402B-8CDA-CD61E2D78426}</b:Guid>
    <b:Author>
      <b:Author>
        <b:Corporate>Lawinsider</b:Corporate>
      </b:Author>
    </b:Author>
    <b:Title>Community Collaboration definition</b:Title>
    <b:Year>2022</b:Year>
    <b:YearAccessed>2022</b:YearAccessed>
    <b:MonthAccessed>July</b:MonthAccessed>
    <b:DayAccessed>27</b:DayAccessed>
    <b:URL>https://www.lawinsider.com/dictionary/community-collaboration </b:URL>
    <b:RefOrder>9</b:RefOrder>
  </b:Source>
</b:Sources>
</file>

<file path=customXml/itemProps1.xml><?xml version="1.0" encoding="utf-8"?>
<ds:datastoreItem xmlns:ds="http://schemas.openxmlformats.org/officeDocument/2006/customXml" ds:itemID="{712728A6-E379-4A1B-9AC0-0AC71F542AA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SystemJP</dc:creator>
  <cp:lastModifiedBy>cveti333.1987@gmail.com</cp:lastModifiedBy>
  <cp:revision>2</cp:revision>
  <dcterms:created xsi:type="dcterms:W3CDTF">2022-08-25T20:57:00Z</dcterms:created>
  <dcterms:modified xsi:type="dcterms:W3CDTF">2022-08-25T20:57:00Z</dcterms:modified>
</cp:coreProperties>
</file>