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5782" w:rsidRDefault="00203F95" w:rsidP="00203F95">
      <w:pPr>
        <w:jc w:val="center"/>
        <w:rPr>
          <w:rFonts w:asciiTheme="majorHAnsi" w:hAnsiTheme="majorHAnsi"/>
          <w:b/>
          <w:sz w:val="36"/>
          <w:szCs w:val="36"/>
          <w:u w:val="single"/>
        </w:rPr>
      </w:pPr>
      <w:r w:rsidRPr="00203F95">
        <w:rPr>
          <w:rFonts w:asciiTheme="majorHAnsi" w:hAnsiTheme="majorHAnsi"/>
          <w:b/>
          <w:sz w:val="36"/>
          <w:szCs w:val="36"/>
          <w:u w:val="single"/>
        </w:rPr>
        <w:t>INTERNATIONAL TOURING AND MANAGEMENT</w:t>
      </w:r>
    </w:p>
    <w:p w:rsidR="00203F95" w:rsidRDefault="00203F95" w:rsidP="00203F95">
      <w:pPr>
        <w:jc w:val="center"/>
        <w:rPr>
          <w:rFonts w:asciiTheme="majorHAnsi" w:hAnsiTheme="majorHAnsi"/>
          <w:b/>
          <w:sz w:val="36"/>
          <w:szCs w:val="36"/>
          <w:u w:val="single"/>
        </w:rPr>
      </w:pPr>
    </w:p>
    <w:tbl>
      <w:tblPr>
        <w:tblW w:w="9211" w:type="dxa"/>
        <w:tblInd w:w="-176" w:type="dxa"/>
        <w:tblBorders>
          <w:insideH w:val="single" w:sz="18" w:space="0" w:color="FFFFFF"/>
          <w:insideV w:val="single" w:sz="18" w:space="0" w:color="FFFFFF"/>
        </w:tblBorders>
        <w:tblLook w:val="00A0"/>
      </w:tblPr>
      <w:tblGrid>
        <w:gridCol w:w="2599"/>
        <w:gridCol w:w="6612"/>
      </w:tblGrid>
      <w:tr w:rsidR="00203F95" w:rsidRPr="000632D4" w:rsidTr="00867D50">
        <w:trPr>
          <w:trHeight w:val="424"/>
        </w:trPr>
        <w:tc>
          <w:tcPr>
            <w:tcW w:w="9211" w:type="dxa"/>
            <w:gridSpan w:val="2"/>
            <w:shd w:val="solid" w:color="auto" w:fill="auto"/>
            <w:vAlign w:val="center"/>
          </w:tcPr>
          <w:p w:rsidR="00203F95" w:rsidRPr="000632D4" w:rsidRDefault="00203F95" w:rsidP="00867D50">
            <w:pPr>
              <w:pStyle w:val="FDTableHeadings"/>
              <w:rPr>
                <w:rFonts w:ascii="Arial" w:hAnsi="Arial" w:cs="Arial"/>
                <w:sz w:val="20"/>
              </w:rPr>
            </w:pPr>
          </w:p>
        </w:tc>
      </w:tr>
      <w:tr w:rsidR="00203F95" w:rsidTr="00867D50">
        <w:tblPrEx>
          <w:tblBorders>
            <w:insideH w:val="none" w:sz="0" w:space="0" w:color="auto"/>
            <w:insideV w:val="none" w:sz="0" w:space="0" w:color="auto"/>
          </w:tblBorders>
          <w:tblCellMar>
            <w:left w:w="205" w:type="dxa"/>
            <w:right w:w="205" w:type="dxa"/>
          </w:tblCellMar>
          <w:tblLook w:val="0000"/>
        </w:tblPrEx>
        <w:trPr>
          <w:trHeight w:val="494"/>
        </w:trPr>
        <w:tc>
          <w:tcPr>
            <w:tcW w:w="2599" w:type="dxa"/>
            <w:tcBorders>
              <w:top w:val="single" w:sz="18" w:space="0" w:color="FFFFFF"/>
              <w:left w:val="nil"/>
              <w:bottom w:val="nil"/>
              <w:right w:val="nil"/>
            </w:tcBorders>
            <w:shd w:val="pct20" w:color="000000" w:fill="FFFFFF"/>
          </w:tcPr>
          <w:p w:rsidR="00203F95" w:rsidRPr="00642165" w:rsidRDefault="00203F95" w:rsidP="00867D50">
            <w:pPr>
              <w:rPr>
                <w:rFonts w:ascii="Helvetica" w:hAnsi="Helvetica" w:cs="Helvetica"/>
                <w:b/>
                <w:bCs/>
                <w:color w:val="0D0D0D"/>
                <w:sz w:val="20"/>
                <w:szCs w:val="20"/>
              </w:rPr>
            </w:pPr>
            <w:r>
              <w:rPr>
                <w:rFonts w:ascii="Helvetica" w:hAnsi="Helvetica" w:cs="Helvetica"/>
                <w:b/>
                <w:bCs/>
                <w:color w:val="0D0D0D"/>
                <w:sz w:val="20"/>
                <w:szCs w:val="20"/>
              </w:rPr>
              <w:t>Title</w:t>
            </w:r>
            <w:r>
              <w:rPr>
                <w:rFonts w:ascii="Helvetica" w:hAnsi="Helvetica" w:cs="Helvetica"/>
                <w:b/>
                <w:bCs/>
                <w:color w:val="0D0D0D"/>
                <w:sz w:val="20"/>
                <w:szCs w:val="20"/>
              </w:rPr>
              <w:tab/>
            </w:r>
          </w:p>
        </w:tc>
        <w:tc>
          <w:tcPr>
            <w:tcW w:w="6612" w:type="dxa"/>
            <w:tcBorders>
              <w:top w:val="single" w:sz="18" w:space="0" w:color="FFFFFF"/>
              <w:left w:val="single" w:sz="18" w:space="0" w:color="FFFFFF"/>
              <w:bottom w:val="nil"/>
              <w:right w:val="nil"/>
            </w:tcBorders>
            <w:shd w:val="pct10" w:color="000000" w:fill="FFFFFF"/>
          </w:tcPr>
          <w:p w:rsidR="00203F95" w:rsidRPr="00642165" w:rsidRDefault="00203F95" w:rsidP="00867D50">
            <w:pPr>
              <w:rPr>
                <w:rFonts w:ascii="Arial" w:hAnsi="Arial" w:cs="Arial"/>
                <w:color w:val="0D0D0D"/>
                <w:sz w:val="20"/>
                <w:szCs w:val="20"/>
              </w:rPr>
            </w:pPr>
            <w:r>
              <w:rPr>
                <w:rFonts w:ascii="Arial" w:hAnsi="Arial" w:cs="Arial"/>
                <w:color w:val="0D0D0D"/>
                <w:sz w:val="20"/>
                <w:szCs w:val="20"/>
              </w:rPr>
              <w:t>International tours and Management</w:t>
            </w:r>
          </w:p>
        </w:tc>
      </w:tr>
      <w:tr w:rsidR="00203F95" w:rsidTr="00867D50">
        <w:tblPrEx>
          <w:tblBorders>
            <w:insideH w:val="none" w:sz="0" w:space="0" w:color="auto"/>
            <w:insideV w:val="none" w:sz="0" w:space="0" w:color="auto"/>
          </w:tblBorders>
          <w:tblCellMar>
            <w:left w:w="205" w:type="dxa"/>
            <w:right w:w="205" w:type="dxa"/>
          </w:tblCellMar>
          <w:tblLook w:val="0000"/>
        </w:tblPrEx>
        <w:trPr>
          <w:trHeight w:val="494"/>
        </w:trPr>
        <w:tc>
          <w:tcPr>
            <w:tcW w:w="2599" w:type="dxa"/>
            <w:tcBorders>
              <w:top w:val="single" w:sz="18" w:space="0" w:color="FFFFFF"/>
              <w:left w:val="nil"/>
              <w:bottom w:val="nil"/>
              <w:right w:val="nil"/>
            </w:tcBorders>
            <w:shd w:val="pct20" w:color="000000" w:fill="FFFFFF"/>
          </w:tcPr>
          <w:p w:rsidR="00203F95" w:rsidRPr="00642165" w:rsidRDefault="00203F95" w:rsidP="00867D50">
            <w:pPr>
              <w:rPr>
                <w:rFonts w:ascii="Helvetica" w:hAnsi="Helvetica" w:cs="Helvetica"/>
                <w:b/>
                <w:bCs/>
                <w:color w:val="0D0D0D"/>
                <w:sz w:val="20"/>
                <w:szCs w:val="20"/>
              </w:rPr>
            </w:pPr>
            <w:r>
              <w:rPr>
                <w:rFonts w:ascii="Helvetica" w:hAnsi="Helvetica" w:cs="Helvetica"/>
                <w:b/>
                <w:bCs/>
                <w:color w:val="0D0D0D"/>
                <w:sz w:val="20"/>
                <w:szCs w:val="20"/>
              </w:rPr>
              <w:t>Lesson Outcomes</w:t>
            </w:r>
            <w:r>
              <w:rPr>
                <w:rFonts w:ascii="Helvetica" w:hAnsi="Helvetica" w:cs="Helvetica"/>
                <w:b/>
                <w:bCs/>
                <w:color w:val="0D0D0D"/>
                <w:sz w:val="20"/>
                <w:szCs w:val="20"/>
              </w:rPr>
              <w:tab/>
            </w:r>
          </w:p>
        </w:tc>
        <w:tc>
          <w:tcPr>
            <w:tcW w:w="6612" w:type="dxa"/>
            <w:tcBorders>
              <w:top w:val="single" w:sz="18" w:space="0" w:color="FFFFFF"/>
              <w:left w:val="single" w:sz="18" w:space="0" w:color="FFFFFF"/>
              <w:bottom w:val="nil"/>
              <w:right w:val="nil"/>
            </w:tcBorders>
            <w:shd w:val="pct10" w:color="000000" w:fill="FFFFFF"/>
          </w:tcPr>
          <w:p w:rsidR="00203F95" w:rsidRDefault="00203F95" w:rsidP="00203F95">
            <w:pPr>
              <w:widowControl w:val="0"/>
              <w:numPr>
                <w:ilvl w:val="0"/>
                <w:numId w:val="1"/>
              </w:numPr>
              <w:overflowPunct w:val="0"/>
              <w:adjustRightInd w:val="0"/>
              <w:spacing w:after="0" w:line="240" w:lineRule="auto"/>
              <w:ind w:hanging="765"/>
              <w:rPr>
                <w:rFonts w:ascii="Arial" w:hAnsi="Arial" w:cs="Arial"/>
                <w:color w:val="0D0D0D"/>
                <w:sz w:val="20"/>
                <w:szCs w:val="20"/>
              </w:rPr>
            </w:pPr>
            <w:r>
              <w:rPr>
                <w:rFonts w:ascii="Arial" w:hAnsi="Arial" w:cs="Arial"/>
                <w:color w:val="0D0D0D"/>
                <w:sz w:val="20"/>
                <w:szCs w:val="20"/>
              </w:rPr>
              <w:t xml:space="preserve">Planning and budgeting </w:t>
            </w:r>
          </w:p>
          <w:p w:rsidR="00203F95" w:rsidRDefault="00203F95" w:rsidP="00203F95">
            <w:pPr>
              <w:widowControl w:val="0"/>
              <w:numPr>
                <w:ilvl w:val="0"/>
                <w:numId w:val="1"/>
              </w:numPr>
              <w:overflowPunct w:val="0"/>
              <w:adjustRightInd w:val="0"/>
              <w:spacing w:after="0" w:line="240" w:lineRule="auto"/>
              <w:ind w:hanging="765"/>
              <w:rPr>
                <w:rFonts w:ascii="Arial" w:hAnsi="Arial" w:cs="Arial"/>
                <w:color w:val="0D0D0D"/>
                <w:sz w:val="20"/>
                <w:szCs w:val="20"/>
              </w:rPr>
            </w:pPr>
            <w:r>
              <w:rPr>
                <w:rFonts w:ascii="Arial" w:hAnsi="Arial" w:cs="Arial"/>
                <w:color w:val="0D0D0D"/>
                <w:sz w:val="20"/>
                <w:szCs w:val="20"/>
              </w:rPr>
              <w:t>Financial management and PR</w:t>
            </w:r>
          </w:p>
          <w:p w:rsidR="00203F95" w:rsidRDefault="00203F95" w:rsidP="00203F95">
            <w:pPr>
              <w:widowControl w:val="0"/>
              <w:numPr>
                <w:ilvl w:val="0"/>
                <w:numId w:val="1"/>
              </w:numPr>
              <w:overflowPunct w:val="0"/>
              <w:adjustRightInd w:val="0"/>
              <w:spacing w:after="0" w:line="240" w:lineRule="auto"/>
              <w:ind w:hanging="765"/>
              <w:rPr>
                <w:rFonts w:ascii="Arial" w:hAnsi="Arial" w:cs="Arial"/>
                <w:color w:val="0D0D0D"/>
                <w:sz w:val="20"/>
                <w:szCs w:val="20"/>
              </w:rPr>
            </w:pPr>
            <w:r>
              <w:rPr>
                <w:rFonts w:ascii="Arial" w:hAnsi="Arial" w:cs="Arial"/>
                <w:color w:val="0D0D0D"/>
                <w:sz w:val="20"/>
                <w:szCs w:val="20"/>
              </w:rPr>
              <w:t>Visa process</w:t>
            </w:r>
          </w:p>
          <w:p w:rsidR="00203F95" w:rsidRDefault="00203F95" w:rsidP="00203F95">
            <w:pPr>
              <w:widowControl w:val="0"/>
              <w:numPr>
                <w:ilvl w:val="0"/>
                <w:numId w:val="1"/>
              </w:numPr>
              <w:overflowPunct w:val="0"/>
              <w:adjustRightInd w:val="0"/>
              <w:spacing w:after="0" w:line="240" w:lineRule="auto"/>
              <w:ind w:hanging="765"/>
              <w:rPr>
                <w:rFonts w:ascii="Arial" w:hAnsi="Arial" w:cs="Arial"/>
                <w:color w:val="0D0D0D"/>
                <w:sz w:val="20"/>
                <w:szCs w:val="20"/>
              </w:rPr>
            </w:pPr>
            <w:r>
              <w:rPr>
                <w:rFonts w:ascii="Arial" w:hAnsi="Arial" w:cs="Arial"/>
                <w:color w:val="0D0D0D"/>
                <w:sz w:val="20"/>
                <w:szCs w:val="20"/>
              </w:rPr>
              <w:t xml:space="preserve">Production and crew management </w:t>
            </w:r>
          </w:p>
          <w:p w:rsidR="00203F95" w:rsidRPr="00642165" w:rsidRDefault="00203F95" w:rsidP="00A75748">
            <w:pPr>
              <w:widowControl w:val="0"/>
              <w:overflowPunct w:val="0"/>
              <w:adjustRightInd w:val="0"/>
              <w:spacing w:after="0" w:line="240" w:lineRule="auto"/>
              <w:ind w:left="1080"/>
              <w:rPr>
                <w:rFonts w:ascii="Arial" w:hAnsi="Arial" w:cs="Arial"/>
                <w:color w:val="0D0D0D"/>
                <w:sz w:val="20"/>
                <w:szCs w:val="20"/>
              </w:rPr>
            </w:pPr>
          </w:p>
        </w:tc>
      </w:tr>
      <w:tr w:rsidR="00203F95" w:rsidTr="00867D50">
        <w:tblPrEx>
          <w:tblBorders>
            <w:insideH w:val="none" w:sz="0" w:space="0" w:color="auto"/>
            <w:insideV w:val="none" w:sz="0" w:space="0" w:color="auto"/>
          </w:tblBorders>
          <w:tblCellMar>
            <w:left w:w="205" w:type="dxa"/>
            <w:right w:w="205" w:type="dxa"/>
          </w:tblCellMar>
          <w:tblLook w:val="0000"/>
        </w:tblPrEx>
        <w:trPr>
          <w:trHeight w:val="494"/>
        </w:trPr>
        <w:tc>
          <w:tcPr>
            <w:tcW w:w="2599" w:type="dxa"/>
            <w:tcBorders>
              <w:top w:val="single" w:sz="18" w:space="0" w:color="FFFFFF"/>
              <w:left w:val="nil"/>
              <w:bottom w:val="nil"/>
              <w:right w:val="nil"/>
            </w:tcBorders>
            <w:shd w:val="pct20" w:color="000000" w:fill="FFFFFF"/>
          </w:tcPr>
          <w:p w:rsidR="00203F95" w:rsidRPr="00642165" w:rsidRDefault="00203F95" w:rsidP="00867D50">
            <w:pPr>
              <w:rPr>
                <w:rFonts w:ascii="Helvetica" w:hAnsi="Helvetica" w:cs="Helvetica"/>
                <w:b/>
                <w:bCs/>
                <w:color w:val="0D0D0D"/>
                <w:sz w:val="20"/>
                <w:szCs w:val="20"/>
              </w:rPr>
            </w:pPr>
            <w:r>
              <w:rPr>
                <w:rFonts w:ascii="Helvetica" w:hAnsi="Helvetica" w:cs="Helvetica"/>
                <w:b/>
                <w:bCs/>
                <w:color w:val="0D0D0D"/>
                <w:sz w:val="20"/>
                <w:szCs w:val="20"/>
              </w:rPr>
              <w:t>Discussion</w:t>
            </w:r>
            <w:r>
              <w:rPr>
                <w:rFonts w:ascii="Helvetica" w:hAnsi="Helvetica" w:cs="Helvetica"/>
                <w:b/>
                <w:bCs/>
                <w:color w:val="0D0D0D"/>
                <w:sz w:val="20"/>
                <w:szCs w:val="20"/>
              </w:rPr>
              <w:tab/>
            </w:r>
            <w:r>
              <w:rPr>
                <w:rFonts w:ascii="Helvetica" w:hAnsi="Helvetica" w:cs="Helvetica"/>
                <w:b/>
                <w:bCs/>
                <w:color w:val="0D0D0D"/>
                <w:sz w:val="20"/>
                <w:szCs w:val="20"/>
              </w:rPr>
              <w:tab/>
            </w:r>
          </w:p>
        </w:tc>
        <w:tc>
          <w:tcPr>
            <w:tcW w:w="6612" w:type="dxa"/>
            <w:tcBorders>
              <w:top w:val="single" w:sz="18" w:space="0" w:color="FFFFFF"/>
              <w:left w:val="single" w:sz="18" w:space="0" w:color="FFFFFF"/>
              <w:bottom w:val="nil"/>
              <w:right w:val="nil"/>
            </w:tcBorders>
            <w:shd w:val="pct10" w:color="000000" w:fill="FFFFFF"/>
          </w:tcPr>
          <w:p w:rsidR="00A75748" w:rsidRPr="00A75748" w:rsidRDefault="00A75748" w:rsidP="00A75748">
            <w:pPr>
              <w:rPr>
                <w:rFonts w:ascii="Arial" w:hAnsi="Arial" w:cs="Arial"/>
                <w:color w:val="0D0D0D"/>
                <w:sz w:val="20"/>
                <w:szCs w:val="20"/>
              </w:rPr>
            </w:pPr>
            <w:r w:rsidRPr="00A75748">
              <w:rPr>
                <w:rFonts w:ascii="Arial" w:hAnsi="Arial" w:cs="Arial"/>
                <w:color w:val="0D0D0D"/>
                <w:sz w:val="20"/>
                <w:szCs w:val="20"/>
              </w:rPr>
              <w:t>International touring can be a daunting prospect. After working hard to build an audience at home, showing your work internationally can feel like starting from scratch again, with the added challenge of unfamiliar touring structures and language differences.</w:t>
            </w:r>
          </w:p>
          <w:p w:rsidR="00203F95" w:rsidRDefault="00A75748" w:rsidP="00A75748">
            <w:pPr>
              <w:rPr>
                <w:rFonts w:ascii="Arial" w:hAnsi="Arial" w:cs="Arial"/>
                <w:color w:val="0D0D0D"/>
                <w:sz w:val="20"/>
                <w:szCs w:val="20"/>
              </w:rPr>
            </w:pPr>
            <w:r w:rsidRPr="00A75748">
              <w:rPr>
                <w:rFonts w:ascii="Arial" w:hAnsi="Arial" w:cs="Arial"/>
                <w:color w:val="0D0D0D"/>
                <w:sz w:val="20"/>
                <w:szCs w:val="20"/>
              </w:rPr>
              <w:t>But venturing beyond the UK can also offer countless opportunities</w:t>
            </w:r>
            <w:r>
              <w:rPr>
                <w:rFonts w:ascii="Arial" w:hAnsi="Arial" w:cs="Arial"/>
                <w:color w:val="0D0D0D"/>
                <w:sz w:val="20"/>
                <w:szCs w:val="20"/>
              </w:rPr>
              <w:t xml:space="preserve"> </w:t>
            </w:r>
            <w:r w:rsidRPr="00A75748">
              <w:rPr>
                <w:rFonts w:ascii="Arial" w:hAnsi="Arial" w:cs="Arial"/>
                <w:color w:val="0D0D0D"/>
                <w:sz w:val="20"/>
                <w:szCs w:val="20"/>
              </w:rPr>
              <w:t>– both for reaching wider, more diverse audiences and building lasting, creative collaborations. To get the most out of taking your work abroad, however, there is more to consider than just where you might like to go.</w:t>
            </w:r>
          </w:p>
          <w:p w:rsidR="00A75748" w:rsidRPr="00A75748" w:rsidRDefault="00A75748" w:rsidP="00A75748">
            <w:pPr>
              <w:pStyle w:val="ListParagraph"/>
              <w:numPr>
                <w:ilvl w:val="0"/>
                <w:numId w:val="2"/>
              </w:numPr>
              <w:rPr>
                <w:rFonts w:ascii="Arial" w:hAnsi="Arial" w:cs="Arial"/>
                <w:color w:val="0D0D0D"/>
                <w:sz w:val="20"/>
                <w:szCs w:val="20"/>
              </w:rPr>
            </w:pPr>
            <w:r>
              <w:rPr>
                <w:rFonts w:ascii="Arial" w:hAnsi="Arial" w:cs="Arial"/>
                <w:color w:val="0D0D0D"/>
                <w:sz w:val="20"/>
                <w:szCs w:val="20"/>
              </w:rPr>
              <w:t xml:space="preserve">Group discussion </w:t>
            </w:r>
          </w:p>
        </w:tc>
      </w:tr>
      <w:tr w:rsidR="00203F95" w:rsidTr="00867D50">
        <w:tblPrEx>
          <w:tblBorders>
            <w:insideH w:val="none" w:sz="0" w:space="0" w:color="auto"/>
            <w:insideV w:val="none" w:sz="0" w:space="0" w:color="auto"/>
          </w:tblBorders>
          <w:tblCellMar>
            <w:left w:w="205" w:type="dxa"/>
            <w:right w:w="205" w:type="dxa"/>
          </w:tblCellMar>
          <w:tblLook w:val="0000"/>
        </w:tblPrEx>
        <w:trPr>
          <w:trHeight w:val="494"/>
        </w:trPr>
        <w:tc>
          <w:tcPr>
            <w:tcW w:w="2599" w:type="dxa"/>
            <w:tcBorders>
              <w:top w:val="single" w:sz="18" w:space="0" w:color="FFFFFF"/>
              <w:left w:val="nil"/>
              <w:bottom w:val="nil"/>
              <w:right w:val="nil"/>
            </w:tcBorders>
            <w:shd w:val="pct20" w:color="000000" w:fill="FFFFFF"/>
          </w:tcPr>
          <w:p w:rsidR="00203F95" w:rsidRPr="00642165" w:rsidRDefault="00A75748" w:rsidP="00867D50">
            <w:pPr>
              <w:rPr>
                <w:rFonts w:ascii="Helvetica" w:hAnsi="Helvetica" w:cs="Helvetica"/>
                <w:b/>
                <w:bCs/>
                <w:color w:val="0D0D0D"/>
                <w:sz w:val="20"/>
                <w:szCs w:val="20"/>
              </w:rPr>
            </w:pPr>
            <w:r>
              <w:rPr>
                <w:rFonts w:ascii="Helvetica" w:hAnsi="Helvetica" w:cs="Helvetica"/>
                <w:b/>
                <w:bCs/>
                <w:color w:val="0D0D0D"/>
                <w:sz w:val="20"/>
                <w:szCs w:val="20"/>
              </w:rPr>
              <w:t>Group work</w:t>
            </w:r>
          </w:p>
        </w:tc>
        <w:tc>
          <w:tcPr>
            <w:tcW w:w="6612" w:type="dxa"/>
            <w:tcBorders>
              <w:top w:val="single" w:sz="18" w:space="0" w:color="FFFFFF"/>
              <w:left w:val="single" w:sz="18" w:space="0" w:color="FFFFFF"/>
              <w:bottom w:val="nil"/>
              <w:right w:val="nil"/>
            </w:tcBorders>
            <w:shd w:val="pct10" w:color="000000" w:fill="FFFFFF"/>
          </w:tcPr>
          <w:p w:rsidR="00A75748" w:rsidRPr="00642165" w:rsidRDefault="00A75748" w:rsidP="00A75748">
            <w:pPr>
              <w:rPr>
                <w:rFonts w:ascii="Arial" w:hAnsi="Arial" w:cs="Arial"/>
                <w:color w:val="0D0D0D"/>
                <w:sz w:val="20"/>
                <w:szCs w:val="20"/>
              </w:rPr>
            </w:pPr>
            <w:r>
              <w:rPr>
                <w:rFonts w:ascii="Arial" w:hAnsi="Arial" w:cs="Arial"/>
                <w:color w:val="0D0D0D"/>
                <w:sz w:val="20"/>
                <w:szCs w:val="20"/>
              </w:rPr>
              <w:t xml:space="preserve">If they have any international / national touring experience – if they faced any issues whilst on tour – discuss on how to tackle these problems </w:t>
            </w:r>
          </w:p>
          <w:p w:rsidR="00203F95" w:rsidRPr="00642165" w:rsidRDefault="00203F95" w:rsidP="00A75748">
            <w:pPr>
              <w:rPr>
                <w:rFonts w:ascii="Arial" w:hAnsi="Arial" w:cs="Arial"/>
                <w:color w:val="0D0D0D"/>
                <w:sz w:val="20"/>
                <w:szCs w:val="20"/>
              </w:rPr>
            </w:pPr>
          </w:p>
        </w:tc>
      </w:tr>
    </w:tbl>
    <w:p w:rsidR="00203F95" w:rsidRDefault="00203F95"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A75748" w:rsidRDefault="00A75748" w:rsidP="00203F95">
      <w:pPr>
        <w:rPr>
          <w:rFonts w:asciiTheme="majorHAnsi" w:hAnsiTheme="majorHAnsi"/>
          <w:sz w:val="24"/>
          <w:szCs w:val="24"/>
        </w:rPr>
      </w:pPr>
    </w:p>
    <w:p w:rsidR="00C93262" w:rsidRDefault="00C93262" w:rsidP="00C93262">
      <w:pPr>
        <w:pStyle w:val="NormalWeb"/>
        <w:shd w:val="clear" w:color="auto" w:fill="FFFFFF"/>
        <w:rPr>
          <w:rFonts w:asciiTheme="majorHAnsi" w:hAnsiTheme="majorHAnsi"/>
          <w:color w:val="333333"/>
        </w:rPr>
      </w:pPr>
      <w:r>
        <w:rPr>
          <w:rFonts w:asciiTheme="majorHAnsi" w:hAnsiTheme="majorHAnsi"/>
          <w:color w:val="333333"/>
        </w:rPr>
        <w:lastRenderedPageBreak/>
        <w:t>Introduction:</w:t>
      </w:r>
    </w:p>
    <w:p w:rsidR="00C93262" w:rsidRDefault="00C93262" w:rsidP="00C93262">
      <w:pPr>
        <w:pStyle w:val="NormalWeb"/>
        <w:shd w:val="clear" w:color="auto" w:fill="FFFFFF"/>
      </w:pPr>
      <w:r>
        <w:t xml:space="preserve">The prospect of taking your work or expertise abroad is attractive for so many reasons. Visiting different countries, different continents, working collaboratively with other artists and makers, discovering new audiences, making new friends – it’s all an irresistible call. </w:t>
      </w:r>
    </w:p>
    <w:p w:rsidR="00C93262" w:rsidRDefault="00C93262" w:rsidP="00C93262">
      <w:pPr>
        <w:pStyle w:val="NormalWeb"/>
        <w:shd w:val="clear" w:color="auto" w:fill="FFFFFF"/>
      </w:pPr>
      <w:r>
        <w:t>The reality, of course, is that it’s pure graft; imagine the work involved in producing a national tour then add the international extras. Finding those elusive contacts, building relationships, the research, the long-term development and the nuts of bolts of putting it all together can be time-consuming and sometimes just a little nerve-fraying.</w:t>
      </w:r>
    </w:p>
    <w:p w:rsidR="00CD1139" w:rsidRDefault="00CD1139" w:rsidP="00C93262">
      <w:pPr>
        <w:pStyle w:val="NormalWeb"/>
        <w:shd w:val="clear" w:color="auto" w:fill="FFFFFF"/>
      </w:pPr>
      <w:r>
        <w:t>There is rarely one answer for the many variables involved in international work, particularly with different regions in the world having different challenges. The information here though, will give you the broad brush strokes and hopefully offer you the right tools to fill in your own details.</w:t>
      </w:r>
    </w:p>
    <w:p w:rsidR="00CD1139" w:rsidRDefault="00CD1139" w:rsidP="00C93262">
      <w:pPr>
        <w:pStyle w:val="NormalWeb"/>
        <w:shd w:val="clear" w:color="auto" w:fill="FFFFFF"/>
      </w:pPr>
      <w:r>
        <w:t>This guide will be useful for any individual, touring company, festival or producing venue who may be interested in investigating the potential in working internationally.</w:t>
      </w:r>
    </w:p>
    <w:p w:rsidR="00CD1139" w:rsidRDefault="00CD1139" w:rsidP="00CD1139">
      <w:pPr>
        <w:pStyle w:val="NormalWeb"/>
        <w:shd w:val="clear" w:color="auto" w:fill="FFFFFF"/>
        <w:rPr>
          <w:rFonts w:asciiTheme="majorHAnsi" w:hAnsiTheme="majorHAnsi"/>
          <w:color w:val="333333"/>
        </w:rPr>
      </w:pPr>
    </w:p>
    <w:p w:rsidR="002E3577" w:rsidRDefault="00CD1139" w:rsidP="00CD1139">
      <w:pPr>
        <w:pStyle w:val="NormalWeb"/>
        <w:shd w:val="clear" w:color="auto" w:fill="FFFFFF"/>
      </w:pPr>
      <w:proofErr w:type="gramStart"/>
      <w:r>
        <w:t>why</w:t>
      </w:r>
      <w:proofErr w:type="gramEnd"/>
      <w:r>
        <w:t xml:space="preserve"> tour abroad? </w:t>
      </w:r>
    </w:p>
    <w:p w:rsidR="002E3577" w:rsidRDefault="00CD1139" w:rsidP="00CD1139">
      <w:pPr>
        <w:pStyle w:val="NormalWeb"/>
        <w:shd w:val="clear" w:color="auto" w:fill="FFFFFF"/>
      </w:pPr>
      <w:r>
        <w:t xml:space="preserve">This is an important question that needs serious thought. The answers can fundamentally change the way you operate and have far-reaching implications for your artistic and business development. Just thinking that it’s a great idea isn’t enough. There has to be good reason for doing it with clear outcomes and benefits for you and your partners. </w:t>
      </w:r>
      <w:r w:rsidR="002E3577">
        <w:t>Each</w:t>
      </w:r>
      <w:r>
        <w:t xml:space="preserve"> </w:t>
      </w:r>
      <w:r w:rsidR="002E3577">
        <w:t>organization</w:t>
      </w:r>
      <w:r>
        <w:t xml:space="preserve"> will have specific reasons for wanting to embrace international work. They could include:</w:t>
      </w:r>
    </w:p>
    <w:p w:rsidR="002E3577" w:rsidRDefault="00CD1139" w:rsidP="00CD1139">
      <w:pPr>
        <w:pStyle w:val="NormalWeb"/>
        <w:shd w:val="clear" w:color="auto" w:fill="FFFFFF"/>
      </w:pPr>
      <w:r>
        <w:t xml:space="preserve"> </w:t>
      </w:r>
      <w:r>
        <w:sym w:font="Symbol" w:char="F0B7"/>
      </w:r>
      <w:r>
        <w:t xml:space="preserve"> </w:t>
      </w:r>
      <w:r w:rsidR="002E3577">
        <w:t>Inward</w:t>
      </w:r>
      <w:r>
        <w:t xml:space="preserve"> and outward collaboration </w:t>
      </w:r>
      <w:r>
        <w:sym w:font="Symbol" w:char="F0B7"/>
      </w:r>
      <w:r>
        <w:t xml:space="preserve"> artistic development </w:t>
      </w:r>
      <w:r>
        <w:sym w:font="Symbol" w:char="F0B7"/>
      </w:r>
      <w:r>
        <w:t xml:space="preserve"> bringing benefit to the home audience </w:t>
      </w:r>
      <w:r>
        <w:sym w:font="Symbol" w:char="F0B7"/>
      </w:r>
      <w:r>
        <w:t xml:space="preserve"> becoming more outward looking </w:t>
      </w:r>
      <w:r>
        <w:sym w:font="Symbol" w:char="F0B7"/>
      </w:r>
      <w:r>
        <w:t xml:space="preserve"> financial considerations </w:t>
      </w:r>
      <w:r>
        <w:sym w:font="Symbol" w:char="F0B7"/>
      </w:r>
      <w:r>
        <w:t xml:space="preserve"> skills sharing </w:t>
      </w:r>
      <w:r>
        <w:sym w:font="Symbol" w:char="F0B7"/>
      </w:r>
      <w:r>
        <w:t xml:space="preserve"> improving your brand/profile at home and abroad </w:t>
      </w:r>
      <w:r>
        <w:sym w:font="Symbol" w:char="F0B7"/>
      </w:r>
      <w:r>
        <w:t xml:space="preserve"> new partnerships </w:t>
      </w:r>
    </w:p>
    <w:p w:rsidR="00CD1139" w:rsidRDefault="00CD1139" w:rsidP="00CD1139">
      <w:pPr>
        <w:pStyle w:val="NormalWeb"/>
        <w:shd w:val="clear" w:color="auto" w:fill="FFFFFF"/>
      </w:pPr>
      <w:r>
        <w:t xml:space="preserve">Whatever the reasons, they will need to become an integrated part of your development and be included in your business plan and mission statement. This will give you a clear idea of your capacity and how the international element of </w:t>
      </w:r>
      <w:r w:rsidR="002E3577">
        <w:t>your</w:t>
      </w:r>
      <w:r>
        <w:t xml:space="preserve"> work fits in with what you do regionally or nationally.</w:t>
      </w:r>
    </w:p>
    <w:p w:rsidR="002E3577" w:rsidRDefault="002E3577" w:rsidP="00CD1139">
      <w:pPr>
        <w:pStyle w:val="NormalWeb"/>
        <w:shd w:val="clear" w:color="auto" w:fill="FFFFFF"/>
      </w:pPr>
      <w:r>
        <w:t xml:space="preserve">It’s also important to discuss your aspirations with your board, funders and other partners so you have their buy-in and support. As there could well be costs involved in international development you may need to approve budgets and amend job descriptions. Arts Council England does support international aspirations, so always discuss them with your officer. They will want to see that it’s a good fit with your other operations and to see evidence that it will inform your core work and benefit home audiences and partners. </w:t>
      </w:r>
    </w:p>
    <w:p w:rsidR="002E3577" w:rsidRDefault="002E3577" w:rsidP="00CD1139">
      <w:pPr>
        <w:pStyle w:val="NormalWeb"/>
        <w:shd w:val="clear" w:color="auto" w:fill="FFFFFF"/>
      </w:pPr>
      <w:r>
        <w:lastRenderedPageBreak/>
        <w:t xml:space="preserve">Top Tip: run an informal audit of your </w:t>
      </w:r>
      <w:proofErr w:type="spellStart"/>
      <w:r>
        <w:t>organisation</w:t>
      </w:r>
      <w:proofErr w:type="spellEnd"/>
      <w:r>
        <w:t xml:space="preserve"> to assess whether you’re ready for international work. Look at such things as capacity, staffing, finances and your style of work</w:t>
      </w:r>
    </w:p>
    <w:p w:rsidR="002E3577" w:rsidRDefault="002E3577" w:rsidP="00CD1139">
      <w:pPr>
        <w:pStyle w:val="NormalWeb"/>
        <w:shd w:val="clear" w:color="auto" w:fill="FFFFFF"/>
      </w:pPr>
      <w:r>
        <w:t>. In general, you need to be in a strong, confident place before you take on this demanding level of development.</w:t>
      </w:r>
    </w:p>
    <w:p w:rsidR="00D23D77" w:rsidRDefault="00471672" w:rsidP="00CD1139">
      <w:pPr>
        <w:pStyle w:val="NormalWeb"/>
        <w:shd w:val="clear" w:color="auto" w:fill="FFFFFF"/>
        <w:rPr>
          <w:rFonts w:asciiTheme="majorHAnsi" w:hAnsiTheme="majorHAnsi"/>
          <w:color w:val="333333"/>
        </w:rPr>
      </w:pPr>
      <w:r>
        <w:rPr>
          <w:rFonts w:asciiTheme="majorHAnsi" w:hAnsiTheme="majorHAnsi"/>
          <w:color w:val="333333"/>
        </w:rPr>
        <w:t>Collaborations:</w:t>
      </w:r>
    </w:p>
    <w:p w:rsidR="00471672" w:rsidRDefault="00471672" w:rsidP="00CD1139">
      <w:pPr>
        <w:pStyle w:val="NormalWeb"/>
        <w:shd w:val="clear" w:color="auto" w:fill="FFFFFF"/>
        <w:rPr>
          <w:rFonts w:asciiTheme="majorHAnsi" w:hAnsiTheme="majorHAnsi"/>
        </w:rPr>
      </w:pPr>
      <w:r w:rsidRPr="001B5F40">
        <w:rPr>
          <w:rFonts w:asciiTheme="majorHAnsi" w:hAnsiTheme="majorHAnsi"/>
        </w:rPr>
        <w:t>This is all about sharing and/or developing work in partnership with international collaborators. The</w:t>
      </w:r>
      <w:r>
        <w:rPr>
          <w:rFonts w:asciiTheme="majorHAnsi" w:hAnsiTheme="majorHAnsi"/>
        </w:rPr>
        <w:t xml:space="preserve"> </w:t>
      </w:r>
      <w:r w:rsidRPr="001B5F40">
        <w:rPr>
          <w:rFonts w:asciiTheme="majorHAnsi" w:hAnsiTheme="majorHAnsi"/>
        </w:rPr>
        <w:t>key to this happening is a well-developed relationship and a whole heap of trust and shared values.</w:t>
      </w:r>
      <w:r>
        <w:rPr>
          <w:rFonts w:asciiTheme="majorHAnsi" w:hAnsiTheme="majorHAnsi"/>
        </w:rPr>
        <w:t xml:space="preserve"> </w:t>
      </w:r>
      <w:r w:rsidRPr="001B5F40">
        <w:rPr>
          <w:rFonts w:asciiTheme="majorHAnsi" w:hAnsiTheme="majorHAnsi"/>
        </w:rPr>
        <w:t>The real bonus lies in creating work from the bottom up rather than simply presenting a finished piece</w:t>
      </w:r>
      <w:r>
        <w:rPr>
          <w:rFonts w:asciiTheme="majorHAnsi" w:hAnsiTheme="majorHAnsi"/>
        </w:rPr>
        <w:t xml:space="preserve"> </w:t>
      </w:r>
      <w:r w:rsidRPr="001B5F40">
        <w:rPr>
          <w:rFonts w:asciiTheme="majorHAnsi" w:hAnsiTheme="majorHAnsi"/>
        </w:rPr>
        <w:t>to a potential booker.</w:t>
      </w:r>
    </w:p>
    <w:p w:rsidR="00471672" w:rsidRPr="00471672" w:rsidRDefault="00471672" w:rsidP="00471672">
      <w:pPr>
        <w:pStyle w:val="NormalWeb"/>
        <w:numPr>
          <w:ilvl w:val="0"/>
          <w:numId w:val="2"/>
        </w:numPr>
        <w:shd w:val="clear" w:color="auto" w:fill="FFFFFF"/>
        <w:rPr>
          <w:rFonts w:asciiTheme="majorHAnsi" w:hAnsiTheme="majorHAnsi"/>
          <w:color w:val="333333"/>
        </w:rPr>
      </w:pPr>
      <w:r>
        <w:rPr>
          <w:rFonts w:asciiTheme="majorHAnsi" w:hAnsiTheme="majorHAnsi"/>
        </w:rPr>
        <w:t>Know your limits</w:t>
      </w:r>
    </w:p>
    <w:p w:rsidR="00520061" w:rsidRPr="00F27E5D" w:rsidRDefault="00520061" w:rsidP="00520061">
      <w:pPr>
        <w:pStyle w:val="NormalWeb"/>
        <w:shd w:val="clear" w:color="auto" w:fill="FFFFFF"/>
        <w:rPr>
          <w:rFonts w:asciiTheme="majorHAnsi" w:hAnsiTheme="majorHAnsi"/>
          <w:color w:val="333333"/>
        </w:rPr>
      </w:pPr>
    </w:p>
    <w:p w:rsidR="00F27E5D" w:rsidRDefault="00F27E5D" w:rsidP="00F27E5D">
      <w:pPr>
        <w:pStyle w:val="NormalWeb"/>
        <w:shd w:val="clear" w:color="auto" w:fill="FFFFFF"/>
        <w:rPr>
          <w:rFonts w:ascii="Georgia" w:hAnsi="Georgia"/>
          <w:color w:val="333333"/>
          <w:sz w:val="27"/>
          <w:szCs w:val="27"/>
        </w:rPr>
      </w:pPr>
    </w:p>
    <w:p w:rsidR="001B5F40" w:rsidRPr="001B5F40" w:rsidRDefault="001B5F40" w:rsidP="001B5F40">
      <w:pPr>
        <w:pStyle w:val="ListParagraph"/>
        <w:rPr>
          <w:rFonts w:asciiTheme="majorHAnsi" w:hAnsiTheme="majorHAnsi"/>
          <w:sz w:val="24"/>
          <w:szCs w:val="24"/>
        </w:rPr>
      </w:pPr>
    </w:p>
    <w:sectPr w:rsidR="001B5F40" w:rsidRPr="001B5F40" w:rsidSect="0086578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830BC4"/>
    <w:multiLevelType w:val="hybridMultilevel"/>
    <w:tmpl w:val="3990B72E"/>
    <w:lvl w:ilvl="0" w:tplc="073CF9F6">
      <w:start w:val="1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E5003B"/>
    <w:multiLevelType w:val="hybridMultilevel"/>
    <w:tmpl w:val="F89875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73107E0C"/>
    <w:multiLevelType w:val="hybridMultilevel"/>
    <w:tmpl w:val="E4DECC26"/>
    <w:lvl w:ilvl="0" w:tplc="073CF9F6">
      <w:start w:val="1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03F95"/>
    <w:rsid w:val="00144F6D"/>
    <w:rsid w:val="001B5F40"/>
    <w:rsid w:val="001D75BA"/>
    <w:rsid w:val="00203F95"/>
    <w:rsid w:val="002E3577"/>
    <w:rsid w:val="00471672"/>
    <w:rsid w:val="00520061"/>
    <w:rsid w:val="00865782"/>
    <w:rsid w:val="008C75B8"/>
    <w:rsid w:val="00A343B4"/>
    <w:rsid w:val="00A75748"/>
    <w:rsid w:val="00C93262"/>
    <w:rsid w:val="00CD1139"/>
    <w:rsid w:val="00D23D77"/>
    <w:rsid w:val="00F27E5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578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TableHeadings">
    <w:name w:val="(FD) Table Headings"/>
    <w:rsid w:val="00203F95"/>
    <w:pPr>
      <w:spacing w:after="0" w:line="240" w:lineRule="auto"/>
    </w:pPr>
    <w:rPr>
      <w:rFonts w:ascii="Helvetica" w:eastAsia="Cambria" w:hAnsi="Helvetica" w:cs="Times New Roman"/>
      <w:b/>
      <w:color w:val="FFFFFF"/>
      <w:sz w:val="24"/>
      <w:szCs w:val="24"/>
      <w:lang w:val="en-GB"/>
    </w:rPr>
  </w:style>
  <w:style w:type="paragraph" w:styleId="ListParagraph">
    <w:name w:val="List Paragraph"/>
    <w:basedOn w:val="Normal"/>
    <w:uiPriority w:val="34"/>
    <w:qFormat/>
    <w:rsid w:val="00A75748"/>
    <w:pPr>
      <w:ind w:left="720"/>
      <w:contextualSpacing/>
    </w:pPr>
  </w:style>
  <w:style w:type="character" w:styleId="Hyperlink">
    <w:name w:val="Hyperlink"/>
    <w:basedOn w:val="DefaultParagraphFont"/>
    <w:uiPriority w:val="99"/>
    <w:unhideWhenUsed/>
    <w:rsid w:val="001B5F40"/>
    <w:rPr>
      <w:color w:val="0000FF" w:themeColor="hyperlink"/>
      <w:u w:val="single"/>
    </w:rPr>
  </w:style>
  <w:style w:type="paragraph" w:styleId="NormalWeb">
    <w:name w:val="Normal (Web)"/>
    <w:basedOn w:val="Normal"/>
    <w:uiPriority w:val="99"/>
    <w:semiHidden/>
    <w:unhideWhenUsed/>
    <w:rsid w:val="001B5F4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459033267">
      <w:bodyDiv w:val="1"/>
      <w:marLeft w:val="0"/>
      <w:marRight w:val="0"/>
      <w:marTop w:val="0"/>
      <w:marBottom w:val="0"/>
      <w:divBdr>
        <w:top w:val="none" w:sz="0" w:space="0" w:color="auto"/>
        <w:left w:val="none" w:sz="0" w:space="0" w:color="auto"/>
        <w:bottom w:val="none" w:sz="0" w:space="0" w:color="auto"/>
        <w:right w:val="none" w:sz="0" w:space="0" w:color="auto"/>
      </w:divBdr>
    </w:div>
    <w:div w:id="134181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166</TotalTime>
  <Pages>3</Pages>
  <Words>634</Words>
  <Characters>3615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UESR</dc:creator>
  <cp:lastModifiedBy>UESR</cp:lastModifiedBy>
  <cp:revision>3</cp:revision>
  <dcterms:created xsi:type="dcterms:W3CDTF">2017-09-20T15:25:00Z</dcterms:created>
  <dcterms:modified xsi:type="dcterms:W3CDTF">2017-10-10T08:38:00Z</dcterms:modified>
</cp:coreProperties>
</file>