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8807F" w14:textId="77777777" w:rsidR="001D793D" w:rsidRPr="005F390A" w:rsidRDefault="001D793D" w:rsidP="005F390A">
      <w:pPr>
        <w:jc w:val="center"/>
        <w:rPr>
          <w:rFonts w:ascii="Times New Roman" w:hAnsi="Times New Roman" w:cs="Times New Roman"/>
          <w:sz w:val="40"/>
          <w:szCs w:val="40"/>
        </w:rPr>
      </w:pPr>
      <w:bookmarkStart w:id="0" w:name="_Hlk78197209"/>
      <w:bookmarkEnd w:id="0"/>
      <w:r w:rsidRPr="005F390A">
        <w:rPr>
          <w:rFonts w:ascii="Times New Roman" w:hAnsi="Times New Roman" w:cs="Times New Roman"/>
          <w:sz w:val="40"/>
          <w:szCs w:val="40"/>
        </w:rPr>
        <w:t>University of Wales Trinity Saint David</w:t>
      </w:r>
    </w:p>
    <w:p w14:paraId="7466608D" w14:textId="77777777" w:rsidR="001D793D" w:rsidRPr="005F390A" w:rsidRDefault="001D793D" w:rsidP="005F390A">
      <w:pPr>
        <w:jc w:val="center"/>
        <w:rPr>
          <w:rFonts w:ascii="Times New Roman" w:hAnsi="Times New Roman" w:cs="Times New Roman"/>
          <w:sz w:val="40"/>
          <w:szCs w:val="40"/>
        </w:rPr>
      </w:pPr>
      <w:r w:rsidRPr="005F390A">
        <w:rPr>
          <w:rFonts w:ascii="Times New Roman" w:hAnsi="Times New Roman" w:cs="Times New Roman"/>
          <w:sz w:val="40"/>
          <w:szCs w:val="40"/>
        </w:rPr>
        <w:t>London Campus</w:t>
      </w:r>
    </w:p>
    <w:p w14:paraId="7B0F364E" w14:textId="11A34AF2" w:rsidR="00EC5CCD" w:rsidRDefault="00EC5CCD" w:rsidP="005F390A">
      <w:pPr>
        <w:jc w:val="center"/>
        <w:rPr>
          <w:rFonts w:ascii="Times New Roman" w:hAnsi="Times New Roman" w:cs="Times New Roman"/>
          <w:sz w:val="40"/>
          <w:szCs w:val="40"/>
        </w:rPr>
      </w:pPr>
    </w:p>
    <w:p w14:paraId="407EDC16" w14:textId="015AB976" w:rsidR="00EC5CCD" w:rsidRDefault="00EC5CCD" w:rsidP="005F390A">
      <w:pPr>
        <w:jc w:val="center"/>
        <w:rPr>
          <w:rFonts w:ascii="Times New Roman" w:hAnsi="Times New Roman" w:cs="Times New Roman"/>
          <w:sz w:val="40"/>
          <w:szCs w:val="40"/>
        </w:rPr>
      </w:pPr>
      <w:r>
        <w:rPr>
          <w:rFonts w:ascii="Times New Roman" w:hAnsi="Times New Roman" w:cs="Times New Roman"/>
          <w:sz w:val="40"/>
          <w:szCs w:val="40"/>
        </w:rPr>
        <w:t>Module:</w:t>
      </w:r>
    </w:p>
    <w:p w14:paraId="1692E7F4" w14:textId="7A8C7FC9" w:rsidR="001D793D" w:rsidRPr="005F390A" w:rsidRDefault="001D793D" w:rsidP="005F390A">
      <w:pPr>
        <w:jc w:val="center"/>
        <w:rPr>
          <w:rFonts w:ascii="Times New Roman" w:hAnsi="Times New Roman" w:cs="Times New Roman"/>
          <w:sz w:val="40"/>
          <w:szCs w:val="40"/>
        </w:rPr>
      </w:pPr>
      <w:r w:rsidRPr="005F390A">
        <w:rPr>
          <w:rFonts w:ascii="Times New Roman" w:hAnsi="Times New Roman" w:cs="Times New Roman"/>
          <w:sz w:val="40"/>
          <w:szCs w:val="40"/>
        </w:rPr>
        <w:t>Accounting and fundamentals</w:t>
      </w:r>
    </w:p>
    <w:p w14:paraId="1CD93051" w14:textId="77777777" w:rsidR="001D793D" w:rsidRPr="005F390A" w:rsidRDefault="001D793D" w:rsidP="005F390A">
      <w:pPr>
        <w:jc w:val="center"/>
        <w:rPr>
          <w:rFonts w:ascii="Times New Roman" w:hAnsi="Times New Roman" w:cs="Times New Roman"/>
          <w:sz w:val="40"/>
          <w:szCs w:val="40"/>
        </w:rPr>
      </w:pPr>
    </w:p>
    <w:p w14:paraId="531F6180" w14:textId="2D1FCBE0" w:rsidR="001D793D" w:rsidRPr="005F390A" w:rsidRDefault="001D793D" w:rsidP="005F390A">
      <w:pPr>
        <w:jc w:val="center"/>
        <w:rPr>
          <w:rFonts w:ascii="Times New Roman" w:hAnsi="Times New Roman" w:cs="Times New Roman"/>
          <w:sz w:val="40"/>
          <w:szCs w:val="40"/>
        </w:rPr>
      </w:pPr>
      <w:r w:rsidRPr="005F390A">
        <w:rPr>
          <w:rFonts w:ascii="Times New Roman" w:hAnsi="Times New Roman" w:cs="Times New Roman"/>
          <w:sz w:val="40"/>
          <w:szCs w:val="40"/>
        </w:rPr>
        <w:t>Assessm</w:t>
      </w:r>
      <w:r w:rsidR="00E552E3">
        <w:rPr>
          <w:rFonts w:ascii="Times New Roman" w:hAnsi="Times New Roman" w:cs="Times New Roman"/>
          <w:sz w:val="40"/>
          <w:szCs w:val="40"/>
        </w:rPr>
        <w:t>e</w:t>
      </w:r>
      <w:r w:rsidRPr="005F390A">
        <w:rPr>
          <w:rFonts w:ascii="Times New Roman" w:hAnsi="Times New Roman" w:cs="Times New Roman"/>
          <w:sz w:val="40"/>
          <w:szCs w:val="40"/>
        </w:rPr>
        <w:t>nt</w:t>
      </w:r>
      <w:r w:rsidR="00D75607">
        <w:rPr>
          <w:rFonts w:ascii="Times New Roman" w:hAnsi="Times New Roman" w:cs="Times New Roman"/>
          <w:sz w:val="40"/>
          <w:szCs w:val="40"/>
        </w:rPr>
        <w:t xml:space="preserve"> </w:t>
      </w:r>
      <w:r w:rsidRPr="005F390A">
        <w:rPr>
          <w:rFonts w:ascii="Times New Roman" w:hAnsi="Times New Roman" w:cs="Times New Roman"/>
          <w:sz w:val="40"/>
          <w:szCs w:val="40"/>
        </w:rPr>
        <w:t>1</w:t>
      </w:r>
    </w:p>
    <w:p w14:paraId="75EC4FAD" w14:textId="77777777" w:rsidR="001D793D" w:rsidRPr="005F390A" w:rsidRDefault="001D793D" w:rsidP="005F390A">
      <w:pPr>
        <w:jc w:val="center"/>
        <w:rPr>
          <w:rFonts w:ascii="Times New Roman" w:hAnsi="Times New Roman" w:cs="Times New Roman"/>
          <w:sz w:val="40"/>
          <w:szCs w:val="40"/>
        </w:rPr>
      </w:pPr>
    </w:p>
    <w:p w14:paraId="05B99A6F" w14:textId="77777777" w:rsidR="001D793D" w:rsidRPr="005F390A" w:rsidRDefault="001D793D" w:rsidP="005F390A">
      <w:pPr>
        <w:jc w:val="center"/>
        <w:rPr>
          <w:rFonts w:ascii="Times New Roman" w:hAnsi="Times New Roman" w:cs="Times New Roman"/>
          <w:sz w:val="40"/>
          <w:szCs w:val="40"/>
        </w:rPr>
      </w:pPr>
    </w:p>
    <w:p w14:paraId="3C664E18" w14:textId="3B858320" w:rsidR="001D793D" w:rsidRPr="005F390A" w:rsidRDefault="001D793D" w:rsidP="005F390A">
      <w:pPr>
        <w:jc w:val="center"/>
        <w:rPr>
          <w:rFonts w:ascii="Times New Roman" w:hAnsi="Times New Roman" w:cs="Times New Roman"/>
          <w:sz w:val="40"/>
          <w:szCs w:val="40"/>
        </w:rPr>
      </w:pPr>
    </w:p>
    <w:p w14:paraId="3BCECA48" w14:textId="77777777" w:rsidR="001D793D" w:rsidRPr="005F390A" w:rsidRDefault="001D793D" w:rsidP="005F390A">
      <w:pPr>
        <w:jc w:val="center"/>
        <w:rPr>
          <w:rFonts w:ascii="Times New Roman" w:hAnsi="Times New Roman" w:cs="Times New Roman"/>
          <w:sz w:val="40"/>
          <w:szCs w:val="40"/>
        </w:rPr>
      </w:pPr>
    </w:p>
    <w:p w14:paraId="073304A6" w14:textId="2FFB8F81" w:rsidR="001D793D" w:rsidRPr="005F390A" w:rsidRDefault="001D793D" w:rsidP="005F390A">
      <w:pPr>
        <w:jc w:val="center"/>
        <w:rPr>
          <w:rFonts w:ascii="Times New Roman" w:hAnsi="Times New Roman" w:cs="Times New Roman"/>
          <w:sz w:val="40"/>
          <w:szCs w:val="40"/>
        </w:rPr>
      </w:pPr>
      <w:r w:rsidRPr="005F390A">
        <w:rPr>
          <w:rFonts w:ascii="Times New Roman" w:hAnsi="Times New Roman" w:cs="Times New Roman"/>
          <w:sz w:val="40"/>
          <w:szCs w:val="40"/>
        </w:rPr>
        <w:t>Lector</w:t>
      </w:r>
      <w:r w:rsidR="00EC5CCD">
        <w:rPr>
          <w:rFonts w:ascii="Times New Roman" w:hAnsi="Times New Roman" w:cs="Times New Roman"/>
          <w:sz w:val="40"/>
          <w:szCs w:val="40"/>
        </w:rPr>
        <w:t>er</w:t>
      </w:r>
      <w:r w:rsidRPr="005F390A">
        <w:rPr>
          <w:rFonts w:ascii="Times New Roman" w:hAnsi="Times New Roman" w:cs="Times New Roman"/>
          <w:sz w:val="40"/>
          <w:szCs w:val="40"/>
        </w:rPr>
        <w:t>: Konstantina Mari</w:t>
      </w:r>
    </w:p>
    <w:p w14:paraId="4B461BA3" w14:textId="108987E9" w:rsidR="001D793D" w:rsidRDefault="001D793D" w:rsidP="005F390A">
      <w:pPr>
        <w:jc w:val="center"/>
        <w:rPr>
          <w:rFonts w:ascii="Times New Roman" w:hAnsi="Times New Roman" w:cs="Times New Roman"/>
          <w:sz w:val="40"/>
          <w:szCs w:val="40"/>
        </w:rPr>
      </w:pPr>
    </w:p>
    <w:p w14:paraId="072FB749" w14:textId="4C972EFE" w:rsidR="00EC5CCD" w:rsidRDefault="00EC5CCD" w:rsidP="005F390A">
      <w:pPr>
        <w:jc w:val="center"/>
        <w:rPr>
          <w:rFonts w:ascii="Times New Roman" w:hAnsi="Times New Roman" w:cs="Times New Roman"/>
          <w:sz w:val="40"/>
          <w:szCs w:val="40"/>
        </w:rPr>
      </w:pPr>
    </w:p>
    <w:p w14:paraId="65A881EF" w14:textId="77777777" w:rsidR="00EC5CCD" w:rsidRPr="005F390A" w:rsidRDefault="00EC5CCD" w:rsidP="00EC5CCD">
      <w:pPr>
        <w:rPr>
          <w:rFonts w:ascii="Times New Roman" w:hAnsi="Times New Roman" w:cs="Times New Roman"/>
          <w:sz w:val="40"/>
          <w:szCs w:val="40"/>
        </w:rPr>
      </w:pPr>
    </w:p>
    <w:p w14:paraId="5B9F130E" w14:textId="0C043E57" w:rsidR="001D793D" w:rsidRPr="005F390A" w:rsidRDefault="001D793D" w:rsidP="005F390A">
      <w:pPr>
        <w:jc w:val="center"/>
        <w:rPr>
          <w:rFonts w:ascii="Times New Roman" w:hAnsi="Times New Roman" w:cs="Times New Roman"/>
          <w:sz w:val="40"/>
          <w:szCs w:val="40"/>
        </w:rPr>
      </w:pPr>
      <w:r w:rsidRPr="005F390A">
        <w:rPr>
          <w:rFonts w:ascii="Times New Roman" w:hAnsi="Times New Roman" w:cs="Times New Roman"/>
          <w:sz w:val="40"/>
          <w:szCs w:val="40"/>
        </w:rPr>
        <w:t>Galina Gancheva 2022711</w:t>
      </w:r>
    </w:p>
    <w:p w14:paraId="00AAEDEF" w14:textId="77777777" w:rsidR="001D793D" w:rsidRPr="005F390A" w:rsidRDefault="001D793D" w:rsidP="005F390A">
      <w:pPr>
        <w:jc w:val="center"/>
        <w:rPr>
          <w:rFonts w:ascii="Times New Roman" w:hAnsi="Times New Roman" w:cs="Times New Roman"/>
          <w:sz w:val="40"/>
          <w:szCs w:val="40"/>
        </w:rPr>
      </w:pPr>
    </w:p>
    <w:p w14:paraId="3876A83E" w14:textId="77777777" w:rsidR="001D793D" w:rsidRPr="005F390A" w:rsidRDefault="001D793D" w:rsidP="005F390A">
      <w:pPr>
        <w:jc w:val="center"/>
        <w:rPr>
          <w:rFonts w:ascii="Times New Roman" w:hAnsi="Times New Roman" w:cs="Times New Roman"/>
          <w:sz w:val="40"/>
          <w:szCs w:val="40"/>
        </w:rPr>
      </w:pPr>
    </w:p>
    <w:p w14:paraId="3B2111C4" w14:textId="77777777" w:rsidR="001D793D" w:rsidRPr="005F390A" w:rsidRDefault="001D793D" w:rsidP="005F390A">
      <w:pPr>
        <w:jc w:val="center"/>
        <w:rPr>
          <w:rFonts w:ascii="Times New Roman" w:hAnsi="Times New Roman" w:cs="Times New Roman"/>
          <w:sz w:val="40"/>
          <w:szCs w:val="40"/>
        </w:rPr>
      </w:pPr>
    </w:p>
    <w:p w14:paraId="7EB356D4" w14:textId="77777777" w:rsidR="001D793D" w:rsidRPr="005F390A" w:rsidRDefault="001D793D" w:rsidP="005F390A">
      <w:pPr>
        <w:jc w:val="center"/>
        <w:rPr>
          <w:rFonts w:ascii="Times New Roman" w:hAnsi="Times New Roman" w:cs="Times New Roman"/>
          <w:sz w:val="40"/>
          <w:szCs w:val="40"/>
        </w:rPr>
      </w:pPr>
    </w:p>
    <w:p w14:paraId="2910C376" w14:textId="550C525A" w:rsidR="001D793D" w:rsidRPr="00EC5CCD" w:rsidRDefault="00EC5CCD" w:rsidP="00EC5CCD">
      <w:pPr>
        <w:rPr>
          <w:rFonts w:ascii="Times New Roman" w:hAnsi="Times New Roman" w:cs="Times New Roman"/>
          <w:sz w:val="24"/>
          <w:szCs w:val="24"/>
        </w:rPr>
      </w:pPr>
      <w:r>
        <w:rPr>
          <w:rFonts w:ascii="Times New Roman" w:hAnsi="Times New Roman" w:cs="Times New Roman"/>
          <w:sz w:val="24"/>
          <w:szCs w:val="24"/>
        </w:rPr>
        <w:t xml:space="preserve">Date:26.07.2021                                                                                </w:t>
      </w:r>
    </w:p>
    <w:p w14:paraId="03274735" w14:textId="0DC8A890" w:rsidR="001D793D" w:rsidRDefault="001D793D" w:rsidP="005F390A">
      <w:pPr>
        <w:jc w:val="center"/>
        <w:rPr>
          <w:rFonts w:ascii="Times New Roman" w:hAnsi="Times New Roman" w:cs="Times New Roman"/>
          <w:sz w:val="40"/>
          <w:szCs w:val="40"/>
          <w:u w:val="single"/>
        </w:rPr>
      </w:pPr>
      <w:r w:rsidRPr="00E21ACC">
        <w:rPr>
          <w:rFonts w:ascii="Times New Roman" w:hAnsi="Times New Roman" w:cs="Times New Roman"/>
          <w:sz w:val="40"/>
          <w:szCs w:val="40"/>
          <w:u w:val="single"/>
        </w:rPr>
        <w:lastRenderedPageBreak/>
        <w:t>Contents:</w:t>
      </w:r>
    </w:p>
    <w:p w14:paraId="65F75C00" w14:textId="77777777" w:rsidR="00E21ACC" w:rsidRPr="00E21ACC" w:rsidRDefault="00E21ACC" w:rsidP="005F390A">
      <w:pPr>
        <w:jc w:val="center"/>
        <w:rPr>
          <w:rFonts w:ascii="Times New Roman" w:hAnsi="Times New Roman" w:cs="Times New Roman"/>
          <w:sz w:val="40"/>
          <w:szCs w:val="40"/>
          <w:u w:val="single"/>
        </w:rPr>
      </w:pPr>
    </w:p>
    <w:p w14:paraId="6113AC16" w14:textId="1FAD697C" w:rsidR="00AF3AC1" w:rsidRDefault="00570F88" w:rsidP="00570F88">
      <w:pPr>
        <w:jc w:val="both"/>
        <w:rPr>
          <w:rFonts w:ascii="Times New Roman" w:hAnsi="Times New Roman" w:cs="Times New Roman"/>
          <w:sz w:val="40"/>
          <w:szCs w:val="40"/>
        </w:rPr>
      </w:pPr>
      <w:r>
        <w:rPr>
          <w:rFonts w:ascii="Times New Roman" w:hAnsi="Times New Roman" w:cs="Times New Roman"/>
          <w:sz w:val="40"/>
          <w:szCs w:val="40"/>
        </w:rPr>
        <w:t>Introduction……………………………………….</w:t>
      </w:r>
      <w:r w:rsidR="006452CF">
        <w:rPr>
          <w:rFonts w:ascii="Times New Roman" w:hAnsi="Times New Roman" w:cs="Times New Roman"/>
          <w:sz w:val="40"/>
          <w:szCs w:val="40"/>
        </w:rPr>
        <w:t>3</w:t>
      </w:r>
    </w:p>
    <w:p w14:paraId="0A33D591" w14:textId="2D28011B" w:rsidR="00570F88" w:rsidRDefault="00CE4A07" w:rsidP="00570F88">
      <w:pPr>
        <w:jc w:val="both"/>
        <w:rPr>
          <w:rFonts w:ascii="Times New Roman" w:hAnsi="Times New Roman" w:cs="Times New Roman"/>
          <w:sz w:val="40"/>
          <w:szCs w:val="40"/>
        </w:rPr>
      </w:pPr>
      <w:r>
        <w:rPr>
          <w:rFonts w:ascii="Times New Roman" w:hAnsi="Times New Roman" w:cs="Times New Roman"/>
          <w:sz w:val="40"/>
          <w:szCs w:val="40"/>
        </w:rPr>
        <w:t>Question 1a</w:t>
      </w:r>
      <w:r w:rsidR="009F552A">
        <w:rPr>
          <w:rFonts w:ascii="Times New Roman" w:hAnsi="Times New Roman" w:cs="Times New Roman"/>
          <w:sz w:val="40"/>
          <w:szCs w:val="40"/>
        </w:rPr>
        <w:t xml:space="preserve"> Income </w:t>
      </w:r>
      <w:r w:rsidR="00194D17">
        <w:rPr>
          <w:rFonts w:ascii="Times New Roman" w:hAnsi="Times New Roman" w:cs="Times New Roman"/>
          <w:sz w:val="40"/>
          <w:szCs w:val="40"/>
        </w:rPr>
        <w:t xml:space="preserve">Statement </w:t>
      </w:r>
      <w:r w:rsidR="00346B3A" w:rsidRPr="00346B3A">
        <w:rPr>
          <w:rFonts w:ascii="Times New Roman" w:hAnsi="Times New Roman" w:cs="Times New Roman"/>
          <w:sz w:val="40"/>
          <w:szCs w:val="40"/>
        </w:rPr>
        <w:t>Kedison PLC</w:t>
      </w:r>
      <w:r>
        <w:rPr>
          <w:rFonts w:ascii="Times New Roman" w:hAnsi="Times New Roman" w:cs="Times New Roman"/>
          <w:sz w:val="40"/>
          <w:szCs w:val="40"/>
        </w:rPr>
        <w:t>……</w:t>
      </w:r>
      <w:r w:rsidR="00CF3A60">
        <w:rPr>
          <w:rFonts w:ascii="Times New Roman" w:hAnsi="Times New Roman" w:cs="Times New Roman"/>
          <w:sz w:val="40"/>
          <w:szCs w:val="40"/>
        </w:rPr>
        <w:t>.</w:t>
      </w:r>
      <w:r w:rsidR="006452CF">
        <w:rPr>
          <w:rFonts w:ascii="Times New Roman" w:hAnsi="Times New Roman" w:cs="Times New Roman"/>
          <w:sz w:val="40"/>
          <w:szCs w:val="40"/>
        </w:rPr>
        <w:t>4</w:t>
      </w:r>
    </w:p>
    <w:p w14:paraId="29B8422A" w14:textId="4925A8FF" w:rsidR="00346B3A" w:rsidRDefault="00346B3A" w:rsidP="00570F88">
      <w:pPr>
        <w:jc w:val="both"/>
        <w:rPr>
          <w:rFonts w:ascii="Times New Roman" w:hAnsi="Times New Roman" w:cs="Times New Roman"/>
          <w:sz w:val="40"/>
          <w:szCs w:val="40"/>
        </w:rPr>
      </w:pPr>
      <w:r>
        <w:rPr>
          <w:rFonts w:ascii="Times New Roman" w:hAnsi="Times New Roman" w:cs="Times New Roman"/>
          <w:sz w:val="40"/>
          <w:szCs w:val="40"/>
        </w:rPr>
        <w:t xml:space="preserve">Question 1a </w:t>
      </w:r>
      <w:r w:rsidR="00092C07">
        <w:rPr>
          <w:rFonts w:ascii="Times New Roman" w:hAnsi="Times New Roman" w:cs="Times New Roman"/>
          <w:sz w:val="40"/>
          <w:szCs w:val="40"/>
        </w:rPr>
        <w:t xml:space="preserve">SOFP </w:t>
      </w:r>
      <w:r w:rsidRPr="00346B3A">
        <w:rPr>
          <w:rFonts w:ascii="Times New Roman" w:hAnsi="Times New Roman" w:cs="Times New Roman"/>
          <w:sz w:val="40"/>
          <w:szCs w:val="40"/>
        </w:rPr>
        <w:t>Kedison PLC</w:t>
      </w:r>
      <w:r>
        <w:rPr>
          <w:rFonts w:ascii="Times New Roman" w:hAnsi="Times New Roman" w:cs="Times New Roman"/>
          <w:sz w:val="40"/>
          <w:szCs w:val="40"/>
        </w:rPr>
        <w:t>…</w:t>
      </w:r>
      <w:r w:rsidR="00076758">
        <w:rPr>
          <w:rFonts w:ascii="Times New Roman" w:hAnsi="Times New Roman" w:cs="Times New Roman"/>
          <w:sz w:val="40"/>
          <w:szCs w:val="40"/>
        </w:rPr>
        <w:t>……………</w:t>
      </w:r>
      <w:r>
        <w:rPr>
          <w:rFonts w:ascii="Times New Roman" w:hAnsi="Times New Roman" w:cs="Times New Roman"/>
          <w:sz w:val="40"/>
          <w:szCs w:val="40"/>
        </w:rPr>
        <w:t>….</w:t>
      </w:r>
      <w:r w:rsidR="00092C07">
        <w:rPr>
          <w:rFonts w:ascii="Times New Roman" w:hAnsi="Times New Roman" w:cs="Times New Roman"/>
          <w:sz w:val="40"/>
          <w:szCs w:val="40"/>
        </w:rPr>
        <w:t>5</w:t>
      </w:r>
    </w:p>
    <w:p w14:paraId="633D0ADD" w14:textId="3517CE4A" w:rsidR="00CE4A07" w:rsidRDefault="00CE4A07" w:rsidP="00570F88">
      <w:pPr>
        <w:jc w:val="both"/>
        <w:rPr>
          <w:rFonts w:ascii="Times New Roman" w:hAnsi="Times New Roman" w:cs="Times New Roman"/>
          <w:sz w:val="40"/>
          <w:szCs w:val="40"/>
        </w:rPr>
      </w:pPr>
      <w:r>
        <w:rPr>
          <w:rFonts w:ascii="Times New Roman" w:hAnsi="Times New Roman" w:cs="Times New Roman"/>
          <w:sz w:val="40"/>
          <w:szCs w:val="40"/>
        </w:rPr>
        <w:t>Question</w:t>
      </w:r>
      <w:r w:rsidR="00DF0023">
        <w:rPr>
          <w:rFonts w:ascii="Times New Roman" w:hAnsi="Times New Roman" w:cs="Times New Roman"/>
          <w:sz w:val="40"/>
          <w:szCs w:val="40"/>
        </w:rPr>
        <w:t xml:space="preserve"> 1b……………………………………….</w:t>
      </w:r>
      <w:r w:rsidR="00046178">
        <w:rPr>
          <w:rFonts w:ascii="Times New Roman" w:hAnsi="Times New Roman" w:cs="Times New Roman"/>
          <w:sz w:val="40"/>
          <w:szCs w:val="40"/>
        </w:rPr>
        <w:t xml:space="preserve"> </w:t>
      </w:r>
      <w:r w:rsidR="00CB58D1">
        <w:rPr>
          <w:rFonts w:ascii="Times New Roman" w:hAnsi="Times New Roman" w:cs="Times New Roman"/>
          <w:sz w:val="40"/>
          <w:szCs w:val="40"/>
        </w:rPr>
        <w:t>7</w:t>
      </w:r>
    </w:p>
    <w:p w14:paraId="5DD1F55C" w14:textId="79F4CFB5" w:rsidR="00DF0023" w:rsidRDefault="00DF0023" w:rsidP="00570F88">
      <w:pPr>
        <w:jc w:val="both"/>
        <w:rPr>
          <w:rFonts w:ascii="Times New Roman" w:hAnsi="Times New Roman" w:cs="Times New Roman"/>
          <w:sz w:val="40"/>
          <w:szCs w:val="40"/>
        </w:rPr>
      </w:pPr>
      <w:r>
        <w:rPr>
          <w:rFonts w:ascii="Times New Roman" w:hAnsi="Times New Roman" w:cs="Times New Roman"/>
          <w:sz w:val="40"/>
          <w:szCs w:val="40"/>
        </w:rPr>
        <w:t>Question 2a</w:t>
      </w:r>
      <w:r w:rsidR="00B13151">
        <w:rPr>
          <w:rFonts w:ascii="Times New Roman" w:hAnsi="Times New Roman" w:cs="Times New Roman"/>
          <w:sz w:val="40"/>
          <w:szCs w:val="40"/>
        </w:rPr>
        <w:t xml:space="preserve"> </w:t>
      </w:r>
      <w:r w:rsidR="00B13151" w:rsidRPr="00B13151">
        <w:rPr>
          <w:rFonts w:ascii="Times New Roman" w:hAnsi="Times New Roman" w:cs="Times New Roman"/>
          <w:sz w:val="40"/>
          <w:szCs w:val="40"/>
        </w:rPr>
        <w:t>Ratio Analysis Chocco plc</w:t>
      </w:r>
      <w:r>
        <w:rPr>
          <w:rFonts w:ascii="Times New Roman" w:hAnsi="Times New Roman" w:cs="Times New Roman"/>
          <w:sz w:val="40"/>
          <w:szCs w:val="40"/>
        </w:rPr>
        <w:t>………</w:t>
      </w:r>
      <w:r w:rsidR="00573B8D">
        <w:rPr>
          <w:rFonts w:ascii="Times New Roman" w:hAnsi="Times New Roman" w:cs="Times New Roman"/>
          <w:sz w:val="40"/>
          <w:szCs w:val="40"/>
        </w:rPr>
        <w:t>….</w:t>
      </w:r>
      <w:r w:rsidR="005164FC">
        <w:rPr>
          <w:rFonts w:ascii="Times New Roman" w:hAnsi="Times New Roman" w:cs="Times New Roman"/>
          <w:sz w:val="40"/>
          <w:szCs w:val="40"/>
        </w:rPr>
        <w:t xml:space="preserve"> </w:t>
      </w:r>
      <w:r w:rsidR="00573B8D">
        <w:rPr>
          <w:rFonts w:ascii="Times New Roman" w:hAnsi="Times New Roman" w:cs="Times New Roman"/>
          <w:sz w:val="40"/>
          <w:szCs w:val="40"/>
        </w:rPr>
        <w:t>9</w:t>
      </w:r>
    </w:p>
    <w:p w14:paraId="34B9CAD8" w14:textId="1BDD6486" w:rsidR="00DF0023" w:rsidRDefault="00DF0023" w:rsidP="00570F88">
      <w:pPr>
        <w:jc w:val="both"/>
        <w:rPr>
          <w:rFonts w:ascii="Times New Roman" w:hAnsi="Times New Roman" w:cs="Times New Roman"/>
          <w:sz w:val="40"/>
          <w:szCs w:val="40"/>
        </w:rPr>
      </w:pPr>
      <w:r>
        <w:rPr>
          <w:rFonts w:ascii="Times New Roman" w:hAnsi="Times New Roman" w:cs="Times New Roman"/>
          <w:sz w:val="40"/>
          <w:szCs w:val="40"/>
        </w:rPr>
        <w:t>Question 2b………………………………………</w:t>
      </w:r>
      <w:r w:rsidR="00573B8D">
        <w:rPr>
          <w:rFonts w:ascii="Times New Roman" w:hAnsi="Times New Roman" w:cs="Times New Roman"/>
          <w:sz w:val="40"/>
          <w:szCs w:val="40"/>
        </w:rPr>
        <w:t>.13</w:t>
      </w:r>
    </w:p>
    <w:p w14:paraId="69D2ED7F" w14:textId="6346ED03" w:rsidR="00DF0023" w:rsidRDefault="00E21ACC" w:rsidP="00570F88">
      <w:pPr>
        <w:jc w:val="both"/>
        <w:rPr>
          <w:rFonts w:ascii="Times New Roman" w:hAnsi="Times New Roman" w:cs="Times New Roman"/>
          <w:sz w:val="40"/>
          <w:szCs w:val="40"/>
        </w:rPr>
      </w:pPr>
      <w:r>
        <w:rPr>
          <w:rFonts w:ascii="Times New Roman" w:hAnsi="Times New Roman" w:cs="Times New Roman"/>
          <w:sz w:val="40"/>
          <w:szCs w:val="40"/>
        </w:rPr>
        <w:t>Conclusion……………………………………</w:t>
      </w:r>
      <w:r w:rsidR="00573B8D">
        <w:rPr>
          <w:rFonts w:ascii="Times New Roman" w:hAnsi="Times New Roman" w:cs="Times New Roman"/>
          <w:sz w:val="40"/>
          <w:szCs w:val="40"/>
        </w:rPr>
        <w:t>…..16</w:t>
      </w:r>
    </w:p>
    <w:p w14:paraId="69DF906F" w14:textId="6727902C" w:rsidR="00E21ACC" w:rsidRPr="005F390A" w:rsidRDefault="00E21ACC" w:rsidP="00570F88">
      <w:pPr>
        <w:jc w:val="both"/>
        <w:rPr>
          <w:rFonts w:ascii="Times New Roman" w:hAnsi="Times New Roman" w:cs="Times New Roman"/>
          <w:sz w:val="40"/>
          <w:szCs w:val="40"/>
        </w:rPr>
      </w:pPr>
      <w:r>
        <w:rPr>
          <w:rFonts w:ascii="Times New Roman" w:hAnsi="Times New Roman" w:cs="Times New Roman"/>
          <w:sz w:val="40"/>
          <w:szCs w:val="40"/>
        </w:rPr>
        <w:t>Reference List……………………………………</w:t>
      </w:r>
      <w:r w:rsidR="00573B8D">
        <w:rPr>
          <w:rFonts w:ascii="Times New Roman" w:hAnsi="Times New Roman" w:cs="Times New Roman"/>
          <w:sz w:val="40"/>
          <w:szCs w:val="40"/>
        </w:rPr>
        <w:t>.17</w:t>
      </w:r>
    </w:p>
    <w:p w14:paraId="14E37EB8" w14:textId="77777777" w:rsidR="001D793D" w:rsidRDefault="001D793D" w:rsidP="001D793D"/>
    <w:p w14:paraId="768110BD" w14:textId="77777777" w:rsidR="001D793D" w:rsidRDefault="001D793D" w:rsidP="001D793D"/>
    <w:p w14:paraId="506C26D5" w14:textId="77777777" w:rsidR="001D793D" w:rsidRDefault="001D793D" w:rsidP="001D793D"/>
    <w:p w14:paraId="601AA31A" w14:textId="77777777" w:rsidR="001D793D" w:rsidRDefault="001D793D" w:rsidP="001D793D"/>
    <w:p w14:paraId="78F00198" w14:textId="77777777" w:rsidR="001D793D" w:rsidRDefault="001D793D" w:rsidP="001D793D"/>
    <w:p w14:paraId="2A7A2CAA" w14:textId="77777777" w:rsidR="001D793D" w:rsidRDefault="001D793D" w:rsidP="001D793D"/>
    <w:p w14:paraId="2C1046C2" w14:textId="77777777" w:rsidR="001D793D" w:rsidRDefault="001D793D" w:rsidP="001D793D"/>
    <w:p w14:paraId="07774185" w14:textId="77777777" w:rsidR="001D793D" w:rsidRDefault="001D793D" w:rsidP="001D793D"/>
    <w:p w14:paraId="051931E9" w14:textId="77777777" w:rsidR="001D793D" w:rsidRDefault="001D793D" w:rsidP="001D793D"/>
    <w:p w14:paraId="329C59AA" w14:textId="77777777" w:rsidR="001D793D" w:rsidRDefault="001D793D" w:rsidP="001D793D"/>
    <w:p w14:paraId="33289411" w14:textId="77777777" w:rsidR="001D793D" w:rsidRDefault="001D793D" w:rsidP="001D793D"/>
    <w:p w14:paraId="36C52AB1" w14:textId="77777777" w:rsidR="001D793D" w:rsidRDefault="001D793D" w:rsidP="001D793D"/>
    <w:p w14:paraId="45038BF6" w14:textId="77777777" w:rsidR="001D793D" w:rsidRDefault="001D793D" w:rsidP="001D793D"/>
    <w:p w14:paraId="4953A780" w14:textId="77777777" w:rsidR="005F390A" w:rsidRDefault="005F390A" w:rsidP="001D793D"/>
    <w:p w14:paraId="249B25A4" w14:textId="77777777" w:rsidR="005F390A" w:rsidRDefault="005F390A" w:rsidP="001D793D"/>
    <w:p w14:paraId="67C28F06" w14:textId="77777777" w:rsidR="005F390A" w:rsidRDefault="005F390A" w:rsidP="001D793D"/>
    <w:p w14:paraId="6E1E4987" w14:textId="77777777" w:rsidR="005F390A" w:rsidRDefault="005F390A" w:rsidP="001D793D"/>
    <w:p w14:paraId="143D9961" w14:textId="3EE300EE" w:rsidR="0038079D" w:rsidRPr="0038079D" w:rsidRDefault="0038079D" w:rsidP="0038079D">
      <w:pPr>
        <w:jc w:val="center"/>
        <w:rPr>
          <w:rFonts w:ascii="Times New Roman" w:hAnsi="Times New Roman" w:cs="Times New Roman"/>
          <w:b/>
          <w:bCs/>
          <w:sz w:val="36"/>
          <w:szCs w:val="36"/>
        </w:rPr>
      </w:pPr>
      <w:r w:rsidRPr="0038079D">
        <w:rPr>
          <w:rFonts w:ascii="Times New Roman" w:hAnsi="Times New Roman" w:cs="Times New Roman"/>
          <w:b/>
          <w:bCs/>
          <w:sz w:val="36"/>
          <w:szCs w:val="36"/>
        </w:rPr>
        <w:t>Introduction:</w:t>
      </w:r>
    </w:p>
    <w:p w14:paraId="2D34080C" w14:textId="77777777" w:rsidR="009F0C89" w:rsidRDefault="009F0C89" w:rsidP="005F390A">
      <w:pPr>
        <w:jc w:val="both"/>
        <w:rPr>
          <w:rFonts w:ascii="Times New Roman" w:hAnsi="Times New Roman" w:cs="Times New Roman"/>
          <w:sz w:val="24"/>
          <w:szCs w:val="24"/>
        </w:rPr>
      </w:pPr>
    </w:p>
    <w:p w14:paraId="29BA3490" w14:textId="4DC73BD7" w:rsidR="00353D0F" w:rsidRDefault="00B42582" w:rsidP="00B42582">
      <w:pPr>
        <w:jc w:val="both"/>
        <w:rPr>
          <w:rFonts w:ascii="Arial" w:hAnsi="Arial" w:cs="Arial"/>
          <w:sz w:val="24"/>
          <w:szCs w:val="24"/>
        </w:rPr>
      </w:pPr>
      <w:r w:rsidRPr="00DA0A59">
        <w:rPr>
          <w:rFonts w:ascii="Arial" w:hAnsi="Arial" w:cs="Arial"/>
          <w:sz w:val="24"/>
          <w:szCs w:val="24"/>
        </w:rPr>
        <w:t xml:space="preserve">In this assessment, I will explore the primary users of financial statements and their requirements. It demonstrates the fundamental ideas underpinning financial statements in the two scenarios below. It recognizes the measuring issues that arise in financial accounting. I recognize the relevance of accounting policy </w:t>
      </w:r>
      <w:r w:rsidR="00DA0A59" w:rsidRPr="00DA0A59">
        <w:rPr>
          <w:rFonts w:ascii="Arial" w:hAnsi="Arial" w:cs="Arial"/>
          <w:sz w:val="24"/>
          <w:szCs w:val="24"/>
        </w:rPr>
        <w:t>decisions. The</w:t>
      </w:r>
      <w:r w:rsidRPr="00DA0A59">
        <w:rPr>
          <w:rFonts w:ascii="Arial" w:hAnsi="Arial" w:cs="Arial"/>
          <w:sz w:val="24"/>
          <w:szCs w:val="24"/>
        </w:rPr>
        <w:t xml:space="preserve"> goal is to interpret simple financial statements using a collection of tools.</w:t>
      </w:r>
    </w:p>
    <w:p w14:paraId="6F4F73FB" w14:textId="77777777" w:rsidR="00154A7C" w:rsidRPr="00DA0A59" w:rsidRDefault="00154A7C" w:rsidP="00B42582">
      <w:pPr>
        <w:jc w:val="both"/>
        <w:rPr>
          <w:rFonts w:ascii="Arial" w:hAnsi="Arial" w:cs="Arial"/>
          <w:sz w:val="24"/>
          <w:szCs w:val="24"/>
        </w:rPr>
      </w:pPr>
    </w:p>
    <w:p w14:paraId="1966D914" w14:textId="77777777" w:rsidR="00DD343B" w:rsidRDefault="00DD343B" w:rsidP="00B60CC1">
      <w:pPr>
        <w:jc w:val="both"/>
        <w:rPr>
          <w:rFonts w:ascii="Times New Roman" w:hAnsi="Times New Roman" w:cs="Times New Roman"/>
          <w:b/>
          <w:bCs/>
          <w:sz w:val="24"/>
          <w:szCs w:val="24"/>
          <w:u w:val="single"/>
        </w:rPr>
      </w:pPr>
    </w:p>
    <w:p w14:paraId="0EB0CDFF" w14:textId="77777777" w:rsidR="00DD343B" w:rsidRDefault="00DD343B" w:rsidP="00B60CC1">
      <w:pPr>
        <w:jc w:val="both"/>
        <w:rPr>
          <w:rFonts w:ascii="Times New Roman" w:hAnsi="Times New Roman" w:cs="Times New Roman"/>
          <w:b/>
          <w:bCs/>
          <w:sz w:val="24"/>
          <w:szCs w:val="24"/>
          <w:u w:val="single"/>
        </w:rPr>
      </w:pPr>
    </w:p>
    <w:p w14:paraId="0E848090" w14:textId="77777777" w:rsidR="00DD343B" w:rsidRDefault="00DD343B" w:rsidP="00B60CC1">
      <w:pPr>
        <w:jc w:val="both"/>
        <w:rPr>
          <w:rFonts w:ascii="Times New Roman" w:hAnsi="Times New Roman" w:cs="Times New Roman"/>
          <w:b/>
          <w:bCs/>
          <w:sz w:val="24"/>
          <w:szCs w:val="24"/>
          <w:u w:val="single"/>
        </w:rPr>
      </w:pPr>
    </w:p>
    <w:p w14:paraId="3AB60D21" w14:textId="08B0C3E4" w:rsidR="00B92F6A" w:rsidRDefault="00B92F6A" w:rsidP="005F390A">
      <w:pPr>
        <w:jc w:val="both"/>
        <w:rPr>
          <w:rFonts w:ascii="Times New Roman" w:hAnsi="Times New Roman" w:cs="Times New Roman"/>
          <w:sz w:val="24"/>
          <w:szCs w:val="24"/>
        </w:rPr>
      </w:pPr>
    </w:p>
    <w:p w14:paraId="0057AB1E" w14:textId="3E4C5499" w:rsidR="00B60CC1" w:rsidRDefault="00B60CC1" w:rsidP="005F390A">
      <w:pPr>
        <w:jc w:val="both"/>
        <w:rPr>
          <w:rFonts w:ascii="Times New Roman" w:hAnsi="Times New Roman" w:cs="Times New Roman"/>
          <w:sz w:val="24"/>
          <w:szCs w:val="24"/>
        </w:rPr>
      </w:pPr>
    </w:p>
    <w:p w14:paraId="11563BFE" w14:textId="344828EF" w:rsidR="00B60CC1" w:rsidRDefault="00B60CC1" w:rsidP="005F390A">
      <w:pPr>
        <w:jc w:val="both"/>
        <w:rPr>
          <w:rFonts w:ascii="Times New Roman" w:hAnsi="Times New Roman" w:cs="Times New Roman"/>
          <w:sz w:val="24"/>
          <w:szCs w:val="24"/>
        </w:rPr>
      </w:pPr>
    </w:p>
    <w:p w14:paraId="4F57325D" w14:textId="5F33F5F2" w:rsidR="00B60CC1" w:rsidRDefault="00B60CC1" w:rsidP="005F390A">
      <w:pPr>
        <w:jc w:val="both"/>
        <w:rPr>
          <w:rFonts w:ascii="Times New Roman" w:hAnsi="Times New Roman" w:cs="Times New Roman"/>
          <w:sz w:val="24"/>
          <w:szCs w:val="24"/>
        </w:rPr>
      </w:pPr>
    </w:p>
    <w:p w14:paraId="676F2EC9" w14:textId="2F62C81C" w:rsidR="00B60CC1" w:rsidRDefault="00B60CC1" w:rsidP="005F390A">
      <w:pPr>
        <w:jc w:val="both"/>
        <w:rPr>
          <w:rFonts w:ascii="Times New Roman" w:hAnsi="Times New Roman" w:cs="Times New Roman"/>
          <w:sz w:val="24"/>
          <w:szCs w:val="24"/>
        </w:rPr>
      </w:pPr>
    </w:p>
    <w:p w14:paraId="7BA3B402" w14:textId="523DA8C3" w:rsidR="00B60CC1" w:rsidRDefault="00B60CC1" w:rsidP="005F390A">
      <w:pPr>
        <w:jc w:val="both"/>
        <w:rPr>
          <w:rFonts w:ascii="Times New Roman" w:hAnsi="Times New Roman" w:cs="Times New Roman"/>
          <w:sz w:val="24"/>
          <w:szCs w:val="24"/>
        </w:rPr>
      </w:pPr>
    </w:p>
    <w:p w14:paraId="5D84CF7F" w14:textId="77777777" w:rsidR="00084ACD" w:rsidRDefault="00084ACD" w:rsidP="009F0C89">
      <w:pPr>
        <w:jc w:val="center"/>
        <w:rPr>
          <w:rFonts w:ascii="Times New Roman" w:hAnsi="Times New Roman" w:cs="Times New Roman"/>
          <w:b/>
          <w:bCs/>
          <w:sz w:val="36"/>
          <w:szCs w:val="36"/>
        </w:rPr>
      </w:pPr>
    </w:p>
    <w:p w14:paraId="1F5FE8CD" w14:textId="77777777" w:rsidR="00084ACD" w:rsidRDefault="00084ACD" w:rsidP="009F0C89">
      <w:pPr>
        <w:jc w:val="center"/>
        <w:rPr>
          <w:rFonts w:ascii="Times New Roman" w:hAnsi="Times New Roman" w:cs="Times New Roman"/>
          <w:b/>
          <w:bCs/>
          <w:sz w:val="36"/>
          <w:szCs w:val="36"/>
        </w:rPr>
      </w:pPr>
    </w:p>
    <w:p w14:paraId="76626C72" w14:textId="3CCD7C6B" w:rsidR="00084ACD" w:rsidRDefault="00084ACD" w:rsidP="009F0C89">
      <w:pPr>
        <w:jc w:val="center"/>
        <w:rPr>
          <w:rFonts w:ascii="Times New Roman" w:hAnsi="Times New Roman" w:cs="Times New Roman"/>
          <w:b/>
          <w:bCs/>
          <w:sz w:val="36"/>
          <w:szCs w:val="36"/>
        </w:rPr>
      </w:pPr>
    </w:p>
    <w:p w14:paraId="322AE2A6" w14:textId="3245C29D" w:rsidR="00455543" w:rsidRDefault="00455543" w:rsidP="009F0C89">
      <w:pPr>
        <w:jc w:val="center"/>
        <w:rPr>
          <w:rFonts w:ascii="Times New Roman" w:hAnsi="Times New Roman" w:cs="Times New Roman"/>
          <w:b/>
          <w:bCs/>
          <w:sz w:val="36"/>
          <w:szCs w:val="36"/>
        </w:rPr>
      </w:pPr>
    </w:p>
    <w:p w14:paraId="3947BF60" w14:textId="1085A483" w:rsidR="00455543" w:rsidRDefault="00455543" w:rsidP="009F0C89">
      <w:pPr>
        <w:jc w:val="center"/>
        <w:rPr>
          <w:rFonts w:ascii="Times New Roman" w:hAnsi="Times New Roman" w:cs="Times New Roman"/>
          <w:b/>
          <w:bCs/>
          <w:sz w:val="36"/>
          <w:szCs w:val="36"/>
        </w:rPr>
      </w:pPr>
    </w:p>
    <w:p w14:paraId="7204F8DF" w14:textId="43CC878F" w:rsidR="00455543" w:rsidRDefault="00455543" w:rsidP="009F0C89">
      <w:pPr>
        <w:jc w:val="center"/>
        <w:rPr>
          <w:rFonts w:ascii="Times New Roman" w:hAnsi="Times New Roman" w:cs="Times New Roman"/>
          <w:b/>
          <w:bCs/>
          <w:sz w:val="36"/>
          <w:szCs w:val="36"/>
        </w:rPr>
      </w:pPr>
    </w:p>
    <w:p w14:paraId="18795F3B" w14:textId="03470B97" w:rsidR="00455543" w:rsidRDefault="00455543" w:rsidP="009F0C89">
      <w:pPr>
        <w:jc w:val="center"/>
        <w:rPr>
          <w:rFonts w:ascii="Times New Roman" w:hAnsi="Times New Roman" w:cs="Times New Roman"/>
          <w:b/>
          <w:bCs/>
          <w:sz w:val="36"/>
          <w:szCs w:val="36"/>
        </w:rPr>
      </w:pPr>
    </w:p>
    <w:p w14:paraId="57945953" w14:textId="7133AB34" w:rsidR="00455543" w:rsidRDefault="00455543" w:rsidP="009F0C89">
      <w:pPr>
        <w:jc w:val="center"/>
        <w:rPr>
          <w:rFonts w:ascii="Times New Roman" w:hAnsi="Times New Roman" w:cs="Times New Roman"/>
          <w:b/>
          <w:bCs/>
          <w:sz w:val="36"/>
          <w:szCs w:val="36"/>
        </w:rPr>
      </w:pPr>
    </w:p>
    <w:p w14:paraId="663BE9DE" w14:textId="2387CCC8" w:rsidR="00455543" w:rsidRDefault="00455543" w:rsidP="009F0C89">
      <w:pPr>
        <w:jc w:val="center"/>
        <w:rPr>
          <w:rFonts w:ascii="Times New Roman" w:hAnsi="Times New Roman" w:cs="Times New Roman"/>
          <w:b/>
          <w:bCs/>
          <w:sz w:val="36"/>
          <w:szCs w:val="36"/>
        </w:rPr>
      </w:pPr>
    </w:p>
    <w:p w14:paraId="2BC7D40C" w14:textId="77777777" w:rsidR="00455543" w:rsidRDefault="00455543" w:rsidP="009F0C89">
      <w:pPr>
        <w:jc w:val="center"/>
        <w:rPr>
          <w:rFonts w:ascii="Times New Roman" w:hAnsi="Times New Roman" w:cs="Times New Roman"/>
          <w:b/>
          <w:bCs/>
          <w:sz w:val="36"/>
          <w:szCs w:val="36"/>
        </w:rPr>
      </w:pPr>
    </w:p>
    <w:p w14:paraId="19281AB5" w14:textId="77777777" w:rsidR="00084ACD" w:rsidRDefault="00084ACD" w:rsidP="009F0C89">
      <w:pPr>
        <w:jc w:val="center"/>
        <w:rPr>
          <w:rFonts w:ascii="Times New Roman" w:hAnsi="Times New Roman" w:cs="Times New Roman"/>
          <w:b/>
          <w:bCs/>
          <w:sz w:val="36"/>
          <w:szCs w:val="36"/>
        </w:rPr>
      </w:pPr>
    </w:p>
    <w:p w14:paraId="718038F9" w14:textId="1FF386D1" w:rsidR="003753C6" w:rsidRDefault="0020238B" w:rsidP="00154FC9">
      <w:pPr>
        <w:jc w:val="center"/>
        <w:rPr>
          <w:rFonts w:ascii="Times New Roman" w:hAnsi="Times New Roman" w:cs="Times New Roman"/>
          <w:b/>
          <w:bCs/>
          <w:sz w:val="36"/>
          <w:szCs w:val="36"/>
        </w:rPr>
      </w:pPr>
      <w:r>
        <w:rPr>
          <w:rFonts w:ascii="Times New Roman" w:hAnsi="Times New Roman" w:cs="Times New Roman"/>
          <w:b/>
          <w:bCs/>
          <w:sz w:val="36"/>
          <w:szCs w:val="36"/>
        </w:rPr>
        <w:t>Question 1</w:t>
      </w:r>
      <w:r w:rsidR="00154FC9">
        <w:rPr>
          <w:rFonts w:ascii="Times New Roman" w:hAnsi="Times New Roman" w:cs="Times New Roman"/>
          <w:b/>
          <w:bCs/>
          <w:sz w:val="36"/>
          <w:szCs w:val="36"/>
        </w:rPr>
        <w:t>a</w:t>
      </w:r>
    </w:p>
    <w:tbl>
      <w:tblPr>
        <w:tblW w:w="9350" w:type="dxa"/>
        <w:tblLook w:val="04A0" w:firstRow="1" w:lastRow="0" w:firstColumn="1" w:lastColumn="0" w:noHBand="0" w:noVBand="1"/>
      </w:tblPr>
      <w:tblGrid>
        <w:gridCol w:w="5996"/>
        <w:gridCol w:w="3354"/>
      </w:tblGrid>
      <w:tr w:rsidR="00F36A6B" w:rsidRPr="00F36A6B" w14:paraId="70EFE8FB" w14:textId="77777777" w:rsidTr="00F36A6B">
        <w:trPr>
          <w:trHeight w:val="310"/>
        </w:trPr>
        <w:tc>
          <w:tcPr>
            <w:tcW w:w="599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A1A15E" w14:textId="77777777" w:rsidR="00F36A6B" w:rsidRPr="00F36A6B" w:rsidRDefault="00F36A6B" w:rsidP="00F36A6B">
            <w:pPr>
              <w:spacing w:after="0" w:line="240" w:lineRule="auto"/>
              <w:rPr>
                <w:rFonts w:ascii="Arial" w:eastAsia="Times New Roman" w:hAnsi="Arial" w:cs="Arial"/>
                <w:b/>
                <w:bCs/>
                <w:color w:val="000000"/>
                <w:sz w:val="24"/>
                <w:szCs w:val="24"/>
                <w:lang w:eastAsia="en-GB"/>
              </w:rPr>
            </w:pPr>
            <w:r w:rsidRPr="00F36A6B">
              <w:rPr>
                <w:rFonts w:ascii="Arial" w:eastAsia="Times New Roman" w:hAnsi="Arial" w:cs="Arial"/>
                <w:b/>
                <w:bCs/>
                <w:color w:val="000000"/>
                <w:sz w:val="24"/>
                <w:szCs w:val="24"/>
                <w:lang w:eastAsia="en-GB"/>
              </w:rPr>
              <w:t>Kedison PLC</w:t>
            </w:r>
          </w:p>
        </w:tc>
        <w:tc>
          <w:tcPr>
            <w:tcW w:w="3354" w:type="dxa"/>
            <w:tcBorders>
              <w:top w:val="single" w:sz="4" w:space="0" w:color="auto"/>
              <w:left w:val="nil"/>
              <w:bottom w:val="single" w:sz="4" w:space="0" w:color="auto"/>
              <w:right w:val="single" w:sz="4" w:space="0" w:color="auto"/>
            </w:tcBorders>
            <w:shd w:val="clear" w:color="auto" w:fill="auto"/>
            <w:noWrap/>
            <w:vAlign w:val="bottom"/>
            <w:hideMark/>
          </w:tcPr>
          <w:p w14:paraId="23B8505E"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r w:rsidR="00F36A6B" w:rsidRPr="00F36A6B" w14:paraId="6FE09529"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noWrap/>
            <w:vAlign w:val="bottom"/>
            <w:hideMark/>
          </w:tcPr>
          <w:p w14:paraId="3EC9E649" w14:textId="77777777" w:rsidR="00F36A6B" w:rsidRPr="00F36A6B" w:rsidRDefault="00F36A6B" w:rsidP="00F36A6B">
            <w:pPr>
              <w:spacing w:after="0" w:line="240" w:lineRule="auto"/>
              <w:rPr>
                <w:rFonts w:ascii="Arial" w:eastAsia="Times New Roman" w:hAnsi="Arial" w:cs="Arial"/>
                <w:b/>
                <w:bCs/>
                <w:color w:val="000000"/>
                <w:sz w:val="24"/>
                <w:szCs w:val="24"/>
                <w:lang w:eastAsia="en-GB"/>
              </w:rPr>
            </w:pPr>
            <w:r w:rsidRPr="00F36A6B">
              <w:rPr>
                <w:rFonts w:ascii="Arial" w:eastAsia="Times New Roman" w:hAnsi="Arial" w:cs="Arial"/>
                <w:b/>
                <w:bCs/>
                <w:color w:val="000000"/>
                <w:sz w:val="24"/>
                <w:szCs w:val="24"/>
                <w:lang w:eastAsia="en-GB"/>
              </w:rPr>
              <w:t>INCOME STATEMENT FOR THE YEAR ENDED 31st December 2020</w:t>
            </w:r>
          </w:p>
        </w:tc>
        <w:tc>
          <w:tcPr>
            <w:tcW w:w="3354" w:type="dxa"/>
            <w:tcBorders>
              <w:top w:val="nil"/>
              <w:left w:val="nil"/>
              <w:bottom w:val="single" w:sz="4" w:space="0" w:color="auto"/>
              <w:right w:val="single" w:sz="4" w:space="0" w:color="auto"/>
            </w:tcBorders>
            <w:shd w:val="clear" w:color="auto" w:fill="auto"/>
            <w:noWrap/>
            <w:vAlign w:val="bottom"/>
            <w:hideMark/>
          </w:tcPr>
          <w:p w14:paraId="62945728"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r w:rsidR="00F36A6B" w:rsidRPr="00F36A6B" w14:paraId="3A72DFC6"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noWrap/>
            <w:vAlign w:val="bottom"/>
            <w:hideMark/>
          </w:tcPr>
          <w:p w14:paraId="15C73ADC"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c>
          <w:tcPr>
            <w:tcW w:w="3354" w:type="dxa"/>
            <w:tcBorders>
              <w:top w:val="nil"/>
              <w:left w:val="nil"/>
              <w:bottom w:val="single" w:sz="4" w:space="0" w:color="auto"/>
              <w:right w:val="single" w:sz="4" w:space="0" w:color="auto"/>
            </w:tcBorders>
            <w:shd w:val="clear" w:color="auto" w:fill="auto"/>
            <w:noWrap/>
            <w:vAlign w:val="bottom"/>
            <w:hideMark/>
          </w:tcPr>
          <w:p w14:paraId="1729D23B"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r w:rsidR="00F36A6B" w:rsidRPr="00F36A6B" w14:paraId="7705D98D"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63FF8D90"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c>
          <w:tcPr>
            <w:tcW w:w="3354" w:type="dxa"/>
            <w:tcBorders>
              <w:top w:val="nil"/>
              <w:left w:val="nil"/>
              <w:bottom w:val="single" w:sz="4" w:space="0" w:color="auto"/>
              <w:right w:val="single" w:sz="4" w:space="0" w:color="auto"/>
            </w:tcBorders>
            <w:shd w:val="clear" w:color="auto" w:fill="auto"/>
            <w:vAlign w:val="center"/>
            <w:hideMark/>
          </w:tcPr>
          <w:p w14:paraId="5DE6B6F6"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w:t>
            </w:r>
          </w:p>
        </w:tc>
      </w:tr>
      <w:tr w:rsidR="00F36A6B" w:rsidRPr="00F36A6B" w14:paraId="2DD4F966"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3677DC6D"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xml:space="preserve">Revenue </w:t>
            </w:r>
          </w:p>
        </w:tc>
        <w:tc>
          <w:tcPr>
            <w:tcW w:w="3354" w:type="dxa"/>
            <w:tcBorders>
              <w:top w:val="nil"/>
              <w:left w:val="nil"/>
              <w:bottom w:val="single" w:sz="4" w:space="0" w:color="auto"/>
              <w:right w:val="single" w:sz="4" w:space="0" w:color="auto"/>
            </w:tcBorders>
            <w:shd w:val="clear" w:color="auto" w:fill="auto"/>
            <w:vAlign w:val="center"/>
            <w:hideMark/>
          </w:tcPr>
          <w:p w14:paraId="2F501226"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827,630</w:t>
            </w:r>
          </w:p>
        </w:tc>
      </w:tr>
      <w:tr w:rsidR="00F36A6B" w:rsidRPr="00F36A6B" w14:paraId="6BDC7361"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5E707D5E"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Cost of sales</w:t>
            </w:r>
          </w:p>
        </w:tc>
        <w:tc>
          <w:tcPr>
            <w:tcW w:w="3354" w:type="dxa"/>
            <w:tcBorders>
              <w:top w:val="nil"/>
              <w:left w:val="nil"/>
              <w:bottom w:val="single" w:sz="4" w:space="0" w:color="auto"/>
              <w:right w:val="single" w:sz="4" w:space="0" w:color="auto"/>
            </w:tcBorders>
            <w:shd w:val="clear" w:color="auto" w:fill="auto"/>
            <w:vAlign w:val="center"/>
            <w:hideMark/>
          </w:tcPr>
          <w:p w14:paraId="1C866BA6"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 (578,650) </w:t>
            </w:r>
          </w:p>
        </w:tc>
      </w:tr>
      <w:tr w:rsidR="00F36A6B" w:rsidRPr="00F36A6B" w14:paraId="4067FADF"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0343334C"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Gross profit</w:t>
            </w:r>
          </w:p>
        </w:tc>
        <w:tc>
          <w:tcPr>
            <w:tcW w:w="3354" w:type="dxa"/>
            <w:tcBorders>
              <w:top w:val="nil"/>
              <w:left w:val="nil"/>
              <w:bottom w:val="single" w:sz="4" w:space="0" w:color="auto"/>
              <w:right w:val="single" w:sz="4" w:space="0" w:color="auto"/>
            </w:tcBorders>
            <w:shd w:val="clear" w:color="auto" w:fill="auto"/>
            <w:vAlign w:val="center"/>
            <w:hideMark/>
          </w:tcPr>
          <w:p w14:paraId="4413A32E"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248,980</w:t>
            </w:r>
          </w:p>
        </w:tc>
      </w:tr>
      <w:tr w:rsidR="00F36A6B" w:rsidRPr="00F36A6B" w14:paraId="77DD6A42"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701021B6"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Other income</w:t>
            </w:r>
          </w:p>
        </w:tc>
        <w:tc>
          <w:tcPr>
            <w:tcW w:w="3354" w:type="dxa"/>
            <w:tcBorders>
              <w:top w:val="nil"/>
              <w:left w:val="nil"/>
              <w:bottom w:val="single" w:sz="4" w:space="0" w:color="auto"/>
              <w:right w:val="single" w:sz="4" w:space="0" w:color="auto"/>
            </w:tcBorders>
            <w:shd w:val="clear" w:color="auto" w:fill="auto"/>
            <w:vAlign w:val="center"/>
            <w:hideMark/>
          </w:tcPr>
          <w:p w14:paraId="35EA481E"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X </w:t>
            </w:r>
          </w:p>
        </w:tc>
      </w:tr>
      <w:tr w:rsidR="00F36A6B" w:rsidRPr="00F36A6B" w14:paraId="54732A34"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04424B22"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Distribution costs</w:t>
            </w:r>
          </w:p>
        </w:tc>
        <w:tc>
          <w:tcPr>
            <w:tcW w:w="3354" w:type="dxa"/>
            <w:tcBorders>
              <w:top w:val="nil"/>
              <w:left w:val="nil"/>
              <w:bottom w:val="single" w:sz="4" w:space="0" w:color="auto"/>
              <w:right w:val="single" w:sz="4" w:space="0" w:color="auto"/>
            </w:tcBorders>
            <w:shd w:val="clear" w:color="auto" w:fill="auto"/>
            <w:vAlign w:val="center"/>
            <w:hideMark/>
          </w:tcPr>
          <w:p w14:paraId="7E491337"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-31000</w:t>
            </w:r>
          </w:p>
        </w:tc>
      </w:tr>
      <w:tr w:rsidR="00F36A6B" w:rsidRPr="00F36A6B" w14:paraId="04BC7EE4"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6126E53B"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Administration expenses</w:t>
            </w:r>
          </w:p>
        </w:tc>
        <w:tc>
          <w:tcPr>
            <w:tcW w:w="3354" w:type="dxa"/>
            <w:tcBorders>
              <w:top w:val="nil"/>
              <w:left w:val="nil"/>
              <w:bottom w:val="single" w:sz="4" w:space="0" w:color="auto"/>
              <w:right w:val="single" w:sz="4" w:space="0" w:color="auto"/>
            </w:tcBorders>
            <w:shd w:val="clear" w:color="auto" w:fill="auto"/>
            <w:vAlign w:val="center"/>
            <w:hideMark/>
          </w:tcPr>
          <w:p w14:paraId="2C34E832"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-42900</w:t>
            </w:r>
          </w:p>
        </w:tc>
      </w:tr>
      <w:tr w:rsidR="00F36A6B" w:rsidRPr="00F36A6B" w14:paraId="05EDAA00"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4E5C9132"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Operating profit</w:t>
            </w:r>
          </w:p>
        </w:tc>
        <w:tc>
          <w:tcPr>
            <w:tcW w:w="3354" w:type="dxa"/>
            <w:tcBorders>
              <w:top w:val="nil"/>
              <w:left w:val="nil"/>
              <w:bottom w:val="single" w:sz="4" w:space="0" w:color="auto"/>
              <w:right w:val="single" w:sz="4" w:space="0" w:color="auto"/>
            </w:tcBorders>
            <w:shd w:val="clear" w:color="auto" w:fill="auto"/>
            <w:vAlign w:val="center"/>
            <w:hideMark/>
          </w:tcPr>
          <w:p w14:paraId="503B16FC"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175,080</w:t>
            </w:r>
          </w:p>
        </w:tc>
      </w:tr>
      <w:tr w:rsidR="00F36A6B" w:rsidRPr="00F36A6B" w14:paraId="4EF0B413" w14:textId="77777777" w:rsidTr="00F36A6B">
        <w:trPr>
          <w:trHeight w:val="62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099F7D6C"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Finance costs (Debentures Interest Payable)</w:t>
            </w:r>
          </w:p>
        </w:tc>
        <w:tc>
          <w:tcPr>
            <w:tcW w:w="3354" w:type="dxa"/>
            <w:tcBorders>
              <w:top w:val="nil"/>
              <w:left w:val="nil"/>
              <w:bottom w:val="single" w:sz="4" w:space="0" w:color="auto"/>
              <w:right w:val="single" w:sz="4" w:space="0" w:color="auto"/>
            </w:tcBorders>
            <w:shd w:val="clear" w:color="auto" w:fill="auto"/>
            <w:vAlign w:val="center"/>
            <w:hideMark/>
          </w:tcPr>
          <w:p w14:paraId="469B4D49"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11000</w:t>
            </w:r>
          </w:p>
        </w:tc>
      </w:tr>
      <w:tr w:rsidR="00F36A6B" w:rsidRPr="00F36A6B" w14:paraId="2D850309"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03390C7B"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Profit before tax</w:t>
            </w:r>
          </w:p>
        </w:tc>
        <w:tc>
          <w:tcPr>
            <w:tcW w:w="3354" w:type="dxa"/>
            <w:tcBorders>
              <w:top w:val="nil"/>
              <w:left w:val="nil"/>
              <w:bottom w:val="single" w:sz="4" w:space="0" w:color="auto"/>
              <w:right w:val="single" w:sz="4" w:space="0" w:color="auto"/>
            </w:tcBorders>
            <w:shd w:val="clear" w:color="auto" w:fill="auto"/>
            <w:vAlign w:val="center"/>
            <w:hideMark/>
          </w:tcPr>
          <w:p w14:paraId="3EA07A6A"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164080</w:t>
            </w:r>
          </w:p>
        </w:tc>
      </w:tr>
      <w:tr w:rsidR="00F36A6B" w:rsidRPr="00F36A6B" w14:paraId="78C4B927"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62D24889"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Taxation</w:t>
            </w:r>
          </w:p>
        </w:tc>
        <w:tc>
          <w:tcPr>
            <w:tcW w:w="3354" w:type="dxa"/>
            <w:tcBorders>
              <w:top w:val="nil"/>
              <w:left w:val="nil"/>
              <w:bottom w:val="single" w:sz="4" w:space="0" w:color="auto"/>
              <w:right w:val="single" w:sz="4" w:space="0" w:color="auto"/>
            </w:tcBorders>
            <w:shd w:val="clear" w:color="auto" w:fill="auto"/>
            <w:vAlign w:val="center"/>
            <w:hideMark/>
          </w:tcPr>
          <w:p w14:paraId="3835888F"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-68,000</w:t>
            </w:r>
          </w:p>
        </w:tc>
      </w:tr>
      <w:tr w:rsidR="00F36A6B" w:rsidRPr="00F36A6B" w14:paraId="531E83C3"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2DFFF9E4"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Profit for the period</w:t>
            </w:r>
          </w:p>
        </w:tc>
        <w:tc>
          <w:tcPr>
            <w:tcW w:w="3354" w:type="dxa"/>
            <w:tcBorders>
              <w:top w:val="nil"/>
              <w:left w:val="nil"/>
              <w:bottom w:val="single" w:sz="4" w:space="0" w:color="auto"/>
              <w:right w:val="single" w:sz="4" w:space="0" w:color="auto"/>
            </w:tcBorders>
            <w:shd w:val="clear" w:color="auto" w:fill="auto"/>
            <w:vAlign w:val="center"/>
            <w:hideMark/>
          </w:tcPr>
          <w:p w14:paraId="502268E2" w14:textId="77777777" w:rsidR="00F36A6B" w:rsidRPr="00F36A6B" w:rsidRDefault="00F36A6B" w:rsidP="00F36A6B">
            <w:pPr>
              <w:spacing w:after="0" w:line="240" w:lineRule="auto"/>
              <w:jc w:val="center"/>
              <w:rPr>
                <w:rFonts w:ascii="Arial" w:eastAsia="Times New Roman" w:hAnsi="Arial" w:cs="Arial"/>
                <w:b/>
                <w:bCs/>
                <w:color w:val="000000"/>
                <w:sz w:val="24"/>
                <w:szCs w:val="24"/>
                <w:u w:val="double"/>
                <w:lang w:eastAsia="en-GB"/>
              </w:rPr>
            </w:pPr>
            <w:r w:rsidRPr="00F36A6B">
              <w:rPr>
                <w:rFonts w:ascii="Arial" w:eastAsia="Times New Roman" w:hAnsi="Arial" w:cs="Arial"/>
                <w:b/>
                <w:bCs/>
                <w:color w:val="000000"/>
                <w:sz w:val="24"/>
                <w:szCs w:val="24"/>
                <w:u w:val="double"/>
                <w:lang w:eastAsia="en-GB"/>
              </w:rPr>
              <w:t>96080</w:t>
            </w:r>
          </w:p>
        </w:tc>
      </w:tr>
      <w:tr w:rsidR="00F36A6B" w:rsidRPr="00F36A6B" w14:paraId="3190FDA6"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54B1ABA0"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c>
          <w:tcPr>
            <w:tcW w:w="3354" w:type="dxa"/>
            <w:tcBorders>
              <w:top w:val="nil"/>
              <w:left w:val="nil"/>
              <w:bottom w:val="single" w:sz="4" w:space="0" w:color="auto"/>
              <w:right w:val="single" w:sz="4" w:space="0" w:color="auto"/>
            </w:tcBorders>
            <w:shd w:val="clear" w:color="auto" w:fill="auto"/>
            <w:vAlign w:val="center"/>
            <w:hideMark/>
          </w:tcPr>
          <w:p w14:paraId="3F120685"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r w:rsidR="00F36A6B" w:rsidRPr="00F36A6B" w14:paraId="1B189EA9"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noWrap/>
            <w:vAlign w:val="bottom"/>
            <w:hideMark/>
          </w:tcPr>
          <w:p w14:paraId="225FA146"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c>
          <w:tcPr>
            <w:tcW w:w="3354" w:type="dxa"/>
            <w:tcBorders>
              <w:top w:val="nil"/>
              <w:left w:val="nil"/>
              <w:bottom w:val="single" w:sz="4" w:space="0" w:color="auto"/>
              <w:right w:val="single" w:sz="4" w:space="0" w:color="auto"/>
            </w:tcBorders>
            <w:shd w:val="clear" w:color="auto" w:fill="auto"/>
            <w:noWrap/>
            <w:vAlign w:val="bottom"/>
            <w:hideMark/>
          </w:tcPr>
          <w:p w14:paraId="49BAB759"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r w:rsidR="00F36A6B" w:rsidRPr="00F36A6B" w14:paraId="21DEA19A"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noWrap/>
            <w:vAlign w:val="bottom"/>
            <w:hideMark/>
          </w:tcPr>
          <w:p w14:paraId="1A8B7E42"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c>
          <w:tcPr>
            <w:tcW w:w="3354" w:type="dxa"/>
            <w:tcBorders>
              <w:top w:val="nil"/>
              <w:left w:val="nil"/>
              <w:bottom w:val="single" w:sz="4" w:space="0" w:color="auto"/>
              <w:right w:val="single" w:sz="4" w:space="0" w:color="auto"/>
            </w:tcBorders>
            <w:shd w:val="clear" w:color="auto" w:fill="auto"/>
            <w:noWrap/>
            <w:vAlign w:val="bottom"/>
            <w:hideMark/>
          </w:tcPr>
          <w:p w14:paraId="74775AAD"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r w:rsidR="00F36A6B" w:rsidRPr="00F36A6B" w14:paraId="7DE88FA3"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noWrap/>
            <w:vAlign w:val="bottom"/>
            <w:hideMark/>
          </w:tcPr>
          <w:p w14:paraId="74EA4312" w14:textId="77777777" w:rsidR="00F36A6B" w:rsidRPr="00F36A6B" w:rsidRDefault="00F36A6B" w:rsidP="00F36A6B">
            <w:pPr>
              <w:spacing w:after="0" w:line="240" w:lineRule="auto"/>
              <w:rPr>
                <w:rFonts w:ascii="Arial" w:eastAsia="Times New Roman" w:hAnsi="Arial" w:cs="Arial"/>
                <w:b/>
                <w:bCs/>
                <w:color w:val="000000"/>
                <w:sz w:val="24"/>
                <w:szCs w:val="24"/>
                <w:u w:val="single"/>
                <w:lang w:eastAsia="en-GB"/>
              </w:rPr>
            </w:pPr>
            <w:r w:rsidRPr="00F36A6B">
              <w:rPr>
                <w:rFonts w:ascii="Arial" w:eastAsia="Times New Roman" w:hAnsi="Arial" w:cs="Arial"/>
                <w:b/>
                <w:bCs/>
                <w:color w:val="000000"/>
                <w:sz w:val="24"/>
                <w:szCs w:val="24"/>
                <w:u w:val="single"/>
                <w:lang w:eastAsia="en-GB"/>
              </w:rPr>
              <w:t>Workings:</w:t>
            </w:r>
          </w:p>
        </w:tc>
        <w:tc>
          <w:tcPr>
            <w:tcW w:w="3354" w:type="dxa"/>
            <w:tcBorders>
              <w:top w:val="nil"/>
              <w:left w:val="nil"/>
              <w:bottom w:val="single" w:sz="4" w:space="0" w:color="auto"/>
              <w:right w:val="single" w:sz="4" w:space="0" w:color="auto"/>
            </w:tcBorders>
            <w:shd w:val="clear" w:color="auto" w:fill="auto"/>
            <w:noWrap/>
            <w:vAlign w:val="bottom"/>
            <w:hideMark/>
          </w:tcPr>
          <w:p w14:paraId="5A1BF73C"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r w:rsidR="00F36A6B" w:rsidRPr="00F36A6B" w14:paraId="7AB9A869"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5DDB4E0F"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xml:space="preserve">Revenue </w:t>
            </w:r>
          </w:p>
        </w:tc>
        <w:tc>
          <w:tcPr>
            <w:tcW w:w="3354" w:type="dxa"/>
            <w:tcBorders>
              <w:top w:val="nil"/>
              <w:left w:val="nil"/>
              <w:bottom w:val="single" w:sz="4" w:space="0" w:color="auto"/>
              <w:right w:val="single" w:sz="4" w:space="0" w:color="auto"/>
            </w:tcBorders>
            <w:shd w:val="clear" w:color="auto" w:fill="auto"/>
            <w:vAlign w:val="center"/>
            <w:hideMark/>
          </w:tcPr>
          <w:p w14:paraId="414E7A61"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826,650+980</w:t>
            </w:r>
          </w:p>
        </w:tc>
      </w:tr>
      <w:tr w:rsidR="00F36A6B" w:rsidRPr="00F36A6B" w14:paraId="53635298"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3F7EC7CB"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Cost of sales</w:t>
            </w:r>
          </w:p>
        </w:tc>
        <w:tc>
          <w:tcPr>
            <w:tcW w:w="3354" w:type="dxa"/>
            <w:tcBorders>
              <w:top w:val="nil"/>
              <w:left w:val="nil"/>
              <w:bottom w:val="single" w:sz="4" w:space="0" w:color="auto"/>
              <w:right w:val="single" w:sz="4" w:space="0" w:color="auto"/>
            </w:tcBorders>
            <w:shd w:val="clear" w:color="auto" w:fill="auto"/>
            <w:vAlign w:val="center"/>
            <w:hideMark/>
          </w:tcPr>
          <w:p w14:paraId="7DC39620"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 (578,650) </w:t>
            </w:r>
          </w:p>
        </w:tc>
      </w:tr>
      <w:tr w:rsidR="00F36A6B" w:rsidRPr="00F36A6B" w14:paraId="5467F477"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24646C8F"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Gross profit</w:t>
            </w:r>
          </w:p>
        </w:tc>
        <w:tc>
          <w:tcPr>
            <w:tcW w:w="3354" w:type="dxa"/>
            <w:tcBorders>
              <w:top w:val="nil"/>
              <w:left w:val="nil"/>
              <w:bottom w:val="single" w:sz="4" w:space="0" w:color="auto"/>
              <w:right w:val="single" w:sz="4" w:space="0" w:color="auto"/>
            </w:tcBorders>
            <w:shd w:val="clear" w:color="auto" w:fill="auto"/>
            <w:vAlign w:val="center"/>
            <w:hideMark/>
          </w:tcPr>
          <w:p w14:paraId="3BA56D89"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248980</w:t>
            </w:r>
          </w:p>
        </w:tc>
      </w:tr>
      <w:tr w:rsidR="00F36A6B" w:rsidRPr="00F36A6B" w14:paraId="08215006"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331A4EF3"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Other income</w:t>
            </w:r>
          </w:p>
        </w:tc>
        <w:tc>
          <w:tcPr>
            <w:tcW w:w="3354" w:type="dxa"/>
            <w:tcBorders>
              <w:top w:val="nil"/>
              <w:left w:val="nil"/>
              <w:bottom w:val="single" w:sz="4" w:space="0" w:color="auto"/>
              <w:right w:val="single" w:sz="4" w:space="0" w:color="auto"/>
            </w:tcBorders>
            <w:shd w:val="clear" w:color="auto" w:fill="auto"/>
            <w:vAlign w:val="center"/>
            <w:hideMark/>
          </w:tcPr>
          <w:p w14:paraId="13539254"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X </w:t>
            </w:r>
          </w:p>
        </w:tc>
      </w:tr>
      <w:tr w:rsidR="00F36A6B" w:rsidRPr="00F36A6B" w14:paraId="7BFFB4D0"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0107AFCE"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Distribution costs</w:t>
            </w:r>
          </w:p>
        </w:tc>
        <w:tc>
          <w:tcPr>
            <w:tcW w:w="3354" w:type="dxa"/>
            <w:tcBorders>
              <w:top w:val="nil"/>
              <w:left w:val="nil"/>
              <w:bottom w:val="single" w:sz="4" w:space="0" w:color="auto"/>
              <w:right w:val="single" w:sz="4" w:space="0" w:color="auto"/>
            </w:tcBorders>
            <w:shd w:val="clear" w:color="auto" w:fill="auto"/>
            <w:vAlign w:val="center"/>
            <w:hideMark/>
          </w:tcPr>
          <w:p w14:paraId="1EF0191A"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(3000+28000)</w:t>
            </w:r>
          </w:p>
        </w:tc>
      </w:tr>
      <w:tr w:rsidR="00F36A6B" w:rsidRPr="00F36A6B" w14:paraId="3A36C204"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1BC88803"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Administration expenses</w:t>
            </w:r>
          </w:p>
        </w:tc>
        <w:tc>
          <w:tcPr>
            <w:tcW w:w="3354" w:type="dxa"/>
            <w:tcBorders>
              <w:top w:val="nil"/>
              <w:left w:val="nil"/>
              <w:bottom w:val="single" w:sz="4" w:space="0" w:color="auto"/>
              <w:right w:val="single" w:sz="4" w:space="0" w:color="auto"/>
            </w:tcBorders>
            <w:shd w:val="clear" w:color="auto" w:fill="auto"/>
            <w:vAlign w:val="center"/>
            <w:hideMark/>
          </w:tcPr>
          <w:p w14:paraId="7716A14B"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(30,000+12900)</w:t>
            </w:r>
          </w:p>
        </w:tc>
      </w:tr>
      <w:tr w:rsidR="00F36A6B" w:rsidRPr="00F36A6B" w14:paraId="18CD5C54"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61BDF263"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Operating profit</w:t>
            </w:r>
          </w:p>
        </w:tc>
        <w:tc>
          <w:tcPr>
            <w:tcW w:w="3354" w:type="dxa"/>
            <w:tcBorders>
              <w:top w:val="nil"/>
              <w:left w:val="nil"/>
              <w:bottom w:val="single" w:sz="4" w:space="0" w:color="auto"/>
              <w:right w:val="single" w:sz="4" w:space="0" w:color="auto"/>
            </w:tcBorders>
            <w:shd w:val="clear" w:color="auto" w:fill="auto"/>
            <w:vAlign w:val="center"/>
            <w:hideMark/>
          </w:tcPr>
          <w:p w14:paraId="4F089F20"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X</w:t>
            </w:r>
          </w:p>
        </w:tc>
      </w:tr>
      <w:tr w:rsidR="00F36A6B" w:rsidRPr="00F36A6B" w14:paraId="63977D13" w14:textId="77777777" w:rsidTr="00F36A6B">
        <w:trPr>
          <w:trHeight w:val="62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195BC3DB"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Finance costs (Debentures Interest Payable)</w:t>
            </w:r>
          </w:p>
        </w:tc>
        <w:tc>
          <w:tcPr>
            <w:tcW w:w="3354" w:type="dxa"/>
            <w:tcBorders>
              <w:top w:val="nil"/>
              <w:left w:val="nil"/>
              <w:bottom w:val="single" w:sz="4" w:space="0" w:color="auto"/>
              <w:right w:val="single" w:sz="4" w:space="0" w:color="auto"/>
            </w:tcBorders>
            <w:shd w:val="clear" w:color="auto" w:fill="auto"/>
            <w:vAlign w:val="center"/>
            <w:hideMark/>
          </w:tcPr>
          <w:p w14:paraId="70756B04"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(4%x100000+2000+5000)</w:t>
            </w:r>
          </w:p>
        </w:tc>
      </w:tr>
      <w:tr w:rsidR="00F36A6B" w:rsidRPr="00F36A6B" w14:paraId="100126A1"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45A62F39"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Profit before tax</w:t>
            </w:r>
          </w:p>
        </w:tc>
        <w:tc>
          <w:tcPr>
            <w:tcW w:w="3354" w:type="dxa"/>
            <w:tcBorders>
              <w:top w:val="nil"/>
              <w:left w:val="nil"/>
              <w:bottom w:val="single" w:sz="4" w:space="0" w:color="auto"/>
              <w:right w:val="single" w:sz="4" w:space="0" w:color="auto"/>
            </w:tcBorders>
            <w:shd w:val="clear" w:color="auto" w:fill="auto"/>
            <w:vAlign w:val="center"/>
            <w:hideMark/>
          </w:tcPr>
          <w:p w14:paraId="136E7813" w14:textId="77777777" w:rsidR="00F36A6B" w:rsidRPr="00F36A6B" w:rsidRDefault="00F36A6B" w:rsidP="00F36A6B">
            <w:pPr>
              <w:spacing w:after="0" w:line="240" w:lineRule="auto"/>
              <w:jc w:val="center"/>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X</w:t>
            </w:r>
          </w:p>
        </w:tc>
      </w:tr>
      <w:tr w:rsidR="00F36A6B" w:rsidRPr="00F36A6B" w14:paraId="75831F93"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1733AB08"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Taxation</w:t>
            </w:r>
          </w:p>
        </w:tc>
        <w:tc>
          <w:tcPr>
            <w:tcW w:w="3354" w:type="dxa"/>
            <w:tcBorders>
              <w:top w:val="nil"/>
              <w:left w:val="nil"/>
              <w:bottom w:val="single" w:sz="4" w:space="0" w:color="auto"/>
              <w:right w:val="single" w:sz="4" w:space="0" w:color="auto"/>
            </w:tcBorders>
            <w:shd w:val="clear" w:color="auto" w:fill="auto"/>
            <w:vAlign w:val="center"/>
            <w:hideMark/>
          </w:tcPr>
          <w:p w14:paraId="343522C1" w14:textId="77777777" w:rsidR="00F36A6B" w:rsidRPr="00F36A6B" w:rsidRDefault="00F36A6B" w:rsidP="00F36A6B">
            <w:pPr>
              <w:spacing w:after="0" w:line="240" w:lineRule="auto"/>
              <w:jc w:val="center"/>
              <w:rPr>
                <w:rFonts w:ascii="Arial" w:eastAsia="Times New Roman" w:hAnsi="Arial" w:cs="Arial"/>
                <w:color w:val="000000"/>
                <w:sz w:val="24"/>
                <w:szCs w:val="24"/>
                <w:u w:val="single"/>
                <w:lang w:eastAsia="en-GB"/>
              </w:rPr>
            </w:pPr>
            <w:r w:rsidRPr="00F36A6B">
              <w:rPr>
                <w:rFonts w:ascii="Arial" w:eastAsia="Times New Roman" w:hAnsi="Arial" w:cs="Arial"/>
                <w:color w:val="000000"/>
                <w:sz w:val="24"/>
                <w:szCs w:val="24"/>
                <w:u w:val="single"/>
                <w:lang w:eastAsia="en-GB"/>
              </w:rPr>
              <w:t>-68,000</w:t>
            </w:r>
          </w:p>
        </w:tc>
      </w:tr>
      <w:tr w:rsidR="00F36A6B" w:rsidRPr="00F36A6B" w14:paraId="4854CA39"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vAlign w:val="center"/>
            <w:hideMark/>
          </w:tcPr>
          <w:p w14:paraId="425F45F6"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Profit for the period</w:t>
            </w:r>
          </w:p>
        </w:tc>
        <w:tc>
          <w:tcPr>
            <w:tcW w:w="3354" w:type="dxa"/>
            <w:tcBorders>
              <w:top w:val="nil"/>
              <w:left w:val="nil"/>
              <w:bottom w:val="single" w:sz="4" w:space="0" w:color="auto"/>
              <w:right w:val="single" w:sz="4" w:space="0" w:color="auto"/>
            </w:tcBorders>
            <w:shd w:val="clear" w:color="auto" w:fill="auto"/>
            <w:vAlign w:val="center"/>
            <w:hideMark/>
          </w:tcPr>
          <w:p w14:paraId="5C0BB612" w14:textId="77777777" w:rsidR="00F36A6B" w:rsidRPr="00F36A6B" w:rsidRDefault="00F36A6B" w:rsidP="00F36A6B">
            <w:pPr>
              <w:spacing w:after="0" w:line="240" w:lineRule="auto"/>
              <w:jc w:val="center"/>
              <w:rPr>
                <w:rFonts w:ascii="Arial" w:eastAsia="Times New Roman" w:hAnsi="Arial" w:cs="Arial"/>
                <w:color w:val="000000"/>
                <w:sz w:val="24"/>
                <w:szCs w:val="24"/>
                <w:u w:val="double"/>
                <w:lang w:eastAsia="en-GB"/>
              </w:rPr>
            </w:pPr>
            <w:r w:rsidRPr="00F36A6B">
              <w:rPr>
                <w:rFonts w:ascii="Arial" w:eastAsia="Times New Roman" w:hAnsi="Arial" w:cs="Arial"/>
                <w:color w:val="000000"/>
                <w:sz w:val="24"/>
                <w:szCs w:val="24"/>
                <w:u w:val="double"/>
                <w:lang w:eastAsia="en-GB"/>
              </w:rPr>
              <w:t> X </w:t>
            </w:r>
          </w:p>
        </w:tc>
      </w:tr>
      <w:tr w:rsidR="00F36A6B" w:rsidRPr="00F36A6B" w14:paraId="58947DD2" w14:textId="77777777" w:rsidTr="00F36A6B">
        <w:trPr>
          <w:trHeight w:val="310"/>
        </w:trPr>
        <w:tc>
          <w:tcPr>
            <w:tcW w:w="5996" w:type="dxa"/>
            <w:tcBorders>
              <w:top w:val="nil"/>
              <w:left w:val="single" w:sz="4" w:space="0" w:color="auto"/>
              <w:bottom w:val="single" w:sz="4" w:space="0" w:color="auto"/>
              <w:right w:val="single" w:sz="4" w:space="0" w:color="auto"/>
            </w:tcBorders>
            <w:shd w:val="clear" w:color="auto" w:fill="auto"/>
            <w:noWrap/>
            <w:vAlign w:val="bottom"/>
            <w:hideMark/>
          </w:tcPr>
          <w:p w14:paraId="77DEC5F2"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c>
          <w:tcPr>
            <w:tcW w:w="3354" w:type="dxa"/>
            <w:tcBorders>
              <w:top w:val="nil"/>
              <w:left w:val="nil"/>
              <w:bottom w:val="single" w:sz="4" w:space="0" w:color="auto"/>
              <w:right w:val="single" w:sz="4" w:space="0" w:color="auto"/>
            </w:tcBorders>
            <w:shd w:val="clear" w:color="auto" w:fill="auto"/>
            <w:noWrap/>
            <w:vAlign w:val="bottom"/>
            <w:hideMark/>
          </w:tcPr>
          <w:p w14:paraId="385CBB91" w14:textId="77777777" w:rsidR="00F36A6B" w:rsidRPr="00F36A6B" w:rsidRDefault="00F36A6B" w:rsidP="00F36A6B">
            <w:pPr>
              <w:spacing w:after="0" w:line="240" w:lineRule="auto"/>
              <w:rPr>
                <w:rFonts w:ascii="Arial" w:eastAsia="Times New Roman" w:hAnsi="Arial" w:cs="Arial"/>
                <w:color w:val="000000"/>
                <w:sz w:val="24"/>
                <w:szCs w:val="24"/>
                <w:lang w:eastAsia="en-GB"/>
              </w:rPr>
            </w:pPr>
            <w:r w:rsidRPr="00F36A6B">
              <w:rPr>
                <w:rFonts w:ascii="Arial" w:eastAsia="Times New Roman" w:hAnsi="Arial" w:cs="Arial"/>
                <w:color w:val="000000"/>
                <w:sz w:val="24"/>
                <w:szCs w:val="24"/>
                <w:lang w:eastAsia="en-GB"/>
              </w:rPr>
              <w:t> </w:t>
            </w:r>
          </w:p>
        </w:tc>
      </w:tr>
    </w:tbl>
    <w:p w14:paraId="12B861F5" w14:textId="58CAC951" w:rsidR="00F36A6B" w:rsidRDefault="00F36A6B" w:rsidP="00FD7E77">
      <w:pPr>
        <w:jc w:val="both"/>
        <w:rPr>
          <w:rFonts w:ascii="Times New Roman" w:hAnsi="Times New Roman" w:cs="Times New Roman"/>
          <w:b/>
          <w:bCs/>
          <w:sz w:val="36"/>
          <w:szCs w:val="36"/>
        </w:rPr>
      </w:pPr>
    </w:p>
    <w:p w14:paraId="769A1465" w14:textId="43C2F5BB" w:rsidR="00F64D3D" w:rsidRDefault="00F64D3D" w:rsidP="00FD7E77">
      <w:pPr>
        <w:jc w:val="both"/>
        <w:rPr>
          <w:rFonts w:ascii="Times New Roman" w:hAnsi="Times New Roman" w:cs="Times New Roman"/>
          <w:b/>
          <w:bCs/>
          <w:sz w:val="36"/>
          <w:szCs w:val="36"/>
        </w:rPr>
      </w:pPr>
    </w:p>
    <w:p w14:paraId="6BB8A1CD" w14:textId="1CB53087" w:rsidR="00F64D3D" w:rsidRDefault="00F64D3D" w:rsidP="00FD7E77">
      <w:pPr>
        <w:jc w:val="both"/>
        <w:rPr>
          <w:rFonts w:ascii="Times New Roman" w:hAnsi="Times New Roman" w:cs="Times New Roman"/>
          <w:b/>
          <w:bCs/>
          <w:sz w:val="36"/>
          <w:szCs w:val="36"/>
        </w:rPr>
      </w:pPr>
    </w:p>
    <w:tbl>
      <w:tblPr>
        <w:tblW w:w="8856" w:type="dxa"/>
        <w:tblLook w:val="04A0" w:firstRow="1" w:lastRow="0" w:firstColumn="1" w:lastColumn="0" w:noHBand="0" w:noVBand="1"/>
      </w:tblPr>
      <w:tblGrid>
        <w:gridCol w:w="6056"/>
        <w:gridCol w:w="1300"/>
        <w:gridCol w:w="1500"/>
      </w:tblGrid>
      <w:tr w:rsidR="00CE2049" w:rsidRPr="00CE2049" w14:paraId="54AA1B7A" w14:textId="77777777" w:rsidTr="00CE2049">
        <w:trPr>
          <w:trHeight w:val="620"/>
        </w:trPr>
        <w:tc>
          <w:tcPr>
            <w:tcW w:w="6056"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C9EB40A" w14:textId="77777777" w:rsidR="00CE2049" w:rsidRPr="00CE2049" w:rsidRDefault="00CE2049" w:rsidP="00CE2049">
            <w:pPr>
              <w:spacing w:after="0" w:line="240" w:lineRule="auto"/>
              <w:jc w:val="center"/>
              <w:rPr>
                <w:rFonts w:ascii="Arial" w:eastAsia="Times New Roman" w:hAnsi="Arial" w:cs="Arial"/>
                <w:b/>
                <w:bCs/>
                <w:color w:val="000000"/>
                <w:sz w:val="24"/>
                <w:szCs w:val="24"/>
                <w:u w:val="single"/>
                <w:lang w:eastAsia="en-GB"/>
              </w:rPr>
            </w:pPr>
            <w:r w:rsidRPr="00CE2049">
              <w:rPr>
                <w:rFonts w:ascii="Arial" w:eastAsia="Times New Roman" w:hAnsi="Arial" w:cs="Arial"/>
                <w:b/>
                <w:bCs/>
                <w:color w:val="000000"/>
                <w:sz w:val="24"/>
                <w:szCs w:val="24"/>
                <w:u w:val="single"/>
                <w:lang w:eastAsia="en-GB"/>
              </w:rPr>
              <w:lastRenderedPageBreak/>
              <w:t>Kedison PLC STATEMENT OF FINANCIAL POSITION AS AT 31st December 2020</w:t>
            </w:r>
          </w:p>
        </w:tc>
        <w:tc>
          <w:tcPr>
            <w:tcW w:w="1300" w:type="dxa"/>
            <w:tcBorders>
              <w:top w:val="single" w:sz="4" w:space="0" w:color="auto"/>
              <w:left w:val="nil"/>
              <w:bottom w:val="single" w:sz="4" w:space="0" w:color="auto"/>
              <w:right w:val="single" w:sz="4" w:space="0" w:color="auto"/>
            </w:tcBorders>
            <w:shd w:val="clear" w:color="auto" w:fill="auto"/>
            <w:noWrap/>
            <w:vAlign w:val="bottom"/>
            <w:hideMark/>
          </w:tcPr>
          <w:p w14:paraId="2F6DA7D2"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single" w:sz="4" w:space="0" w:color="auto"/>
              <w:left w:val="nil"/>
              <w:bottom w:val="single" w:sz="4" w:space="0" w:color="auto"/>
              <w:right w:val="single" w:sz="4" w:space="0" w:color="auto"/>
            </w:tcBorders>
            <w:shd w:val="clear" w:color="auto" w:fill="auto"/>
            <w:noWrap/>
            <w:vAlign w:val="bottom"/>
            <w:hideMark/>
          </w:tcPr>
          <w:p w14:paraId="1CCBE202"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0ECEC6C"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CECEC5E" w14:textId="77777777" w:rsidR="00CE2049" w:rsidRPr="00CE2049" w:rsidRDefault="00CE2049" w:rsidP="00CE2049">
            <w:pPr>
              <w:spacing w:after="0" w:line="240" w:lineRule="auto"/>
              <w:jc w:val="center"/>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48348BD8"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2E5B21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3966216F"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7C36D88D"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5F1E99F3"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w:t>
            </w:r>
          </w:p>
        </w:tc>
        <w:tc>
          <w:tcPr>
            <w:tcW w:w="1500" w:type="dxa"/>
            <w:tcBorders>
              <w:top w:val="nil"/>
              <w:left w:val="nil"/>
              <w:bottom w:val="single" w:sz="4" w:space="0" w:color="auto"/>
              <w:right w:val="single" w:sz="4" w:space="0" w:color="auto"/>
            </w:tcBorders>
            <w:shd w:val="clear" w:color="auto" w:fill="auto"/>
            <w:vAlign w:val="center"/>
            <w:hideMark/>
          </w:tcPr>
          <w:p w14:paraId="3404DB84"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w:t>
            </w:r>
          </w:p>
        </w:tc>
      </w:tr>
      <w:tr w:rsidR="00CE2049" w:rsidRPr="00CE2049" w14:paraId="52775AC9"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E1D67EF" w14:textId="77777777" w:rsidR="00CE2049" w:rsidRPr="00CE2049" w:rsidRDefault="00CE2049" w:rsidP="00CE2049">
            <w:pPr>
              <w:spacing w:after="0" w:line="240" w:lineRule="auto"/>
              <w:rPr>
                <w:rFonts w:ascii="Arial" w:eastAsia="Times New Roman" w:hAnsi="Arial" w:cs="Arial"/>
                <w:b/>
                <w:bCs/>
                <w:color w:val="000000"/>
                <w:sz w:val="24"/>
                <w:szCs w:val="24"/>
                <w:u w:val="single"/>
                <w:lang w:eastAsia="en-GB"/>
              </w:rPr>
            </w:pPr>
            <w:r w:rsidRPr="00CE2049">
              <w:rPr>
                <w:rFonts w:ascii="Arial" w:eastAsia="Times New Roman" w:hAnsi="Arial" w:cs="Arial"/>
                <w:b/>
                <w:bCs/>
                <w:color w:val="000000"/>
                <w:sz w:val="24"/>
                <w:szCs w:val="24"/>
                <w:u w:val="single"/>
                <w:lang w:eastAsia="en-GB"/>
              </w:rPr>
              <w:t>ASSETS</w:t>
            </w:r>
          </w:p>
        </w:tc>
        <w:tc>
          <w:tcPr>
            <w:tcW w:w="1300" w:type="dxa"/>
            <w:tcBorders>
              <w:top w:val="nil"/>
              <w:left w:val="nil"/>
              <w:bottom w:val="single" w:sz="4" w:space="0" w:color="auto"/>
              <w:right w:val="single" w:sz="4" w:space="0" w:color="auto"/>
            </w:tcBorders>
            <w:shd w:val="clear" w:color="auto" w:fill="auto"/>
            <w:vAlign w:val="center"/>
            <w:hideMark/>
          </w:tcPr>
          <w:p w14:paraId="6928EFAC"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627F8DFF"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49A9B78A"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47E2A11E"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Non current assets</w:t>
            </w:r>
          </w:p>
        </w:tc>
        <w:tc>
          <w:tcPr>
            <w:tcW w:w="1300" w:type="dxa"/>
            <w:tcBorders>
              <w:top w:val="nil"/>
              <w:left w:val="nil"/>
              <w:bottom w:val="single" w:sz="4" w:space="0" w:color="auto"/>
              <w:right w:val="single" w:sz="4" w:space="0" w:color="auto"/>
            </w:tcBorders>
            <w:shd w:val="clear" w:color="auto" w:fill="auto"/>
            <w:vAlign w:val="center"/>
            <w:hideMark/>
          </w:tcPr>
          <w:p w14:paraId="5C4BDC68"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655359D2"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3E4C4573"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0EF2F257"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Property, plant &amp; equipment</w:t>
            </w:r>
          </w:p>
        </w:tc>
        <w:tc>
          <w:tcPr>
            <w:tcW w:w="1300" w:type="dxa"/>
            <w:tcBorders>
              <w:top w:val="nil"/>
              <w:left w:val="nil"/>
              <w:bottom w:val="single" w:sz="4" w:space="0" w:color="auto"/>
              <w:right w:val="single" w:sz="4" w:space="0" w:color="auto"/>
            </w:tcBorders>
            <w:shd w:val="clear" w:color="auto" w:fill="auto"/>
            <w:vAlign w:val="center"/>
            <w:hideMark/>
          </w:tcPr>
          <w:p w14:paraId="1947B8D8"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632,730</w:t>
            </w:r>
          </w:p>
        </w:tc>
        <w:tc>
          <w:tcPr>
            <w:tcW w:w="1500" w:type="dxa"/>
            <w:tcBorders>
              <w:top w:val="nil"/>
              <w:left w:val="nil"/>
              <w:bottom w:val="single" w:sz="4" w:space="0" w:color="auto"/>
              <w:right w:val="single" w:sz="4" w:space="0" w:color="auto"/>
            </w:tcBorders>
            <w:shd w:val="clear" w:color="auto" w:fill="auto"/>
            <w:vAlign w:val="center"/>
            <w:hideMark/>
          </w:tcPr>
          <w:p w14:paraId="6F8AE3A6"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5E4AEE4F"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0F112738"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Intangible assets</w:t>
            </w:r>
          </w:p>
        </w:tc>
        <w:tc>
          <w:tcPr>
            <w:tcW w:w="1300" w:type="dxa"/>
            <w:tcBorders>
              <w:top w:val="nil"/>
              <w:left w:val="nil"/>
              <w:bottom w:val="single" w:sz="4" w:space="0" w:color="auto"/>
              <w:right w:val="single" w:sz="4" w:space="0" w:color="auto"/>
            </w:tcBorders>
            <w:shd w:val="clear" w:color="auto" w:fill="auto"/>
            <w:vAlign w:val="center"/>
            <w:hideMark/>
          </w:tcPr>
          <w:p w14:paraId="201A4C0A"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 X </w:t>
            </w:r>
          </w:p>
        </w:tc>
        <w:tc>
          <w:tcPr>
            <w:tcW w:w="1500" w:type="dxa"/>
            <w:tcBorders>
              <w:top w:val="nil"/>
              <w:left w:val="nil"/>
              <w:bottom w:val="single" w:sz="4" w:space="0" w:color="auto"/>
              <w:right w:val="single" w:sz="4" w:space="0" w:color="auto"/>
            </w:tcBorders>
            <w:shd w:val="clear" w:color="auto" w:fill="auto"/>
            <w:vAlign w:val="center"/>
            <w:hideMark/>
          </w:tcPr>
          <w:p w14:paraId="2BE3D40E"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56C6417E"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7BA522A3"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092ED489"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649C2F0F"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632,730</w:t>
            </w:r>
          </w:p>
        </w:tc>
      </w:tr>
      <w:tr w:rsidR="00CE2049" w:rsidRPr="00CE2049" w14:paraId="25FE528A"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0ECB5FF5"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Current assets</w:t>
            </w:r>
          </w:p>
        </w:tc>
        <w:tc>
          <w:tcPr>
            <w:tcW w:w="1300" w:type="dxa"/>
            <w:tcBorders>
              <w:top w:val="nil"/>
              <w:left w:val="nil"/>
              <w:bottom w:val="single" w:sz="4" w:space="0" w:color="auto"/>
              <w:right w:val="single" w:sz="4" w:space="0" w:color="auto"/>
            </w:tcBorders>
            <w:shd w:val="clear" w:color="auto" w:fill="auto"/>
            <w:vAlign w:val="center"/>
            <w:hideMark/>
          </w:tcPr>
          <w:p w14:paraId="2B2D0409"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7900926D"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70FB828"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28B14430"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Inventories</w:t>
            </w:r>
          </w:p>
        </w:tc>
        <w:tc>
          <w:tcPr>
            <w:tcW w:w="1300" w:type="dxa"/>
            <w:tcBorders>
              <w:top w:val="nil"/>
              <w:left w:val="nil"/>
              <w:bottom w:val="single" w:sz="4" w:space="0" w:color="auto"/>
              <w:right w:val="single" w:sz="4" w:space="0" w:color="auto"/>
            </w:tcBorders>
            <w:shd w:val="clear" w:color="auto" w:fill="auto"/>
            <w:noWrap/>
            <w:vAlign w:val="bottom"/>
            <w:hideMark/>
          </w:tcPr>
          <w:p w14:paraId="3391A6ED" w14:textId="77777777" w:rsidR="00CE2049" w:rsidRPr="00CE2049" w:rsidRDefault="00CE2049" w:rsidP="00CE2049">
            <w:pPr>
              <w:spacing w:after="0" w:line="240" w:lineRule="auto"/>
              <w:jc w:val="right"/>
              <w:rPr>
                <w:rFonts w:ascii="Arial" w:eastAsia="Times New Roman" w:hAnsi="Arial" w:cs="Arial"/>
                <w:color w:val="000000"/>
                <w:lang w:eastAsia="en-GB"/>
              </w:rPr>
            </w:pPr>
            <w:r w:rsidRPr="00CE2049">
              <w:rPr>
                <w:rFonts w:ascii="Arial" w:eastAsia="Times New Roman" w:hAnsi="Arial" w:cs="Arial"/>
                <w:color w:val="000000"/>
                <w:lang w:eastAsia="en-GB"/>
              </w:rPr>
              <w:t>330,600</w:t>
            </w:r>
          </w:p>
        </w:tc>
        <w:tc>
          <w:tcPr>
            <w:tcW w:w="1500" w:type="dxa"/>
            <w:tcBorders>
              <w:top w:val="nil"/>
              <w:left w:val="nil"/>
              <w:bottom w:val="single" w:sz="4" w:space="0" w:color="auto"/>
              <w:right w:val="single" w:sz="4" w:space="0" w:color="auto"/>
            </w:tcBorders>
            <w:shd w:val="clear" w:color="auto" w:fill="auto"/>
            <w:vAlign w:val="center"/>
            <w:hideMark/>
          </w:tcPr>
          <w:p w14:paraId="75BDA27E"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53037F7B"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01189E18"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Trade and other receivables</w:t>
            </w:r>
          </w:p>
        </w:tc>
        <w:tc>
          <w:tcPr>
            <w:tcW w:w="1300" w:type="dxa"/>
            <w:tcBorders>
              <w:top w:val="nil"/>
              <w:left w:val="nil"/>
              <w:bottom w:val="single" w:sz="4" w:space="0" w:color="auto"/>
              <w:right w:val="single" w:sz="4" w:space="0" w:color="auto"/>
            </w:tcBorders>
            <w:shd w:val="clear" w:color="auto" w:fill="auto"/>
            <w:noWrap/>
            <w:vAlign w:val="bottom"/>
            <w:hideMark/>
          </w:tcPr>
          <w:p w14:paraId="28759DBE"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171,105</w:t>
            </w:r>
          </w:p>
        </w:tc>
        <w:tc>
          <w:tcPr>
            <w:tcW w:w="1500" w:type="dxa"/>
            <w:tcBorders>
              <w:top w:val="nil"/>
              <w:left w:val="nil"/>
              <w:bottom w:val="single" w:sz="4" w:space="0" w:color="auto"/>
              <w:right w:val="single" w:sz="4" w:space="0" w:color="auto"/>
            </w:tcBorders>
            <w:shd w:val="clear" w:color="auto" w:fill="auto"/>
            <w:vAlign w:val="center"/>
            <w:hideMark/>
          </w:tcPr>
          <w:p w14:paraId="43313D25"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22BE2001"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483E7B55"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Cash and cash equivalents</w:t>
            </w:r>
          </w:p>
        </w:tc>
        <w:tc>
          <w:tcPr>
            <w:tcW w:w="1300" w:type="dxa"/>
            <w:tcBorders>
              <w:top w:val="nil"/>
              <w:left w:val="nil"/>
              <w:bottom w:val="single" w:sz="4" w:space="0" w:color="auto"/>
              <w:right w:val="single" w:sz="4" w:space="0" w:color="auto"/>
            </w:tcBorders>
            <w:shd w:val="clear" w:color="auto" w:fill="auto"/>
            <w:vAlign w:val="center"/>
            <w:hideMark/>
          </w:tcPr>
          <w:p w14:paraId="200E4A11"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12,900</w:t>
            </w:r>
          </w:p>
        </w:tc>
        <w:tc>
          <w:tcPr>
            <w:tcW w:w="1500" w:type="dxa"/>
            <w:tcBorders>
              <w:top w:val="nil"/>
              <w:left w:val="nil"/>
              <w:bottom w:val="single" w:sz="4" w:space="0" w:color="auto"/>
              <w:right w:val="single" w:sz="4" w:space="0" w:color="auto"/>
            </w:tcBorders>
            <w:shd w:val="clear" w:color="auto" w:fill="auto"/>
            <w:vAlign w:val="center"/>
            <w:hideMark/>
          </w:tcPr>
          <w:p w14:paraId="5F3C2E03"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212BC00C"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72DE83F4"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5D790D51"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0800C900"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514,605</w:t>
            </w:r>
          </w:p>
        </w:tc>
      </w:tr>
      <w:tr w:rsidR="00CE2049" w:rsidRPr="00CE2049" w14:paraId="25F3F892"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267344EF"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Total assets</w:t>
            </w:r>
          </w:p>
        </w:tc>
        <w:tc>
          <w:tcPr>
            <w:tcW w:w="1300" w:type="dxa"/>
            <w:tcBorders>
              <w:top w:val="nil"/>
              <w:left w:val="nil"/>
              <w:bottom w:val="single" w:sz="4" w:space="0" w:color="auto"/>
              <w:right w:val="single" w:sz="4" w:space="0" w:color="auto"/>
            </w:tcBorders>
            <w:shd w:val="clear" w:color="auto" w:fill="auto"/>
            <w:vAlign w:val="center"/>
            <w:hideMark/>
          </w:tcPr>
          <w:p w14:paraId="2F283D9F"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35D0CA77" w14:textId="77777777" w:rsidR="00CE2049" w:rsidRPr="00CE2049" w:rsidRDefault="00CE2049" w:rsidP="00CE2049">
            <w:pPr>
              <w:spacing w:after="0" w:line="240" w:lineRule="auto"/>
              <w:jc w:val="center"/>
              <w:rPr>
                <w:rFonts w:ascii="Arial" w:eastAsia="Times New Roman" w:hAnsi="Arial" w:cs="Arial"/>
                <w:b/>
                <w:bCs/>
                <w:color w:val="000000"/>
                <w:sz w:val="24"/>
                <w:szCs w:val="24"/>
                <w:u w:val="single"/>
                <w:lang w:eastAsia="en-GB"/>
              </w:rPr>
            </w:pPr>
            <w:r w:rsidRPr="00CE2049">
              <w:rPr>
                <w:rFonts w:ascii="Arial" w:eastAsia="Times New Roman" w:hAnsi="Arial" w:cs="Arial"/>
                <w:b/>
                <w:bCs/>
                <w:color w:val="000000"/>
                <w:sz w:val="24"/>
                <w:szCs w:val="24"/>
                <w:u w:val="single"/>
                <w:lang w:eastAsia="en-GB"/>
              </w:rPr>
              <w:t>1,147,335</w:t>
            </w:r>
          </w:p>
        </w:tc>
      </w:tr>
      <w:tr w:rsidR="00CE2049" w:rsidRPr="00CE2049" w14:paraId="334162BC"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B93BB8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0D8CFBC3"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74A32EA5"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398EE899"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6E758443" w14:textId="77777777" w:rsidR="00CE2049" w:rsidRPr="00CE2049" w:rsidRDefault="00CE2049" w:rsidP="00CE2049">
            <w:pPr>
              <w:spacing w:after="0" w:line="240" w:lineRule="auto"/>
              <w:rPr>
                <w:rFonts w:ascii="Arial" w:eastAsia="Times New Roman" w:hAnsi="Arial" w:cs="Arial"/>
                <w:b/>
                <w:bCs/>
                <w:color w:val="000000"/>
                <w:sz w:val="24"/>
                <w:szCs w:val="24"/>
                <w:u w:val="single"/>
                <w:lang w:eastAsia="en-GB"/>
              </w:rPr>
            </w:pPr>
            <w:r w:rsidRPr="00CE2049">
              <w:rPr>
                <w:rFonts w:ascii="Arial" w:eastAsia="Times New Roman" w:hAnsi="Arial" w:cs="Arial"/>
                <w:b/>
                <w:bCs/>
                <w:color w:val="000000"/>
                <w:sz w:val="24"/>
                <w:szCs w:val="24"/>
                <w:u w:val="single"/>
                <w:lang w:eastAsia="en-GB"/>
              </w:rPr>
              <w:t>LIABILITIES</w:t>
            </w:r>
          </w:p>
        </w:tc>
        <w:tc>
          <w:tcPr>
            <w:tcW w:w="1300" w:type="dxa"/>
            <w:tcBorders>
              <w:top w:val="nil"/>
              <w:left w:val="nil"/>
              <w:bottom w:val="single" w:sz="4" w:space="0" w:color="auto"/>
              <w:right w:val="single" w:sz="4" w:space="0" w:color="auto"/>
            </w:tcBorders>
            <w:shd w:val="clear" w:color="auto" w:fill="auto"/>
            <w:vAlign w:val="center"/>
            <w:hideMark/>
          </w:tcPr>
          <w:p w14:paraId="2D5FE07F"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5234402D"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0865BB2"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3A7DFECA"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Current liabilities</w:t>
            </w:r>
          </w:p>
        </w:tc>
        <w:tc>
          <w:tcPr>
            <w:tcW w:w="1300" w:type="dxa"/>
            <w:tcBorders>
              <w:top w:val="nil"/>
              <w:left w:val="nil"/>
              <w:bottom w:val="single" w:sz="4" w:space="0" w:color="auto"/>
              <w:right w:val="single" w:sz="4" w:space="0" w:color="auto"/>
            </w:tcBorders>
            <w:shd w:val="clear" w:color="auto" w:fill="auto"/>
            <w:vAlign w:val="center"/>
            <w:hideMark/>
          </w:tcPr>
          <w:p w14:paraId="0EA4509F"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50B590F1"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7771D055"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D7895F5"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Trade and other payables</w:t>
            </w:r>
          </w:p>
        </w:tc>
        <w:tc>
          <w:tcPr>
            <w:tcW w:w="1300" w:type="dxa"/>
            <w:tcBorders>
              <w:top w:val="nil"/>
              <w:left w:val="nil"/>
              <w:bottom w:val="single" w:sz="4" w:space="0" w:color="auto"/>
              <w:right w:val="single" w:sz="4" w:space="0" w:color="auto"/>
            </w:tcBorders>
            <w:shd w:val="clear" w:color="auto" w:fill="auto"/>
            <w:noWrap/>
            <w:vAlign w:val="bottom"/>
            <w:hideMark/>
          </w:tcPr>
          <w:p w14:paraId="361D86C3"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232,355</w:t>
            </w:r>
          </w:p>
        </w:tc>
        <w:tc>
          <w:tcPr>
            <w:tcW w:w="1500" w:type="dxa"/>
            <w:tcBorders>
              <w:top w:val="nil"/>
              <w:left w:val="nil"/>
              <w:bottom w:val="single" w:sz="4" w:space="0" w:color="auto"/>
              <w:right w:val="single" w:sz="4" w:space="0" w:color="auto"/>
            </w:tcBorders>
            <w:shd w:val="clear" w:color="auto" w:fill="auto"/>
            <w:vAlign w:val="center"/>
            <w:hideMark/>
          </w:tcPr>
          <w:p w14:paraId="25C7A781"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151BB76C"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6452503A"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Short term borrowings</w:t>
            </w:r>
          </w:p>
        </w:tc>
        <w:tc>
          <w:tcPr>
            <w:tcW w:w="1300" w:type="dxa"/>
            <w:tcBorders>
              <w:top w:val="nil"/>
              <w:left w:val="nil"/>
              <w:bottom w:val="single" w:sz="4" w:space="0" w:color="auto"/>
              <w:right w:val="single" w:sz="4" w:space="0" w:color="auto"/>
            </w:tcBorders>
            <w:shd w:val="clear" w:color="auto" w:fill="auto"/>
            <w:vAlign w:val="center"/>
            <w:hideMark/>
          </w:tcPr>
          <w:p w14:paraId="44DCAAF2"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7,000</w:t>
            </w:r>
          </w:p>
        </w:tc>
        <w:tc>
          <w:tcPr>
            <w:tcW w:w="1500" w:type="dxa"/>
            <w:tcBorders>
              <w:top w:val="nil"/>
              <w:left w:val="nil"/>
              <w:bottom w:val="single" w:sz="4" w:space="0" w:color="auto"/>
              <w:right w:val="single" w:sz="4" w:space="0" w:color="auto"/>
            </w:tcBorders>
            <w:shd w:val="clear" w:color="auto" w:fill="auto"/>
            <w:vAlign w:val="center"/>
            <w:hideMark/>
          </w:tcPr>
          <w:p w14:paraId="6096D2A4"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2DA11A0E"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6358558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Current tax payable</w:t>
            </w:r>
          </w:p>
        </w:tc>
        <w:tc>
          <w:tcPr>
            <w:tcW w:w="1300" w:type="dxa"/>
            <w:tcBorders>
              <w:top w:val="nil"/>
              <w:left w:val="nil"/>
              <w:bottom w:val="single" w:sz="4" w:space="0" w:color="auto"/>
              <w:right w:val="single" w:sz="4" w:space="0" w:color="auto"/>
            </w:tcBorders>
            <w:shd w:val="clear" w:color="auto" w:fill="auto"/>
            <w:vAlign w:val="center"/>
            <w:hideMark/>
          </w:tcPr>
          <w:p w14:paraId="4ED68EE3"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68,000</w:t>
            </w:r>
          </w:p>
        </w:tc>
        <w:tc>
          <w:tcPr>
            <w:tcW w:w="1500" w:type="dxa"/>
            <w:tcBorders>
              <w:top w:val="nil"/>
              <w:left w:val="nil"/>
              <w:bottom w:val="single" w:sz="4" w:space="0" w:color="auto"/>
              <w:right w:val="single" w:sz="4" w:space="0" w:color="auto"/>
            </w:tcBorders>
            <w:shd w:val="clear" w:color="auto" w:fill="auto"/>
            <w:vAlign w:val="center"/>
            <w:hideMark/>
          </w:tcPr>
          <w:p w14:paraId="183468B1"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506E66B7"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871571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4F25E1B2"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307,355</w:t>
            </w:r>
          </w:p>
        </w:tc>
        <w:tc>
          <w:tcPr>
            <w:tcW w:w="1500" w:type="dxa"/>
            <w:tcBorders>
              <w:top w:val="nil"/>
              <w:left w:val="nil"/>
              <w:bottom w:val="single" w:sz="4" w:space="0" w:color="auto"/>
              <w:right w:val="single" w:sz="4" w:space="0" w:color="auto"/>
            </w:tcBorders>
            <w:shd w:val="clear" w:color="auto" w:fill="auto"/>
            <w:vAlign w:val="center"/>
            <w:hideMark/>
          </w:tcPr>
          <w:p w14:paraId="7B503E2E"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9DAF148"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36676BFF"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Net Current Liabilities</w:t>
            </w:r>
          </w:p>
        </w:tc>
        <w:tc>
          <w:tcPr>
            <w:tcW w:w="1300" w:type="dxa"/>
            <w:tcBorders>
              <w:top w:val="nil"/>
              <w:left w:val="nil"/>
              <w:bottom w:val="single" w:sz="4" w:space="0" w:color="auto"/>
              <w:right w:val="single" w:sz="4" w:space="0" w:color="auto"/>
            </w:tcBorders>
            <w:shd w:val="clear" w:color="auto" w:fill="auto"/>
            <w:vAlign w:val="center"/>
            <w:hideMark/>
          </w:tcPr>
          <w:p w14:paraId="38A6F698"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784F00B4"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307,355</w:t>
            </w:r>
          </w:p>
        </w:tc>
      </w:tr>
      <w:tr w:rsidR="00CE2049" w:rsidRPr="00CE2049" w14:paraId="25C8D9D6"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2F66FC3F"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1CE7D35B"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04A41511"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0EA598A"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2559A41C"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Non-current liabilities</w:t>
            </w:r>
          </w:p>
        </w:tc>
        <w:tc>
          <w:tcPr>
            <w:tcW w:w="1300" w:type="dxa"/>
            <w:tcBorders>
              <w:top w:val="nil"/>
              <w:left w:val="nil"/>
              <w:bottom w:val="single" w:sz="4" w:space="0" w:color="auto"/>
              <w:right w:val="single" w:sz="4" w:space="0" w:color="auto"/>
            </w:tcBorders>
            <w:shd w:val="clear" w:color="auto" w:fill="auto"/>
            <w:vAlign w:val="center"/>
            <w:hideMark/>
          </w:tcPr>
          <w:p w14:paraId="7AF996F1"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54209469"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14EE96E"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3979AAFF"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Long term borrowings</w:t>
            </w:r>
          </w:p>
        </w:tc>
        <w:tc>
          <w:tcPr>
            <w:tcW w:w="1300" w:type="dxa"/>
            <w:tcBorders>
              <w:top w:val="nil"/>
              <w:left w:val="nil"/>
              <w:bottom w:val="single" w:sz="4" w:space="0" w:color="auto"/>
              <w:right w:val="single" w:sz="4" w:space="0" w:color="auto"/>
            </w:tcBorders>
            <w:shd w:val="clear" w:color="auto" w:fill="auto"/>
            <w:vAlign w:val="center"/>
            <w:hideMark/>
          </w:tcPr>
          <w:p w14:paraId="0BA1C465"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130,000</w:t>
            </w:r>
          </w:p>
        </w:tc>
        <w:tc>
          <w:tcPr>
            <w:tcW w:w="1500" w:type="dxa"/>
            <w:tcBorders>
              <w:top w:val="nil"/>
              <w:left w:val="nil"/>
              <w:bottom w:val="single" w:sz="4" w:space="0" w:color="auto"/>
              <w:right w:val="single" w:sz="4" w:space="0" w:color="auto"/>
            </w:tcBorders>
            <w:shd w:val="clear" w:color="auto" w:fill="auto"/>
            <w:vAlign w:val="center"/>
            <w:hideMark/>
          </w:tcPr>
          <w:p w14:paraId="57F807C5"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3CE695CF"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2B5E0B23"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Long term provisions</w:t>
            </w:r>
          </w:p>
        </w:tc>
        <w:tc>
          <w:tcPr>
            <w:tcW w:w="1300" w:type="dxa"/>
            <w:tcBorders>
              <w:top w:val="nil"/>
              <w:left w:val="nil"/>
              <w:bottom w:val="single" w:sz="4" w:space="0" w:color="auto"/>
              <w:right w:val="single" w:sz="4" w:space="0" w:color="auto"/>
            </w:tcBorders>
            <w:shd w:val="clear" w:color="auto" w:fill="auto"/>
            <w:vAlign w:val="center"/>
            <w:hideMark/>
          </w:tcPr>
          <w:p w14:paraId="51DDFFF3"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4,000</w:t>
            </w:r>
          </w:p>
        </w:tc>
        <w:tc>
          <w:tcPr>
            <w:tcW w:w="1500" w:type="dxa"/>
            <w:tcBorders>
              <w:top w:val="nil"/>
              <w:left w:val="nil"/>
              <w:bottom w:val="single" w:sz="4" w:space="0" w:color="auto"/>
              <w:right w:val="single" w:sz="4" w:space="0" w:color="auto"/>
            </w:tcBorders>
            <w:shd w:val="clear" w:color="auto" w:fill="auto"/>
            <w:vAlign w:val="center"/>
            <w:hideMark/>
          </w:tcPr>
          <w:p w14:paraId="4CB0FCFF"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FE44476"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750DF180"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32F6AA65"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3BF3B7F0"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134,000</w:t>
            </w:r>
          </w:p>
        </w:tc>
      </w:tr>
      <w:tr w:rsidR="00CE2049" w:rsidRPr="00CE2049" w14:paraId="03383926"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43232747"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Total liabilities</w:t>
            </w:r>
          </w:p>
        </w:tc>
        <w:tc>
          <w:tcPr>
            <w:tcW w:w="1300" w:type="dxa"/>
            <w:tcBorders>
              <w:top w:val="nil"/>
              <w:left w:val="nil"/>
              <w:bottom w:val="single" w:sz="4" w:space="0" w:color="auto"/>
              <w:right w:val="single" w:sz="4" w:space="0" w:color="auto"/>
            </w:tcBorders>
            <w:shd w:val="clear" w:color="auto" w:fill="auto"/>
            <w:vAlign w:val="center"/>
            <w:hideMark/>
          </w:tcPr>
          <w:p w14:paraId="36A6A26A"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31B18B42" w14:textId="77777777" w:rsidR="00CE2049" w:rsidRPr="00CE2049" w:rsidRDefault="00CE2049" w:rsidP="00CE2049">
            <w:pPr>
              <w:spacing w:after="0" w:line="240" w:lineRule="auto"/>
              <w:jc w:val="center"/>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441,355</w:t>
            </w:r>
          </w:p>
        </w:tc>
      </w:tr>
      <w:tr w:rsidR="00CE2049" w:rsidRPr="00CE2049" w14:paraId="3AFF4B8B"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EF515F0"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3B575555"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207170C0"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43F7BED"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6F01EC82"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Net assets</w:t>
            </w:r>
          </w:p>
        </w:tc>
        <w:tc>
          <w:tcPr>
            <w:tcW w:w="1300" w:type="dxa"/>
            <w:tcBorders>
              <w:top w:val="nil"/>
              <w:left w:val="nil"/>
              <w:bottom w:val="single" w:sz="4" w:space="0" w:color="auto"/>
              <w:right w:val="single" w:sz="4" w:space="0" w:color="auto"/>
            </w:tcBorders>
            <w:shd w:val="clear" w:color="auto" w:fill="auto"/>
            <w:vAlign w:val="center"/>
            <w:hideMark/>
          </w:tcPr>
          <w:p w14:paraId="37DB2F56"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6EB3D6AC" w14:textId="77777777" w:rsidR="00CE2049" w:rsidRPr="00CE2049" w:rsidRDefault="00CE2049" w:rsidP="00CE2049">
            <w:pPr>
              <w:spacing w:after="0" w:line="240" w:lineRule="auto"/>
              <w:jc w:val="center"/>
              <w:rPr>
                <w:rFonts w:ascii="Arial" w:eastAsia="Times New Roman" w:hAnsi="Arial" w:cs="Arial"/>
                <w:color w:val="000000"/>
                <w:sz w:val="24"/>
                <w:szCs w:val="24"/>
                <w:u w:val="double"/>
                <w:lang w:eastAsia="en-GB"/>
              </w:rPr>
            </w:pPr>
            <w:r w:rsidRPr="00CE2049">
              <w:rPr>
                <w:rFonts w:ascii="Arial" w:eastAsia="Times New Roman" w:hAnsi="Arial" w:cs="Arial"/>
                <w:color w:val="000000"/>
                <w:sz w:val="24"/>
                <w:szCs w:val="24"/>
                <w:u w:val="double"/>
                <w:lang w:eastAsia="en-GB"/>
              </w:rPr>
              <w:t>207,250</w:t>
            </w:r>
          </w:p>
        </w:tc>
      </w:tr>
      <w:tr w:rsidR="00CE2049" w:rsidRPr="00CE2049" w14:paraId="13A8A49F"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281D4E5"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19D10599"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02D07F19" w14:textId="77777777" w:rsidR="00CE2049" w:rsidRPr="00CE2049" w:rsidRDefault="00CE2049" w:rsidP="00CE2049">
            <w:pPr>
              <w:spacing w:after="0" w:line="240" w:lineRule="auto"/>
              <w:jc w:val="center"/>
              <w:rPr>
                <w:rFonts w:ascii="Arial" w:eastAsia="Times New Roman" w:hAnsi="Arial" w:cs="Arial"/>
                <w:color w:val="000000"/>
                <w:sz w:val="24"/>
                <w:szCs w:val="24"/>
                <w:u w:val="double"/>
                <w:lang w:eastAsia="en-GB"/>
              </w:rPr>
            </w:pPr>
            <w:r w:rsidRPr="00CE2049">
              <w:rPr>
                <w:rFonts w:ascii="Arial" w:eastAsia="Times New Roman" w:hAnsi="Arial" w:cs="Arial"/>
                <w:color w:val="000000"/>
                <w:sz w:val="24"/>
                <w:szCs w:val="24"/>
                <w:u w:val="single"/>
                <w:lang w:eastAsia="en-GB"/>
              </w:rPr>
              <w:t> </w:t>
            </w:r>
          </w:p>
        </w:tc>
      </w:tr>
      <w:tr w:rsidR="00CE2049" w:rsidRPr="00CE2049" w14:paraId="553D070B"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47C026A1"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Total assets less liabilities</w:t>
            </w:r>
          </w:p>
        </w:tc>
        <w:tc>
          <w:tcPr>
            <w:tcW w:w="1300" w:type="dxa"/>
            <w:tcBorders>
              <w:top w:val="nil"/>
              <w:left w:val="nil"/>
              <w:bottom w:val="single" w:sz="4" w:space="0" w:color="auto"/>
              <w:right w:val="single" w:sz="4" w:space="0" w:color="auto"/>
            </w:tcBorders>
            <w:shd w:val="clear" w:color="auto" w:fill="auto"/>
            <w:vAlign w:val="center"/>
            <w:hideMark/>
          </w:tcPr>
          <w:p w14:paraId="3196C82E"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008A5073" w14:textId="77777777" w:rsidR="00CE2049" w:rsidRPr="00CE2049" w:rsidRDefault="00CE2049" w:rsidP="00CE2049">
            <w:pPr>
              <w:spacing w:after="0" w:line="240" w:lineRule="auto"/>
              <w:jc w:val="center"/>
              <w:rPr>
                <w:rFonts w:ascii="Arial" w:eastAsia="Times New Roman" w:hAnsi="Arial" w:cs="Arial"/>
                <w:color w:val="000000"/>
                <w:sz w:val="24"/>
                <w:szCs w:val="24"/>
                <w:u w:val="double"/>
                <w:lang w:eastAsia="en-GB"/>
              </w:rPr>
            </w:pPr>
            <w:r w:rsidRPr="00CE2049">
              <w:rPr>
                <w:rFonts w:ascii="Arial" w:eastAsia="Times New Roman" w:hAnsi="Arial" w:cs="Arial"/>
                <w:color w:val="000000"/>
                <w:sz w:val="24"/>
                <w:szCs w:val="24"/>
                <w:u w:val="double"/>
                <w:lang w:eastAsia="en-GB"/>
              </w:rPr>
              <w:t>705,980</w:t>
            </w:r>
          </w:p>
        </w:tc>
      </w:tr>
      <w:tr w:rsidR="00CE2049" w:rsidRPr="00CE2049" w14:paraId="7BE0A168"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214424D7"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4E460400"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6F14612B"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0CCA0C0"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739D1D78" w14:textId="77777777" w:rsidR="00CE2049" w:rsidRPr="00CE2049" w:rsidRDefault="00CE2049" w:rsidP="00CE2049">
            <w:pPr>
              <w:spacing w:after="0" w:line="240" w:lineRule="auto"/>
              <w:rPr>
                <w:rFonts w:ascii="Arial" w:eastAsia="Times New Roman" w:hAnsi="Arial" w:cs="Arial"/>
                <w:b/>
                <w:bCs/>
                <w:color w:val="000000"/>
                <w:sz w:val="24"/>
                <w:szCs w:val="24"/>
                <w:u w:val="single"/>
                <w:lang w:eastAsia="en-GB"/>
              </w:rPr>
            </w:pPr>
            <w:r w:rsidRPr="00CE2049">
              <w:rPr>
                <w:rFonts w:ascii="Arial" w:eastAsia="Times New Roman" w:hAnsi="Arial" w:cs="Arial"/>
                <w:b/>
                <w:bCs/>
                <w:color w:val="000000"/>
                <w:sz w:val="24"/>
                <w:szCs w:val="24"/>
                <w:u w:val="single"/>
                <w:lang w:eastAsia="en-GB"/>
              </w:rPr>
              <w:t>EQUITY</w:t>
            </w:r>
          </w:p>
        </w:tc>
        <w:tc>
          <w:tcPr>
            <w:tcW w:w="1300" w:type="dxa"/>
            <w:tcBorders>
              <w:top w:val="nil"/>
              <w:left w:val="nil"/>
              <w:bottom w:val="single" w:sz="4" w:space="0" w:color="auto"/>
              <w:right w:val="single" w:sz="4" w:space="0" w:color="auto"/>
            </w:tcBorders>
            <w:shd w:val="clear" w:color="auto" w:fill="auto"/>
            <w:vAlign w:val="center"/>
            <w:hideMark/>
          </w:tcPr>
          <w:p w14:paraId="6D808D30"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77B5495E"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4610829"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453F942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Share capital</w:t>
            </w:r>
          </w:p>
        </w:tc>
        <w:tc>
          <w:tcPr>
            <w:tcW w:w="1300" w:type="dxa"/>
            <w:tcBorders>
              <w:top w:val="nil"/>
              <w:left w:val="nil"/>
              <w:bottom w:val="single" w:sz="4" w:space="0" w:color="auto"/>
              <w:right w:val="single" w:sz="4" w:space="0" w:color="auto"/>
            </w:tcBorders>
            <w:shd w:val="clear" w:color="auto" w:fill="auto"/>
            <w:vAlign w:val="center"/>
            <w:hideMark/>
          </w:tcPr>
          <w:p w14:paraId="3322A08A"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52759850"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310,000</w:t>
            </w:r>
          </w:p>
        </w:tc>
      </w:tr>
      <w:tr w:rsidR="00CE2049" w:rsidRPr="00CE2049" w14:paraId="6464B313"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982D13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Share premium</w:t>
            </w:r>
          </w:p>
        </w:tc>
        <w:tc>
          <w:tcPr>
            <w:tcW w:w="1300" w:type="dxa"/>
            <w:tcBorders>
              <w:top w:val="nil"/>
              <w:left w:val="nil"/>
              <w:bottom w:val="single" w:sz="4" w:space="0" w:color="auto"/>
              <w:right w:val="single" w:sz="4" w:space="0" w:color="auto"/>
            </w:tcBorders>
            <w:shd w:val="clear" w:color="auto" w:fill="auto"/>
            <w:vAlign w:val="center"/>
            <w:hideMark/>
          </w:tcPr>
          <w:p w14:paraId="4AA19116"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3347CBDD"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300,000</w:t>
            </w:r>
          </w:p>
        </w:tc>
      </w:tr>
      <w:tr w:rsidR="00CE2049" w:rsidRPr="00CE2049" w14:paraId="2A4E41E7"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0636DF49"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Other reserves</w:t>
            </w:r>
          </w:p>
        </w:tc>
        <w:tc>
          <w:tcPr>
            <w:tcW w:w="1300" w:type="dxa"/>
            <w:tcBorders>
              <w:top w:val="nil"/>
              <w:left w:val="nil"/>
              <w:bottom w:val="single" w:sz="4" w:space="0" w:color="auto"/>
              <w:right w:val="single" w:sz="4" w:space="0" w:color="auto"/>
            </w:tcBorders>
            <w:shd w:val="clear" w:color="auto" w:fill="auto"/>
            <w:vAlign w:val="center"/>
            <w:hideMark/>
          </w:tcPr>
          <w:p w14:paraId="02209EE8"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387CE447"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6F0A4CA"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1742F7B0"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Retained earnings</w:t>
            </w:r>
          </w:p>
        </w:tc>
        <w:tc>
          <w:tcPr>
            <w:tcW w:w="1300" w:type="dxa"/>
            <w:tcBorders>
              <w:top w:val="nil"/>
              <w:left w:val="nil"/>
              <w:bottom w:val="single" w:sz="4" w:space="0" w:color="auto"/>
              <w:right w:val="single" w:sz="4" w:space="0" w:color="auto"/>
            </w:tcBorders>
            <w:shd w:val="clear" w:color="auto" w:fill="auto"/>
            <w:vAlign w:val="center"/>
            <w:hideMark/>
          </w:tcPr>
          <w:p w14:paraId="7F24DA53"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43D8959E" w14:textId="77777777" w:rsidR="00CE2049" w:rsidRPr="00CE2049" w:rsidRDefault="00CE2049" w:rsidP="00CE2049">
            <w:pPr>
              <w:spacing w:after="0" w:line="240" w:lineRule="auto"/>
              <w:jc w:val="right"/>
              <w:rPr>
                <w:rFonts w:ascii="Arial" w:eastAsia="Times New Roman" w:hAnsi="Arial" w:cs="Arial"/>
                <w:color w:val="000000"/>
                <w:sz w:val="24"/>
                <w:szCs w:val="24"/>
                <w:u w:val="single"/>
                <w:lang w:eastAsia="en-GB"/>
              </w:rPr>
            </w:pPr>
            <w:r w:rsidRPr="00CE2049">
              <w:rPr>
                <w:rFonts w:ascii="Arial" w:eastAsia="Times New Roman" w:hAnsi="Arial" w:cs="Arial"/>
                <w:color w:val="000000"/>
                <w:sz w:val="24"/>
                <w:szCs w:val="24"/>
                <w:u w:val="single"/>
                <w:lang w:eastAsia="en-GB"/>
              </w:rPr>
              <w:t>178,080</w:t>
            </w:r>
          </w:p>
        </w:tc>
      </w:tr>
      <w:tr w:rsidR="00CE2049" w:rsidRPr="00CE2049" w14:paraId="2BB78087"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38EEC3C8" w14:textId="77777777" w:rsidR="00CE2049" w:rsidRPr="00CE2049" w:rsidRDefault="00CE2049" w:rsidP="00CE2049">
            <w:pPr>
              <w:spacing w:after="0" w:line="240" w:lineRule="auto"/>
              <w:rPr>
                <w:rFonts w:ascii="Arial" w:eastAsia="Times New Roman" w:hAnsi="Arial" w:cs="Arial"/>
                <w:b/>
                <w:bCs/>
                <w:color w:val="000000"/>
                <w:sz w:val="24"/>
                <w:szCs w:val="24"/>
                <w:lang w:eastAsia="en-GB"/>
              </w:rPr>
            </w:pPr>
            <w:r w:rsidRPr="00CE2049">
              <w:rPr>
                <w:rFonts w:ascii="Arial" w:eastAsia="Times New Roman" w:hAnsi="Arial" w:cs="Arial"/>
                <w:b/>
                <w:bCs/>
                <w:color w:val="000000"/>
                <w:sz w:val="24"/>
                <w:szCs w:val="24"/>
                <w:lang w:eastAsia="en-GB"/>
              </w:rPr>
              <w:t>Total equity</w:t>
            </w:r>
          </w:p>
        </w:tc>
        <w:tc>
          <w:tcPr>
            <w:tcW w:w="1300" w:type="dxa"/>
            <w:tcBorders>
              <w:top w:val="nil"/>
              <w:left w:val="nil"/>
              <w:bottom w:val="single" w:sz="4" w:space="0" w:color="auto"/>
              <w:right w:val="single" w:sz="4" w:space="0" w:color="auto"/>
            </w:tcBorders>
            <w:shd w:val="clear" w:color="auto" w:fill="auto"/>
            <w:vAlign w:val="center"/>
            <w:hideMark/>
          </w:tcPr>
          <w:p w14:paraId="3AD9A6CC"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4AE0C377" w14:textId="77777777" w:rsidR="00CE2049" w:rsidRPr="00CE2049" w:rsidRDefault="00CE2049" w:rsidP="00CE2049">
            <w:pPr>
              <w:spacing w:after="0" w:line="240" w:lineRule="auto"/>
              <w:jc w:val="center"/>
              <w:rPr>
                <w:rFonts w:ascii="Arial" w:eastAsia="Times New Roman" w:hAnsi="Arial" w:cs="Arial"/>
                <w:color w:val="000000"/>
                <w:sz w:val="24"/>
                <w:szCs w:val="24"/>
                <w:u w:val="double"/>
                <w:lang w:eastAsia="en-GB"/>
              </w:rPr>
            </w:pPr>
            <w:r w:rsidRPr="00CE2049">
              <w:rPr>
                <w:rFonts w:ascii="Arial" w:eastAsia="Times New Roman" w:hAnsi="Arial" w:cs="Arial"/>
                <w:color w:val="000000"/>
                <w:sz w:val="24"/>
                <w:szCs w:val="24"/>
                <w:u w:val="double"/>
                <w:lang w:eastAsia="en-GB"/>
              </w:rPr>
              <w:t>788,080</w:t>
            </w:r>
          </w:p>
        </w:tc>
      </w:tr>
      <w:tr w:rsidR="00CE2049" w:rsidRPr="00CE2049" w14:paraId="38DBC017"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39CA7BC8"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vAlign w:val="center"/>
            <w:hideMark/>
          </w:tcPr>
          <w:p w14:paraId="27FB7F19"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vAlign w:val="center"/>
            <w:hideMark/>
          </w:tcPr>
          <w:p w14:paraId="7647BAF2" w14:textId="77777777" w:rsidR="00CE2049" w:rsidRPr="00CE2049" w:rsidRDefault="00CE2049" w:rsidP="00CE2049">
            <w:pPr>
              <w:spacing w:after="0" w:line="240" w:lineRule="auto"/>
              <w:jc w:val="center"/>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84928FD"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center"/>
            <w:hideMark/>
          </w:tcPr>
          <w:p w14:paraId="6164F4AA"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Total Equity +Liabilities</w:t>
            </w:r>
          </w:p>
        </w:tc>
        <w:tc>
          <w:tcPr>
            <w:tcW w:w="1300" w:type="dxa"/>
            <w:tcBorders>
              <w:top w:val="nil"/>
              <w:left w:val="nil"/>
              <w:bottom w:val="single" w:sz="4" w:space="0" w:color="auto"/>
              <w:right w:val="single" w:sz="4" w:space="0" w:color="auto"/>
            </w:tcBorders>
            <w:shd w:val="clear" w:color="auto" w:fill="auto"/>
            <w:noWrap/>
            <w:vAlign w:val="bottom"/>
            <w:hideMark/>
          </w:tcPr>
          <w:p w14:paraId="790B147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391C2877" w14:textId="77777777" w:rsidR="00CE2049" w:rsidRPr="00CE2049" w:rsidRDefault="00CE2049" w:rsidP="00CE2049">
            <w:pPr>
              <w:spacing w:after="0" w:line="240" w:lineRule="auto"/>
              <w:jc w:val="right"/>
              <w:rPr>
                <w:rFonts w:ascii="Arial" w:eastAsia="Times New Roman" w:hAnsi="Arial" w:cs="Arial"/>
                <w:b/>
                <w:bCs/>
                <w:color w:val="000000"/>
                <w:sz w:val="24"/>
                <w:szCs w:val="24"/>
                <w:u w:val="single"/>
                <w:lang w:eastAsia="en-GB"/>
              </w:rPr>
            </w:pPr>
            <w:r w:rsidRPr="00CE2049">
              <w:rPr>
                <w:rFonts w:ascii="Arial" w:eastAsia="Times New Roman" w:hAnsi="Arial" w:cs="Arial"/>
                <w:b/>
                <w:bCs/>
                <w:color w:val="000000"/>
                <w:sz w:val="24"/>
                <w:szCs w:val="24"/>
                <w:u w:val="single"/>
                <w:lang w:eastAsia="en-GB"/>
              </w:rPr>
              <w:t>1,229,435</w:t>
            </w:r>
          </w:p>
        </w:tc>
      </w:tr>
      <w:tr w:rsidR="00CE2049" w:rsidRPr="00CE2049" w14:paraId="166738E5"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79B61785"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9B15090"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026C78E9"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06E1417"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10FE7027"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lastRenderedPageBreak/>
              <w:t> </w:t>
            </w:r>
          </w:p>
        </w:tc>
        <w:tc>
          <w:tcPr>
            <w:tcW w:w="1300" w:type="dxa"/>
            <w:tcBorders>
              <w:top w:val="nil"/>
              <w:left w:val="nil"/>
              <w:bottom w:val="single" w:sz="4" w:space="0" w:color="auto"/>
              <w:right w:val="single" w:sz="4" w:space="0" w:color="auto"/>
            </w:tcBorders>
            <w:shd w:val="clear" w:color="auto" w:fill="auto"/>
            <w:noWrap/>
            <w:vAlign w:val="bottom"/>
            <w:hideMark/>
          </w:tcPr>
          <w:p w14:paraId="0C21532D"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580920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4F06ABCD"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7A05AD90"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46E06D24"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AC7D36C"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2FB1BF2E"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4DF9C1F2" w14:textId="77777777" w:rsidR="00CE2049" w:rsidRPr="00CE2049" w:rsidRDefault="00CE2049" w:rsidP="00CE2049">
            <w:pPr>
              <w:spacing w:after="0" w:line="240" w:lineRule="auto"/>
              <w:rPr>
                <w:rFonts w:ascii="Arial" w:eastAsia="Times New Roman" w:hAnsi="Arial" w:cs="Arial"/>
                <w:b/>
                <w:bCs/>
                <w:color w:val="000000"/>
                <w:sz w:val="24"/>
                <w:szCs w:val="24"/>
                <w:u w:val="double"/>
                <w:lang w:eastAsia="en-GB"/>
              </w:rPr>
            </w:pPr>
            <w:r w:rsidRPr="00CE2049">
              <w:rPr>
                <w:rFonts w:ascii="Arial" w:eastAsia="Times New Roman" w:hAnsi="Arial" w:cs="Arial"/>
                <w:b/>
                <w:bCs/>
                <w:color w:val="000000"/>
                <w:sz w:val="24"/>
                <w:szCs w:val="24"/>
                <w:u w:val="double"/>
                <w:lang w:eastAsia="en-GB"/>
              </w:rPr>
              <w:t>Workings</w:t>
            </w:r>
          </w:p>
        </w:tc>
        <w:tc>
          <w:tcPr>
            <w:tcW w:w="1300" w:type="dxa"/>
            <w:tcBorders>
              <w:top w:val="nil"/>
              <w:left w:val="nil"/>
              <w:bottom w:val="single" w:sz="4" w:space="0" w:color="auto"/>
              <w:right w:val="single" w:sz="4" w:space="0" w:color="auto"/>
            </w:tcBorders>
            <w:shd w:val="clear" w:color="auto" w:fill="auto"/>
            <w:noWrap/>
            <w:vAlign w:val="bottom"/>
            <w:hideMark/>
          </w:tcPr>
          <w:p w14:paraId="01923F07"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288A869"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-82,100</w:t>
            </w:r>
          </w:p>
        </w:tc>
      </w:tr>
      <w:tr w:rsidR="00CE2049" w:rsidRPr="00CE2049" w14:paraId="55574CEB"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51001064"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A81AD84"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2BEA449F"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3FC7C195"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112EC650"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W1) Retained profits</w:t>
            </w:r>
          </w:p>
        </w:tc>
        <w:tc>
          <w:tcPr>
            <w:tcW w:w="1300" w:type="dxa"/>
            <w:tcBorders>
              <w:top w:val="nil"/>
              <w:left w:val="nil"/>
              <w:bottom w:val="single" w:sz="4" w:space="0" w:color="auto"/>
              <w:right w:val="single" w:sz="4" w:space="0" w:color="auto"/>
            </w:tcBorders>
            <w:shd w:val="clear" w:color="auto" w:fill="auto"/>
            <w:noWrap/>
            <w:vAlign w:val="bottom"/>
            <w:hideMark/>
          </w:tcPr>
          <w:p w14:paraId="4A7AB6F7"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0C9FBA5"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178080</w:t>
            </w:r>
          </w:p>
        </w:tc>
      </w:tr>
      <w:tr w:rsidR="00CE2049" w:rsidRPr="00CE2049" w14:paraId="24BE35F3"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6D5A4665"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B4B85A8"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5B534656"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4924EA59"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3028638D"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Retained profits at 1st Jan 2020</w:t>
            </w:r>
          </w:p>
        </w:tc>
        <w:tc>
          <w:tcPr>
            <w:tcW w:w="1300" w:type="dxa"/>
            <w:tcBorders>
              <w:top w:val="nil"/>
              <w:left w:val="nil"/>
              <w:bottom w:val="single" w:sz="4" w:space="0" w:color="auto"/>
              <w:right w:val="single" w:sz="4" w:space="0" w:color="auto"/>
            </w:tcBorders>
            <w:shd w:val="clear" w:color="auto" w:fill="auto"/>
            <w:noWrap/>
            <w:vAlign w:val="bottom"/>
            <w:hideMark/>
          </w:tcPr>
          <w:p w14:paraId="187FDB83"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132000</w:t>
            </w:r>
          </w:p>
        </w:tc>
        <w:tc>
          <w:tcPr>
            <w:tcW w:w="1500" w:type="dxa"/>
            <w:tcBorders>
              <w:top w:val="nil"/>
              <w:left w:val="nil"/>
              <w:bottom w:val="single" w:sz="4" w:space="0" w:color="auto"/>
              <w:right w:val="single" w:sz="4" w:space="0" w:color="auto"/>
            </w:tcBorders>
            <w:shd w:val="clear" w:color="auto" w:fill="auto"/>
            <w:noWrap/>
            <w:vAlign w:val="bottom"/>
            <w:hideMark/>
          </w:tcPr>
          <w:p w14:paraId="7C14E868"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4FE8BD51"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283F28E2"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Bank cash</w:t>
            </w:r>
          </w:p>
        </w:tc>
        <w:tc>
          <w:tcPr>
            <w:tcW w:w="1300" w:type="dxa"/>
            <w:tcBorders>
              <w:top w:val="nil"/>
              <w:left w:val="nil"/>
              <w:bottom w:val="single" w:sz="4" w:space="0" w:color="auto"/>
              <w:right w:val="single" w:sz="4" w:space="0" w:color="auto"/>
            </w:tcBorders>
            <w:shd w:val="clear" w:color="auto" w:fill="auto"/>
            <w:noWrap/>
            <w:vAlign w:val="bottom"/>
            <w:hideMark/>
          </w:tcPr>
          <w:p w14:paraId="1A1023B2"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83622FA"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E031C8C"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2EB3A6DE"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Profit for year</w:t>
            </w:r>
          </w:p>
        </w:tc>
        <w:tc>
          <w:tcPr>
            <w:tcW w:w="1300" w:type="dxa"/>
            <w:tcBorders>
              <w:top w:val="nil"/>
              <w:left w:val="nil"/>
              <w:bottom w:val="single" w:sz="4" w:space="0" w:color="auto"/>
              <w:right w:val="single" w:sz="4" w:space="0" w:color="auto"/>
            </w:tcBorders>
            <w:shd w:val="clear" w:color="auto" w:fill="auto"/>
            <w:noWrap/>
            <w:vAlign w:val="bottom"/>
            <w:hideMark/>
          </w:tcPr>
          <w:p w14:paraId="3D154F57"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96080</w:t>
            </w:r>
          </w:p>
        </w:tc>
        <w:tc>
          <w:tcPr>
            <w:tcW w:w="1500" w:type="dxa"/>
            <w:tcBorders>
              <w:top w:val="nil"/>
              <w:left w:val="nil"/>
              <w:bottom w:val="single" w:sz="4" w:space="0" w:color="auto"/>
              <w:right w:val="single" w:sz="4" w:space="0" w:color="auto"/>
            </w:tcBorders>
            <w:shd w:val="clear" w:color="auto" w:fill="auto"/>
            <w:noWrap/>
            <w:vAlign w:val="bottom"/>
            <w:hideMark/>
          </w:tcPr>
          <w:p w14:paraId="75919B63"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BBF9E42"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086B232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Dividends paid 20000+30000</w:t>
            </w:r>
          </w:p>
        </w:tc>
        <w:tc>
          <w:tcPr>
            <w:tcW w:w="1300" w:type="dxa"/>
            <w:tcBorders>
              <w:top w:val="nil"/>
              <w:left w:val="nil"/>
              <w:bottom w:val="single" w:sz="4" w:space="0" w:color="auto"/>
              <w:right w:val="single" w:sz="4" w:space="0" w:color="auto"/>
            </w:tcBorders>
            <w:shd w:val="clear" w:color="auto" w:fill="auto"/>
            <w:noWrap/>
            <w:vAlign w:val="bottom"/>
            <w:hideMark/>
          </w:tcPr>
          <w:p w14:paraId="1130E94A"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-50000</w:t>
            </w:r>
          </w:p>
        </w:tc>
        <w:tc>
          <w:tcPr>
            <w:tcW w:w="1500" w:type="dxa"/>
            <w:tcBorders>
              <w:top w:val="nil"/>
              <w:left w:val="nil"/>
              <w:bottom w:val="single" w:sz="4" w:space="0" w:color="auto"/>
              <w:right w:val="single" w:sz="4" w:space="0" w:color="auto"/>
            </w:tcBorders>
            <w:shd w:val="clear" w:color="auto" w:fill="auto"/>
            <w:noWrap/>
            <w:vAlign w:val="bottom"/>
            <w:hideMark/>
          </w:tcPr>
          <w:p w14:paraId="1C7265FF"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6FADF1DE"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312733C7"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47FA1F0D"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618613AE"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4BC15D0B"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7F24D4E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Trade and other payables 171,355+ 3000+28000+30000</w:t>
            </w:r>
          </w:p>
        </w:tc>
        <w:tc>
          <w:tcPr>
            <w:tcW w:w="1300" w:type="dxa"/>
            <w:tcBorders>
              <w:top w:val="nil"/>
              <w:left w:val="nil"/>
              <w:bottom w:val="single" w:sz="4" w:space="0" w:color="auto"/>
              <w:right w:val="single" w:sz="4" w:space="0" w:color="auto"/>
            </w:tcBorders>
            <w:shd w:val="clear" w:color="auto" w:fill="auto"/>
            <w:noWrap/>
            <w:vAlign w:val="bottom"/>
            <w:hideMark/>
          </w:tcPr>
          <w:p w14:paraId="43094491"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232355</w:t>
            </w:r>
          </w:p>
        </w:tc>
        <w:tc>
          <w:tcPr>
            <w:tcW w:w="1500" w:type="dxa"/>
            <w:tcBorders>
              <w:top w:val="nil"/>
              <w:left w:val="nil"/>
              <w:bottom w:val="single" w:sz="4" w:space="0" w:color="auto"/>
              <w:right w:val="single" w:sz="4" w:space="0" w:color="auto"/>
            </w:tcBorders>
            <w:shd w:val="clear" w:color="auto" w:fill="auto"/>
            <w:noWrap/>
            <w:vAlign w:val="bottom"/>
            <w:hideMark/>
          </w:tcPr>
          <w:p w14:paraId="559838A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49A09F0B"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541B3FB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34675B31"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7C22443C"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1DC768C0"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vAlign w:val="center"/>
            <w:hideMark/>
          </w:tcPr>
          <w:p w14:paraId="32023C8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Trade and other receivables 170,125+ Accrual 980</w:t>
            </w:r>
          </w:p>
        </w:tc>
        <w:tc>
          <w:tcPr>
            <w:tcW w:w="1300" w:type="dxa"/>
            <w:tcBorders>
              <w:top w:val="nil"/>
              <w:left w:val="nil"/>
              <w:bottom w:val="single" w:sz="4" w:space="0" w:color="auto"/>
              <w:right w:val="single" w:sz="4" w:space="0" w:color="auto"/>
            </w:tcBorders>
            <w:shd w:val="clear" w:color="auto" w:fill="auto"/>
            <w:noWrap/>
            <w:vAlign w:val="bottom"/>
            <w:hideMark/>
          </w:tcPr>
          <w:p w14:paraId="1AD96848"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171105</w:t>
            </w:r>
          </w:p>
        </w:tc>
        <w:tc>
          <w:tcPr>
            <w:tcW w:w="1500" w:type="dxa"/>
            <w:tcBorders>
              <w:top w:val="nil"/>
              <w:left w:val="nil"/>
              <w:bottom w:val="single" w:sz="4" w:space="0" w:color="auto"/>
              <w:right w:val="single" w:sz="4" w:space="0" w:color="auto"/>
            </w:tcBorders>
            <w:shd w:val="clear" w:color="auto" w:fill="auto"/>
            <w:noWrap/>
            <w:vAlign w:val="bottom"/>
            <w:hideMark/>
          </w:tcPr>
          <w:p w14:paraId="21824615"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369AF56C"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060A4E6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546F08F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42B8622B"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04B50F60"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71C5F5FD"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Short term borrowings 2000+5000</w:t>
            </w:r>
          </w:p>
        </w:tc>
        <w:tc>
          <w:tcPr>
            <w:tcW w:w="1300" w:type="dxa"/>
            <w:tcBorders>
              <w:top w:val="nil"/>
              <w:left w:val="nil"/>
              <w:bottom w:val="single" w:sz="4" w:space="0" w:color="auto"/>
              <w:right w:val="single" w:sz="4" w:space="0" w:color="auto"/>
            </w:tcBorders>
            <w:shd w:val="clear" w:color="auto" w:fill="auto"/>
            <w:noWrap/>
            <w:vAlign w:val="bottom"/>
            <w:hideMark/>
          </w:tcPr>
          <w:p w14:paraId="527AEF3C" w14:textId="77777777" w:rsidR="00CE2049" w:rsidRPr="00CE2049" w:rsidRDefault="00CE2049" w:rsidP="00CE2049">
            <w:pPr>
              <w:spacing w:after="0" w:line="240" w:lineRule="auto"/>
              <w:jc w:val="right"/>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7000</w:t>
            </w:r>
          </w:p>
        </w:tc>
        <w:tc>
          <w:tcPr>
            <w:tcW w:w="1500" w:type="dxa"/>
            <w:tcBorders>
              <w:top w:val="nil"/>
              <w:left w:val="nil"/>
              <w:bottom w:val="single" w:sz="4" w:space="0" w:color="auto"/>
              <w:right w:val="single" w:sz="4" w:space="0" w:color="auto"/>
            </w:tcBorders>
            <w:shd w:val="clear" w:color="auto" w:fill="auto"/>
            <w:noWrap/>
            <w:vAlign w:val="bottom"/>
            <w:hideMark/>
          </w:tcPr>
          <w:p w14:paraId="5138A23E"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r w:rsidR="00CE2049" w:rsidRPr="00CE2049" w14:paraId="5D2E5C62" w14:textId="77777777" w:rsidTr="00CE2049">
        <w:trPr>
          <w:trHeight w:val="310"/>
        </w:trPr>
        <w:tc>
          <w:tcPr>
            <w:tcW w:w="6056" w:type="dxa"/>
            <w:tcBorders>
              <w:top w:val="nil"/>
              <w:left w:val="single" w:sz="4" w:space="0" w:color="auto"/>
              <w:bottom w:val="single" w:sz="4" w:space="0" w:color="auto"/>
              <w:right w:val="single" w:sz="4" w:space="0" w:color="auto"/>
            </w:tcBorders>
            <w:shd w:val="clear" w:color="auto" w:fill="auto"/>
            <w:noWrap/>
            <w:vAlign w:val="bottom"/>
            <w:hideMark/>
          </w:tcPr>
          <w:p w14:paraId="311B8A1A"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300" w:type="dxa"/>
            <w:tcBorders>
              <w:top w:val="nil"/>
              <w:left w:val="nil"/>
              <w:bottom w:val="single" w:sz="4" w:space="0" w:color="auto"/>
              <w:right w:val="single" w:sz="4" w:space="0" w:color="auto"/>
            </w:tcBorders>
            <w:shd w:val="clear" w:color="auto" w:fill="auto"/>
            <w:noWrap/>
            <w:vAlign w:val="bottom"/>
            <w:hideMark/>
          </w:tcPr>
          <w:p w14:paraId="088DD214"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c>
          <w:tcPr>
            <w:tcW w:w="1500" w:type="dxa"/>
            <w:tcBorders>
              <w:top w:val="nil"/>
              <w:left w:val="nil"/>
              <w:bottom w:val="single" w:sz="4" w:space="0" w:color="auto"/>
              <w:right w:val="single" w:sz="4" w:space="0" w:color="auto"/>
            </w:tcBorders>
            <w:shd w:val="clear" w:color="auto" w:fill="auto"/>
            <w:noWrap/>
            <w:vAlign w:val="bottom"/>
            <w:hideMark/>
          </w:tcPr>
          <w:p w14:paraId="43C0F972" w14:textId="77777777" w:rsidR="00CE2049" w:rsidRPr="00CE2049" w:rsidRDefault="00CE2049" w:rsidP="00CE2049">
            <w:pPr>
              <w:spacing w:after="0" w:line="240" w:lineRule="auto"/>
              <w:rPr>
                <w:rFonts w:ascii="Arial" w:eastAsia="Times New Roman" w:hAnsi="Arial" w:cs="Arial"/>
                <w:color w:val="000000"/>
                <w:sz w:val="24"/>
                <w:szCs w:val="24"/>
                <w:lang w:eastAsia="en-GB"/>
              </w:rPr>
            </w:pPr>
            <w:r w:rsidRPr="00CE2049">
              <w:rPr>
                <w:rFonts w:ascii="Arial" w:eastAsia="Times New Roman" w:hAnsi="Arial" w:cs="Arial"/>
                <w:color w:val="000000"/>
                <w:sz w:val="24"/>
                <w:szCs w:val="24"/>
                <w:lang w:eastAsia="en-GB"/>
              </w:rPr>
              <w:t> </w:t>
            </w:r>
          </w:p>
        </w:tc>
      </w:tr>
    </w:tbl>
    <w:p w14:paraId="6E1365DC" w14:textId="77777777" w:rsidR="00F64D3D" w:rsidRDefault="00F64D3D" w:rsidP="00FD7E77">
      <w:pPr>
        <w:jc w:val="both"/>
        <w:rPr>
          <w:rFonts w:ascii="Times New Roman" w:hAnsi="Times New Roman" w:cs="Times New Roman"/>
          <w:b/>
          <w:bCs/>
          <w:sz w:val="36"/>
          <w:szCs w:val="36"/>
        </w:rPr>
      </w:pPr>
    </w:p>
    <w:p w14:paraId="79851BA8" w14:textId="220B64F8" w:rsidR="00F64D3D" w:rsidRDefault="00F64D3D" w:rsidP="00FD7E77">
      <w:pPr>
        <w:jc w:val="both"/>
        <w:rPr>
          <w:rFonts w:ascii="Times New Roman" w:hAnsi="Times New Roman" w:cs="Times New Roman"/>
          <w:b/>
          <w:bCs/>
          <w:sz w:val="36"/>
          <w:szCs w:val="36"/>
        </w:rPr>
      </w:pPr>
    </w:p>
    <w:p w14:paraId="2A2D328C" w14:textId="22F8DE08" w:rsidR="00CB58D1" w:rsidRDefault="00CB58D1" w:rsidP="00FD7E77">
      <w:pPr>
        <w:jc w:val="both"/>
        <w:rPr>
          <w:rFonts w:ascii="Times New Roman" w:hAnsi="Times New Roman" w:cs="Times New Roman"/>
          <w:b/>
          <w:bCs/>
          <w:sz w:val="36"/>
          <w:szCs w:val="36"/>
        </w:rPr>
      </w:pPr>
    </w:p>
    <w:p w14:paraId="406AA316" w14:textId="55FF5616" w:rsidR="00CB58D1" w:rsidRDefault="00CB58D1" w:rsidP="00FD7E77">
      <w:pPr>
        <w:jc w:val="both"/>
        <w:rPr>
          <w:rFonts w:ascii="Times New Roman" w:hAnsi="Times New Roman" w:cs="Times New Roman"/>
          <w:b/>
          <w:bCs/>
          <w:sz w:val="36"/>
          <w:szCs w:val="36"/>
        </w:rPr>
      </w:pPr>
    </w:p>
    <w:p w14:paraId="3F9674B1" w14:textId="0A0776F5" w:rsidR="00CB58D1" w:rsidRDefault="00CB58D1" w:rsidP="00FD7E77">
      <w:pPr>
        <w:jc w:val="both"/>
        <w:rPr>
          <w:rFonts w:ascii="Times New Roman" w:hAnsi="Times New Roman" w:cs="Times New Roman"/>
          <w:b/>
          <w:bCs/>
          <w:sz w:val="36"/>
          <w:szCs w:val="36"/>
        </w:rPr>
      </w:pPr>
    </w:p>
    <w:p w14:paraId="5B6B4183" w14:textId="3CBD1462" w:rsidR="00CB58D1" w:rsidRDefault="00CB58D1" w:rsidP="00FD7E77">
      <w:pPr>
        <w:jc w:val="both"/>
        <w:rPr>
          <w:rFonts w:ascii="Times New Roman" w:hAnsi="Times New Roman" w:cs="Times New Roman"/>
          <w:b/>
          <w:bCs/>
          <w:sz w:val="36"/>
          <w:szCs w:val="36"/>
        </w:rPr>
      </w:pPr>
    </w:p>
    <w:p w14:paraId="3CC3CC9E" w14:textId="3E8D9B25" w:rsidR="00CB58D1" w:rsidRDefault="00CB58D1" w:rsidP="00FD7E77">
      <w:pPr>
        <w:jc w:val="both"/>
        <w:rPr>
          <w:rFonts w:ascii="Times New Roman" w:hAnsi="Times New Roman" w:cs="Times New Roman"/>
          <w:b/>
          <w:bCs/>
          <w:sz w:val="36"/>
          <w:szCs w:val="36"/>
        </w:rPr>
      </w:pPr>
    </w:p>
    <w:p w14:paraId="5985BACC" w14:textId="7A5C1493" w:rsidR="00CB58D1" w:rsidRDefault="00CB58D1" w:rsidP="00FD7E77">
      <w:pPr>
        <w:jc w:val="both"/>
        <w:rPr>
          <w:rFonts w:ascii="Times New Roman" w:hAnsi="Times New Roman" w:cs="Times New Roman"/>
          <w:b/>
          <w:bCs/>
          <w:sz w:val="36"/>
          <w:szCs w:val="36"/>
        </w:rPr>
      </w:pPr>
    </w:p>
    <w:p w14:paraId="398E3DE5" w14:textId="20E942A6" w:rsidR="00CB58D1" w:rsidRDefault="00CB58D1" w:rsidP="00FD7E77">
      <w:pPr>
        <w:jc w:val="both"/>
        <w:rPr>
          <w:rFonts w:ascii="Times New Roman" w:hAnsi="Times New Roman" w:cs="Times New Roman"/>
          <w:b/>
          <w:bCs/>
          <w:sz w:val="36"/>
          <w:szCs w:val="36"/>
        </w:rPr>
      </w:pPr>
    </w:p>
    <w:p w14:paraId="2FAEA695" w14:textId="5A397885" w:rsidR="00CB58D1" w:rsidRDefault="00CB58D1" w:rsidP="00FD7E77">
      <w:pPr>
        <w:jc w:val="both"/>
        <w:rPr>
          <w:rFonts w:ascii="Times New Roman" w:hAnsi="Times New Roman" w:cs="Times New Roman"/>
          <w:b/>
          <w:bCs/>
          <w:sz w:val="36"/>
          <w:szCs w:val="36"/>
        </w:rPr>
      </w:pPr>
    </w:p>
    <w:p w14:paraId="69D170B6" w14:textId="22DDF3A0" w:rsidR="00CB58D1" w:rsidRDefault="00CB58D1" w:rsidP="00FD7E77">
      <w:pPr>
        <w:jc w:val="both"/>
        <w:rPr>
          <w:rFonts w:ascii="Times New Roman" w:hAnsi="Times New Roman" w:cs="Times New Roman"/>
          <w:b/>
          <w:bCs/>
          <w:sz w:val="36"/>
          <w:szCs w:val="36"/>
        </w:rPr>
      </w:pPr>
    </w:p>
    <w:p w14:paraId="37D7FE1E" w14:textId="743C9931" w:rsidR="00CB58D1" w:rsidRDefault="00CB58D1" w:rsidP="00FD7E77">
      <w:pPr>
        <w:jc w:val="both"/>
        <w:rPr>
          <w:rFonts w:ascii="Times New Roman" w:hAnsi="Times New Roman" w:cs="Times New Roman"/>
          <w:b/>
          <w:bCs/>
          <w:sz w:val="36"/>
          <w:szCs w:val="36"/>
        </w:rPr>
      </w:pPr>
    </w:p>
    <w:p w14:paraId="53CDD3E7" w14:textId="77777777" w:rsidR="00CB58D1" w:rsidRDefault="00CB58D1" w:rsidP="00FD7E77">
      <w:pPr>
        <w:jc w:val="both"/>
        <w:rPr>
          <w:rFonts w:ascii="Times New Roman" w:hAnsi="Times New Roman" w:cs="Times New Roman"/>
          <w:b/>
          <w:bCs/>
          <w:sz w:val="36"/>
          <w:szCs w:val="36"/>
        </w:rPr>
      </w:pPr>
    </w:p>
    <w:p w14:paraId="7632FA31" w14:textId="1A10FF05" w:rsidR="00F64D3D" w:rsidRDefault="00AD6631" w:rsidP="00A70E4B">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Question 1b</w:t>
      </w:r>
    </w:p>
    <w:p w14:paraId="5F764CEE" w14:textId="77777777" w:rsidR="00B704CF" w:rsidRDefault="00B704CF" w:rsidP="00473AC3">
      <w:pPr>
        <w:jc w:val="both"/>
      </w:pPr>
      <w:bookmarkStart w:id="1" w:name="_Hlk78195848"/>
    </w:p>
    <w:p w14:paraId="0CF8C9FF" w14:textId="0696F47B" w:rsidR="00E92D04" w:rsidRDefault="00E92D04" w:rsidP="00E92D04">
      <w:pPr>
        <w:jc w:val="both"/>
        <w:rPr>
          <w:rFonts w:ascii="Arial" w:hAnsi="Arial" w:cs="Arial"/>
          <w:sz w:val="24"/>
          <w:szCs w:val="24"/>
        </w:rPr>
      </w:pPr>
      <w:r w:rsidRPr="00E92D04">
        <w:rPr>
          <w:rFonts w:ascii="Arial" w:hAnsi="Arial" w:cs="Arial"/>
          <w:sz w:val="24"/>
          <w:szCs w:val="24"/>
        </w:rPr>
        <w:t>Why does the statement of financial position balance? According to: Sangster; Lewis, Wood (2018; p25)</w:t>
      </w:r>
      <w:r w:rsidR="002B3414" w:rsidRPr="002B3414">
        <w:t xml:space="preserve"> </w:t>
      </w:r>
      <w:r w:rsidR="002B3414" w:rsidRPr="002B3414">
        <w:rPr>
          <w:rFonts w:ascii="Arial" w:hAnsi="Arial" w:cs="Arial"/>
          <w:sz w:val="24"/>
          <w:szCs w:val="24"/>
        </w:rPr>
        <w:t>You might wish to know how much an account is worth after you've completed certain transactions. For instance, how much money a debtor owes you or how much money you owe someone else. This is accomplished by computing the difference between the totals of the debits and the totals of the credits recorded in that account.</w:t>
      </w:r>
    </w:p>
    <w:p w14:paraId="2FEBBD83" w14:textId="23867063" w:rsidR="00B704CF" w:rsidRDefault="004C72B6" w:rsidP="00473AC3">
      <w:pPr>
        <w:jc w:val="both"/>
        <w:rPr>
          <w:rFonts w:ascii="Arial" w:hAnsi="Arial" w:cs="Arial"/>
          <w:i/>
          <w:iCs/>
          <w:sz w:val="24"/>
          <w:szCs w:val="24"/>
        </w:rPr>
      </w:pPr>
      <w:r w:rsidRPr="00990B31">
        <w:rPr>
          <w:rFonts w:ascii="Arial" w:hAnsi="Arial" w:cs="Arial"/>
          <w:sz w:val="24"/>
          <w:szCs w:val="24"/>
        </w:rPr>
        <w:t xml:space="preserve">What is the Statement of Financial Position? </w:t>
      </w:r>
      <w:r w:rsidR="00E6501B" w:rsidRPr="00E6501B">
        <w:rPr>
          <w:rFonts w:ascii="Arial" w:hAnsi="Arial" w:cs="Arial"/>
          <w:sz w:val="24"/>
          <w:szCs w:val="24"/>
        </w:rPr>
        <w:t>The double entry bookkeeping system adheres to the accounting equation's requirements, in which every transaction impacts two items.</w:t>
      </w:r>
      <w:r w:rsidR="00E6501B" w:rsidRPr="00990B31">
        <w:rPr>
          <w:rFonts w:ascii="Arial" w:hAnsi="Arial" w:cs="Arial"/>
          <w:sz w:val="24"/>
          <w:szCs w:val="24"/>
        </w:rPr>
        <w:t xml:space="preserve"> </w:t>
      </w:r>
      <w:r w:rsidR="00E6501B" w:rsidRPr="00E6501B">
        <w:rPr>
          <w:rFonts w:ascii="Arial" w:hAnsi="Arial" w:cs="Arial"/>
          <w:sz w:val="24"/>
          <w:szCs w:val="24"/>
        </w:rPr>
        <w:t xml:space="preserve">The total of all items recorded on the debit side of the accounts should match the total of all things recorded on the credit side of the accounts. T-accounts must be balanced at various points during the year in order to see what is going on with a certain account. </w:t>
      </w:r>
      <w:r w:rsidR="00BA691C">
        <w:rPr>
          <w:rFonts w:ascii="Arial" w:hAnsi="Arial" w:cs="Arial"/>
          <w:sz w:val="24"/>
          <w:szCs w:val="24"/>
        </w:rPr>
        <w:t>(Article, 2021)</w:t>
      </w:r>
      <w:r w:rsidR="000008E1">
        <w:rPr>
          <w:rFonts w:ascii="Arial" w:hAnsi="Arial" w:cs="Arial"/>
          <w:sz w:val="24"/>
          <w:szCs w:val="24"/>
        </w:rPr>
        <w:t xml:space="preserve"> </w:t>
      </w:r>
      <w:r w:rsidR="006039F2" w:rsidRPr="006039F2">
        <w:rPr>
          <w:rFonts w:ascii="Arial" w:hAnsi="Arial" w:cs="Arial"/>
          <w:i/>
          <w:iCs/>
          <w:sz w:val="24"/>
          <w:szCs w:val="24"/>
        </w:rPr>
        <w:t>Statement of financial position definition</w:t>
      </w:r>
      <w:r w:rsidR="00BA691C">
        <w:rPr>
          <w:rFonts w:ascii="Arial" w:hAnsi="Arial" w:cs="Arial"/>
          <w:i/>
          <w:iCs/>
          <w:sz w:val="24"/>
          <w:szCs w:val="24"/>
        </w:rPr>
        <w:t>)</w:t>
      </w:r>
    </w:p>
    <w:p w14:paraId="65BD2AFE" w14:textId="77777777" w:rsidR="009F2A35" w:rsidRPr="009F2A35" w:rsidRDefault="009F2A35" w:rsidP="009F2A35">
      <w:pPr>
        <w:jc w:val="both"/>
        <w:rPr>
          <w:rFonts w:ascii="Arial" w:hAnsi="Arial" w:cs="Arial"/>
          <w:sz w:val="24"/>
          <w:szCs w:val="24"/>
        </w:rPr>
      </w:pPr>
      <w:r w:rsidRPr="009F2A35">
        <w:rPr>
          <w:rFonts w:ascii="Arial" w:hAnsi="Arial" w:cs="Arial"/>
          <w:sz w:val="24"/>
          <w:szCs w:val="24"/>
        </w:rPr>
        <w:t>According to:  Atrill; McLaney; (2016,2017; p 48)</w:t>
      </w:r>
    </w:p>
    <w:p w14:paraId="15B7EB08" w14:textId="0FE6CC0F" w:rsidR="009F2A35" w:rsidRPr="00990B31" w:rsidRDefault="009F2A35" w:rsidP="009F2A35">
      <w:pPr>
        <w:jc w:val="both"/>
        <w:rPr>
          <w:rFonts w:ascii="Arial" w:hAnsi="Arial" w:cs="Arial"/>
          <w:sz w:val="24"/>
          <w:szCs w:val="24"/>
        </w:rPr>
      </w:pPr>
      <w:r w:rsidRPr="009F2A35">
        <w:rPr>
          <w:rFonts w:ascii="Arial" w:hAnsi="Arial" w:cs="Arial"/>
          <w:sz w:val="24"/>
          <w:szCs w:val="24"/>
        </w:rPr>
        <w:t>Assets – liabilities = Equity</w:t>
      </w:r>
    </w:p>
    <w:p w14:paraId="1C603277" w14:textId="50A52695" w:rsidR="00990B31" w:rsidRPr="00990B31" w:rsidRDefault="00E6501B" w:rsidP="00990B31">
      <w:pPr>
        <w:jc w:val="both"/>
        <w:rPr>
          <w:rFonts w:ascii="Arial" w:hAnsi="Arial" w:cs="Arial"/>
          <w:sz w:val="24"/>
          <w:szCs w:val="24"/>
        </w:rPr>
      </w:pPr>
      <w:r w:rsidRPr="00E6501B">
        <w:rPr>
          <w:rFonts w:ascii="Arial" w:hAnsi="Arial" w:cs="Arial"/>
          <w:sz w:val="24"/>
          <w:szCs w:val="24"/>
        </w:rPr>
        <w:t>The balance sheet is also known as the financial status statement. As of the report date, the statement outlines an organization's assets, liabilities, and equity. The information on the statement of financial position can be used to do various financial analyses, such as comparing debt to equity or current assets to current liabilities.</w:t>
      </w:r>
      <w:r w:rsidRPr="00990B31">
        <w:rPr>
          <w:rFonts w:ascii="Arial" w:hAnsi="Arial" w:cs="Arial"/>
          <w:sz w:val="24"/>
          <w:szCs w:val="24"/>
        </w:rPr>
        <w:t xml:space="preserve"> It</w:t>
      </w:r>
      <w:r w:rsidR="00990B31" w:rsidRPr="00990B31">
        <w:rPr>
          <w:rFonts w:ascii="Arial" w:hAnsi="Arial" w:cs="Arial"/>
          <w:sz w:val="24"/>
          <w:szCs w:val="24"/>
        </w:rPr>
        <w:t xml:space="preserve"> is one of the monetary statements.</w:t>
      </w:r>
      <w:r w:rsidR="00DF544A">
        <w:rPr>
          <w:rFonts w:ascii="Arial" w:hAnsi="Arial" w:cs="Arial"/>
          <w:sz w:val="24"/>
          <w:szCs w:val="24"/>
        </w:rPr>
        <w:t xml:space="preserve"> </w:t>
      </w:r>
      <w:r w:rsidR="00990B31" w:rsidRPr="00990B31">
        <w:rPr>
          <w:rFonts w:ascii="Arial" w:hAnsi="Arial" w:cs="Arial"/>
          <w:sz w:val="24"/>
          <w:szCs w:val="24"/>
        </w:rPr>
        <w:t>The structure of the statement of financial status is determined by the basic accounting equation, which states:</w:t>
      </w:r>
    </w:p>
    <w:p w14:paraId="317CB45B" w14:textId="77777777" w:rsidR="00990B31" w:rsidRPr="00990B31" w:rsidRDefault="00990B31" w:rsidP="00990B31">
      <w:pPr>
        <w:jc w:val="both"/>
        <w:rPr>
          <w:rFonts w:ascii="Arial" w:hAnsi="Arial" w:cs="Arial"/>
          <w:sz w:val="24"/>
          <w:szCs w:val="24"/>
        </w:rPr>
      </w:pPr>
      <w:r w:rsidRPr="00990B31">
        <w:rPr>
          <w:rFonts w:ascii="Arial" w:hAnsi="Arial" w:cs="Arial"/>
          <w:sz w:val="24"/>
          <w:szCs w:val="24"/>
        </w:rPr>
        <w:t>Assets = Liabilities + Equity</w:t>
      </w:r>
    </w:p>
    <w:bookmarkEnd w:id="1"/>
    <w:p w14:paraId="6F4D5CD4" w14:textId="30F1AB54" w:rsidR="00473AC3" w:rsidRPr="00BB64F6" w:rsidRDefault="00473AC3" w:rsidP="00473AC3">
      <w:pPr>
        <w:jc w:val="both"/>
        <w:rPr>
          <w:rFonts w:ascii="Arial" w:hAnsi="Arial" w:cs="Arial"/>
          <w:sz w:val="24"/>
          <w:szCs w:val="24"/>
        </w:rPr>
      </w:pPr>
      <w:r w:rsidRPr="00BB64F6">
        <w:rPr>
          <w:rFonts w:ascii="Arial" w:hAnsi="Arial" w:cs="Arial"/>
          <w:sz w:val="24"/>
          <w:szCs w:val="24"/>
        </w:rPr>
        <w:t xml:space="preserve">The statement of financial position is most often provided when a company has a double entry accounting system, because this method allows for continuous changes </w:t>
      </w:r>
      <w:r w:rsidR="00AB1E61" w:rsidRPr="00AB1E61">
        <w:rPr>
          <w:rFonts w:ascii="Arial" w:hAnsi="Arial" w:cs="Arial"/>
          <w:sz w:val="24"/>
          <w:szCs w:val="24"/>
        </w:rPr>
        <w:t>to accounting for assets, liabilities, and equity If an entity instead uses a single-entry accounting system, there is no easy method to generate the statement, which is frequently created manually.</w:t>
      </w:r>
    </w:p>
    <w:p w14:paraId="5F907802" w14:textId="12C2F45B" w:rsidR="00466218" w:rsidRDefault="001332B9" w:rsidP="000B74A5">
      <w:pPr>
        <w:jc w:val="both"/>
        <w:rPr>
          <w:rFonts w:ascii="Arial" w:hAnsi="Arial" w:cs="Arial"/>
          <w:sz w:val="24"/>
          <w:szCs w:val="24"/>
        </w:rPr>
      </w:pPr>
      <w:bookmarkStart w:id="2" w:name="_Hlk78196459"/>
      <w:bookmarkStart w:id="3" w:name="_Hlk78196638"/>
      <w:r w:rsidRPr="001332B9">
        <w:rPr>
          <w:rFonts w:ascii="Arial" w:hAnsi="Arial" w:cs="Arial"/>
          <w:sz w:val="24"/>
          <w:szCs w:val="24"/>
        </w:rPr>
        <w:t>Furthermore, when the statement is created utilizing the basic accounting rules set by the accounting frameworks, such as generally accepted accounting principles or international financial reporting standards, it gives more relevant information</w:t>
      </w:r>
      <w:r w:rsidR="00466218" w:rsidRPr="00466218">
        <w:rPr>
          <w:rFonts w:ascii="Arial" w:hAnsi="Arial" w:cs="Arial"/>
          <w:sz w:val="24"/>
          <w:szCs w:val="24"/>
        </w:rPr>
        <w:t>.</w:t>
      </w:r>
    </w:p>
    <w:bookmarkEnd w:id="2"/>
    <w:bookmarkEnd w:id="3"/>
    <w:p w14:paraId="53796B41" w14:textId="6CDECBE9" w:rsidR="000B74A5" w:rsidRPr="00A4075F" w:rsidRDefault="00F07599" w:rsidP="000B74A5">
      <w:pPr>
        <w:jc w:val="both"/>
        <w:rPr>
          <w:rFonts w:ascii="Arial" w:hAnsi="Arial" w:cs="Arial"/>
          <w:sz w:val="24"/>
          <w:szCs w:val="24"/>
        </w:rPr>
      </w:pPr>
      <w:r>
        <w:rPr>
          <w:rFonts w:ascii="Arial" w:hAnsi="Arial" w:cs="Arial"/>
          <w:sz w:val="24"/>
          <w:szCs w:val="24"/>
        </w:rPr>
        <w:t xml:space="preserve">According to </w:t>
      </w:r>
      <w:r w:rsidR="00C023F8" w:rsidRPr="00C023F8">
        <w:rPr>
          <w:rFonts w:ascii="Arial" w:hAnsi="Arial" w:cs="Arial"/>
          <w:sz w:val="24"/>
          <w:szCs w:val="24"/>
        </w:rPr>
        <w:t>Sangster, Lewis, and Wood (2018; p23) Understanding double entry accounting requires an understanding of the concepts 'debit' and 'credit.' You debit one account and credit another when you record a transaction. The amount deducted from the first account is always equal to the amount credited to the order account. This is why this form of bookkeeping is referred to as "double entry."</w:t>
      </w:r>
      <w:r w:rsidR="000B74A5" w:rsidRPr="00A4075F">
        <w:rPr>
          <w:rFonts w:ascii="Arial" w:hAnsi="Arial" w:cs="Arial"/>
          <w:sz w:val="24"/>
          <w:szCs w:val="24"/>
        </w:rPr>
        <w:t>'</w:t>
      </w:r>
      <w:r w:rsidR="00743F41" w:rsidRPr="00A4075F">
        <w:rPr>
          <w:rFonts w:ascii="Arial" w:hAnsi="Arial" w:cs="Arial"/>
          <w:sz w:val="24"/>
          <w:szCs w:val="24"/>
        </w:rPr>
        <w:t xml:space="preserve"> </w:t>
      </w:r>
      <w:r w:rsidR="000B74A5" w:rsidRPr="00A4075F">
        <w:rPr>
          <w:rFonts w:ascii="Arial" w:hAnsi="Arial" w:cs="Arial"/>
          <w:sz w:val="24"/>
          <w:szCs w:val="24"/>
        </w:rPr>
        <w:t>These ensure that you enter the proper information every time. Now that you understand what an account is, what the terms "debit" and "credit" imply, and the principles to follow, let's look at what occurs when we record the parts of a transaction. If you keep these ideas in mind, you will always know which accounts to debit and which accounts to credit.</w:t>
      </w:r>
      <w:r w:rsidR="00743F41" w:rsidRPr="00A4075F">
        <w:rPr>
          <w:rFonts w:ascii="Arial" w:hAnsi="Arial" w:cs="Arial"/>
          <w:sz w:val="24"/>
          <w:szCs w:val="24"/>
        </w:rPr>
        <w:t xml:space="preserve"> </w:t>
      </w:r>
      <w:r w:rsidR="000B74A5" w:rsidRPr="00A4075F">
        <w:rPr>
          <w:rFonts w:ascii="Arial" w:hAnsi="Arial" w:cs="Arial"/>
          <w:sz w:val="24"/>
          <w:szCs w:val="24"/>
        </w:rPr>
        <w:t>Debit always equals Credit.</w:t>
      </w:r>
    </w:p>
    <w:p w14:paraId="6EAB16F8" w14:textId="377B543D" w:rsidR="000B74A5" w:rsidRPr="00A4075F" w:rsidRDefault="00901828" w:rsidP="00520630">
      <w:pPr>
        <w:jc w:val="both"/>
        <w:rPr>
          <w:rFonts w:ascii="Arial" w:hAnsi="Arial" w:cs="Arial"/>
          <w:sz w:val="24"/>
          <w:szCs w:val="24"/>
        </w:rPr>
      </w:pPr>
      <w:bookmarkStart w:id="4" w:name="_Hlk78198270"/>
      <w:r w:rsidRPr="00A4075F">
        <w:rPr>
          <w:rFonts w:ascii="Arial" w:hAnsi="Arial" w:cs="Arial"/>
          <w:sz w:val="24"/>
          <w:szCs w:val="24"/>
        </w:rPr>
        <w:lastRenderedPageBreak/>
        <w:t xml:space="preserve">As stated by </w:t>
      </w:r>
      <w:r w:rsidR="000B74A5" w:rsidRPr="00A4075F">
        <w:rPr>
          <w:rFonts w:ascii="Arial" w:hAnsi="Arial" w:cs="Arial"/>
          <w:sz w:val="24"/>
          <w:szCs w:val="24"/>
        </w:rPr>
        <w:t>McLaney (2016; p171)</w:t>
      </w:r>
      <w:bookmarkEnd w:id="4"/>
      <w:r w:rsidRPr="00A4075F">
        <w:rPr>
          <w:rFonts w:ascii="Arial" w:hAnsi="Arial" w:cs="Arial"/>
          <w:sz w:val="24"/>
          <w:szCs w:val="24"/>
        </w:rPr>
        <w:t xml:space="preserve"> </w:t>
      </w:r>
      <w:r w:rsidR="000B74A5" w:rsidRPr="00A4075F">
        <w:rPr>
          <w:rFonts w:ascii="Arial" w:hAnsi="Arial" w:cs="Arial"/>
          <w:sz w:val="24"/>
          <w:szCs w:val="24"/>
        </w:rPr>
        <w:t xml:space="preserve">IAS </w:t>
      </w:r>
      <w:r w:rsidR="00F07599" w:rsidRPr="00F07599">
        <w:rPr>
          <w:rFonts w:ascii="Arial" w:hAnsi="Arial" w:cs="Arial"/>
          <w:sz w:val="24"/>
          <w:szCs w:val="24"/>
        </w:rPr>
        <w:t>This financial statement's structure (or layout) is not specified, but it does establish the minimum information that must be displayed on the face of the statement of financial situation.</w:t>
      </w:r>
    </w:p>
    <w:p w14:paraId="349D0EAC" w14:textId="49B9A5C9" w:rsidR="000B74A5" w:rsidRPr="00A4075F" w:rsidRDefault="00F07599" w:rsidP="000B74A5">
      <w:pPr>
        <w:jc w:val="both"/>
        <w:rPr>
          <w:rFonts w:ascii="Arial" w:hAnsi="Arial" w:cs="Arial"/>
          <w:sz w:val="24"/>
          <w:szCs w:val="24"/>
        </w:rPr>
      </w:pPr>
      <w:r w:rsidRPr="00F07599">
        <w:rPr>
          <w:rFonts w:ascii="Arial" w:hAnsi="Arial" w:cs="Arial"/>
          <w:sz w:val="24"/>
          <w:szCs w:val="24"/>
        </w:rPr>
        <w:t>When it is critical to understand the financial health of the firm, more information should be given. The standard requires a distinction between current assets and non-current assets, as well as current liabilities and non-current liabilities, in the statement of financial condition.</w:t>
      </w:r>
      <w:r>
        <w:rPr>
          <w:rFonts w:ascii="Arial" w:hAnsi="Arial" w:cs="Arial"/>
          <w:sz w:val="24"/>
          <w:szCs w:val="24"/>
        </w:rPr>
        <w:t xml:space="preserve"> </w:t>
      </w:r>
      <w:r w:rsidRPr="00F07599">
        <w:rPr>
          <w:rFonts w:ascii="Arial" w:hAnsi="Arial" w:cs="Arial"/>
          <w:sz w:val="24"/>
          <w:szCs w:val="24"/>
        </w:rPr>
        <w:t>However, the standard recognizes that for certain types of companies, such as financial institutions, it may be more appropriate to organize products depending on their liquidity (that is, their proximity to the liquid).</w:t>
      </w:r>
    </w:p>
    <w:p w14:paraId="0848A997" w14:textId="5E3227B9" w:rsidR="000B74A5" w:rsidRPr="00A4075F" w:rsidRDefault="000B74A5" w:rsidP="000B74A5">
      <w:pPr>
        <w:jc w:val="both"/>
        <w:rPr>
          <w:rFonts w:ascii="Arial" w:hAnsi="Arial" w:cs="Arial"/>
          <w:sz w:val="24"/>
          <w:szCs w:val="24"/>
        </w:rPr>
      </w:pPr>
      <w:r w:rsidRPr="00A4075F">
        <w:rPr>
          <w:rFonts w:ascii="Arial" w:hAnsi="Arial" w:cs="Arial"/>
          <w:sz w:val="24"/>
          <w:szCs w:val="24"/>
        </w:rPr>
        <w:t xml:space="preserve">Some of the assets and claims described above may need to be sub-classified in order to meet certain criteria or due to their size and nature. </w:t>
      </w:r>
      <w:r w:rsidR="00642EDF" w:rsidRPr="00642EDF">
        <w:rPr>
          <w:rFonts w:ascii="Arial" w:hAnsi="Arial" w:cs="Arial"/>
          <w:sz w:val="24"/>
          <w:szCs w:val="24"/>
        </w:rPr>
        <w:t>Thus, sub-categories including assets such as property, plant, and equipment, as well as trade receivables and inventories, as well as claims such as provisions and reserves, are required. Certain share capital information must also be given, such as the number of issued shares and their nominal value. However, in order to prevent cluttering up the financial status statement, this additional information has been removed.</w:t>
      </w:r>
    </w:p>
    <w:p w14:paraId="47C560C0" w14:textId="5809D638" w:rsidR="000B74A5" w:rsidRPr="00A4075F" w:rsidRDefault="007957CE" w:rsidP="000B74A5">
      <w:pPr>
        <w:jc w:val="both"/>
        <w:rPr>
          <w:rFonts w:ascii="Arial" w:hAnsi="Arial" w:cs="Arial"/>
          <w:sz w:val="24"/>
          <w:szCs w:val="24"/>
        </w:rPr>
      </w:pPr>
      <w:r w:rsidRPr="007957CE">
        <w:rPr>
          <w:rFonts w:ascii="Arial" w:hAnsi="Arial" w:cs="Arial"/>
          <w:sz w:val="24"/>
          <w:szCs w:val="24"/>
        </w:rPr>
        <w:t>McLaney (2016; p36) earlier noticed that This statement illustrates the form in which a company's money is held as well as the quantity of wealth stored in each form. To be more precise regarding the nature of this statement, we may say that it lists a company's assets on one hand and its obligations on the other.</w:t>
      </w:r>
    </w:p>
    <w:p w14:paraId="54D05999" w14:textId="7003BC71" w:rsidR="000B74A5" w:rsidRPr="00A4075F" w:rsidRDefault="000B74A5" w:rsidP="000B74A5">
      <w:pPr>
        <w:jc w:val="both"/>
        <w:rPr>
          <w:rFonts w:ascii="Arial" w:hAnsi="Arial" w:cs="Arial"/>
          <w:sz w:val="24"/>
          <w:szCs w:val="24"/>
        </w:rPr>
      </w:pPr>
      <w:r w:rsidRPr="00A4075F">
        <w:rPr>
          <w:rFonts w:ascii="Arial" w:hAnsi="Arial" w:cs="Arial"/>
          <w:sz w:val="24"/>
          <w:szCs w:val="24"/>
        </w:rPr>
        <w:t xml:space="preserve">According to: </w:t>
      </w:r>
      <w:bookmarkStart w:id="5" w:name="_Hlk78197746"/>
      <w:r w:rsidRPr="00A4075F">
        <w:rPr>
          <w:rFonts w:ascii="Arial" w:hAnsi="Arial" w:cs="Arial"/>
          <w:sz w:val="24"/>
          <w:szCs w:val="24"/>
        </w:rPr>
        <w:t>Atrill; McLaney; (2016,2017; p 43)</w:t>
      </w:r>
      <w:bookmarkEnd w:id="5"/>
      <w:r w:rsidR="00350DD4" w:rsidRPr="00A4075F">
        <w:rPr>
          <w:rFonts w:ascii="Arial" w:hAnsi="Arial" w:cs="Arial"/>
          <w:sz w:val="24"/>
          <w:szCs w:val="24"/>
        </w:rPr>
        <w:t xml:space="preserve"> </w:t>
      </w:r>
      <w:r w:rsidR="00F44666" w:rsidRPr="00F44666">
        <w:rPr>
          <w:rFonts w:ascii="Arial" w:hAnsi="Arial" w:cs="Arial"/>
          <w:sz w:val="24"/>
          <w:szCs w:val="24"/>
        </w:rPr>
        <w:t>The accounting equation may now be expanded as follows as a result of what we've just seen:</w:t>
      </w:r>
    </w:p>
    <w:p w14:paraId="580A311A" w14:textId="77777777" w:rsidR="000B74A5" w:rsidRPr="00A4075F" w:rsidRDefault="000B74A5" w:rsidP="000B74A5">
      <w:pPr>
        <w:jc w:val="both"/>
        <w:rPr>
          <w:rFonts w:ascii="Arial" w:hAnsi="Arial" w:cs="Arial"/>
          <w:sz w:val="24"/>
          <w:szCs w:val="24"/>
        </w:rPr>
      </w:pPr>
      <w:r w:rsidRPr="00A4075F">
        <w:rPr>
          <w:rFonts w:ascii="Arial" w:hAnsi="Arial" w:cs="Arial"/>
          <w:sz w:val="24"/>
          <w:szCs w:val="24"/>
        </w:rPr>
        <w:t>Equity = Assets (at the conclusion of the period) (amount at the start of period)</w:t>
      </w:r>
    </w:p>
    <w:p w14:paraId="1A0A8937" w14:textId="77777777" w:rsidR="000B74A5" w:rsidRPr="00A4075F" w:rsidRDefault="000B74A5" w:rsidP="000B74A5">
      <w:pPr>
        <w:jc w:val="both"/>
        <w:rPr>
          <w:rFonts w:ascii="Arial" w:hAnsi="Arial" w:cs="Arial"/>
          <w:sz w:val="24"/>
          <w:szCs w:val="24"/>
        </w:rPr>
      </w:pPr>
      <w:r w:rsidRPr="00A4075F">
        <w:rPr>
          <w:rFonts w:ascii="Arial" w:hAnsi="Arial" w:cs="Arial"/>
          <w:sz w:val="24"/>
          <w:szCs w:val="24"/>
        </w:rPr>
        <w:t>+ Period profit (or loss)</w:t>
      </w:r>
    </w:p>
    <w:p w14:paraId="173FB73F" w14:textId="62CF4BD7" w:rsidR="000B74A5" w:rsidRPr="00A4075F" w:rsidRDefault="000B74A5" w:rsidP="000B74A5">
      <w:pPr>
        <w:jc w:val="both"/>
        <w:rPr>
          <w:rFonts w:ascii="Arial" w:hAnsi="Arial" w:cs="Arial"/>
          <w:sz w:val="24"/>
          <w:szCs w:val="24"/>
        </w:rPr>
      </w:pPr>
      <w:r w:rsidRPr="00A4075F">
        <w:rPr>
          <w:rFonts w:ascii="Arial" w:hAnsi="Arial" w:cs="Arial"/>
          <w:sz w:val="24"/>
          <w:szCs w:val="24"/>
        </w:rPr>
        <w:t>+Liabilities (at the end of the period)</w:t>
      </w:r>
    </w:p>
    <w:p w14:paraId="0265994C" w14:textId="77777777" w:rsidR="000B74A5" w:rsidRPr="00CE6933" w:rsidRDefault="000B74A5" w:rsidP="000B74A5">
      <w:pPr>
        <w:jc w:val="both"/>
        <w:rPr>
          <w:rFonts w:ascii="Arial" w:hAnsi="Arial" w:cs="Arial"/>
          <w:sz w:val="24"/>
          <w:szCs w:val="24"/>
        </w:rPr>
      </w:pPr>
      <w:r w:rsidRPr="00CE6933">
        <w:rPr>
          <w:rFonts w:ascii="Arial" w:hAnsi="Arial" w:cs="Arial"/>
          <w:sz w:val="24"/>
          <w:szCs w:val="24"/>
        </w:rPr>
        <w:t>The quantity of equity, like all other items in the statement of financial positions, is cumulative. This means that any earnings that the owner(s) do not take out as dividends stays in the business. Earnings that are kept (or ploughed back) have the effect of increasing the company.</w:t>
      </w:r>
    </w:p>
    <w:p w14:paraId="1161D4C1" w14:textId="38187B12" w:rsidR="000B74A5" w:rsidRPr="00CE6933" w:rsidRDefault="000B74A5" w:rsidP="000B74A5">
      <w:pPr>
        <w:jc w:val="both"/>
        <w:rPr>
          <w:rFonts w:ascii="Arial" w:hAnsi="Arial" w:cs="Arial"/>
          <w:sz w:val="24"/>
          <w:szCs w:val="24"/>
        </w:rPr>
      </w:pPr>
      <w:r w:rsidRPr="00CE6933">
        <w:rPr>
          <w:rFonts w:ascii="Arial" w:hAnsi="Arial" w:cs="Arial"/>
          <w:sz w:val="24"/>
          <w:szCs w:val="24"/>
        </w:rPr>
        <w:t>Assets and claims are typically organized into categories on the statement of financial status. This is to assist users, as a random listing of these goods could be misleading. Current and non-current assets are the two types of asset</w:t>
      </w:r>
      <w:r w:rsidR="00D323C3" w:rsidRPr="00CE6933">
        <w:rPr>
          <w:rFonts w:ascii="Arial" w:hAnsi="Arial" w:cs="Arial"/>
          <w:sz w:val="24"/>
          <w:szCs w:val="24"/>
        </w:rPr>
        <w:t>.</w:t>
      </w:r>
    </w:p>
    <w:p w14:paraId="1390E301" w14:textId="38614FDE" w:rsidR="00AD6631" w:rsidRDefault="00AD6631" w:rsidP="00FD7E77">
      <w:pPr>
        <w:jc w:val="both"/>
        <w:rPr>
          <w:rFonts w:ascii="Times New Roman" w:hAnsi="Times New Roman" w:cs="Times New Roman"/>
          <w:b/>
          <w:bCs/>
          <w:sz w:val="36"/>
          <w:szCs w:val="36"/>
        </w:rPr>
      </w:pPr>
    </w:p>
    <w:p w14:paraId="0841BB76" w14:textId="5CC1601A" w:rsidR="00AD6631" w:rsidRDefault="00AD6631" w:rsidP="00FD7E77">
      <w:pPr>
        <w:jc w:val="both"/>
        <w:rPr>
          <w:rFonts w:ascii="Times New Roman" w:hAnsi="Times New Roman" w:cs="Times New Roman"/>
          <w:b/>
          <w:bCs/>
          <w:sz w:val="36"/>
          <w:szCs w:val="36"/>
        </w:rPr>
      </w:pPr>
    </w:p>
    <w:p w14:paraId="5321645C" w14:textId="77777777" w:rsidR="00B04C7C" w:rsidRDefault="00B04C7C" w:rsidP="00A4075F">
      <w:pPr>
        <w:rPr>
          <w:rFonts w:ascii="Times New Roman" w:hAnsi="Times New Roman" w:cs="Times New Roman"/>
          <w:b/>
          <w:bCs/>
          <w:sz w:val="36"/>
          <w:szCs w:val="36"/>
        </w:rPr>
      </w:pPr>
    </w:p>
    <w:p w14:paraId="4A5FC488" w14:textId="0A215237" w:rsidR="00A70E4B" w:rsidRDefault="00A70E4B" w:rsidP="00B24A98">
      <w:pPr>
        <w:jc w:val="center"/>
        <w:rPr>
          <w:rFonts w:ascii="Times New Roman" w:hAnsi="Times New Roman" w:cs="Times New Roman"/>
          <w:b/>
          <w:bCs/>
          <w:sz w:val="36"/>
          <w:szCs w:val="36"/>
        </w:rPr>
      </w:pPr>
      <w:r>
        <w:rPr>
          <w:rFonts w:ascii="Times New Roman" w:hAnsi="Times New Roman" w:cs="Times New Roman"/>
          <w:b/>
          <w:bCs/>
          <w:sz w:val="36"/>
          <w:szCs w:val="36"/>
        </w:rPr>
        <w:t>Question 2a</w:t>
      </w:r>
    </w:p>
    <w:p w14:paraId="3BEEDD1E" w14:textId="723D2959" w:rsidR="00A70E4B" w:rsidRDefault="0002008D" w:rsidP="0002008D">
      <w:pPr>
        <w:jc w:val="both"/>
        <w:rPr>
          <w:rFonts w:ascii="Times New Roman" w:hAnsi="Times New Roman" w:cs="Times New Roman"/>
          <w:b/>
          <w:bCs/>
          <w:sz w:val="36"/>
          <w:szCs w:val="36"/>
        </w:rPr>
      </w:pPr>
      <w:r w:rsidRPr="0002008D">
        <w:rPr>
          <w:noProof/>
        </w:rPr>
        <w:lastRenderedPageBreak/>
        <w:drawing>
          <wp:inline distT="0" distB="0" distL="0" distR="0" wp14:anchorId="2A8F8217" wp14:editId="3A407A30">
            <wp:extent cx="5731510" cy="80022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8002270"/>
                    </a:xfrm>
                    <a:prstGeom prst="rect">
                      <a:avLst/>
                    </a:prstGeom>
                    <a:noFill/>
                    <a:ln>
                      <a:noFill/>
                    </a:ln>
                  </pic:spPr>
                </pic:pic>
              </a:graphicData>
            </a:graphic>
          </wp:inline>
        </w:drawing>
      </w:r>
    </w:p>
    <w:p w14:paraId="58BFB59D" w14:textId="7B4CEAF0" w:rsidR="005C66F2" w:rsidRDefault="005C66F2" w:rsidP="00B24A98">
      <w:pPr>
        <w:jc w:val="center"/>
        <w:rPr>
          <w:rFonts w:ascii="Times New Roman" w:hAnsi="Times New Roman" w:cs="Times New Roman"/>
          <w:b/>
          <w:bCs/>
          <w:sz w:val="36"/>
          <w:szCs w:val="36"/>
        </w:rPr>
      </w:pPr>
    </w:p>
    <w:tbl>
      <w:tblPr>
        <w:tblW w:w="8820" w:type="dxa"/>
        <w:tblLook w:val="04A0" w:firstRow="1" w:lastRow="0" w:firstColumn="1" w:lastColumn="0" w:noHBand="0" w:noVBand="1"/>
      </w:tblPr>
      <w:tblGrid>
        <w:gridCol w:w="2146"/>
        <w:gridCol w:w="1030"/>
        <w:gridCol w:w="1030"/>
        <w:gridCol w:w="4614"/>
      </w:tblGrid>
      <w:tr w:rsidR="00DE1D85" w:rsidRPr="00DE1D85" w14:paraId="06F147AD" w14:textId="77777777" w:rsidTr="00DE1D85">
        <w:trPr>
          <w:trHeight w:val="620"/>
        </w:trPr>
        <w:tc>
          <w:tcPr>
            <w:tcW w:w="21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E5B0A23" w14:textId="77777777" w:rsidR="00DE1D85" w:rsidRPr="00DE1D85" w:rsidRDefault="00DE1D85" w:rsidP="00DE1D85">
            <w:pPr>
              <w:spacing w:after="0" w:line="240" w:lineRule="auto"/>
              <w:rPr>
                <w:rFonts w:ascii="Arial" w:eastAsia="Times New Roman" w:hAnsi="Arial" w:cs="Arial"/>
                <w:b/>
                <w:bCs/>
                <w:color w:val="000000"/>
                <w:sz w:val="24"/>
                <w:szCs w:val="24"/>
                <w:u w:val="single"/>
                <w:lang w:eastAsia="en-GB"/>
              </w:rPr>
            </w:pPr>
            <w:r w:rsidRPr="00DE1D85">
              <w:rPr>
                <w:rFonts w:ascii="Arial" w:eastAsia="Times New Roman" w:hAnsi="Arial" w:cs="Arial"/>
                <w:b/>
                <w:bCs/>
                <w:color w:val="000000"/>
                <w:sz w:val="24"/>
                <w:szCs w:val="24"/>
                <w:u w:val="single"/>
                <w:lang w:eastAsia="en-GB"/>
              </w:rPr>
              <w:lastRenderedPageBreak/>
              <w:t>Ratio Analysis Chocco plc</w:t>
            </w:r>
          </w:p>
        </w:tc>
        <w:tc>
          <w:tcPr>
            <w:tcW w:w="900" w:type="dxa"/>
            <w:tcBorders>
              <w:top w:val="single" w:sz="4" w:space="0" w:color="auto"/>
              <w:left w:val="nil"/>
              <w:bottom w:val="single" w:sz="4" w:space="0" w:color="auto"/>
              <w:right w:val="single" w:sz="4" w:space="0" w:color="auto"/>
            </w:tcBorders>
            <w:shd w:val="clear" w:color="auto" w:fill="auto"/>
            <w:vAlign w:val="bottom"/>
            <w:hideMark/>
          </w:tcPr>
          <w:p w14:paraId="75A0A5A5" w14:textId="77777777" w:rsidR="00DE1D85" w:rsidRPr="00DE1D85" w:rsidRDefault="00DE1D85" w:rsidP="00DE1D85">
            <w:pPr>
              <w:spacing w:after="0" w:line="240" w:lineRule="auto"/>
              <w:jc w:val="right"/>
              <w:rPr>
                <w:rFonts w:ascii="Arial" w:eastAsia="Times New Roman" w:hAnsi="Arial" w:cs="Arial"/>
                <w:b/>
                <w:bCs/>
                <w:color w:val="000000"/>
                <w:sz w:val="24"/>
                <w:szCs w:val="24"/>
                <w:u w:val="single"/>
                <w:lang w:eastAsia="en-GB"/>
              </w:rPr>
            </w:pPr>
            <w:r w:rsidRPr="00DE1D85">
              <w:rPr>
                <w:rFonts w:ascii="Arial" w:eastAsia="Times New Roman" w:hAnsi="Arial" w:cs="Arial"/>
                <w:b/>
                <w:bCs/>
                <w:color w:val="000000"/>
                <w:sz w:val="24"/>
                <w:szCs w:val="24"/>
                <w:u w:val="single"/>
                <w:lang w:eastAsia="en-GB"/>
              </w:rPr>
              <w:t>2020</w:t>
            </w:r>
          </w:p>
        </w:tc>
        <w:tc>
          <w:tcPr>
            <w:tcW w:w="980" w:type="dxa"/>
            <w:tcBorders>
              <w:top w:val="single" w:sz="4" w:space="0" w:color="auto"/>
              <w:left w:val="nil"/>
              <w:bottom w:val="single" w:sz="4" w:space="0" w:color="auto"/>
              <w:right w:val="single" w:sz="4" w:space="0" w:color="auto"/>
            </w:tcBorders>
            <w:shd w:val="clear" w:color="auto" w:fill="auto"/>
            <w:vAlign w:val="bottom"/>
            <w:hideMark/>
          </w:tcPr>
          <w:p w14:paraId="2EFFAF57" w14:textId="77777777" w:rsidR="00DE1D85" w:rsidRPr="00DE1D85" w:rsidRDefault="00DE1D85" w:rsidP="00DE1D85">
            <w:pPr>
              <w:spacing w:after="0" w:line="240" w:lineRule="auto"/>
              <w:jc w:val="right"/>
              <w:rPr>
                <w:rFonts w:ascii="Arial" w:eastAsia="Times New Roman" w:hAnsi="Arial" w:cs="Arial"/>
                <w:b/>
                <w:bCs/>
                <w:color w:val="000000"/>
                <w:sz w:val="24"/>
                <w:szCs w:val="24"/>
                <w:u w:val="single"/>
                <w:lang w:eastAsia="en-GB"/>
              </w:rPr>
            </w:pPr>
            <w:r w:rsidRPr="00DE1D85">
              <w:rPr>
                <w:rFonts w:ascii="Arial" w:eastAsia="Times New Roman" w:hAnsi="Arial" w:cs="Arial"/>
                <w:b/>
                <w:bCs/>
                <w:color w:val="000000"/>
                <w:sz w:val="24"/>
                <w:szCs w:val="24"/>
                <w:u w:val="single"/>
                <w:lang w:eastAsia="en-GB"/>
              </w:rPr>
              <w:t>2019</w:t>
            </w:r>
          </w:p>
        </w:tc>
        <w:tc>
          <w:tcPr>
            <w:tcW w:w="4780" w:type="dxa"/>
            <w:tcBorders>
              <w:top w:val="single" w:sz="4" w:space="0" w:color="auto"/>
              <w:left w:val="nil"/>
              <w:bottom w:val="single" w:sz="4" w:space="0" w:color="auto"/>
              <w:right w:val="single" w:sz="4" w:space="0" w:color="auto"/>
            </w:tcBorders>
            <w:shd w:val="clear" w:color="auto" w:fill="auto"/>
            <w:vAlign w:val="bottom"/>
            <w:hideMark/>
          </w:tcPr>
          <w:p w14:paraId="21F674F3" w14:textId="77777777" w:rsidR="00DE1D85" w:rsidRPr="00DE1D85" w:rsidRDefault="00DE1D85" w:rsidP="00DE1D85">
            <w:pPr>
              <w:spacing w:after="0" w:line="240" w:lineRule="auto"/>
              <w:rPr>
                <w:rFonts w:ascii="Arial" w:eastAsia="Times New Roman" w:hAnsi="Arial" w:cs="Arial"/>
                <w:b/>
                <w:bCs/>
                <w:color w:val="000000"/>
                <w:sz w:val="24"/>
                <w:szCs w:val="24"/>
                <w:u w:val="single"/>
                <w:lang w:eastAsia="en-GB"/>
              </w:rPr>
            </w:pPr>
            <w:r w:rsidRPr="00DE1D85">
              <w:rPr>
                <w:rFonts w:ascii="Arial" w:eastAsia="Times New Roman" w:hAnsi="Arial" w:cs="Arial"/>
                <w:b/>
                <w:bCs/>
                <w:color w:val="000000"/>
                <w:sz w:val="24"/>
                <w:szCs w:val="24"/>
                <w:u w:val="single"/>
                <w:lang w:eastAsia="en-GB"/>
              </w:rPr>
              <w:t>Analysis</w:t>
            </w:r>
          </w:p>
        </w:tc>
      </w:tr>
      <w:tr w:rsidR="00DE1D85" w:rsidRPr="00DE1D85" w14:paraId="00BC364B"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71577091" w14:textId="77777777" w:rsidR="00DE1D85" w:rsidRPr="00DE1D85" w:rsidRDefault="00DE1D85" w:rsidP="00DE1D85">
            <w:pPr>
              <w:spacing w:after="0" w:line="240" w:lineRule="auto"/>
              <w:rPr>
                <w:rFonts w:ascii="Arial" w:eastAsia="Times New Roman" w:hAnsi="Arial" w:cs="Arial"/>
                <w:color w:val="000000"/>
                <w:sz w:val="24"/>
                <w:szCs w:val="24"/>
                <w:u w:val="single"/>
                <w:lang w:eastAsia="en-GB"/>
              </w:rPr>
            </w:pPr>
            <w:r w:rsidRPr="00DE1D85">
              <w:rPr>
                <w:rFonts w:ascii="Arial" w:eastAsia="Times New Roman" w:hAnsi="Arial" w:cs="Arial"/>
                <w:color w:val="000000"/>
                <w:sz w:val="24"/>
                <w:szCs w:val="24"/>
                <w:u w:val="single"/>
                <w:lang w:eastAsia="en-GB"/>
              </w:rPr>
              <w:t>Investment Ratios</w:t>
            </w:r>
          </w:p>
        </w:tc>
        <w:tc>
          <w:tcPr>
            <w:tcW w:w="900" w:type="dxa"/>
            <w:tcBorders>
              <w:top w:val="nil"/>
              <w:left w:val="nil"/>
              <w:bottom w:val="single" w:sz="4" w:space="0" w:color="auto"/>
              <w:right w:val="single" w:sz="4" w:space="0" w:color="auto"/>
            </w:tcBorders>
            <w:shd w:val="clear" w:color="auto" w:fill="auto"/>
            <w:vAlign w:val="bottom"/>
            <w:hideMark/>
          </w:tcPr>
          <w:p w14:paraId="428657C6" w14:textId="77777777" w:rsidR="00DE1D85" w:rsidRPr="00DE1D85" w:rsidRDefault="00DE1D85" w:rsidP="00DE1D85">
            <w:pPr>
              <w:spacing w:after="0" w:line="240" w:lineRule="auto"/>
              <w:rPr>
                <w:rFonts w:ascii="Arial" w:eastAsia="Times New Roman" w:hAnsi="Arial" w:cs="Arial"/>
                <w:b/>
                <w:bCs/>
                <w:color w:val="000000"/>
                <w:sz w:val="24"/>
                <w:szCs w:val="24"/>
                <w:u w:val="single"/>
                <w:lang w:eastAsia="en-GB"/>
              </w:rPr>
            </w:pPr>
            <w:r w:rsidRPr="00DE1D85">
              <w:rPr>
                <w:rFonts w:ascii="Arial" w:eastAsia="Times New Roman" w:hAnsi="Arial" w:cs="Arial"/>
                <w:b/>
                <w:bCs/>
                <w:color w:val="000000"/>
                <w:sz w:val="24"/>
                <w:szCs w:val="24"/>
                <w:u w:val="single"/>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36E20C64"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19021A6B"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398736C1" w14:textId="77777777" w:rsidTr="00DE1D85">
        <w:trPr>
          <w:trHeight w:val="217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F7B904B"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1- ROCE Return on capital employed</w:t>
            </w:r>
          </w:p>
        </w:tc>
        <w:tc>
          <w:tcPr>
            <w:tcW w:w="900" w:type="dxa"/>
            <w:tcBorders>
              <w:top w:val="nil"/>
              <w:left w:val="nil"/>
              <w:bottom w:val="single" w:sz="4" w:space="0" w:color="auto"/>
              <w:right w:val="single" w:sz="4" w:space="0" w:color="auto"/>
            </w:tcBorders>
            <w:shd w:val="clear" w:color="auto" w:fill="auto"/>
            <w:vAlign w:val="bottom"/>
            <w:hideMark/>
          </w:tcPr>
          <w:p w14:paraId="525B7E2A"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11.14%</w:t>
            </w:r>
          </w:p>
        </w:tc>
        <w:tc>
          <w:tcPr>
            <w:tcW w:w="980" w:type="dxa"/>
            <w:tcBorders>
              <w:top w:val="nil"/>
              <w:left w:val="nil"/>
              <w:bottom w:val="single" w:sz="4" w:space="0" w:color="auto"/>
              <w:right w:val="single" w:sz="4" w:space="0" w:color="auto"/>
            </w:tcBorders>
            <w:shd w:val="clear" w:color="auto" w:fill="auto"/>
            <w:vAlign w:val="bottom"/>
            <w:hideMark/>
          </w:tcPr>
          <w:p w14:paraId="1B03EC4C"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9.93%</w:t>
            </w:r>
          </w:p>
        </w:tc>
        <w:tc>
          <w:tcPr>
            <w:tcW w:w="4780" w:type="dxa"/>
            <w:tcBorders>
              <w:top w:val="nil"/>
              <w:left w:val="nil"/>
              <w:bottom w:val="single" w:sz="4" w:space="0" w:color="auto"/>
              <w:right w:val="single" w:sz="4" w:space="0" w:color="auto"/>
            </w:tcBorders>
            <w:shd w:val="clear" w:color="auto" w:fill="auto"/>
            <w:vAlign w:val="bottom"/>
            <w:hideMark/>
          </w:tcPr>
          <w:p w14:paraId="008CEDB0" w14:textId="1A6DD54E"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xml:space="preserve">For every £100 you have invested in the company, you will get £11.14 in 2020 and £9.93 in 2019 in return. There is a slight increase in the return on capital employed. </w:t>
            </w:r>
            <w:r w:rsidR="00F44666" w:rsidRPr="00F44666">
              <w:rPr>
                <w:rFonts w:ascii="Arial" w:eastAsia="Times New Roman" w:hAnsi="Arial" w:cs="Arial"/>
                <w:color w:val="000000"/>
                <w:sz w:val="24"/>
                <w:szCs w:val="24"/>
                <w:lang w:eastAsia="en-GB"/>
              </w:rPr>
              <w:t>A lower ROCE number suggests a lower level of profitability. A greater ROCE suggests that money is being used more efficiently.</w:t>
            </w:r>
          </w:p>
        </w:tc>
      </w:tr>
      <w:tr w:rsidR="00DE1D85" w:rsidRPr="00DE1D85" w14:paraId="7DE8CB31"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134C5E56"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73CBCE79"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6CBCF1DD"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27979982"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647415B1"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66C81521"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24DF766C"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BCEC223"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35FA7555"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5287FBE0" w14:textId="77777777" w:rsidTr="00DE1D85">
        <w:trPr>
          <w:trHeight w:val="217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54712302"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2- ROE Return on equity</w:t>
            </w:r>
          </w:p>
        </w:tc>
        <w:tc>
          <w:tcPr>
            <w:tcW w:w="900" w:type="dxa"/>
            <w:tcBorders>
              <w:top w:val="nil"/>
              <w:left w:val="nil"/>
              <w:bottom w:val="single" w:sz="4" w:space="0" w:color="auto"/>
              <w:right w:val="single" w:sz="4" w:space="0" w:color="auto"/>
            </w:tcBorders>
            <w:shd w:val="clear" w:color="auto" w:fill="auto"/>
            <w:vAlign w:val="bottom"/>
            <w:hideMark/>
          </w:tcPr>
          <w:p w14:paraId="1358D94C"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13.96%</w:t>
            </w:r>
          </w:p>
        </w:tc>
        <w:tc>
          <w:tcPr>
            <w:tcW w:w="980" w:type="dxa"/>
            <w:tcBorders>
              <w:top w:val="nil"/>
              <w:left w:val="nil"/>
              <w:bottom w:val="single" w:sz="4" w:space="0" w:color="auto"/>
              <w:right w:val="single" w:sz="4" w:space="0" w:color="auto"/>
            </w:tcBorders>
            <w:shd w:val="clear" w:color="auto" w:fill="auto"/>
            <w:vAlign w:val="bottom"/>
            <w:hideMark/>
          </w:tcPr>
          <w:p w14:paraId="5294FCB8"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12.57%</w:t>
            </w:r>
          </w:p>
        </w:tc>
        <w:tc>
          <w:tcPr>
            <w:tcW w:w="4780" w:type="dxa"/>
            <w:tcBorders>
              <w:top w:val="nil"/>
              <w:left w:val="nil"/>
              <w:bottom w:val="single" w:sz="4" w:space="0" w:color="auto"/>
              <w:right w:val="single" w:sz="4" w:space="0" w:color="auto"/>
            </w:tcBorders>
            <w:shd w:val="clear" w:color="auto" w:fill="auto"/>
            <w:vAlign w:val="bottom"/>
            <w:hideMark/>
          </w:tcPr>
          <w:p w14:paraId="38AFFCF4" w14:textId="3DB54C40" w:rsidR="00DE1D85" w:rsidRPr="00DE1D85" w:rsidRDefault="00F44666" w:rsidP="00DE1D85">
            <w:pPr>
              <w:spacing w:after="0" w:line="240" w:lineRule="auto"/>
              <w:rPr>
                <w:rFonts w:ascii="Arial" w:eastAsia="Times New Roman" w:hAnsi="Arial" w:cs="Arial"/>
                <w:color w:val="000000"/>
                <w:sz w:val="24"/>
                <w:szCs w:val="24"/>
                <w:lang w:eastAsia="en-GB"/>
              </w:rPr>
            </w:pPr>
            <w:r w:rsidRPr="00F44666">
              <w:rPr>
                <w:rFonts w:ascii="Arial" w:eastAsia="Times New Roman" w:hAnsi="Arial" w:cs="Arial"/>
                <w:color w:val="000000"/>
                <w:sz w:val="24"/>
                <w:szCs w:val="24"/>
                <w:lang w:eastAsia="en-GB"/>
              </w:rPr>
              <w:t>For every £100 invested by investors/shareholders, the firm will return £13 in 2020 and £12 in 2019. The somewhat higher figures are typically positive, indicating that the firm is efficient in generating returns on new investment.</w:t>
            </w:r>
          </w:p>
        </w:tc>
      </w:tr>
      <w:tr w:rsidR="00DE1D85" w:rsidRPr="00DE1D85" w14:paraId="3D9A4A24"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5D6950B"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5420AA93"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043CB29B"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279C98AF"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11D72CE2"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631B1560"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210FFCF6"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7D683138"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213538F7"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19D57406" w14:textId="77777777" w:rsidTr="00DE1D85">
        <w:trPr>
          <w:trHeight w:val="186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06E182B7"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3- Earnings per share</w:t>
            </w:r>
          </w:p>
        </w:tc>
        <w:tc>
          <w:tcPr>
            <w:tcW w:w="900" w:type="dxa"/>
            <w:tcBorders>
              <w:top w:val="nil"/>
              <w:left w:val="nil"/>
              <w:bottom w:val="single" w:sz="4" w:space="0" w:color="auto"/>
              <w:right w:val="single" w:sz="4" w:space="0" w:color="auto"/>
            </w:tcBorders>
            <w:shd w:val="clear" w:color="auto" w:fill="auto"/>
            <w:vAlign w:val="bottom"/>
            <w:hideMark/>
          </w:tcPr>
          <w:p w14:paraId="14606B31"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0.71</w:t>
            </w:r>
          </w:p>
        </w:tc>
        <w:tc>
          <w:tcPr>
            <w:tcW w:w="980" w:type="dxa"/>
            <w:tcBorders>
              <w:top w:val="nil"/>
              <w:left w:val="nil"/>
              <w:bottom w:val="single" w:sz="4" w:space="0" w:color="auto"/>
              <w:right w:val="single" w:sz="4" w:space="0" w:color="auto"/>
            </w:tcBorders>
            <w:shd w:val="clear" w:color="auto" w:fill="auto"/>
            <w:vAlign w:val="bottom"/>
            <w:hideMark/>
          </w:tcPr>
          <w:p w14:paraId="51FCFFEE"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0.61</w:t>
            </w:r>
          </w:p>
        </w:tc>
        <w:tc>
          <w:tcPr>
            <w:tcW w:w="4780" w:type="dxa"/>
            <w:tcBorders>
              <w:top w:val="nil"/>
              <w:left w:val="nil"/>
              <w:bottom w:val="single" w:sz="4" w:space="0" w:color="auto"/>
              <w:right w:val="single" w:sz="4" w:space="0" w:color="auto"/>
            </w:tcBorders>
            <w:shd w:val="clear" w:color="auto" w:fill="auto"/>
            <w:vAlign w:val="bottom"/>
            <w:hideMark/>
          </w:tcPr>
          <w:p w14:paraId="71F33216" w14:textId="210BFC8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xml:space="preserve">For every ordinary share held in the company, it earns £0.71 in 2020 and £0.61 in 2019 of net profit. </w:t>
            </w:r>
            <w:r w:rsidR="00F44666" w:rsidRPr="00F44666">
              <w:rPr>
                <w:rFonts w:ascii="Arial" w:eastAsia="Times New Roman" w:hAnsi="Arial" w:cs="Arial"/>
                <w:color w:val="000000"/>
                <w:sz w:val="24"/>
                <w:szCs w:val="24"/>
                <w:lang w:eastAsia="en-GB"/>
              </w:rPr>
              <w:t>EPS is an indication of a steady, somewhat increased earnings, a good financial position, and thus a trustworthy firm in which to invest.</w:t>
            </w:r>
          </w:p>
        </w:tc>
      </w:tr>
      <w:tr w:rsidR="00DE1D85" w:rsidRPr="00DE1D85" w14:paraId="6C6F33BE"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2CD0D1BD"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620B050B"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5BCD587A"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6FC82638"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629DB2E6"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0120F48B"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685216FD"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3048E558"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77932274"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3FCFDBA2" w14:textId="77777777" w:rsidTr="00DE1D85">
        <w:trPr>
          <w:trHeight w:val="62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56E51E02" w14:textId="77777777" w:rsidR="00DE1D85" w:rsidRPr="00DE1D85" w:rsidRDefault="00DE1D85" w:rsidP="00DE1D85">
            <w:pPr>
              <w:spacing w:after="0" w:line="240" w:lineRule="auto"/>
              <w:rPr>
                <w:rFonts w:ascii="Arial" w:eastAsia="Times New Roman" w:hAnsi="Arial" w:cs="Arial"/>
                <w:color w:val="000000"/>
                <w:sz w:val="24"/>
                <w:szCs w:val="24"/>
                <w:u w:val="single"/>
                <w:lang w:eastAsia="en-GB"/>
              </w:rPr>
            </w:pPr>
            <w:r w:rsidRPr="00DE1D85">
              <w:rPr>
                <w:rFonts w:ascii="Arial" w:eastAsia="Times New Roman" w:hAnsi="Arial" w:cs="Arial"/>
                <w:color w:val="000000"/>
                <w:sz w:val="24"/>
                <w:szCs w:val="24"/>
                <w:u w:val="single"/>
                <w:lang w:eastAsia="en-GB"/>
              </w:rPr>
              <w:t>PROFITABILITY RATIO</w:t>
            </w:r>
          </w:p>
        </w:tc>
        <w:tc>
          <w:tcPr>
            <w:tcW w:w="900" w:type="dxa"/>
            <w:tcBorders>
              <w:top w:val="nil"/>
              <w:left w:val="nil"/>
              <w:bottom w:val="single" w:sz="4" w:space="0" w:color="auto"/>
              <w:right w:val="single" w:sz="4" w:space="0" w:color="auto"/>
            </w:tcBorders>
            <w:shd w:val="clear" w:color="auto" w:fill="auto"/>
            <w:vAlign w:val="bottom"/>
            <w:hideMark/>
          </w:tcPr>
          <w:p w14:paraId="2EBD279E"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9A599AA"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5104CA40"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1DF8D073" w14:textId="77777777" w:rsidTr="00DE1D85">
        <w:trPr>
          <w:trHeight w:val="248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24299C49"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4- Net profit margin</w:t>
            </w:r>
          </w:p>
        </w:tc>
        <w:tc>
          <w:tcPr>
            <w:tcW w:w="900" w:type="dxa"/>
            <w:tcBorders>
              <w:top w:val="nil"/>
              <w:left w:val="nil"/>
              <w:bottom w:val="single" w:sz="4" w:space="0" w:color="auto"/>
              <w:right w:val="single" w:sz="4" w:space="0" w:color="auto"/>
            </w:tcBorders>
            <w:shd w:val="clear" w:color="auto" w:fill="auto"/>
            <w:vAlign w:val="bottom"/>
            <w:hideMark/>
          </w:tcPr>
          <w:p w14:paraId="6B5D6C77"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11.95%</w:t>
            </w:r>
          </w:p>
        </w:tc>
        <w:tc>
          <w:tcPr>
            <w:tcW w:w="980" w:type="dxa"/>
            <w:tcBorders>
              <w:top w:val="nil"/>
              <w:left w:val="nil"/>
              <w:bottom w:val="single" w:sz="4" w:space="0" w:color="auto"/>
              <w:right w:val="single" w:sz="4" w:space="0" w:color="auto"/>
            </w:tcBorders>
            <w:shd w:val="clear" w:color="auto" w:fill="auto"/>
            <w:vAlign w:val="bottom"/>
            <w:hideMark/>
          </w:tcPr>
          <w:p w14:paraId="7A170A29"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10.85%</w:t>
            </w:r>
          </w:p>
        </w:tc>
        <w:tc>
          <w:tcPr>
            <w:tcW w:w="4780" w:type="dxa"/>
            <w:tcBorders>
              <w:top w:val="nil"/>
              <w:left w:val="nil"/>
              <w:bottom w:val="single" w:sz="4" w:space="0" w:color="auto"/>
              <w:right w:val="single" w:sz="4" w:space="0" w:color="auto"/>
            </w:tcBorders>
            <w:shd w:val="clear" w:color="auto" w:fill="auto"/>
            <w:vAlign w:val="bottom"/>
            <w:hideMark/>
          </w:tcPr>
          <w:p w14:paraId="60EDCDB0" w14:textId="63DE703E" w:rsidR="00DE1D85" w:rsidRPr="00DE1D85" w:rsidRDefault="00F44666" w:rsidP="00DE1D85">
            <w:pPr>
              <w:spacing w:after="0" w:line="240" w:lineRule="auto"/>
              <w:rPr>
                <w:rFonts w:ascii="Arial" w:eastAsia="Times New Roman" w:hAnsi="Arial" w:cs="Arial"/>
                <w:color w:val="000000"/>
                <w:sz w:val="24"/>
                <w:szCs w:val="24"/>
                <w:lang w:eastAsia="en-GB"/>
              </w:rPr>
            </w:pPr>
            <w:r w:rsidRPr="00F44666">
              <w:rPr>
                <w:rFonts w:ascii="Arial" w:eastAsia="Times New Roman" w:hAnsi="Arial" w:cs="Arial"/>
                <w:color w:val="000000"/>
                <w:sz w:val="24"/>
                <w:szCs w:val="24"/>
                <w:lang w:eastAsia="en-GB"/>
              </w:rPr>
              <w:t>This ratio assists a firm in determining how much net profit is generated from sales revenue.</w:t>
            </w:r>
            <w:r w:rsidRPr="00DE1D85">
              <w:rPr>
                <w:rFonts w:ascii="Arial" w:eastAsia="Times New Roman" w:hAnsi="Arial" w:cs="Arial"/>
                <w:color w:val="000000"/>
                <w:sz w:val="24"/>
                <w:szCs w:val="24"/>
                <w:lang w:eastAsia="en-GB"/>
              </w:rPr>
              <w:t xml:space="preserve"> This</w:t>
            </w:r>
            <w:r w:rsidR="00DE1D85" w:rsidRPr="00DE1D85">
              <w:rPr>
                <w:rFonts w:ascii="Arial" w:eastAsia="Times New Roman" w:hAnsi="Arial" w:cs="Arial"/>
                <w:color w:val="000000"/>
                <w:sz w:val="24"/>
                <w:szCs w:val="24"/>
                <w:lang w:eastAsia="en-GB"/>
              </w:rPr>
              <w:t xml:space="preserve"> means that Chocco PLC will earn £11.95 in 2020 and £10.85 in 2019 on every £100 sales. </w:t>
            </w:r>
            <w:r w:rsidRPr="00F44666">
              <w:rPr>
                <w:rFonts w:ascii="Arial" w:eastAsia="Times New Roman" w:hAnsi="Arial" w:cs="Arial"/>
                <w:color w:val="000000"/>
                <w:sz w:val="24"/>
                <w:szCs w:val="24"/>
                <w:lang w:eastAsia="en-GB"/>
              </w:rPr>
              <w:t>This is a consistent low rise. The larger the net profit margin, the better the company's ability to convert revenues into profit.</w:t>
            </w:r>
          </w:p>
        </w:tc>
      </w:tr>
      <w:tr w:rsidR="00DE1D85" w:rsidRPr="00DE1D85" w14:paraId="369B8414"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6D619AC0"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547AA2D2"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7FC541DB"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4D7C5A28"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0EFCDED1" w14:textId="77777777" w:rsidTr="00E907F4">
        <w:trPr>
          <w:trHeight w:val="736"/>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0726BB0D"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73E295A5"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5693D66C"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0095D444"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55981B69" w14:textId="77777777" w:rsidTr="00DE1D85">
        <w:trPr>
          <w:trHeight w:val="62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15FCAE8D" w14:textId="77777777" w:rsidR="00DE1D85" w:rsidRPr="00DE1D85" w:rsidRDefault="00DE1D85" w:rsidP="00DE1D85">
            <w:pPr>
              <w:spacing w:after="0" w:line="240" w:lineRule="auto"/>
              <w:rPr>
                <w:rFonts w:ascii="Arial" w:eastAsia="Times New Roman" w:hAnsi="Arial" w:cs="Arial"/>
                <w:color w:val="000000"/>
                <w:sz w:val="24"/>
                <w:szCs w:val="24"/>
                <w:u w:val="single"/>
                <w:lang w:eastAsia="en-GB"/>
              </w:rPr>
            </w:pPr>
            <w:r w:rsidRPr="00DE1D85">
              <w:rPr>
                <w:rFonts w:ascii="Arial" w:eastAsia="Times New Roman" w:hAnsi="Arial" w:cs="Arial"/>
                <w:color w:val="000000"/>
                <w:sz w:val="24"/>
                <w:szCs w:val="24"/>
                <w:u w:val="single"/>
                <w:lang w:eastAsia="en-GB"/>
              </w:rPr>
              <w:lastRenderedPageBreak/>
              <w:t>EFFICIENCY RATIOS</w:t>
            </w:r>
          </w:p>
        </w:tc>
        <w:tc>
          <w:tcPr>
            <w:tcW w:w="900" w:type="dxa"/>
            <w:tcBorders>
              <w:top w:val="nil"/>
              <w:left w:val="nil"/>
              <w:bottom w:val="single" w:sz="4" w:space="0" w:color="auto"/>
              <w:right w:val="single" w:sz="4" w:space="0" w:color="auto"/>
            </w:tcBorders>
            <w:shd w:val="clear" w:color="auto" w:fill="auto"/>
            <w:vAlign w:val="bottom"/>
            <w:hideMark/>
          </w:tcPr>
          <w:p w14:paraId="19C1262A"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1E1C74E"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6DA7B358"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51A4C6F5" w14:textId="77777777" w:rsidTr="00DE1D85">
        <w:trPr>
          <w:trHeight w:val="34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76064AF"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5- Asset turnover</w:t>
            </w:r>
          </w:p>
        </w:tc>
        <w:tc>
          <w:tcPr>
            <w:tcW w:w="900" w:type="dxa"/>
            <w:tcBorders>
              <w:top w:val="nil"/>
              <w:left w:val="nil"/>
              <w:bottom w:val="single" w:sz="4" w:space="0" w:color="auto"/>
              <w:right w:val="single" w:sz="4" w:space="0" w:color="auto"/>
            </w:tcBorders>
            <w:shd w:val="clear" w:color="auto" w:fill="auto"/>
            <w:vAlign w:val="bottom"/>
            <w:hideMark/>
          </w:tcPr>
          <w:p w14:paraId="580369BC"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0.93</w:t>
            </w:r>
          </w:p>
        </w:tc>
        <w:tc>
          <w:tcPr>
            <w:tcW w:w="980" w:type="dxa"/>
            <w:tcBorders>
              <w:top w:val="nil"/>
              <w:left w:val="nil"/>
              <w:bottom w:val="single" w:sz="4" w:space="0" w:color="auto"/>
              <w:right w:val="single" w:sz="4" w:space="0" w:color="auto"/>
            </w:tcBorders>
            <w:shd w:val="clear" w:color="auto" w:fill="auto"/>
            <w:vAlign w:val="bottom"/>
            <w:hideMark/>
          </w:tcPr>
          <w:p w14:paraId="15FC3B2C"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0.91</w:t>
            </w:r>
          </w:p>
        </w:tc>
        <w:tc>
          <w:tcPr>
            <w:tcW w:w="4780" w:type="dxa"/>
            <w:tcBorders>
              <w:top w:val="nil"/>
              <w:left w:val="nil"/>
              <w:bottom w:val="single" w:sz="4" w:space="0" w:color="auto"/>
              <w:right w:val="single" w:sz="4" w:space="0" w:color="auto"/>
            </w:tcBorders>
            <w:shd w:val="clear" w:color="auto" w:fill="auto"/>
            <w:vAlign w:val="bottom"/>
            <w:hideMark/>
          </w:tcPr>
          <w:p w14:paraId="0876D3B7" w14:textId="74652270" w:rsidR="00DE1D85" w:rsidRPr="00DE1D85" w:rsidRDefault="002655A8" w:rsidP="00DE1D85">
            <w:pPr>
              <w:spacing w:after="0" w:line="240" w:lineRule="auto"/>
              <w:rPr>
                <w:rFonts w:ascii="Arial" w:eastAsia="Times New Roman" w:hAnsi="Arial" w:cs="Arial"/>
                <w:color w:val="393939"/>
                <w:sz w:val="24"/>
                <w:szCs w:val="24"/>
                <w:lang w:eastAsia="en-GB"/>
              </w:rPr>
            </w:pPr>
            <w:r w:rsidRPr="002655A8">
              <w:rPr>
                <w:rFonts w:ascii="Arial" w:eastAsia="Times New Roman" w:hAnsi="Arial" w:cs="Arial"/>
                <w:color w:val="393939"/>
                <w:sz w:val="24"/>
                <w:szCs w:val="24"/>
                <w:lang w:eastAsia="en-GB"/>
              </w:rPr>
              <w:t>The asset turnover ratio compares a company's sales to its assets. It is an efficiency ratio that indicates how well the firm uses its assets to produce income. If a firm can create more sales with less assets, it has a higher turnover ratio, which indicates that the company is good since its assets are being used efficiently. Choco Plc's lower turnover percentage indicates that the</w:t>
            </w:r>
            <w:r>
              <w:rPr>
                <w:rFonts w:ascii="Arial" w:eastAsia="Times New Roman" w:hAnsi="Arial" w:cs="Arial"/>
                <w:color w:val="393939"/>
                <w:sz w:val="24"/>
                <w:szCs w:val="24"/>
                <w:lang w:eastAsia="en-GB"/>
              </w:rPr>
              <w:t xml:space="preserve"> </w:t>
            </w:r>
            <w:r w:rsidR="00DE1D85" w:rsidRPr="00DE1D85">
              <w:rPr>
                <w:rFonts w:ascii="Arial" w:eastAsia="Times New Roman" w:hAnsi="Arial" w:cs="Arial"/>
                <w:color w:val="393939"/>
                <w:sz w:val="24"/>
                <w:szCs w:val="24"/>
                <w:lang w:eastAsia="en-GB"/>
              </w:rPr>
              <w:t xml:space="preserve">tells that the company is not using its assets optimally. </w:t>
            </w:r>
          </w:p>
        </w:tc>
      </w:tr>
      <w:tr w:rsidR="00DE1D85" w:rsidRPr="00DE1D85" w14:paraId="648A11D2"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397176AD"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50E2A43D"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1C38663"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65074FB7"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068B7454"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1FDA862C"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1D5A1A82"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4B79C82"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32FBF24E"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4A2A147A" w14:textId="77777777" w:rsidTr="00DE1D85">
        <w:trPr>
          <w:trHeight w:val="434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2EFA73C3"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6- Stock holding days</w:t>
            </w:r>
          </w:p>
        </w:tc>
        <w:tc>
          <w:tcPr>
            <w:tcW w:w="900" w:type="dxa"/>
            <w:tcBorders>
              <w:top w:val="nil"/>
              <w:left w:val="nil"/>
              <w:bottom w:val="single" w:sz="4" w:space="0" w:color="auto"/>
              <w:right w:val="single" w:sz="4" w:space="0" w:color="auto"/>
            </w:tcBorders>
            <w:shd w:val="clear" w:color="auto" w:fill="auto"/>
            <w:vAlign w:val="bottom"/>
            <w:hideMark/>
          </w:tcPr>
          <w:p w14:paraId="5937D0FC"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80 days</w:t>
            </w:r>
          </w:p>
        </w:tc>
        <w:tc>
          <w:tcPr>
            <w:tcW w:w="980" w:type="dxa"/>
            <w:tcBorders>
              <w:top w:val="nil"/>
              <w:left w:val="nil"/>
              <w:bottom w:val="single" w:sz="4" w:space="0" w:color="auto"/>
              <w:right w:val="single" w:sz="4" w:space="0" w:color="auto"/>
            </w:tcBorders>
            <w:shd w:val="clear" w:color="auto" w:fill="auto"/>
            <w:vAlign w:val="bottom"/>
            <w:hideMark/>
          </w:tcPr>
          <w:p w14:paraId="4D5948E2"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78 days</w:t>
            </w:r>
          </w:p>
        </w:tc>
        <w:tc>
          <w:tcPr>
            <w:tcW w:w="4780" w:type="dxa"/>
            <w:tcBorders>
              <w:top w:val="nil"/>
              <w:left w:val="nil"/>
              <w:bottom w:val="single" w:sz="4" w:space="0" w:color="auto"/>
              <w:right w:val="single" w:sz="4" w:space="0" w:color="auto"/>
            </w:tcBorders>
            <w:shd w:val="clear" w:color="auto" w:fill="auto"/>
            <w:vAlign w:val="bottom"/>
            <w:hideMark/>
          </w:tcPr>
          <w:p w14:paraId="754DF12C" w14:textId="06DB5FF6" w:rsidR="00DE1D85" w:rsidRPr="00DE1D85" w:rsidRDefault="00FB5C98" w:rsidP="00DE1D85">
            <w:pPr>
              <w:spacing w:after="0" w:line="240" w:lineRule="auto"/>
              <w:rPr>
                <w:rFonts w:ascii="Arial" w:eastAsia="Times New Roman" w:hAnsi="Arial" w:cs="Arial"/>
                <w:color w:val="000000"/>
                <w:sz w:val="24"/>
                <w:szCs w:val="24"/>
                <w:lang w:eastAsia="en-GB"/>
              </w:rPr>
            </w:pPr>
            <w:r w:rsidRPr="00FB5C98">
              <w:rPr>
                <w:rFonts w:ascii="Arial" w:eastAsia="Times New Roman" w:hAnsi="Arial" w:cs="Arial"/>
                <w:color w:val="000000"/>
                <w:sz w:val="24"/>
                <w:szCs w:val="24"/>
                <w:lang w:eastAsia="en-GB"/>
              </w:rPr>
              <w:t>The inventory holding period is the average number of days that a company keeps goods before selling it. Holding inventory for longer lengths of time than necessary may suggest that the company is tying up money in goods that isn't necessary.</w:t>
            </w:r>
            <w:r>
              <w:rPr>
                <w:rFonts w:ascii="Arial" w:eastAsia="Times New Roman" w:hAnsi="Arial" w:cs="Arial"/>
                <w:color w:val="000000"/>
                <w:sz w:val="24"/>
                <w:szCs w:val="24"/>
                <w:lang w:eastAsia="en-GB"/>
              </w:rPr>
              <w:t xml:space="preserve"> </w:t>
            </w:r>
            <w:r w:rsidRPr="00DE1D85">
              <w:rPr>
                <w:rFonts w:ascii="Arial" w:eastAsia="Times New Roman" w:hAnsi="Arial" w:cs="Arial"/>
                <w:color w:val="000000"/>
                <w:sz w:val="24"/>
                <w:szCs w:val="24"/>
                <w:lang w:eastAsia="en-GB"/>
              </w:rPr>
              <w:t>Choco</w:t>
            </w:r>
            <w:r w:rsidR="00DE1D85" w:rsidRPr="00DE1D85">
              <w:rPr>
                <w:rFonts w:ascii="Arial" w:eastAsia="Times New Roman" w:hAnsi="Arial" w:cs="Arial"/>
                <w:color w:val="000000"/>
                <w:sz w:val="24"/>
                <w:szCs w:val="24"/>
                <w:lang w:eastAsia="en-GB"/>
              </w:rPr>
              <w:t xml:space="preserve"> plc keep the inventory slightly more than two months before turning it into sales. This is long period as the inventory is perishables goods, but most of the sales are from exports, goods are manufactured in UK. That causes the delay and high amount of stock holding days.</w:t>
            </w:r>
          </w:p>
        </w:tc>
      </w:tr>
      <w:tr w:rsidR="00DE1D85" w:rsidRPr="00DE1D85" w14:paraId="5F3B5A4E"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B6070F3"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4DD9F1F1"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3D239852"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19975F9A"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0B710B74"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0304477E"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5637687E"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6B07AB3"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5B5FF619"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282179EE" w14:textId="77777777" w:rsidTr="00DE1D85">
        <w:trPr>
          <w:trHeight w:val="496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0AD129F9"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lastRenderedPageBreak/>
              <w:t>7- Debtors collection period</w:t>
            </w:r>
          </w:p>
        </w:tc>
        <w:tc>
          <w:tcPr>
            <w:tcW w:w="900" w:type="dxa"/>
            <w:tcBorders>
              <w:top w:val="nil"/>
              <w:left w:val="nil"/>
              <w:bottom w:val="single" w:sz="4" w:space="0" w:color="auto"/>
              <w:right w:val="single" w:sz="4" w:space="0" w:color="auto"/>
            </w:tcBorders>
            <w:shd w:val="clear" w:color="auto" w:fill="auto"/>
            <w:vAlign w:val="bottom"/>
            <w:hideMark/>
          </w:tcPr>
          <w:p w14:paraId="1543FE37"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68 days</w:t>
            </w:r>
          </w:p>
        </w:tc>
        <w:tc>
          <w:tcPr>
            <w:tcW w:w="980" w:type="dxa"/>
            <w:tcBorders>
              <w:top w:val="nil"/>
              <w:left w:val="nil"/>
              <w:bottom w:val="single" w:sz="4" w:space="0" w:color="auto"/>
              <w:right w:val="single" w:sz="4" w:space="0" w:color="auto"/>
            </w:tcBorders>
            <w:shd w:val="clear" w:color="auto" w:fill="auto"/>
            <w:vAlign w:val="bottom"/>
            <w:hideMark/>
          </w:tcPr>
          <w:p w14:paraId="6C7C45C4"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73 days</w:t>
            </w:r>
          </w:p>
        </w:tc>
        <w:tc>
          <w:tcPr>
            <w:tcW w:w="4780" w:type="dxa"/>
            <w:tcBorders>
              <w:top w:val="nil"/>
              <w:left w:val="nil"/>
              <w:bottom w:val="single" w:sz="4" w:space="0" w:color="auto"/>
              <w:right w:val="single" w:sz="4" w:space="0" w:color="auto"/>
            </w:tcBorders>
            <w:shd w:val="clear" w:color="auto" w:fill="auto"/>
            <w:vAlign w:val="bottom"/>
            <w:hideMark/>
          </w:tcPr>
          <w:p w14:paraId="768D5C79" w14:textId="713ADE8B" w:rsidR="00DE1D85" w:rsidRPr="00DE1D85" w:rsidRDefault="00D3370B" w:rsidP="00DE1D85">
            <w:pPr>
              <w:spacing w:after="0" w:line="240" w:lineRule="auto"/>
              <w:rPr>
                <w:rFonts w:ascii="Arial" w:eastAsia="Times New Roman" w:hAnsi="Arial" w:cs="Arial"/>
                <w:color w:val="000000"/>
                <w:sz w:val="24"/>
                <w:szCs w:val="24"/>
                <w:lang w:eastAsia="en-GB"/>
              </w:rPr>
            </w:pPr>
            <w:r w:rsidRPr="00D3370B">
              <w:rPr>
                <w:rFonts w:ascii="Arial" w:eastAsia="Times New Roman" w:hAnsi="Arial" w:cs="Arial"/>
                <w:color w:val="000000"/>
                <w:sz w:val="24"/>
                <w:szCs w:val="24"/>
                <w:lang w:eastAsia="en-GB"/>
              </w:rPr>
              <w:t>The ratio is used to calculate the average number of days it takes a company to collect its trade receivables after making a transaction. It is an activity ratio that provides data on the effectiveness of sales gathering operations.</w:t>
            </w:r>
            <w:r>
              <w:rPr>
                <w:rFonts w:ascii="Arial" w:eastAsia="Times New Roman" w:hAnsi="Arial" w:cs="Arial"/>
                <w:color w:val="000000"/>
                <w:sz w:val="24"/>
                <w:szCs w:val="24"/>
                <w:lang w:eastAsia="en-GB"/>
              </w:rPr>
              <w:t xml:space="preserve"> </w:t>
            </w:r>
            <w:r w:rsidR="00DE1D85" w:rsidRPr="00DE1D85">
              <w:rPr>
                <w:rFonts w:ascii="Arial" w:eastAsia="Times New Roman" w:hAnsi="Arial" w:cs="Arial"/>
                <w:color w:val="000000"/>
                <w:sz w:val="24"/>
                <w:szCs w:val="24"/>
                <w:lang w:eastAsia="en-GB"/>
              </w:rPr>
              <w:t xml:space="preserve">We need to compare this ratio with creditors payment period to see if we are managing our debt efficiently. The export of goods may be causing the delay in dept collection from foreign customers. However a lower value of debtors collection period is always </w:t>
            </w:r>
            <w:r w:rsidR="00732560" w:rsidRPr="00DE1D85">
              <w:rPr>
                <w:rFonts w:ascii="Arial" w:eastAsia="Times New Roman" w:hAnsi="Arial" w:cs="Arial"/>
                <w:color w:val="000000"/>
                <w:sz w:val="24"/>
                <w:szCs w:val="24"/>
                <w:lang w:eastAsia="en-GB"/>
              </w:rPr>
              <w:t>favourable</w:t>
            </w:r>
            <w:r w:rsidR="00DE1D85" w:rsidRPr="00DE1D85">
              <w:rPr>
                <w:rFonts w:ascii="Arial" w:eastAsia="Times New Roman" w:hAnsi="Arial" w:cs="Arial"/>
                <w:color w:val="000000"/>
                <w:sz w:val="24"/>
                <w:szCs w:val="24"/>
                <w:lang w:eastAsia="en-GB"/>
              </w:rPr>
              <w:t xml:space="preserve"> than a higher value but company also need to think about attracting more customers by giving reasonable credit facilities.</w:t>
            </w:r>
          </w:p>
        </w:tc>
      </w:tr>
      <w:tr w:rsidR="00DE1D85" w:rsidRPr="00DE1D85" w14:paraId="5C76F397"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274F6F90"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2D77A175"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6179DD8B"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1B3507BF"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2F69314A"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5A6BD374"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759BDCAF"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776E13B7"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54F75448"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6938F250"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7194A345" w14:textId="77777777" w:rsidR="00DE1D85" w:rsidRPr="00DE1D85" w:rsidRDefault="00DE1D85" w:rsidP="00DE1D85">
            <w:pPr>
              <w:spacing w:after="0" w:line="240" w:lineRule="auto"/>
              <w:rPr>
                <w:rFonts w:ascii="Arial" w:eastAsia="Times New Roman" w:hAnsi="Arial" w:cs="Arial"/>
                <w:color w:val="000000"/>
                <w:sz w:val="24"/>
                <w:szCs w:val="24"/>
                <w:u w:val="single"/>
                <w:lang w:eastAsia="en-GB"/>
              </w:rPr>
            </w:pPr>
            <w:r w:rsidRPr="00DE1D85">
              <w:rPr>
                <w:rFonts w:ascii="Arial" w:eastAsia="Times New Roman" w:hAnsi="Arial" w:cs="Arial"/>
                <w:color w:val="000000"/>
                <w:sz w:val="24"/>
                <w:szCs w:val="24"/>
                <w:u w:val="single"/>
                <w:lang w:eastAsia="en-GB"/>
              </w:rPr>
              <w:t>LIQUIDITY RATIO</w:t>
            </w:r>
          </w:p>
        </w:tc>
        <w:tc>
          <w:tcPr>
            <w:tcW w:w="900" w:type="dxa"/>
            <w:tcBorders>
              <w:top w:val="nil"/>
              <w:left w:val="nil"/>
              <w:bottom w:val="single" w:sz="4" w:space="0" w:color="auto"/>
              <w:right w:val="single" w:sz="4" w:space="0" w:color="auto"/>
            </w:tcBorders>
            <w:shd w:val="clear" w:color="auto" w:fill="auto"/>
            <w:vAlign w:val="bottom"/>
            <w:hideMark/>
          </w:tcPr>
          <w:p w14:paraId="6E488187"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6E9E14CC"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4190C095"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338D8C2C" w14:textId="77777777" w:rsidTr="00DE1D85">
        <w:trPr>
          <w:trHeight w:val="248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8B4CD44"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8- Current ratio</w:t>
            </w:r>
          </w:p>
        </w:tc>
        <w:tc>
          <w:tcPr>
            <w:tcW w:w="900" w:type="dxa"/>
            <w:tcBorders>
              <w:top w:val="nil"/>
              <w:left w:val="nil"/>
              <w:bottom w:val="single" w:sz="4" w:space="0" w:color="auto"/>
              <w:right w:val="single" w:sz="4" w:space="0" w:color="auto"/>
            </w:tcBorders>
            <w:shd w:val="clear" w:color="auto" w:fill="auto"/>
            <w:vAlign w:val="bottom"/>
            <w:hideMark/>
          </w:tcPr>
          <w:p w14:paraId="5B337A40"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0.92</w:t>
            </w:r>
          </w:p>
        </w:tc>
        <w:tc>
          <w:tcPr>
            <w:tcW w:w="980" w:type="dxa"/>
            <w:tcBorders>
              <w:top w:val="nil"/>
              <w:left w:val="nil"/>
              <w:bottom w:val="single" w:sz="4" w:space="0" w:color="auto"/>
              <w:right w:val="single" w:sz="4" w:space="0" w:color="auto"/>
            </w:tcBorders>
            <w:shd w:val="clear" w:color="auto" w:fill="auto"/>
            <w:vAlign w:val="bottom"/>
            <w:hideMark/>
          </w:tcPr>
          <w:p w14:paraId="60E5CD34"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0.77</w:t>
            </w:r>
          </w:p>
        </w:tc>
        <w:tc>
          <w:tcPr>
            <w:tcW w:w="4780" w:type="dxa"/>
            <w:tcBorders>
              <w:top w:val="nil"/>
              <w:left w:val="nil"/>
              <w:bottom w:val="single" w:sz="4" w:space="0" w:color="auto"/>
              <w:right w:val="single" w:sz="4" w:space="0" w:color="auto"/>
            </w:tcBorders>
            <w:shd w:val="clear" w:color="auto" w:fill="auto"/>
            <w:vAlign w:val="center"/>
            <w:hideMark/>
          </w:tcPr>
          <w:p w14:paraId="6AFE2991" w14:textId="4E2D47AA" w:rsidR="00DE1D85" w:rsidRPr="00DE1D85" w:rsidRDefault="00732560" w:rsidP="00DE1D85">
            <w:pPr>
              <w:spacing w:after="0" w:line="240" w:lineRule="auto"/>
              <w:rPr>
                <w:rFonts w:ascii="Arial" w:eastAsia="Times New Roman" w:hAnsi="Arial" w:cs="Arial"/>
                <w:color w:val="000000"/>
                <w:sz w:val="24"/>
                <w:szCs w:val="24"/>
                <w:lang w:eastAsia="en-GB"/>
              </w:rPr>
            </w:pPr>
            <w:r w:rsidRPr="00732560">
              <w:rPr>
                <w:rFonts w:ascii="Arial" w:eastAsia="Times New Roman" w:hAnsi="Arial" w:cs="Arial"/>
                <w:color w:val="000000"/>
                <w:sz w:val="24"/>
                <w:szCs w:val="24"/>
                <w:lang w:eastAsia="en-GB"/>
              </w:rPr>
              <w:t xml:space="preserve">It assesses a company's capacity to meet short-term obligations (current liabilities). A current ratio of one or greater indicates that current assets exceed current liabilities and that the firm should not have a liquidity problem. </w:t>
            </w:r>
            <w:r w:rsidR="007F11DD" w:rsidRPr="00732560">
              <w:rPr>
                <w:rFonts w:ascii="Arial" w:eastAsia="Times New Roman" w:hAnsi="Arial" w:cs="Arial"/>
                <w:color w:val="000000"/>
                <w:sz w:val="24"/>
                <w:szCs w:val="24"/>
                <w:lang w:eastAsia="en-GB"/>
              </w:rPr>
              <w:t>Choco</w:t>
            </w:r>
            <w:r w:rsidRPr="00732560">
              <w:rPr>
                <w:rFonts w:ascii="Arial" w:eastAsia="Times New Roman" w:hAnsi="Arial" w:cs="Arial"/>
                <w:color w:val="000000"/>
                <w:sz w:val="24"/>
                <w:szCs w:val="24"/>
                <w:lang w:eastAsia="en-GB"/>
              </w:rPr>
              <w:t xml:space="preserve"> plc's current ratio situation is not good, with 0.9 available current assets to pay for 1 current liability, but it is better than the previous year.</w:t>
            </w:r>
          </w:p>
        </w:tc>
      </w:tr>
      <w:tr w:rsidR="00DE1D85" w:rsidRPr="00DE1D85" w14:paraId="03C177EA"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58474E6C"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4298684A"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6BE5BDAA"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67AA1A57"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6F540081"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30220C99"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254A1317"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5CB141A"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7ACEEC81"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258C7A5D" w14:textId="77777777" w:rsidTr="00DE1D85">
        <w:trPr>
          <w:trHeight w:val="62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04A44795" w14:textId="77777777" w:rsidR="00DE1D85" w:rsidRPr="00DE1D85" w:rsidRDefault="00DE1D85" w:rsidP="00DE1D85">
            <w:pPr>
              <w:spacing w:after="0" w:line="240" w:lineRule="auto"/>
              <w:rPr>
                <w:rFonts w:ascii="Arial" w:eastAsia="Times New Roman" w:hAnsi="Arial" w:cs="Arial"/>
                <w:color w:val="000000"/>
                <w:sz w:val="24"/>
                <w:szCs w:val="24"/>
                <w:u w:val="single"/>
                <w:lang w:eastAsia="en-GB"/>
              </w:rPr>
            </w:pPr>
            <w:r w:rsidRPr="00DE1D85">
              <w:rPr>
                <w:rFonts w:ascii="Arial" w:eastAsia="Times New Roman" w:hAnsi="Arial" w:cs="Arial"/>
                <w:color w:val="000000"/>
                <w:sz w:val="24"/>
                <w:szCs w:val="24"/>
                <w:u w:val="single"/>
                <w:lang w:eastAsia="en-GB"/>
              </w:rPr>
              <w:t>FINANCING RATIOS</w:t>
            </w:r>
          </w:p>
        </w:tc>
        <w:tc>
          <w:tcPr>
            <w:tcW w:w="900" w:type="dxa"/>
            <w:tcBorders>
              <w:top w:val="nil"/>
              <w:left w:val="nil"/>
              <w:bottom w:val="single" w:sz="4" w:space="0" w:color="auto"/>
              <w:right w:val="single" w:sz="4" w:space="0" w:color="auto"/>
            </w:tcBorders>
            <w:shd w:val="clear" w:color="auto" w:fill="auto"/>
            <w:vAlign w:val="bottom"/>
            <w:hideMark/>
          </w:tcPr>
          <w:p w14:paraId="2D5AD634"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10D84FC7"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55793253"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242A1634" w14:textId="77777777" w:rsidTr="00DE1D85">
        <w:trPr>
          <w:trHeight w:val="310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193EFDF5"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9- Gearing ratio</w:t>
            </w:r>
          </w:p>
        </w:tc>
        <w:tc>
          <w:tcPr>
            <w:tcW w:w="900" w:type="dxa"/>
            <w:tcBorders>
              <w:top w:val="nil"/>
              <w:left w:val="nil"/>
              <w:bottom w:val="single" w:sz="4" w:space="0" w:color="auto"/>
              <w:right w:val="single" w:sz="4" w:space="0" w:color="auto"/>
            </w:tcBorders>
            <w:shd w:val="clear" w:color="auto" w:fill="auto"/>
            <w:vAlign w:val="bottom"/>
            <w:hideMark/>
          </w:tcPr>
          <w:p w14:paraId="20A14E03"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57.26%</w:t>
            </w:r>
          </w:p>
        </w:tc>
        <w:tc>
          <w:tcPr>
            <w:tcW w:w="980" w:type="dxa"/>
            <w:tcBorders>
              <w:top w:val="nil"/>
              <w:left w:val="nil"/>
              <w:bottom w:val="single" w:sz="4" w:space="0" w:color="auto"/>
              <w:right w:val="single" w:sz="4" w:space="0" w:color="auto"/>
            </w:tcBorders>
            <w:shd w:val="clear" w:color="auto" w:fill="auto"/>
            <w:vAlign w:val="bottom"/>
            <w:hideMark/>
          </w:tcPr>
          <w:p w14:paraId="673A90CB"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58.57%</w:t>
            </w:r>
          </w:p>
        </w:tc>
        <w:tc>
          <w:tcPr>
            <w:tcW w:w="4780" w:type="dxa"/>
            <w:tcBorders>
              <w:top w:val="nil"/>
              <w:left w:val="nil"/>
              <w:bottom w:val="single" w:sz="4" w:space="0" w:color="auto"/>
              <w:right w:val="single" w:sz="4" w:space="0" w:color="auto"/>
            </w:tcBorders>
            <w:shd w:val="clear" w:color="auto" w:fill="auto"/>
            <w:vAlign w:val="center"/>
            <w:hideMark/>
          </w:tcPr>
          <w:p w14:paraId="4CD1B56E" w14:textId="323365D6" w:rsidR="00DE1D85" w:rsidRPr="00DE1D85" w:rsidRDefault="007F11DD" w:rsidP="00DE1D85">
            <w:pPr>
              <w:spacing w:after="0" w:line="240" w:lineRule="auto"/>
              <w:rPr>
                <w:rFonts w:ascii="Arial" w:eastAsia="Times New Roman" w:hAnsi="Arial" w:cs="Arial"/>
                <w:color w:val="000000"/>
                <w:sz w:val="24"/>
                <w:szCs w:val="24"/>
                <w:lang w:eastAsia="en-GB"/>
              </w:rPr>
            </w:pPr>
            <w:r w:rsidRPr="007F11DD">
              <w:rPr>
                <w:rFonts w:ascii="Arial" w:eastAsia="Times New Roman" w:hAnsi="Arial" w:cs="Arial"/>
                <w:color w:val="000000"/>
                <w:sz w:val="24"/>
                <w:szCs w:val="24"/>
                <w:lang w:eastAsia="en-GB"/>
              </w:rPr>
              <w:t>Gearing is a measure of an entity's financial leverage that shows how much of a firm's operations are supported by owner money vs external funding. A greater gearing ratio implies that a firm has a higher degree of debt and is more vulnerable to economic downturns. Typically, the threshold is set at 50%. Chocco plc reports that 57 percent of its funds come from outside sources.</w:t>
            </w:r>
          </w:p>
        </w:tc>
      </w:tr>
      <w:tr w:rsidR="00DE1D85" w:rsidRPr="00DE1D85" w14:paraId="787BEF6D"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7DA2892D"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5F757DB4"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3964540F"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58F98BFB"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5250C146"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59D213B"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lastRenderedPageBreak/>
              <w:t> </w:t>
            </w:r>
          </w:p>
        </w:tc>
        <w:tc>
          <w:tcPr>
            <w:tcW w:w="900" w:type="dxa"/>
            <w:tcBorders>
              <w:top w:val="nil"/>
              <w:left w:val="nil"/>
              <w:bottom w:val="single" w:sz="4" w:space="0" w:color="auto"/>
              <w:right w:val="single" w:sz="4" w:space="0" w:color="auto"/>
            </w:tcBorders>
            <w:shd w:val="clear" w:color="auto" w:fill="auto"/>
            <w:vAlign w:val="bottom"/>
            <w:hideMark/>
          </w:tcPr>
          <w:p w14:paraId="3810BF5B"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7589E79D"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46875EE8"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3D52C526" w14:textId="77777777" w:rsidTr="00DE1D85">
        <w:trPr>
          <w:trHeight w:val="62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7F136FD8" w14:textId="42F1CF76"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10 - Inve</w:t>
            </w:r>
            <w:r w:rsidR="00FC3980">
              <w:rPr>
                <w:rFonts w:ascii="Arial" w:eastAsia="Times New Roman" w:hAnsi="Arial" w:cs="Arial"/>
                <w:color w:val="000000"/>
                <w:sz w:val="24"/>
                <w:szCs w:val="24"/>
                <w:lang w:eastAsia="en-GB"/>
              </w:rPr>
              <w:t>n</w:t>
            </w:r>
            <w:r w:rsidRPr="00DE1D85">
              <w:rPr>
                <w:rFonts w:ascii="Arial" w:eastAsia="Times New Roman" w:hAnsi="Arial" w:cs="Arial"/>
                <w:color w:val="000000"/>
                <w:sz w:val="24"/>
                <w:szCs w:val="24"/>
                <w:lang w:eastAsia="en-GB"/>
              </w:rPr>
              <w:t>tory cover</w:t>
            </w:r>
          </w:p>
        </w:tc>
        <w:tc>
          <w:tcPr>
            <w:tcW w:w="900" w:type="dxa"/>
            <w:tcBorders>
              <w:top w:val="nil"/>
              <w:left w:val="nil"/>
              <w:bottom w:val="single" w:sz="4" w:space="0" w:color="auto"/>
              <w:right w:val="single" w:sz="4" w:space="0" w:color="auto"/>
            </w:tcBorders>
            <w:shd w:val="clear" w:color="auto" w:fill="auto"/>
            <w:vAlign w:val="bottom"/>
            <w:hideMark/>
          </w:tcPr>
          <w:p w14:paraId="27B6B45F"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4.57</w:t>
            </w:r>
          </w:p>
        </w:tc>
        <w:tc>
          <w:tcPr>
            <w:tcW w:w="980" w:type="dxa"/>
            <w:tcBorders>
              <w:top w:val="nil"/>
              <w:left w:val="nil"/>
              <w:bottom w:val="single" w:sz="4" w:space="0" w:color="auto"/>
              <w:right w:val="single" w:sz="4" w:space="0" w:color="auto"/>
            </w:tcBorders>
            <w:shd w:val="clear" w:color="auto" w:fill="auto"/>
            <w:vAlign w:val="bottom"/>
            <w:hideMark/>
          </w:tcPr>
          <w:p w14:paraId="27326094"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4.7</w:t>
            </w:r>
          </w:p>
        </w:tc>
        <w:tc>
          <w:tcPr>
            <w:tcW w:w="4780" w:type="dxa"/>
            <w:tcBorders>
              <w:top w:val="nil"/>
              <w:left w:val="nil"/>
              <w:bottom w:val="single" w:sz="4" w:space="0" w:color="auto"/>
              <w:right w:val="single" w:sz="4" w:space="0" w:color="auto"/>
            </w:tcBorders>
            <w:shd w:val="clear" w:color="auto" w:fill="auto"/>
            <w:vAlign w:val="bottom"/>
            <w:hideMark/>
          </w:tcPr>
          <w:p w14:paraId="52AFCCDB"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This ratio measures the firm's ability of creating the stock reserves.</w:t>
            </w:r>
          </w:p>
        </w:tc>
      </w:tr>
      <w:tr w:rsidR="00DE1D85" w:rsidRPr="00DE1D85" w14:paraId="5ECB5F0E"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2B62299C"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6FE3013D"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72B36A82"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6809E60D"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0BF83AB5"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3B0A903A"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1F4BC961"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39794C94"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7D7BA866"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r w:rsidR="00DE1D85" w:rsidRPr="00DE1D85" w14:paraId="37CCAB02" w14:textId="77777777" w:rsidTr="00DE1D85">
        <w:trPr>
          <w:trHeight w:val="310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CF0E9BA"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11- Interest cover</w:t>
            </w:r>
          </w:p>
        </w:tc>
        <w:tc>
          <w:tcPr>
            <w:tcW w:w="900" w:type="dxa"/>
            <w:tcBorders>
              <w:top w:val="nil"/>
              <w:left w:val="nil"/>
              <w:bottom w:val="single" w:sz="4" w:space="0" w:color="auto"/>
              <w:right w:val="single" w:sz="4" w:space="0" w:color="auto"/>
            </w:tcBorders>
            <w:shd w:val="clear" w:color="auto" w:fill="auto"/>
            <w:vAlign w:val="bottom"/>
            <w:hideMark/>
          </w:tcPr>
          <w:p w14:paraId="51435258"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3.56</w:t>
            </w:r>
          </w:p>
        </w:tc>
        <w:tc>
          <w:tcPr>
            <w:tcW w:w="980" w:type="dxa"/>
            <w:tcBorders>
              <w:top w:val="nil"/>
              <w:left w:val="nil"/>
              <w:bottom w:val="single" w:sz="4" w:space="0" w:color="auto"/>
              <w:right w:val="single" w:sz="4" w:space="0" w:color="auto"/>
            </w:tcBorders>
            <w:shd w:val="clear" w:color="auto" w:fill="auto"/>
            <w:vAlign w:val="bottom"/>
            <w:hideMark/>
          </w:tcPr>
          <w:p w14:paraId="1EBAE8A4" w14:textId="77777777" w:rsidR="00DE1D85" w:rsidRPr="00DE1D85" w:rsidRDefault="00DE1D85" w:rsidP="00DE1D85">
            <w:pPr>
              <w:spacing w:after="0" w:line="240" w:lineRule="auto"/>
              <w:jc w:val="right"/>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3.86</w:t>
            </w:r>
          </w:p>
        </w:tc>
        <w:tc>
          <w:tcPr>
            <w:tcW w:w="4780" w:type="dxa"/>
            <w:tcBorders>
              <w:top w:val="nil"/>
              <w:left w:val="nil"/>
              <w:bottom w:val="single" w:sz="4" w:space="0" w:color="auto"/>
              <w:right w:val="single" w:sz="4" w:space="0" w:color="auto"/>
            </w:tcBorders>
            <w:shd w:val="clear" w:color="auto" w:fill="auto"/>
            <w:vAlign w:val="bottom"/>
            <w:hideMark/>
          </w:tcPr>
          <w:p w14:paraId="037B99EC" w14:textId="31DFB202" w:rsidR="00DE1D85" w:rsidRPr="00DE1D85" w:rsidRDefault="00D61FA3" w:rsidP="00DE1D85">
            <w:pPr>
              <w:spacing w:after="0" w:line="240" w:lineRule="auto"/>
              <w:rPr>
                <w:rFonts w:ascii="Arial" w:eastAsia="Times New Roman" w:hAnsi="Arial" w:cs="Arial"/>
                <w:color w:val="000000"/>
                <w:sz w:val="24"/>
                <w:szCs w:val="24"/>
                <w:lang w:eastAsia="en-GB"/>
              </w:rPr>
            </w:pPr>
            <w:r w:rsidRPr="00D61FA3">
              <w:rPr>
                <w:rFonts w:ascii="Arial" w:eastAsia="Times New Roman" w:hAnsi="Arial" w:cs="Arial"/>
                <w:color w:val="000000"/>
                <w:sz w:val="24"/>
                <w:szCs w:val="24"/>
                <w:lang w:eastAsia="en-GB"/>
              </w:rPr>
              <w:t>It is a measure of a company's ability to satisfy its interest-payment obligations. This implies Chocco plc can cover its interest payments more than three times over. A negative interest coverage ratio implies that a firm is unable to fulfill its interest commitments. The interest coverage ratio is particularly important to lenders and bondholders because it serves as a margin of safety.</w:t>
            </w:r>
          </w:p>
        </w:tc>
      </w:tr>
      <w:tr w:rsidR="00DE1D85" w:rsidRPr="00DE1D85" w14:paraId="18263703" w14:textId="77777777" w:rsidTr="00DE1D85">
        <w:trPr>
          <w:trHeight w:val="310"/>
        </w:trPr>
        <w:tc>
          <w:tcPr>
            <w:tcW w:w="2160" w:type="dxa"/>
            <w:tcBorders>
              <w:top w:val="nil"/>
              <w:left w:val="single" w:sz="4" w:space="0" w:color="auto"/>
              <w:bottom w:val="single" w:sz="4" w:space="0" w:color="auto"/>
              <w:right w:val="single" w:sz="4" w:space="0" w:color="auto"/>
            </w:tcBorders>
            <w:shd w:val="clear" w:color="auto" w:fill="auto"/>
            <w:vAlign w:val="bottom"/>
            <w:hideMark/>
          </w:tcPr>
          <w:p w14:paraId="41C92F03"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c>
          <w:tcPr>
            <w:tcW w:w="900" w:type="dxa"/>
            <w:tcBorders>
              <w:top w:val="nil"/>
              <w:left w:val="nil"/>
              <w:bottom w:val="single" w:sz="4" w:space="0" w:color="auto"/>
              <w:right w:val="single" w:sz="4" w:space="0" w:color="auto"/>
            </w:tcBorders>
            <w:shd w:val="clear" w:color="auto" w:fill="auto"/>
            <w:vAlign w:val="bottom"/>
            <w:hideMark/>
          </w:tcPr>
          <w:p w14:paraId="5E1D6446"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980" w:type="dxa"/>
            <w:tcBorders>
              <w:top w:val="nil"/>
              <w:left w:val="nil"/>
              <w:bottom w:val="single" w:sz="4" w:space="0" w:color="auto"/>
              <w:right w:val="single" w:sz="4" w:space="0" w:color="auto"/>
            </w:tcBorders>
            <w:shd w:val="clear" w:color="auto" w:fill="auto"/>
            <w:vAlign w:val="bottom"/>
            <w:hideMark/>
          </w:tcPr>
          <w:p w14:paraId="289CB7A2" w14:textId="77777777" w:rsidR="00DE1D85" w:rsidRPr="00DE1D85" w:rsidRDefault="00DE1D85" w:rsidP="00DE1D85">
            <w:pPr>
              <w:spacing w:after="0" w:line="240" w:lineRule="auto"/>
              <w:rPr>
                <w:rFonts w:ascii="Arial" w:eastAsia="Times New Roman" w:hAnsi="Arial" w:cs="Arial"/>
                <w:b/>
                <w:bCs/>
                <w:color w:val="000000"/>
                <w:sz w:val="24"/>
                <w:szCs w:val="24"/>
                <w:lang w:eastAsia="en-GB"/>
              </w:rPr>
            </w:pPr>
            <w:r w:rsidRPr="00DE1D85">
              <w:rPr>
                <w:rFonts w:ascii="Arial" w:eastAsia="Times New Roman" w:hAnsi="Arial" w:cs="Arial"/>
                <w:b/>
                <w:bCs/>
                <w:color w:val="000000"/>
                <w:sz w:val="24"/>
                <w:szCs w:val="24"/>
                <w:lang w:eastAsia="en-GB"/>
              </w:rPr>
              <w:t> </w:t>
            </w:r>
          </w:p>
        </w:tc>
        <w:tc>
          <w:tcPr>
            <w:tcW w:w="4780" w:type="dxa"/>
            <w:tcBorders>
              <w:top w:val="nil"/>
              <w:left w:val="nil"/>
              <w:bottom w:val="single" w:sz="4" w:space="0" w:color="auto"/>
              <w:right w:val="single" w:sz="4" w:space="0" w:color="auto"/>
            </w:tcBorders>
            <w:shd w:val="clear" w:color="auto" w:fill="auto"/>
            <w:vAlign w:val="bottom"/>
            <w:hideMark/>
          </w:tcPr>
          <w:p w14:paraId="1F3D9267" w14:textId="77777777" w:rsidR="00DE1D85" w:rsidRPr="00DE1D85" w:rsidRDefault="00DE1D85" w:rsidP="00DE1D85">
            <w:pPr>
              <w:spacing w:after="0" w:line="240" w:lineRule="auto"/>
              <w:rPr>
                <w:rFonts w:ascii="Arial" w:eastAsia="Times New Roman" w:hAnsi="Arial" w:cs="Arial"/>
                <w:color w:val="000000"/>
                <w:sz w:val="24"/>
                <w:szCs w:val="24"/>
                <w:lang w:eastAsia="en-GB"/>
              </w:rPr>
            </w:pPr>
            <w:r w:rsidRPr="00DE1D85">
              <w:rPr>
                <w:rFonts w:ascii="Arial" w:eastAsia="Times New Roman" w:hAnsi="Arial" w:cs="Arial"/>
                <w:color w:val="000000"/>
                <w:sz w:val="24"/>
                <w:szCs w:val="24"/>
                <w:lang w:eastAsia="en-GB"/>
              </w:rPr>
              <w:t> </w:t>
            </w:r>
          </w:p>
        </w:tc>
      </w:tr>
    </w:tbl>
    <w:p w14:paraId="558EB64D" w14:textId="2527F196" w:rsidR="00565E7D" w:rsidRDefault="00565E7D" w:rsidP="00B24A98">
      <w:pPr>
        <w:jc w:val="center"/>
        <w:rPr>
          <w:rFonts w:ascii="Times New Roman" w:hAnsi="Times New Roman" w:cs="Times New Roman"/>
          <w:b/>
          <w:bCs/>
          <w:sz w:val="36"/>
          <w:szCs w:val="36"/>
        </w:rPr>
      </w:pPr>
    </w:p>
    <w:p w14:paraId="086BC1DD" w14:textId="28F901DF" w:rsidR="00565E7D" w:rsidRDefault="00565E7D" w:rsidP="00B24A98">
      <w:pPr>
        <w:jc w:val="center"/>
        <w:rPr>
          <w:rFonts w:ascii="Times New Roman" w:hAnsi="Times New Roman" w:cs="Times New Roman"/>
          <w:b/>
          <w:bCs/>
          <w:sz w:val="36"/>
          <w:szCs w:val="36"/>
        </w:rPr>
      </w:pPr>
    </w:p>
    <w:p w14:paraId="73C97F88" w14:textId="142E751A" w:rsidR="00565E7D" w:rsidRDefault="00565E7D" w:rsidP="00B24A98">
      <w:pPr>
        <w:jc w:val="center"/>
        <w:rPr>
          <w:rFonts w:ascii="Times New Roman" w:hAnsi="Times New Roman" w:cs="Times New Roman"/>
          <w:b/>
          <w:bCs/>
          <w:sz w:val="36"/>
          <w:szCs w:val="36"/>
        </w:rPr>
      </w:pPr>
    </w:p>
    <w:p w14:paraId="554F211D" w14:textId="57B637FD" w:rsidR="00565E7D" w:rsidRDefault="00565E7D" w:rsidP="00B24A98">
      <w:pPr>
        <w:jc w:val="center"/>
        <w:rPr>
          <w:rFonts w:ascii="Times New Roman" w:hAnsi="Times New Roman" w:cs="Times New Roman"/>
          <w:b/>
          <w:bCs/>
          <w:sz w:val="36"/>
          <w:szCs w:val="36"/>
        </w:rPr>
      </w:pPr>
    </w:p>
    <w:p w14:paraId="048ED8AE" w14:textId="77777777" w:rsidR="00565E7D" w:rsidRDefault="00565E7D" w:rsidP="00B24A98">
      <w:pPr>
        <w:jc w:val="center"/>
        <w:rPr>
          <w:rFonts w:ascii="Times New Roman" w:hAnsi="Times New Roman" w:cs="Times New Roman"/>
          <w:b/>
          <w:bCs/>
          <w:sz w:val="36"/>
          <w:szCs w:val="36"/>
        </w:rPr>
      </w:pPr>
    </w:p>
    <w:p w14:paraId="0F6F6286" w14:textId="2457D629" w:rsidR="00A70E4B" w:rsidRPr="00A4075F" w:rsidRDefault="00B24A98" w:rsidP="00B24A98">
      <w:pPr>
        <w:jc w:val="center"/>
        <w:rPr>
          <w:rFonts w:ascii="Arial" w:hAnsi="Arial" w:cs="Arial"/>
          <w:b/>
          <w:bCs/>
          <w:sz w:val="24"/>
          <w:szCs w:val="24"/>
        </w:rPr>
      </w:pPr>
      <w:r w:rsidRPr="00A4075F">
        <w:rPr>
          <w:rFonts w:ascii="Arial" w:hAnsi="Arial" w:cs="Arial"/>
          <w:b/>
          <w:bCs/>
          <w:sz w:val="24"/>
          <w:szCs w:val="24"/>
        </w:rPr>
        <w:t>Question 2b</w:t>
      </w:r>
    </w:p>
    <w:p w14:paraId="5E39ACDE" w14:textId="21BEB5B7" w:rsidR="00B15BC2" w:rsidRPr="00A4075F" w:rsidRDefault="00B15BC2" w:rsidP="00B15BC2">
      <w:pPr>
        <w:jc w:val="both"/>
        <w:rPr>
          <w:rFonts w:ascii="Arial" w:hAnsi="Arial" w:cs="Arial"/>
          <w:b/>
          <w:bCs/>
          <w:sz w:val="24"/>
          <w:szCs w:val="24"/>
          <w:u w:val="single"/>
        </w:rPr>
      </w:pPr>
      <w:r w:rsidRPr="00A4075F">
        <w:rPr>
          <w:rFonts w:ascii="Arial" w:hAnsi="Arial" w:cs="Arial"/>
          <w:b/>
          <w:bCs/>
          <w:sz w:val="24"/>
          <w:szCs w:val="24"/>
          <w:u w:val="single"/>
        </w:rPr>
        <w:t>Q2 Ratio analysis:</w:t>
      </w:r>
    </w:p>
    <w:p w14:paraId="45A7470D" w14:textId="59881A5F" w:rsidR="00702E79" w:rsidRPr="00A4075F" w:rsidRDefault="00702E79" w:rsidP="00702E79">
      <w:pPr>
        <w:jc w:val="both"/>
        <w:rPr>
          <w:rFonts w:ascii="Arial" w:hAnsi="Arial" w:cs="Arial"/>
          <w:sz w:val="24"/>
          <w:szCs w:val="24"/>
        </w:rPr>
      </w:pPr>
      <w:r w:rsidRPr="00A4075F">
        <w:rPr>
          <w:rFonts w:ascii="Arial" w:hAnsi="Arial" w:cs="Arial"/>
          <w:sz w:val="24"/>
          <w:szCs w:val="24"/>
        </w:rPr>
        <w:t xml:space="preserve">Consistent with Sangster; Lewis, Wood (2018; p638) A wide range of stakeholders are interested in financial statement analysis, including shareholders, lenders, customers, suppliers, workers, the government, agencies, and rivals. </w:t>
      </w:r>
      <w:r w:rsidR="00C4621C" w:rsidRPr="00C4621C">
        <w:rPr>
          <w:rFonts w:ascii="Arial" w:hAnsi="Arial" w:cs="Arial"/>
          <w:sz w:val="24"/>
          <w:szCs w:val="24"/>
        </w:rPr>
        <w:t>Nonetheless, kids will be interested in a variety of topics in a variety of ways. As a result, there is no exhaustive list of subjects for investigation that would benefit all of these stakeholder groups. Nonetheless, it is feasible to create a sequence of ratios that, when combined, will give all of them with something important and from which entity.</w:t>
      </w:r>
      <w:r w:rsidR="00C4621C" w:rsidRPr="00A4075F">
        <w:rPr>
          <w:rFonts w:ascii="Arial" w:hAnsi="Arial" w:cs="Arial"/>
          <w:sz w:val="24"/>
          <w:szCs w:val="24"/>
        </w:rPr>
        <w:t xml:space="preserve"> </w:t>
      </w:r>
      <w:r w:rsidR="00C4621C" w:rsidRPr="00C4621C">
        <w:rPr>
          <w:rFonts w:ascii="Arial" w:hAnsi="Arial" w:cs="Arial"/>
          <w:sz w:val="24"/>
          <w:szCs w:val="24"/>
        </w:rPr>
        <w:t xml:space="preserve">It dispels some of the mystery around financial statements and makes it simpler to identify topics worth further investigation. Can </w:t>
      </w:r>
      <w:r w:rsidR="008952F1" w:rsidRPr="00C4621C">
        <w:rPr>
          <w:rFonts w:ascii="Arial" w:hAnsi="Arial" w:cs="Arial"/>
          <w:sz w:val="24"/>
          <w:szCs w:val="24"/>
        </w:rPr>
        <w:t>investigate</w:t>
      </w:r>
      <w:r w:rsidR="00C4621C" w:rsidRPr="00C4621C">
        <w:rPr>
          <w:rFonts w:ascii="Arial" w:hAnsi="Arial" w:cs="Arial"/>
          <w:sz w:val="24"/>
          <w:szCs w:val="24"/>
        </w:rPr>
        <w:t xml:space="preserve"> it. If required, continue. A ratio analysis is the first stage in determining a company's financial worth.</w:t>
      </w:r>
      <w:r w:rsidR="00C4621C">
        <w:rPr>
          <w:rFonts w:ascii="Arial" w:hAnsi="Arial" w:cs="Arial"/>
          <w:sz w:val="24"/>
          <w:szCs w:val="24"/>
        </w:rPr>
        <w:t xml:space="preserve"> </w:t>
      </w:r>
      <w:r w:rsidRPr="00A4075F">
        <w:rPr>
          <w:rFonts w:ascii="Arial" w:hAnsi="Arial" w:cs="Arial"/>
          <w:sz w:val="24"/>
          <w:szCs w:val="24"/>
        </w:rPr>
        <w:t>Nonetheless, it is feasible to create a sequence of ratios that, when combined, will give all of them with something important and from which entity. It dispels some of the mystery around financial statements and makes it simpler to identify topics worth further investigation. can lookinto it if required. A ratio analysis is the initial stage in the process.</w:t>
      </w:r>
    </w:p>
    <w:p w14:paraId="37E03057" w14:textId="1710C8B3" w:rsidR="00B15BC2" w:rsidRPr="00A4075F" w:rsidRDefault="00B15BC2" w:rsidP="00B15BC2">
      <w:pPr>
        <w:jc w:val="both"/>
        <w:rPr>
          <w:rFonts w:ascii="Arial" w:hAnsi="Arial" w:cs="Arial"/>
          <w:sz w:val="24"/>
          <w:szCs w:val="24"/>
        </w:rPr>
      </w:pPr>
      <w:r w:rsidRPr="00A4075F">
        <w:rPr>
          <w:rFonts w:ascii="Arial" w:hAnsi="Arial" w:cs="Arial"/>
          <w:sz w:val="24"/>
          <w:szCs w:val="24"/>
        </w:rPr>
        <w:t>According to</w:t>
      </w:r>
      <w:r w:rsidR="00127007" w:rsidRPr="00A4075F">
        <w:rPr>
          <w:rFonts w:ascii="Arial" w:hAnsi="Arial" w:cs="Arial"/>
          <w:sz w:val="24"/>
          <w:szCs w:val="24"/>
        </w:rPr>
        <w:t xml:space="preserve"> </w:t>
      </w:r>
      <w:r w:rsidRPr="00A4075F">
        <w:rPr>
          <w:rFonts w:ascii="Arial" w:hAnsi="Arial" w:cs="Arial"/>
          <w:sz w:val="24"/>
          <w:szCs w:val="24"/>
        </w:rPr>
        <w:t>Atrill; McLaney; (2016,2017; p 196)</w:t>
      </w:r>
      <w:r w:rsidR="008D031B" w:rsidRPr="00A4075F">
        <w:rPr>
          <w:rFonts w:ascii="Arial" w:hAnsi="Arial" w:cs="Arial"/>
          <w:sz w:val="24"/>
          <w:szCs w:val="24"/>
        </w:rPr>
        <w:t xml:space="preserve"> </w:t>
      </w:r>
      <w:r w:rsidRPr="00A4075F">
        <w:rPr>
          <w:rFonts w:ascii="Arial" w:hAnsi="Arial" w:cs="Arial"/>
          <w:sz w:val="24"/>
          <w:szCs w:val="24"/>
        </w:rPr>
        <w:t xml:space="preserve">Financial ratios are a quick and relatively straightforward way to measure a company's financial health. A ratio is </w:t>
      </w:r>
      <w:r w:rsidRPr="00A4075F">
        <w:rPr>
          <w:rFonts w:ascii="Arial" w:hAnsi="Arial" w:cs="Arial"/>
          <w:sz w:val="24"/>
          <w:szCs w:val="24"/>
        </w:rPr>
        <w:lastRenderedPageBreak/>
        <w:t>merely a relationship between one figure in the financial statements and another figure in the financial statements (for example, operational profit and sales revenue) or possibly to a business resource (for example, operating profit per employee).</w:t>
      </w:r>
    </w:p>
    <w:p w14:paraId="2EAB498E" w14:textId="3840BD4D" w:rsidR="00B15BC2" w:rsidRPr="00A4075F" w:rsidRDefault="00B15BC2" w:rsidP="00B15BC2">
      <w:pPr>
        <w:jc w:val="both"/>
        <w:rPr>
          <w:rFonts w:ascii="Arial" w:hAnsi="Arial" w:cs="Arial"/>
          <w:sz w:val="24"/>
          <w:szCs w:val="24"/>
        </w:rPr>
      </w:pPr>
      <w:r w:rsidRPr="00A4075F">
        <w:rPr>
          <w:rFonts w:ascii="Arial" w:hAnsi="Arial" w:cs="Arial"/>
          <w:sz w:val="24"/>
          <w:szCs w:val="24"/>
        </w:rPr>
        <w:t>When evaluating the financial health of different organizations, ratios can be extremely useful. There may be differences in the size of operations between businesses. As a result, a direct comparison of, say, each company's operating profit may be inaccurate. The difficulty of scale is solved by quantifying operating profit in terms of another metric (for example, capital employed). These ratios can be compared directly, although comparing absolute operating profit data may be less useful. When comparing the performance of the same firm from one period to the next, the necessity to reduce scale disparities using ratios can also apply.</w:t>
      </w:r>
      <w:r w:rsidR="00831A99" w:rsidRPr="00A4075F">
        <w:rPr>
          <w:rFonts w:ascii="Arial" w:hAnsi="Arial" w:cs="Arial"/>
          <w:sz w:val="24"/>
          <w:szCs w:val="24"/>
        </w:rPr>
        <w:t xml:space="preserve"> ( Atrill; McLaney; (2016)</w:t>
      </w:r>
    </w:p>
    <w:p w14:paraId="7C319F27" w14:textId="77777777" w:rsidR="00B15BC2" w:rsidRPr="00A4075F" w:rsidRDefault="00B15BC2" w:rsidP="00B15BC2">
      <w:pPr>
        <w:jc w:val="both"/>
        <w:rPr>
          <w:rFonts w:ascii="Arial" w:hAnsi="Arial" w:cs="Arial"/>
          <w:sz w:val="24"/>
          <w:szCs w:val="24"/>
        </w:rPr>
      </w:pPr>
      <w:r w:rsidRPr="00A4075F">
        <w:rPr>
          <w:rFonts w:ascii="Arial" w:hAnsi="Arial" w:cs="Arial"/>
          <w:sz w:val="24"/>
          <w:szCs w:val="24"/>
        </w:rPr>
        <w:t>It is often easy to draw up a revealing picture of a business's status and performance by computing a small number of ratios. As a result, it's no surprise that folks interested in firms and their performance employ ratios frequently. Although ratios are simple to calculate, they can be complex to interpret.</w:t>
      </w:r>
    </w:p>
    <w:p w14:paraId="602BBADA" w14:textId="47B59865" w:rsidR="00D4748E" w:rsidRDefault="008952F1" w:rsidP="00B15BC2">
      <w:pPr>
        <w:jc w:val="both"/>
        <w:rPr>
          <w:rFonts w:ascii="Arial" w:hAnsi="Arial" w:cs="Arial"/>
          <w:sz w:val="24"/>
          <w:szCs w:val="24"/>
        </w:rPr>
      </w:pPr>
      <w:r w:rsidRPr="008952F1">
        <w:rPr>
          <w:rFonts w:ascii="Arial" w:hAnsi="Arial" w:cs="Arial"/>
          <w:sz w:val="24"/>
          <w:szCs w:val="24"/>
        </w:rPr>
        <w:t xml:space="preserve">Ratios, rather than offering solutions, let us decide which questions to ask. They can highlight a company's financial strengths and </w:t>
      </w:r>
      <w:r w:rsidR="00242D95" w:rsidRPr="008952F1">
        <w:rPr>
          <w:rFonts w:ascii="Arial" w:hAnsi="Arial" w:cs="Arial"/>
          <w:sz w:val="24"/>
          <w:szCs w:val="24"/>
        </w:rPr>
        <w:t>shortcomings;</w:t>
      </w:r>
      <w:r w:rsidRPr="008952F1">
        <w:rPr>
          <w:rFonts w:ascii="Arial" w:hAnsi="Arial" w:cs="Arial"/>
          <w:sz w:val="24"/>
          <w:szCs w:val="24"/>
        </w:rPr>
        <w:t xml:space="preserve"> </w:t>
      </w:r>
      <w:r w:rsidR="00242D95" w:rsidRPr="00242D95">
        <w:rPr>
          <w:rFonts w:ascii="Arial" w:hAnsi="Arial" w:cs="Arial"/>
          <w:sz w:val="24"/>
          <w:szCs w:val="24"/>
        </w:rPr>
        <w:t>However, they are unable to explain why certain strengths and shortcomings exist or why particular changes have occurred. They serve as a starting point for further study. Only a thorough examination will uncover the true causes.</w:t>
      </w:r>
    </w:p>
    <w:p w14:paraId="1AC717B5" w14:textId="5BC57FDD" w:rsidR="00D4748E" w:rsidRDefault="00D4748E" w:rsidP="00B15BC2">
      <w:pPr>
        <w:jc w:val="both"/>
        <w:rPr>
          <w:rFonts w:ascii="Arial" w:hAnsi="Arial" w:cs="Arial"/>
          <w:sz w:val="24"/>
          <w:szCs w:val="24"/>
        </w:rPr>
      </w:pPr>
      <w:r w:rsidRPr="00D4748E">
        <w:rPr>
          <w:rFonts w:ascii="Arial" w:hAnsi="Arial" w:cs="Arial"/>
          <w:sz w:val="24"/>
          <w:szCs w:val="24"/>
        </w:rPr>
        <w:t xml:space="preserve">Ratios can be represented in several ways, such as a percentage or a proportion. The </w:t>
      </w:r>
      <w:r w:rsidR="00E878B7" w:rsidRPr="00D4748E">
        <w:rPr>
          <w:rFonts w:ascii="Arial" w:hAnsi="Arial" w:cs="Arial"/>
          <w:sz w:val="24"/>
          <w:szCs w:val="24"/>
        </w:rPr>
        <w:t>way</w:t>
      </w:r>
      <w:r w:rsidRPr="00D4748E">
        <w:rPr>
          <w:rFonts w:ascii="Arial" w:hAnsi="Arial" w:cs="Arial"/>
          <w:sz w:val="24"/>
          <w:szCs w:val="24"/>
        </w:rPr>
        <w:t xml:space="preserve"> a certain ratio is provided will be decided by the needs of those who will use the information. Although numerous ratios can be generated, only a few are likely to be relevant to a given user depending on essential relationships. Many of the ratios that may be calculated from financial statements</w:t>
      </w:r>
      <w:r>
        <w:rPr>
          <w:rFonts w:ascii="Arial" w:hAnsi="Arial" w:cs="Arial"/>
          <w:sz w:val="24"/>
          <w:szCs w:val="24"/>
        </w:rPr>
        <w:t>.</w:t>
      </w:r>
    </w:p>
    <w:p w14:paraId="5FD23502" w14:textId="295F5342" w:rsidR="00D4748E" w:rsidRDefault="00D4748E" w:rsidP="00DB47EC">
      <w:pPr>
        <w:jc w:val="both"/>
        <w:rPr>
          <w:rFonts w:ascii="Arial" w:hAnsi="Arial" w:cs="Arial"/>
          <w:sz w:val="24"/>
          <w:szCs w:val="24"/>
        </w:rPr>
      </w:pPr>
      <w:r w:rsidRPr="00D4748E">
        <w:rPr>
          <w:rFonts w:ascii="Arial" w:hAnsi="Arial" w:cs="Arial"/>
          <w:sz w:val="24"/>
          <w:szCs w:val="24"/>
        </w:rPr>
        <w:t>There is no widely agreed-upon list of ratios that may be applied to financial statements, nor is there a standard method for computing many ratios. Variations in the choice of ratios and their computation will occur in practice; hence, consistency in the way rations are computed for comparison purposes is crucial.</w:t>
      </w:r>
    </w:p>
    <w:p w14:paraId="5A633C2A" w14:textId="6807201F" w:rsidR="00DB47EC" w:rsidRPr="00A4075F" w:rsidRDefault="00B6194D" w:rsidP="00DB47EC">
      <w:pPr>
        <w:jc w:val="both"/>
        <w:rPr>
          <w:rFonts w:ascii="Arial" w:hAnsi="Arial" w:cs="Arial"/>
          <w:sz w:val="24"/>
          <w:szCs w:val="24"/>
        </w:rPr>
      </w:pPr>
      <w:r w:rsidRPr="00B6194D">
        <w:rPr>
          <w:rFonts w:ascii="Arial" w:hAnsi="Arial" w:cs="Arial"/>
          <w:sz w:val="24"/>
          <w:szCs w:val="24"/>
        </w:rPr>
        <w:t xml:space="preserve">To anticipate the future, financial measures based on current or previous performance are commonly utilized. Normally, the analyst's judgment and opinion are used to choose ratios and interpret results; </w:t>
      </w:r>
      <w:r w:rsidR="00E878B7" w:rsidRPr="00B6194D">
        <w:rPr>
          <w:rFonts w:ascii="Arial" w:hAnsi="Arial" w:cs="Arial"/>
          <w:sz w:val="24"/>
          <w:szCs w:val="24"/>
        </w:rPr>
        <w:t>but</w:t>
      </w:r>
      <w:r w:rsidR="00E878B7" w:rsidRPr="00E878B7">
        <w:t xml:space="preserve"> </w:t>
      </w:r>
      <w:r w:rsidR="00E878B7" w:rsidRPr="00E878B7">
        <w:rPr>
          <w:rFonts w:ascii="Arial" w:hAnsi="Arial" w:cs="Arial"/>
          <w:sz w:val="24"/>
          <w:szCs w:val="24"/>
        </w:rPr>
        <w:t xml:space="preserve">Attempts have been undertaken in recent years to create a more scientific and systematic approach to the use of ratios for prediction purposes. Ratios' potential to anticipate a company's financial demise has piqued the curiosity of </w:t>
      </w:r>
      <w:r w:rsidR="00E878B7" w:rsidRPr="00E878B7">
        <w:rPr>
          <w:rFonts w:ascii="Arial" w:hAnsi="Arial" w:cs="Arial"/>
          <w:sz w:val="24"/>
          <w:szCs w:val="24"/>
        </w:rPr>
        <w:t>researchers.</w:t>
      </w:r>
      <w:r w:rsidR="00DB47EC" w:rsidRPr="00A4075F">
        <w:rPr>
          <w:rFonts w:ascii="Arial" w:hAnsi="Arial" w:cs="Arial"/>
          <w:sz w:val="24"/>
          <w:szCs w:val="24"/>
        </w:rPr>
        <w:t xml:space="preserve"> Atrill; McLaney; (2016,2017; p 235)</w:t>
      </w:r>
    </w:p>
    <w:p w14:paraId="612F7C5A" w14:textId="77777777" w:rsidR="00B6194D" w:rsidRDefault="00B6194D" w:rsidP="00C77751">
      <w:pPr>
        <w:jc w:val="both"/>
        <w:rPr>
          <w:rFonts w:ascii="Arial" w:hAnsi="Arial" w:cs="Arial"/>
          <w:sz w:val="24"/>
          <w:szCs w:val="24"/>
        </w:rPr>
      </w:pPr>
      <w:r w:rsidRPr="00B6194D">
        <w:rPr>
          <w:rFonts w:ascii="Arial" w:hAnsi="Arial" w:cs="Arial"/>
          <w:sz w:val="24"/>
          <w:szCs w:val="24"/>
        </w:rPr>
        <w:t>We define financial failure as a firm that is forced out of business or suffers substantial financial consequences as a result of its inability to meet its financial obligations. It is also known as "going bankrupt" or "going bust." This is, of course, a source of concern for everyone associated with the company.</w:t>
      </w:r>
    </w:p>
    <w:p w14:paraId="4D79238E" w14:textId="64585FCF" w:rsidR="00C77751" w:rsidRPr="00A4075F" w:rsidRDefault="00B6194D" w:rsidP="00C77751">
      <w:pPr>
        <w:jc w:val="both"/>
        <w:rPr>
          <w:rFonts w:ascii="Arial" w:hAnsi="Arial" w:cs="Arial"/>
          <w:sz w:val="24"/>
          <w:szCs w:val="24"/>
        </w:rPr>
      </w:pPr>
      <w:bookmarkStart w:id="6" w:name="_Hlk78222650"/>
      <w:r w:rsidRPr="00B6194D">
        <w:rPr>
          <w:rFonts w:ascii="Arial" w:hAnsi="Arial" w:cs="Arial"/>
          <w:sz w:val="24"/>
          <w:szCs w:val="24"/>
        </w:rPr>
        <w:t xml:space="preserve">Ratio analysis is not without limits. Although ratios are a quick and effective way to assess a company's status and performance, they are not without drawbacks and limits. Financial statement quality. Remember that ratios are based on financial </w:t>
      </w:r>
      <w:r w:rsidRPr="00B6194D">
        <w:rPr>
          <w:rFonts w:ascii="Arial" w:hAnsi="Arial" w:cs="Arial"/>
          <w:sz w:val="24"/>
          <w:szCs w:val="24"/>
        </w:rPr>
        <w:lastRenderedPageBreak/>
        <w:t>statements.</w:t>
      </w:r>
      <w:r>
        <w:rPr>
          <w:rFonts w:ascii="Arial" w:hAnsi="Arial" w:cs="Arial"/>
          <w:sz w:val="24"/>
          <w:szCs w:val="24"/>
        </w:rPr>
        <w:t xml:space="preserve"> </w:t>
      </w:r>
      <w:bookmarkEnd w:id="6"/>
      <w:r w:rsidRPr="00B6194D">
        <w:rPr>
          <w:rFonts w:ascii="Arial" w:hAnsi="Arial" w:cs="Arial"/>
          <w:sz w:val="24"/>
          <w:szCs w:val="24"/>
        </w:rPr>
        <w:t>As a result, the quality of the underlying claims influences the ratio analysis results. Ratios will inherit the restrictions of the financial statements they are based on. As a result, the conclusion of ratio analysis is dependent on the truthfulness of the underlying statements. Ratios will be subject to the restrictions imposed by the financial statements upon which they are based. Internally promoted</w:t>
      </w:r>
      <w:r>
        <w:rPr>
          <w:rFonts w:ascii="Arial" w:hAnsi="Arial" w:cs="Arial"/>
          <w:sz w:val="24"/>
          <w:szCs w:val="24"/>
        </w:rPr>
        <w:t xml:space="preserve">. </w:t>
      </w:r>
      <w:r w:rsidR="00B15BC2" w:rsidRPr="00A4075F">
        <w:rPr>
          <w:rFonts w:ascii="Arial" w:hAnsi="Arial" w:cs="Arial"/>
          <w:sz w:val="24"/>
          <w:szCs w:val="24"/>
        </w:rPr>
        <w:t>This implies that, while these resources may be valuable, important ratios such as ROSF, ROCE, and the gearing ratio will fail to recognize their presence.</w:t>
      </w:r>
      <w:r w:rsidR="00C77751" w:rsidRPr="00A4075F">
        <w:rPr>
          <w:rFonts w:ascii="Arial" w:hAnsi="Arial" w:cs="Arial"/>
          <w:sz w:val="24"/>
          <w:szCs w:val="24"/>
        </w:rPr>
        <w:t xml:space="preserve"> (Atrill; McLaney; (2016,2017; p 235)</w:t>
      </w:r>
    </w:p>
    <w:p w14:paraId="48944333" w14:textId="3B55CD69" w:rsidR="00B15BC2" w:rsidRDefault="00B15BC2" w:rsidP="00B15BC2">
      <w:pPr>
        <w:jc w:val="both"/>
        <w:rPr>
          <w:rFonts w:ascii="Times New Roman" w:hAnsi="Times New Roman" w:cs="Times New Roman"/>
          <w:sz w:val="24"/>
          <w:szCs w:val="24"/>
        </w:rPr>
      </w:pPr>
    </w:p>
    <w:p w14:paraId="439707F3" w14:textId="77777777" w:rsidR="00911624" w:rsidRDefault="00911624" w:rsidP="00B24A98">
      <w:pPr>
        <w:jc w:val="center"/>
        <w:rPr>
          <w:rFonts w:ascii="Times New Roman" w:hAnsi="Times New Roman" w:cs="Times New Roman"/>
          <w:b/>
          <w:bCs/>
          <w:sz w:val="36"/>
          <w:szCs w:val="36"/>
        </w:rPr>
      </w:pPr>
    </w:p>
    <w:p w14:paraId="69F970C5" w14:textId="77777777" w:rsidR="00CC60BD" w:rsidRDefault="00CC60BD" w:rsidP="009F0C89">
      <w:pPr>
        <w:jc w:val="center"/>
        <w:rPr>
          <w:rFonts w:ascii="Times New Roman" w:hAnsi="Times New Roman" w:cs="Times New Roman"/>
          <w:b/>
          <w:bCs/>
          <w:sz w:val="36"/>
          <w:szCs w:val="36"/>
        </w:rPr>
      </w:pPr>
    </w:p>
    <w:p w14:paraId="61165979" w14:textId="5EF4943E" w:rsidR="00084ACD" w:rsidRDefault="00084ACD" w:rsidP="009F0C89">
      <w:pPr>
        <w:jc w:val="center"/>
        <w:rPr>
          <w:rFonts w:ascii="Times New Roman" w:hAnsi="Times New Roman" w:cs="Times New Roman"/>
          <w:b/>
          <w:bCs/>
          <w:sz w:val="36"/>
          <w:szCs w:val="36"/>
        </w:rPr>
      </w:pPr>
    </w:p>
    <w:p w14:paraId="67E7FA6B" w14:textId="497ECA4A" w:rsidR="00565E7D" w:rsidRDefault="00565E7D" w:rsidP="009F0C89">
      <w:pPr>
        <w:jc w:val="center"/>
        <w:rPr>
          <w:rFonts w:ascii="Times New Roman" w:hAnsi="Times New Roman" w:cs="Times New Roman"/>
          <w:b/>
          <w:bCs/>
          <w:sz w:val="36"/>
          <w:szCs w:val="36"/>
        </w:rPr>
      </w:pPr>
    </w:p>
    <w:p w14:paraId="2023568C" w14:textId="06BBEE49" w:rsidR="00565E7D" w:rsidRDefault="00565E7D" w:rsidP="009F0C89">
      <w:pPr>
        <w:jc w:val="center"/>
        <w:rPr>
          <w:rFonts w:ascii="Times New Roman" w:hAnsi="Times New Roman" w:cs="Times New Roman"/>
          <w:b/>
          <w:bCs/>
          <w:sz w:val="36"/>
          <w:szCs w:val="36"/>
        </w:rPr>
      </w:pPr>
    </w:p>
    <w:p w14:paraId="72B12D8C" w14:textId="122D5B8F" w:rsidR="00565E7D" w:rsidRDefault="00565E7D" w:rsidP="009F0C89">
      <w:pPr>
        <w:jc w:val="center"/>
        <w:rPr>
          <w:rFonts w:ascii="Times New Roman" w:hAnsi="Times New Roman" w:cs="Times New Roman"/>
          <w:b/>
          <w:bCs/>
          <w:sz w:val="36"/>
          <w:szCs w:val="36"/>
        </w:rPr>
      </w:pPr>
    </w:p>
    <w:p w14:paraId="711E2EA0" w14:textId="2DEF9A60" w:rsidR="00565E7D" w:rsidRDefault="00565E7D" w:rsidP="009F0C89">
      <w:pPr>
        <w:jc w:val="center"/>
        <w:rPr>
          <w:rFonts w:ascii="Times New Roman" w:hAnsi="Times New Roman" w:cs="Times New Roman"/>
          <w:b/>
          <w:bCs/>
          <w:sz w:val="36"/>
          <w:szCs w:val="36"/>
        </w:rPr>
      </w:pPr>
    </w:p>
    <w:p w14:paraId="5C021E3A" w14:textId="584E909A" w:rsidR="00565E7D" w:rsidRDefault="00565E7D" w:rsidP="009F0C89">
      <w:pPr>
        <w:jc w:val="center"/>
        <w:rPr>
          <w:rFonts w:ascii="Times New Roman" w:hAnsi="Times New Roman" w:cs="Times New Roman"/>
          <w:b/>
          <w:bCs/>
          <w:sz w:val="36"/>
          <w:szCs w:val="36"/>
        </w:rPr>
      </w:pPr>
    </w:p>
    <w:p w14:paraId="590E559C" w14:textId="15F73092" w:rsidR="00565E7D" w:rsidRDefault="00565E7D" w:rsidP="009F0C89">
      <w:pPr>
        <w:jc w:val="center"/>
        <w:rPr>
          <w:rFonts w:ascii="Times New Roman" w:hAnsi="Times New Roman" w:cs="Times New Roman"/>
          <w:b/>
          <w:bCs/>
          <w:sz w:val="36"/>
          <w:szCs w:val="36"/>
        </w:rPr>
      </w:pPr>
    </w:p>
    <w:p w14:paraId="470EFDEC" w14:textId="25301902" w:rsidR="00565E7D" w:rsidRDefault="00565E7D" w:rsidP="009F0C89">
      <w:pPr>
        <w:jc w:val="center"/>
        <w:rPr>
          <w:rFonts w:ascii="Times New Roman" w:hAnsi="Times New Roman" w:cs="Times New Roman"/>
          <w:b/>
          <w:bCs/>
          <w:sz w:val="36"/>
          <w:szCs w:val="36"/>
        </w:rPr>
      </w:pPr>
    </w:p>
    <w:p w14:paraId="413C2623" w14:textId="3B8FE056" w:rsidR="00565E7D" w:rsidRDefault="00565E7D" w:rsidP="009F0C89">
      <w:pPr>
        <w:jc w:val="center"/>
        <w:rPr>
          <w:rFonts w:ascii="Times New Roman" w:hAnsi="Times New Roman" w:cs="Times New Roman"/>
          <w:b/>
          <w:bCs/>
          <w:sz w:val="36"/>
          <w:szCs w:val="36"/>
        </w:rPr>
      </w:pPr>
    </w:p>
    <w:p w14:paraId="199E11FF" w14:textId="60251370" w:rsidR="00565E7D" w:rsidRDefault="00565E7D" w:rsidP="009F0C89">
      <w:pPr>
        <w:jc w:val="center"/>
        <w:rPr>
          <w:rFonts w:ascii="Times New Roman" w:hAnsi="Times New Roman" w:cs="Times New Roman"/>
          <w:b/>
          <w:bCs/>
          <w:sz w:val="36"/>
          <w:szCs w:val="36"/>
        </w:rPr>
      </w:pPr>
    </w:p>
    <w:p w14:paraId="0967AB8C" w14:textId="692CD700" w:rsidR="00565E7D" w:rsidRDefault="00565E7D" w:rsidP="009F0C89">
      <w:pPr>
        <w:jc w:val="center"/>
        <w:rPr>
          <w:rFonts w:ascii="Times New Roman" w:hAnsi="Times New Roman" w:cs="Times New Roman"/>
          <w:b/>
          <w:bCs/>
          <w:sz w:val="36"/>
          <w:szCs w:val="36"/>
        </w:rPr>
      </w:pPr>
    </w:p>
    <w:p w14:paraId="7840FD3A" w14:textId="703F9F4A" w:rsidR="00565E7D" w:rsidRDefault="00565E7D" w:rsidP="009F0C89">
      <w:pPr>
        <w:jc w:val="center"/>
        <w:rPr>
          <w:rFonts w:ascii="Times New Roman" w:hAnsi="Times New Roman" w:cs="Times New Roman"/>
          <w:b/>
          <w:bCs/>
          <w:sz w:val="36"/>
          <w:szCs w:val="36"/>
        </w:rPr>
      </w:pPr>
    </w:p>
    <w:p w14:paraId="53CED896" w14:textId="4157D253" w:rsidR="00565E7D" w:rsidRDefault="00565E7D" w:rsidP="009F0C89">
      <w:pPr>
        <w:jc w:val="center"/>
        <w:rPr>
          <w:rFonts w:ascii="Times New Roman" w:hAnsi="Times New Roman" w:cs="Times New Roman"/>
          <w:b/>
          <w:bCs/>
          <w:sz w:val="36"/>
          <w:szCs w:val="36"/>
        </w:rPr>
      </w:pPr>
    </w:p>
    <w:p w14:paraId="2358EA79" w14:textId="77777777" w:rsidR="00565E7D" w:rsidRDefault="00565E7D" w:rsidP="00565E7D">
      <w:pPr>
        <w:rPr>
          <w:rFonts w:ascii="Times New Roman" w:hAnsi="Times New Roman" w:cs="Times New Roman"/>
          <w:b/>
          <w:bCs/>
          <w:sz w:val="36"/>
          <w:szCs w:val="36"/>
        </w:rPr>
      </w:pPr>
    </w:p>
    <w:p w14:paraId="6A88F2A8" w14:textId="77777777" w:rsidR="00B6194D" w:rsidRDefault="00B6194D" w:rsidP="009F0C89">
      <w:pPr>
        <w:jc w:val="center"/>
        <w:rPr>
          <w:rFonts w:ascii="Times New Roman" w:hAnsi="Times New Roman" w:cs="Times New Roman"/>
          <w:b/>
          <w:bCs/>
          <w:sz w:val="36"/>
          <w:szCs w:val="36"/>
        </w:rPr>
      </w:pPr>
    </w:p>
    <w:p w14:paraId="70762E9B" w14:textId="77777777" w:rsidR="00B6194D" w:rsidRDefault="00B6194D" w:rsidP="009F0C89">
      <w:pPr>
        <w:jc w:val="center"/>
        <w:rPr>
          <w:rFonts w:ascii="Times New Roman" w:hAnsi="Times New Roman" w:cs="Times New Roman"/>
          <w:b/>
          <w:bCs/>
          <w:sz w:val="36"/>
          <w:szCs w:val="36"/>
        </w:rPr>
      </w:pPr>
    </w:p>
    <w:p w14:paraId="22801A62" w14:textId="22D214D7" w:rsidR="00B60CC1" w:rsidRDefault="009F0C89" w:rsidP="009F0C89">
      <w:pPr>
        <w:jc w:val="center"/>
        <w:rPr>
          <w:rFonts w:ascii="Times New Roman" w:hAnsi="Times New Roman" w:cs="Times New Roman"/>
          <w:b/>
          <w:bCs/>
          <w:sz w:val="36"/>
          <w:szCs w:val="36"/>
        </w:rPr>
      </w:pPr>
      <w:r>
        <w:rPr>
          <w:rFonts w:ascii="Times New Roman" w:hAnsi="Times New Roman" w:cs="Times New Roman"/>
          <w:b/>
          <w:bCs/>
          <w:sz w:val="36"/>
          <w:szCs w:val="36"/>
        </w:rPr>
        <w:lastRenderedPageBreak/>
        <w:t>Conclusion:</w:t>
      </w:r>
    </w:p>
    <w:p w14:paraId="6F7CF888" w14:textId="77777777" w:rsidR="00620100" w:rsidRDefault="00620100" w:rsidP="009F0C89">
      <w:pPr>
        <w:jc w:val="center"/>
        <w:rPr>
          <w:rFonts w:ascii="Times New Roman" w:hAnsi="Times New Roman" w:cs="Times New Roman"/>
          <w:b/>
          <w:bCs/>
          <w:sz w:val="36"/>
          <w:szCs w:val="36"/>
        </w:rPr>
      </w:pPr>
    </w:p>
    <w:p w14:paraId="473D5729" w14:textId="23A342E7" w:rsidR="00D96307" w:rsidRPr="00DB47EC" w:rsidRDefault="00D96307" w:rsidP="00D96307">
      <w:pPr>
        <w:jc w:val="both"/>
        <w:rPr>
          <w:rFonts w:ascii="Arial" w:hAnsi="Arial" w:cs="Arial"/>
          <w:sz w:val="24"/>
          <w:szCs w:val="24"/>
        </w:rPr>
      </w:pPr>
      <w:r w:rsidRPr="00DB47EC">
        <w:rPr>
          <w:rFonts w:ascii="Arial" w:hAnsi="Arial" w:cs="Arial"/>
          <w:sz w:val="24"/>
          <w:szCs w:val="24"/>
        </w:rPr>
        <w:t>The need for ratio</w:t>
      </w:r>
      <w:r w:rsidR="006A75CE" w:rsidRPr="00DB47EC">
        <w:rPr>
          <w:rFonts w:ascii="Arial" w:hAnsi="Arial" w:cs="Arial"/>
          <w:sz w:val="24"/>
          <w:szCs w:val="24"/>
        </w:rPr>
        <w:t xml:space="preserve"> analysis and accurate financial statements is im</w:t>
      </w:r>
      <w:r w:rsidR="00DF3721" w:rsidRPr="00DB47EC">
        <w:rPr>
          <w:rFonts w:ascii="Arial" w:hAnsi="Arial" w:cs="Arial"/>
          <w:sz w:val="24"/>
          <w:szCs w:val="24"/>
        </w:rPr>
        <w:t>perative for running a business</w:t>
      </w:r>
      <w:r w:rsidR="004A1027" w:rsidRPr="00DB47EC">
        <w:rPr>
          <w:rFonts w:ascii="Arial" w:hAnsi="Arial" w:cs="Arial"/>
          <w:sz w:val="24"/>
          <w:szCs w:val="24"/>
        </w:rPr>
        <w:t>.</w:t>
      </w:r>
      <w:r w:rsidRPr="00DB47EC">
        <w:rPr>
          <w:rFonts w:ascii="Arial" w:hAnsi="Arial" w:cs="Arial"/>
          <w:sz w:val="24"/>
          <w:szCs w:val="24"/>
        </w:rPr>
        <w:t xml:space="preserve"> </w:t>
      </w:r>
      <w:r w:rsidR="004A1027" w:rsidRPr="00DB47EC">
        <w:rPr>
          <w:rFonts w:ascii="Arial" w:hAnsi="Arial" w:cs="Arial"/>
          <w:sz w:val="24"/>
          <w:szCs w:val="24"/>
        </w:rPr>
        <w:t>W</w:t>
      </w:r>
      <w:r w:rsidRPr="00DB47EC">
        <w:rPr>
          <w:rFonts w:ascii="Arial" w:hAnsi="Arial" w:cs="Arial"/>
          <w:sz w:val="24"/>
          <w:szCs w:val="24"/>
        </w:rPr>
        <w:t>ithout ratios, financial statements would be virtually meaningless to all but the most knowledgeable readers. Financial statements may be evaluated and productively applied using ratios to meet the demands of the reader. According to: Sangster; Lewis, Wood (2018; p636)</w:t>
      </w:r>
    </w:p>
    <w:p w14:paraId="06F63198" w14:textId="0707A72E" w:rsidR="00620100" w:rsidRPr="00DB47EC" w:rsidRDefault="002053AF" w:rsidP="00620100">
      <w:pPr>
        <w:jc w:val="both"/>
        <w:rPr>
          <w:rFonts w:ascii="Arial" w:hAnsi="Arial" w:cs="Arial"/>
          <w:sz w:val="24"/>
          <w:szCs w:val="24"/>
        </w:rPr>
      </w:pPr>
      <w:r w:rsidRPr="00DB47EC">
        <w:rPr>
          <w:rFonts w:ascii="Arial" w:hAnsi="Arial" w:cs="Arial"/>
          <w:sz w:val="24"/>
          <w:szCs w:val="24"/>
        </w:rPr>
        <w:t xml:space="preserve">Assume you want to discover which firm makes the most profit. Simply checking and deciding which company makes the most profit. It is nearly hard to examine these data and determine which performance was the greatest and which was the worst. We need </w:t>
      </w:r>
      <w:r w:rsidR="00620100" w:rsidRPr="00DB47EC">
        <w:rPr>
          <w:rFonts w:ascii="Arial" w:hAnsi="Arial" w:cs="Arial"/>
          <w:sz w:val="24"/>
          <w:szCs w:val="24"/>
        </w:rPr>
        <w:t>standard</w:t>
      </w:r>
      <w:r w:rsidRPr="00DB47EC">
        <w:rPr>
          <w:rFonts w:ascii="Arial" w:hAnsi="Arial" w:cs="Arial"/>
          <w:sz w:val="24"/>
          <w:szCs w:val="24"/>
        </w:rPr>
        <w:t xml:space="preserve"> metric to offer the same base of comparison to each firm.</w:t>
      </w:r>
      <w:r w:rsidR="00620100" w:rsidRPr="00DB47EC">
        <w:rPr>
          <w:rFonts w:ascii="Arial" w:hAnsi="Arial" w:cs="Arial"/>
          <w:sz w:val="24"/>
          <w:szCs w:val="24"/>
        </w:rPr>
        <w:t xml:space="preserve"> </w:t>
      </w:r>
      <w:r w:rsidR="00E878B7" w:rsidRPr="00DB47EC">
        <w:rPr>
          <w:rFonts w:ascii="Arial" w:hAnsi="Arial" w:cs="Arial"/>
          <w:sz w:val="24"/>
          <w:szCs w:val="24"/>
        </w:rPr>
        <w:t>(Sangster</w:t>
      </w:r>
      <w:r w:rsidR="00620100" w:rsidRPr="00DB47EC">
        <w:rPr>
          <w:rFonts w:ascii="Arial" w:hAnsi="Arial" w:cs="Arial"/>
          <w:sz w:val="24"/>
          <w:szCs w:val="24"/>
        </w:rPr>
        <w:t>; Lewis, Wood (2018; p637)</w:t>
      </w:r>
    </w:p>
    <w:p w14:paraId="7095A602" w14:textId="7F703DBC" w:rsidR="009F0C89" w:rsidRPr="00DD79A2" w:rsidRDefault="00E878B7" w:rsidP="00DD79A2">
      <w:pPr>
        <w:jc w:val="both"/>
        <w:rPr>
          <w:rFonts w:ascii="Arial" w:hAnsi="Arial" w:cs="Arial"/>
          <w:sz w:val="24"/>
          <w:szCs w:val="24"/>
        </w:rPr>
      </w:pPr>
      <w:r w:rsidRPr="00E878B7">
        <w:rPr>
          <w:rFonts w:ascii="Arial" w:hAnsi="Arial" w:cs="Arial"/>
          <w:sz w:val="24"/>
          <w:szCs w:val="24"/>
        </w:rPr>
        <w:t xml:space="preserve">When a firm uses a double entry accounting system, the statement of financial position is </w:t>
      </w:r>
      <w:r w:rsidRPr="00E878B7">
        <w:rPr>
          <w:rFonts w:ascii="Arial" w:hAnsi="Arial" w:cs="Arial"/>
          <w:sz w:val="24"/>
          <w:szCs w:val="24"/>
        </w:rPr>
        <w:t>most given</w:t>
      </w:r>
      <w:r w:rsidRPr="00E878B7">
        <w:rPr>
          <w:rFonts w:ascii="Arial" w:hAnsi="Arial" w:cs="Arial"/>
          <w:sz w:val="24"/>
          <w:szCs w:val="24"/>
        </w:rPr>
        <w:t xml:space="preserve"> since this technique allows for continual adjustments to asset, liability, and equity accounts. If an entity instead uses a single-entry accounting system, there is no easy method to generate the statement, which is frequently created manually.</w:t>
      </w:r>
      <w:r>
        <w:rPr>
          <w:rFonts w:ascii="Arial" w:hAnsi="Arial" w:cs="Arial"/>
          <w:sz w:val="24"/>
          <w:szCs w:val="24"/>
        </w:rPr>
        <w:t xml:space="preserve"> </w:t>
      </w:r>
      <w:r w:rsidR="00F24965" w:rsidRPr="00F24965">
        <w:rPr>
          <w:rFonts w:ascii="Arial" w:hAnsi="Arial" w:cs="Arial"/>
          <w:sz w:val="24"/>
          <w:szCs w:val="24"/>
        </w:rPr>
        <w:t xml:space="preserve">Although ratios provide a rapid and effective means of </w:t>
      </w:r>
      <w:r w:rsidRPr="00F24965">
        <w:rPr>
          <w:rFonts w:ascii="Arial" w:hAnsi="Arial" w:cs="Arial"/>
          <w:sz w:val="24"/>
          <w:szCs w:val="24"/>
        </w:rPr>
        <w:t>analysing</w:t>
      </w:r>
      <w:r w:rsidR="00F24965" w:rsidRPr="00F24965">
        <w:rPr>
          <w:rFonts w:ascii="Arial" w:hAnsi="Arial" w:cs="Arial"/>
          <w:sz w:val="24"/>
          <w:szCs w:val="24"/>
        </w:rPr>
        <w:t xml:space="preserve"> a company's situation and performance, they are not without flaws and limitations. Quality of financial statements. Always keep in mind that ratios are based on financial statements. As a result, the quality of the underlying assertions has an impact on the ratio analysis fin</w:t>
      </w:r>
    </w:p>
    <w:p w14:paraId="23015225" w14:textId="04B91522" w:rsidR="009F0C89" w:rsidRDefault="009F0C89" w:rsidP="009F0C89">
      <w:pPr>
        <w:jc w:val="center"/>
        <w:rPr>
          <w:rFonts w:ascii="Times New Roman" w:hAnsi="Times New Roman" w:cs="Times New Roman"/>
          <w:b/>
          <w:bCs/>
          <w:sz w:val="36"/>
          <w:szCs w:val="36"/>
        </w:rPr>
      </w:pPr>
    </w:p>
    <w:p w14:paraId="4B6C7BF6" w14:textId="1BDC7891" w:rsidR="009F0C89" w:rsidRDefault="009F0C89" w:rsidP="009F0C89">
      <w:pPr>
        <w:jc w:val="center"/>
        <w:rPr>
          <w:rFonts w:ascii="Times New Roman" w:hAnsi="Times New Roman" w:cs="Times New Roman"/>
          <w:b/>
          <w:bCs/>
          <w:sz w:val="36"/>
          <w:szCs w:val="36"/>
        </w:rPr>
      </w:pPr>
    </w:p>
    <w:p w14:paraId="740A113D" w14:textId="414444B3" w:rsidR="009F0C89" w:rsidRDefault="009F0C89" w:rsidP="009F0C89">
      <w:pPr>
        <w:jc w:val="center"/>
        <w:rPr>
          <w:rFonts w:ascii="Times New Roman" w:hAnsi="Times New Roman" w:cs="Times New Roman"/>
          <w:b/>
          <w:bCs/>
          <w:sz w:val="36"/>
          <w:szCs w:val="36"/>
        </w:rPr>
      </w:pPr>
    </w:p>
    <w:p w14:paraId="730C6476" w14:textId="3D76F01D" w:rsidR="009F0C89" w:rsidRDefault="009F0C89" w:rsidP="009F0C89">
      <w:pPr>
        <w:jc w:val="center"/>
        <w:rPr>
          <w:rFonts w:ascii="Times New Roman" w:hAnsi="Times New Roman" w:cs="Times New Roman"/>
          <w:b/>
          <w:bCs/>
          <w:sz w:val="36"/>
          <w:szCs w:val="36"/>
        </w:rPr>
      </w:pPr>
    </w:p>
    <w:p w14:paraId="16E65C15" w14:textId="1E67596A" w:rsidR="009F0C89" w:rsidRDefault="009F0C89" w:rsidP="009F0C89">
      <w:pPr>
        <w:jc w:val="center"/>
        <w:rPr>
          <w:rFonts w:ascii="Times New Roman" w:hAnsi="Times New Roman" w:cs="Times New Roman"/>
          <w:b/>
          <w:bCs/>
          <w:sz w:val="36"/>
          <w:szCs w:val="36"/>
        </w:rPr>
      </w:pPr>
    </w:p>
    <w:p w14:paraId="7DDDEB6E" w14:textId="459DD671" w:rsidR="009F0C89" w:rsidRDefault="009F0C89" w:rsidP="009F0C89">
      <w:pPr>
        <w:jc w:val="center"/>
        <w:rPr>
          <w:rFonts w:ascii="Times New Roman" w:hAnsi="Times New Roman" w:cs="Times New Roman"/>
          <w:b/>
          <w:bCs/>
          <w:sz w:val="36"/>
          <w:szCs w:val="36"/>
        </w:rPr>
      </w:pPr>
    </w:p>
    <w:p w14:paraId="7E94F9FC" w14:textId="34473EBF" w:rsidR="009F0C89" w:rsidRDefault="009F0C89" w:rsidP="009F0C89">
      <w:pPr>
        <w:jc w:val="center"/>
        <w:rPr>
          <w:rFonts w:ascii="Times New Roman" w:hAnsi="Times New Roman" w:cs="Times New Roman"/>
          <w:b/>
          <w:bCs/>
          <w:sz w:val="36"/>
          <w:szCs w:val="36"/>
        </w:rPr>
      </w:pPr>
    </w:p>
    <w:p w14:paraId="325C57D9" w14:textId="77777777" w:rsidR="00084ACD" w:rsidRDefault="00084ACD" w:rsidP="009F0C89">
      <w:pPr>
        <w:jc w:val="center"/>
        <w:rPr>
          <w:rFonts w:ascii="Times New Roman" w:hAnsi="Times New Roman" w:cs="Times New Roman"/>
          <w:b/>
          <w:bCs/>
          <w:sz w:val="36"/>
          <w:szCs w:val="36"/>
        </w:rPr>
      </w:pPr>
    </w:p>
    <w:p w14:paraId="5514DB62" w14:textId="77777777" w:rsidR="00084ACD" w:rsidRDefault="00084ACD" w:rsidP="009F0C89">
      <w:pPr>
        <w:jc w:val="center"/>
        <w:rPr>
          <w:rFonts w:ascii="Times New Roman" w:hAnsi="Times New Roman" w:cs="Times New Roman"/>
          <w:b/>
          <w:bCs/>
          <w:sz w:val="36"/>
          <w:szCs w:val="36"/>
        </w:rPr>
      </w:pPr>
    </w:p>
    <w:p w14:paraId="61909A76" w14:textId="77777777" w:rsidR="00084ACD" w:rsidRDefault="00084ACD" w:rsidP="00565E7D">
      <w:pPr>
        <w:rPr>
          <w:rFonts w:ascii="Times New Roman" w:hAnsi="Times New Roman" w:cs="Times New Roman"/>
          <w:b/>
          <w:bCs/>
          <w:sz w:val="36"/>
          <w:szCs w:val="36"/>
        </w:rPr>
      </w:pPr>
    </w:p>
    <w:p w14:paraId="2C3EE527" w14:textId="269B21BE" w:rsidR="009F0C89" w:rsidRDefault="009F0C89" w:rsidP="009F0C89">
      <w:pPr>
        <w:jc w:val="center"/>
        <w:rPr>
          <w:rFonts w:ascii="Times New Roman" w:hAnsi="Times New Roman" w:cs="Times New Roman"/>
          <w:b/>
          <w:bCs/>
          <w:sz w:val="36"/>
          <w:szCs w:val="36"/>
        </w:rPr>
      </w:pPr>
      <w:r>
        <w:rPr>
          <w:rFonts w:ascii="Times New Roman" w:hAnsi="Times New Roman" w:cs="Times New Roman"/>
          <w:b/>
          <w:bCs/>
          <w:sz w:val="36"/>
          <w:szCs w:val="36"/>
        </w:rPr>
        <w:t>Reference List:</w:t>
      </w:r>
    </w:p>
    <w:p w14:paraId="286A4227" w14:textId="77777777" w:rsidR="002A70DB" w:rsidRPr="00565E7D" w:rsidRDefault="002A70DB" w:rsidP="009F0C89">
      <w:pPr>
        <w:jc w:val="center"/>
        <w:rPr>
          <w:rFonts w:ascii="Arial" w:hAnsi="Arial" w:cs="Arial"/>
          <w:b/>
          <w:bCs/>
          <w:sz w:val="24"/>
          <w:szCs w:val="24"/>
        </w:rPr>
      </w:pPr>
    </w:p>
    <w:p w14:paraId="06E191F0" w14:textId="7A4A9B5A" w:rsidR="00A11F3B" w:rsidRPr="00565E7D" w:rsidRDefault="007E21C6" w:rsidP="00A81547">
      <w:pPr>
        <w:jc w:val="both"/>
        <w:rPr>
          <w:rFonts w:ascii="Arial" w:hAnsi="Arial" w:cs="Arial"/>
          <w:sz w:val="24"/>
          <w:szCs w:val="24"/>
        </w:rPr>
      </w:pPr>
      <w:r w:rsidRPr="00565E7D">
        <w:rPr>
          <w:rFonts w:ascii="Arial" w:hAnsi="Arial" w:cs="Arial"/>
          <w:sz w:val="24"/>
          <w:szCs w:val="24"/>
        </w:rPr>
        <w:t>1</w:t>
      </w:r>
      <w:r w:rsidR="00A11F3B" w:rsidRPr="00565E7D">
        <w:rPr>
          <w:rFonts w:ascii="Arial" w:hAnsi="Arial" w:cs="Arial"/>
          <w:sz w:val="24"/>
          <w:szCs w:val="24"/>
        </w:rPr>
        <w:t xml:space="preserve">. </w:t>
      </w:r>
      <w:r w:rsidR="002E2089" w:rsidRPr="00565E7D">
        <w:rPr>
          <w:rFonts w:ascii="Arial" w:hAnsi="Arial" w:cs="Arial"/>
          <w:sz w:val="24"/>
          <w:szCs w:val="24"/>
        </w:rPr>
        <w:t>Atrill, Peter,McLaney, E. J.</w:t>
      </w:r>
      <w:r w:rsidR="002A70DB" w:rsidRPr="00565E7D">
        <w:rPr>
          <w:rFonts w:ascii="Arial" w:hAnsi="Arial" w:cs="Arial"/>
          <w:sz w:val="24"/>
          <w:szCs w:val="24"/>
        </w:rPr>
        <w:t xml:space="preserve">(2017) </w:t>
      </w:r>
      <w:r w:rsidR="00A11F3B" w:rsidRPr="00565E7D">
        <w:rPr>
          <w:rFonts w:ascii="Arial" w:hAnsi="Arial" w:cs="Arial"/>
          <w:i/>
          <w:iCs/>
          <w:sz w:val="24"/>
          <w:szCs w:val="24"/>
        </w:rPr>
        <w:t>Accounting and finance for non-specialists</w:t>
      </w:r>
      <w:r w:rsidR="00A11F3B" w:rsidRPr="00565E7D">
        <w:rPr>
          <w:rFonts w:ascii="Arial" w:hAnsi="Arial" w:cs="Arial"/>
          <w:sz w:val="24"/>
          <w:szCs w:val="24"/>
        </w:rPr>
        <w:t xml:space="preserve"> </w:t>
      </w:r>
    </w:p>
    <w:p w14:paraId="47C60DA7" w14:textId="1B36C621" w:rsidR="00FA3C2F" w:rsidRPr="00565E7D" w:rsidRDefault="00A11F3B" w:rsidP="00A81547">
      <w:pPr>
        <w:jc w:val="both"/>
        <w:rPr>
          <w:rFonts w:ascii="Arial" w:hAnsi="Arial" w:cs="Arial"/>
          <w:sz w:val="24"/>
          <w:szCs w:val="24"/>
        </w:rPr>
      </w:pPr>
      <w:r w:rsidRPr="00565E7D">
        <w:rPr>
          <w:rFonts w:ascii="Arial" w:hAnsi="Arial" w:cs="Arial"/>
          <w:sz w:val="24"/>
          <w:szCs w:val="24"/>
        </w:rPr>
        <w:t>Tenth edition.Harlow, England :Pearson©2016; 2017.Total Pages (569 pages)</w:t>
      </w:r>
    </w:p>
    <w:p w14:paraId="0179CA80" w14:textId="1BD5589F" w:rsidR="007E21C6" w:rsidRPr="00565E7D" w:rsidRDefault="007E21C6" w:rsidP="00996EBB">
      <w:pPr>
        <w:jc w:val="both"/>
        <w:rPr>
          <w:rFonts w:ascii="Arial" w:hAnsi="Arial" w:cs="Arial"/>
          <w:sz w:val="24"/>
          <w:szCs w:val="24"/>
        </w:rPr>
      </w:pPr>
      <w:r w:rsidRPr="00565E7D">
        <w:rPr>
          <w:rFonts w:ascii="Arial" w:hAnsi="Arial" w:cs="Arial"/>
          <w:sz w:val="24"/>
          <w:szCs w:val="24"/>
        </w:rPr>
        <w:t>2</w:t>
      </w:r>
      <w:r w:rsidR="007444C5" w:rsidRPr="00565E7D">
        <w:rPr>
          <w:rFonts w:ascii="Arial" w:hAnsi="Arial" w:cs="Arial"/>
          <w:sz w:val="24"/>
          <w:szCs w:val="24"/>
        </w:rPr>
        <w:t xml:space="preserve">. </w:t>
      </w:r>
      <w:r w:rsidR="00880DD2" w:rsidRPr="00565E7D">
        <w:rPr>
          <w:rFonts w:ascii="Arial" w:hAnsi="Arial" w:cs="Arial"/>
          <w:sz w:val="24"/>
          <w:szCs w:val="24"/>
        </w:rPr>
        <w:t>Atrill, Peter.McLaney, E. J.</w:t>
      </w:r>
      <w:r w:rsidR="00BD218A" w:rsidRPr="00565E7D">
        <w:rPr>
          <w:rFonts w:ascii="Arial" w:hAnsi="Arial" w:cs="Arial"/>
          <w:sz w:val="24"/>
          <w:szCs w:val="24"/>
        </w:rPr>
        <w:t xml:space="preserve">(2016) </w:t>
      </w:r>
      <w:r w:rsidR="007444C5" w:rsidRPr="00565E7D">
        <w:rPr>
          <w:rFonts w:ascii="Arial" w:hAnsi="Arial" w:cs="Arial"/>
          <w:i/>
          <w:iCs/>
          <w:sz w:val="24"/>
          <w:szCs w:val="24"/>
        </w:rPr>
        <w:t>Financial accounting for decision makers</w:t>
      </w:r>
      <w:r w:rsidR="00996EBB" w:rsidRPr="00565E7D">
        <w:rPr>
          <w:rFonts w:ascii="Arial" w:hAnsi="Arial" w:cs="Arial"/>
          <w:sz w:val="24"/>
          <w:szCs w:val="24"/>
        </w:rPr>
        <w:t xml:space="preserve"> </w:t>
      </w:r>
      <w:r w:rsidR="007444C5" w:rsidRPr="00565E7D">
        <w:rPr>
          <w:rFonts w:ascii="Arial" w:hAnsi="Arial" w:cs="Arial"/>
          <w:sz w:val="24"/>
          <w:szCs w:val="24"/>
        </w:rPr>
        <w:t xml:space="preserve">8th ed.Harlow :Pearson2016.Total Pages 1 online resource (xx, 585 p.) </w:t>
      </w:r>
    </w:p>
    <w:p w14:paraId="6EBBC591" w14:textId="24D9257B" w:rsidR="007444C5" w:rsidRPr="00565E7D" w:rsidRDefault="007E21C6" w:rsidP="00A81547">
      <w:pPr>
        <w:jc w:val="both"/>
        <w:rPr>
          <w:rFonts w:ascii="Arial" w:hAnsi="Arial" w:cs="Arial"/>
          <w:sz w:val="24"/>
          <w:szCs w:val="24"/>
        </w:rPr>
      </w:pPr>
      <w:r w:rsidRPr="00565E7D">
        <w:rPr>
          <w:rFonts w:ascii="Arial" w:hAnsi="Arial" w:cs="Arial"/>
          <w:sz w:val="24"/>
          <w:szCs w:val="24"/>
        </w:rPr>
        <w:t>3</w:t>
      </w:r>
      <w:r w:rsidR="00996EBB" w:rsidRPr="00565E7D">
        <w:rPr>
          <w:rFonts w:ascii="Arial" w:hAnsi="Arial" w:cs="Arial"/>
          <w:sz w:val="24"/>
          <w:szCs w:val="24"/>
        </w:rPr>
        <w:t xml:space="preserve">. Wood, Frank, Sangster, Alan. Gordon, Lewis (2018) </w:t>
      </w:r>
      <w:r w:rsidR="00996EBB" w:rsidRPr="00565E7D">
        <w:rPr>
          <w:rFonts w:ascii="Arial" w:hAnsi="Arial" w:cs="Arial"/>
          <w:i/>
          <w:iCs/>
          <w:sz w:val="24"/>
          <w:szCs w:val="24"/>
        </w:rPr>
        <w:t>Frank Wood's business accounting 1</w:t>
      </w:r>
      <w:r w:rsidR="00996EBB" w:rsidRPr="00565E7D">
        <w:rPr>
          <w:rFonts w:ascii="Arial" w:hAnsi="Arial" w:cs="Arial"/>
          <w:sz w:val="24"/>
          <w:szCs w:val="24"/>
        </w:rPr>
        <w:t xml:space="preserve"> 14th ed. Harlow: Pearson2018.</w:t>
      </w:r>
    </w:p>
    <w:p w14:paraId="4886D865" w14:textId="06E49166" w:rsidR="00CA3C5C" w:rsidRPr="00565E7D" w:rsidRDefault="00291F54" w:rsidP="00CA3C5C">
      <w:pPr>
        <w:pStyle w:val="Heading1"/>
        <w:shd w:val="clear" w:color="auto" w:fill="FFFFFF"/>
        <w:spacing w:before="0" w:beforeAutospacing="0" w:after="0" w:afterAutospacing="0" w:line="360" w:lineRule="atLeast"/>
        <w:rPr>
          <w:rFonts w:ascii="Arial" w:hAnsi="Arial" w:cs="Arial"/>
          <w:b w:val="0"/>
          <w:bCs w:val="0"/>
          <w:i/>
          <w:iCs/>
          <w:sz w:val="24"/>
          <w:szCs w:val="24"/>
        </w:rPr>
      </w:pPr>
      <w:r w:rsidRPr="00565E7D">
        <w:rPr>
          <w:rFonts w:ascii="Arial" w:hAnsi="Arial" w:cs="Arial"/>
          <w:b w:val="0"/>
          <w:bCs w:val="0"/>
          <w:sz w:val="24"/>
          <w:szCs w:val="24"/>
        </w:rPr>
        <w:t>4</w:t>
      </w:r>
      <w:r w:rsidR="007E21C6" w:rsidRPr="00565E7D">
        <w:rPr>
          <w:rFonts w:ascii="Arial" w:hAnsi="Arial" w:cs="Arial"/>
          <w:b w:val="0"/>
          <w:bCs w:val="0"/>
          <w:sz w:val="24"/>
          <w:szCs w:val="24"/>
        </w:rPr>
        <w:t>.</w:t>
      </w:r>
      <w:r w:rsidR="007E21C6" w:rsidRPr="00565E7D">
        <w:rPr>
          <w:rFonts w:ascii="Arial" w:hAnsi="Arial" w:cs="Arial"/>
          <w:sz w:val="24"/>
          <w:szCs w:val="24"/>
        </w:rPr>
        <w:t xml:space="preserve"> </w:t>
      </w:r>
      <w:r w:rsidRPr="00565E7D">
        <w:rPr>
          <w:rFonts w:ascii="Arial" w:hAnsi="Arial" w:cs="Arial"/>
          <w:sz w:val="24"/>
          <w:szCs w:val="24"/>
        </w:rPr>
        <w:t xml:space="preserve"> </w:t>
      </w:r>
      <w:bookmarkStart w:id="7" w:name="_Hlk78218783"/>
      <w:r w:rsidR="00CA3C5C" w:rsidRPr="00565E7D">
        <w:rPr>
          <w:rFonts w:ascii="Arial" w:hAnsi="Arial" w:cs="Arial"/>
          <w:b w:val="0"/>
          <w:bCs w:val="0"/>
          <w:i/>
          <w:iCs/>
          <w:sz w:val="24"/>
          <w:szCs w:val="24"/>
        </w:rPr>
        <w:fldChar w:fldCharType="begin"/>
      </w:r>
      <w:r w:rsidR="00CA3C5C" w:rsidRPr="00565E7D">
        <w:rPr>
          <w:rFonts w:ascii="Arial" w:hAnsi="Arial" w:cs="Arial"/>
          <w:b w:val="0"/>
          <w:bCs w:val="0"/>
          <w:i/>
          <w:iCs/>
          <w:sz w:val="24"/>
          <w:szCs w:val="24"/>
        </w:rPr>
        <w:instrText xml:space="preserve"> HYPERLINK "https://www.accountingtools.com/articles/what-is-the-statement-of-financial-position.html" </w:instrText>
      </w:r>
      <w:r w:rsidR="00CA3C5C" w:rsidRPr="00565E7D">
        <w:rPr>
          <w:rFonts w:ascii="Arial" w:hAnsi="Arial" w:cs="Arial"/>
          <w:b w:val="0"/>
          <w:bCs w:val="0"/>
          <w:i/>
          <w:iCs/>
          <w:sz w:val="24"/>
          <w:szCs w:val="24"/>
        </w:rPr>
        <w:fldChar w:fldCharType="separate"/>
      </w:r>
      <w:r w:rsidR="00CA3C5C" w:rsidRPr="00565E7D">
        <w:rPr>
          <w:rStyle w:val="Hyperlink"/>
          <w:rFonts w:ascii="Arial" w:hAnsi="Arial" w:cs="Arial"/>
          <w:b w:val="0"/>
          <w:bCs w:val="0"/>
          <w:i/>
          <w:iCs/>
          <w:color w:val="auto"/>
          <w:sz w:val="24"/>
          <w:szCs w:val="24"/>
          <w:u w:val="none"/>
        </w:rPr>
        <w:t>Statement of financial position definition</w:t>
      </w:r>
      <w:r w:rsidR="00CA3C5C" w:rsidRPr="00565E7D">
        <w:rPr>
          <w:rFonts w:ascii="Arial" w:hAnsi="Arial" w:cs="Arial"/>
          <w:b w:val="0"/>
          <w:bCs w:val="0"/>
          <w:i/>
          <w:iCs/>
          <w:sz w:val="24"/>
          <w:szCs w:val="24"/>
        </w:rPr>
        <w:fldChar w:fldCharType="end"/>
      </w:r>
    </w:p>
    <w:bookmarkEnd w:id="7"/>
    <w:p w14:paraId="46354916" w14:textId="538FCC1F" w:rsidR="00291F54" w:rsidRPr="00565E7D" w:rsidRDefault="00CA3C5C" w:rsidP="00A81547">
      <w:pPr>
        <w:jc w:val="both"/>
        <w:rPr>
          <w:rFonts w:ascii="Arial" w:hAnsi="Arial" w:cs="Arial"/>
          <w:sz w:val="24"/>
          <w:szCs w:val="24"/>
        </w:rPr>
      </w:pPr>
      <w:r w:rsidRPr="00565E7D">
        <w:rPr>
          <w:rFonts w:ascii="Arial" w:hAnsi="Arial" w:cs="Arial"/>
          <w:sz w:val="24"/>
          <w:szCs w:val="24"/>
        </w:rPr>
        <w:fldChar w:fldCharType="begin"/>
      </w:r>
      <w:r w:rsidRPr="00565E7D">
        <w:rPr>
          <w:rFonts w:ascii="Arial" w:hAnsi="Arial" w:cs="Arial"/>
          <w:sz w:val="24"/>
          <w:szCs w:val="24"/>
        </w:rPr>
        <w:instrText xml:space="preserve"> HYPERLINK "https://www.accountingtools.com/articles/what-is-the-statement-of-financial-position.html?fbclid=IwAR2V3HOYE9a1YKkizStPyedFanaxaPpDA78kYz9j3Arm-W3a4mtSYfkFy-s" </w:instrText>
      </w:r>
      <w:r w:rsidRPr="00565E7D">
        <w:rPr>
          <w:rFonts w:ascii="Arial" w:hAnsi="Arial" w:cs="Arial"/>
          <w:sz w:val="24"/>
          <w:szCs w:val="24"/>
        </w:rPr>
        <w:fldChar w:fldCharType="separate"/>
      </w:r>
      <w:r w:rsidRPr="00565E7D">
        <w:rPr>
          <w:rStyle w:val="Hyperlink"/>
          <w:rFonts w:ascii="Arial" w:hAnsi="Arial" w:cs="Arial"/>
          <w:sz w:val="24"/>
          <w:szCs w:val="24"/>
        </w:rPr>
        <w:t>https://www.accountingtools.com/articles/what-is-the-statement-of-financial-position.html?fbclid=IwAR2V3HOYE9a1YKkizStPyedFanaxaPpDA78kYz9j3Arm-W3a4mtSYfkFy-s</w:t>
      </w:r>
      <w:r w:rsidRPr="00565E7D">
        <w:rPr>
          <w:rFonts w:ascii="Arial" w:hAnsi="Arial" w:cs="Arial"/>
          <w:sz w:val="24"/>
          <w:szCs w:val="24"/>
        </w:rPr>
        <w:fldChar w:fldCharType="end"/>
      </w:r>
      <w:r w:rsidR="002F2EA7" w:rsidRPr="00565E7D">
        <w:rPr>
          <w:rFonts w:ascii="Arial" w:hAnsi="Arial" w:cs="Arial"/>
          <w:sz w:val="24"/>
          <w:szCs w:val="24"/>
        </w:rPr>
        <w:t xml:space="preserve"> </w:t>
      </w:r>
      <w:r w:rsidR="00291F54" w:rsidRPr="00565E7D">
        <w:rPr>
          <w:rFonts w:ascii="Arial" w:hAnsi="Arial" w:cs="Arial"/>
          <w:sz w:val="24"/>
          <w:szCs w:val="24"/>
        </w:rPr>
        <w:t>April 13, 2021 9.03 pm.</w:t>
      </w:r>
    </w:p>
    <w:p w14:paraId="314537CE" w14:textId="77777777" w:rsidR="00291F54" w:rsidRDefault="00291F54" w:rsidP="00291F54">
      <w:pPr>
        <w:jc w:val="center"/>
        <w:rPr>
          <w:rFonts w:ascii="Times New Roman" w:hAnsi="Times New Roman" w:cs="Times New Roman"/>
          <w:sz w:val="24"/>
          <w:szCs w:val="24"/>
        </w:rPr>
      </w:pPr>
    </w:p>
    <w:p w14:paraId="242FFCFE" w14:textId="60096EFE" w:rsidR="00AA3A40" w:rsidRPr="00A11F3B" w:rsidRDefault="00AA3A40" w:rsidP="009F0C89">
      <w:pPr>
        <w:jc w:val="center"/>
        <w:rPr>
          <w:rFonts w:ascii="Times New Roman" w:hAnsi="Times New Roman" w:cs="Times New Roman"/>
          <w:sz w:val="24"/>
          <w:szCs w:val="24"/>
        </w:rPr>
      </w:pPr>
    </w:p>
    <w:p w14:paraId="64F3F47E" w14:textId="7DF76707" w:rsidR="00AA3A40" w:rsidRDefault="00AA3A40" w:rsidP="009F0C89">
      <w:pPr>
        <w:jc w:val="center"/>
        <w:rPr>
          <w:rFonts w:ascii="Times New Roman" w:hAnsi="Times New Roman" w:cs="Times New Roman"/>
          <w:b/>
          <w:bCs/>
          <w:sz w:val="36"/>
          <w:szCs w:val="36"/>
        </w:rPr>
      </w:pPr>
    </w:p>
    <w:p w14:paraId="17386EE8" w14:textId="6B037B64" w:rsidR="00AA3A40" w:rsidRDefault="00AA3A40" w:rsidP="009F0C89">
      <w:pPr>
        <w:jc w:val="center"/>
        <w:rPr>
          <w:rFonts w:ascii="Times New Roman" w:hAnsi="Times New Roman" w:cs="Times New Roman"/>
          <w:b/>
          <w:bCs/>
          <w:sz w:val="36"/>
          <w:szCs w:val="36"/>
        </w:rPr>
      </w:pPr>
    </w:p>
    <w:p w14:paraId="7FA1A59C" w14:textId="775B3C4B" w:rsidR="00AA3A40" w:rsidRDefault="00AA3A40" w:rsidP="009F0C89">
      <w:pPr>
        <w:jc w:val="center"/>
        <w:rPr>
          <w:rFonts w:ascii="Times New Roman" w:hAnsi="Times New Roman" w:cs="Times New Roman"/>
          <w:b/>
          <w:bCs/>
          <w:sz w:val="36"/>
          <w:szCs w:val="36"/>
        </w:rPr>
      </w:pPr>
    </w:p>
    <w:p w14:paraId="0224F55F" w14:textId="5EE5F52F" w:rsidR="00AA3A40" w:rsidRDefault="00AA3A40" w:rsidP="009F0C89">
      <w:pPr>
        <w:jc w:val="center"/>
        <w:rPr>
          <w:rFonts w:ascii="Times New Roman" w:hAnsi="Times New Roman" w:cs="Times New Roman"/>
          <w:b/>
          <w:bCs/>
          <w:sz w:val="36"/>
          <w:szCs w:val="36"/>
        </w:rPr>
      </w:pPr>
    </w:p>
    <w:p w14:paraId="36FBE458" w14:textId="7873CD65" w:rsidR="00AA3A40" w:rsidRDefault="00AA3A40" w:rsidP="009F0C89">
      <w:pPr>
        <w:jc w:val="center"/>
        <w:rPr>
          <w:rFonts w:ascii="Times New Roman" w:hAnsi="Times New Roman" w:cs="Times New Roman"/>
          <w:b/>
          <w:bCs/>
          <w:sz w:val="36"/>
          <w:szCs w:val="36"/>
        </w:rPr>
      </w:pPr>
    </w:p>
    <w:p w14:paraId="0D9B9C32" w14:textId="25C3F16C" w:rsidR="00AA3A40" w:rsidRDefault="00AA3A40" w:rsidP="009F0C89">
      <w:pPr>
        <w:jc w:val="center"/>
        <w:rPr>
          <w:rFonts w:ascii="Times New Roman" w:hAnsi="Times New Roman" w:cs="Times New Roman"/>
          <w:b/>
          <w:bCs/>
          <w:sz w:val="36"/>
          <w:szCs w:val="36"/>
        </w:rPr>
      </w:pPr>
    </w:p>
    <w:p w14:paraId="69118C1B" w14:textId="6138D9C6" w:rsidR="00AA3A40" w:rsidRDefault="00AA3A40" w:rsidP="009F0C89">
      <w:pPr>
        <w:jc w:val="center"/>
        <w:rPr>
          <w:rFonts w:ascii="Times New Roman" w:hAnsi="Times New Roman" w:cs="Times New Roman"/>
          <w:b/>
          <w:bCs/>
          <w:sz w:val="36"/>
          <w:szCs w:val="36"/>
        </w:rPr>
      </w:pPr>
    </w:p>
    <w:p w14:paraId="5D076555" w14:textId="7FC75700" w:rsidR="00AA3A40" w:rsidRDefault="00AA3A40" w:rsidP="009F0C89">
      <w:pPr>
        <w:jc w:val="center"/>
        <w:rPr>
          <w:rFonts w:ascii="Times New Roman" w:hAnsi="Times New Roman" w:cs="Times New Roman"/>
          <w:b/>
          <w:bCs/>
          <w:sz w:val="36"/>
          <w:szCs w:val="36"/>
        </w:rPr>
      </w:pPr>
    </w:p>
    <w:p w14:paraId="1D619523" w14:textId="43A31630" w:rsidR="00AA3A40" w:rsidRDefault="00AA3A40" w:rsidP="009F0C89">
      <w:pPr>
        <w:jc w:val="center"/>
        <w:rPr>
          <w:rFonts w:ascii="Times New Roman" w:hAnsi="Times New Roman" w:cs="Times New Roman"/>
          <w:b/>
          <w:bCs/>
          <w:sz w:val="36"/>
          <w:szCs w:val="36"/>
        </w:rPr>
      </w:pPr>
    </w:p>
    <w:p w14:paraId="62970B4C" w14:textId="579956F9" w:rsidR="00AA3A40" w:rsidRDefault="00AA3A40" w:rsidP="009F0C89">
      <w:pPr>
        <w:jc w:val="center"/>
        <w:rPr>
          <w:rFonts w:ascii="Times New Roman" w:hAnsi="Times New Roman" w:cs="Times New Roman"/>
          <w:b/>
          <w:bCs/>
          <w:sz w:val="36"/>
          <w:szCs w:val="36"/>
        </w:rPr>
      </w:pPr>
    </w:p>
    <w:p w14:paraId="40F1F4AF" w14:textId="77777777" w:rsidR="00084ACD" w:rsidRDefault="00084ACD" w:rsidP="009F0C89">
      <w:pPr>
        <w:jc w:val="center"/>
        <w:rPr>
          <w:rFonts w:ascii="Times New Roman" w:hAnsi="Times New Roman" w:cs="Times New Roman"/>
          <w:b/>
          <w:bCs/>
          <w:sz w:val="36"/>
          <w:szCs w:val="36"/>
        </w:rPr>
      </w:pPr>
    </w:p>
    <w:p w14:paraId="1A438461" w14:textId="77777777" w:rsidR="00084ACD" w:rsidRDefault="00084ACD" w:rsidP="009F0C89">
      <w:pPr>
        <w:jc w:val="center"/>
        <w:rPr>
          <w:rFonts w:ascii="Times New Roman" w:hAnsi="Times New Roman" w:cs="Times New Roman"/>
          <w:b/>
          <w:bCs/>
          <w:sz w:val="36"/>
          <w:szCs w:val="36"/>
        </w:rPr>
      </w:pPr>
    </w:p>
    <w:p w14:paraId="0B5E0C9A" w14:textId="03C28CAF" w:rsidR="00553968" w:rsidRDefault="00553968" w:rsidP="005F390A">
      <w:pPr>
        <w:jc w:val="both"/>
        <w:rPr>
          <w:rFonts w:ascii="Times New Roman" w:hAnsi="Times New Roman" w:cs="Times New Roman"/>
          <w:noProof/>
          <w:sz w:val="24"/>
          <w:szCs w:val="24"/>
        </w:rPr>
      </w:pPr>
    </w:p>
    <w:p w14:paraId="3816029F" w14:textId="305D3B8E" w:rsidR="00B60CC1" w:rsidRDefault="00B60CC1" w:rsidP="005F390A">
      <w:pPr>
        <w:jc w:val="both"/>
        <w:rPr>
          <w:rFonts w:ascii="Times New Roman" w:hAnsi="Times New Roman" w:cs="Times New Roman"/>
          <w:sz w:val="24"/>
          <w:szCs w:val="24"/>
        </w:rPr>
      </w:pPr>
    </w:p>
    <w:p w14:paraId="5156FEE6" w14:textId="117D9453" w:rsidR="00B60CC1" w:rsidRDefault="00B60CC1" w:rsidP="00B60CC1">
      <w:pPr>
        <w:jc w:val="center"/>
        <w:rPr>
          <w:rFonts w:ascii="Times New Roman" w:hAnsi="Times New Roman" w:cs="Times New Roman"/>
          <w:b/>
          <w:bCs/>
          <w:sz w:val="32"/>
          <w:szCs w:val="32"/>
        </w:rPr>
      </w:pPr>
    </w:p>
    <w:p w14:paraId="19AFF4AB" w14:textId="0E4A06A9" w:rsidR="00B60CC1" w:rsidRDefault="00B60CC1" w:rsidP="00B60CC1">
      <w:pPr>
        <w:jc w:val="center"/>
        <w:rPr>
          <w:rFonts w:ascii="Times New Roman" w:hAnsi="Times New Roman" w:cs="Times New Roman"/>
          <w:b/>
          <w:bCs/>
          <w:sz w:val="32"/>
          <w:szCs w:val="32"/>
        </w:rPr>
      </w:pPr>
    </w:p>
    <w:p w14:paraId="48EE4042" w14:textId="77240D06" w:rsidR="00B60CC1" w:rsidRDefault="00B60CC1" w:rsidP="00B60CC1">
      <w:pPr>
        <w:jc w:val="center"/>
        <w:rPr>
          <w:rFonts w:ascii="Times New Roman" w:hAnsi="Times New Roman" w:cs="Times New Roman"/>
          <w:b/>
          <w:bCs/>
          <w:sz w:val="32"/>
          <w:szCs w:val="32"/>
        </w:rPr>
      </w:pPr>
    </w:p>
    <w:p w14:paraId="3D149258" w14:textId="593F1ADA" w:rsidR="00B60CC1" w:rsidRDefault="00B60CC1" w:rsidP="00B60CC1">
      <w:pPr>
        <w:jc w:val="center"/>
        <w:rPr>
          <w:rFonts w:ascii="Times New Roman" w:hAnsi="Times New Roman" w:cs="Times New Roman"/>
          <w:b/>
          <w:bCs/>
          <w:sz w:val="32"/>
          <w:szCs w:val="32"/>
        </w:rPr>
      </w:pPr>
    </w:p>
    <w:p w14:paraId="64F5F1B6" w14:textId="4A46CF20" w:rsidR="00B60CC1" w:rsidRDefault="00B60CC1" w:rsidP="00B60CC1">
      <w:pPr>
        <w:jc w:val="center"/>
        <w:rPr>
          <w:rFonts w:ascii="Times New Roman" w:hAnsi="Times New Roman" w:cs="Times New Roman"/>
          <w:b/>
          <w:bCs/>
          <w:sz w:val="32"/>
          <w:szCs w:val="32"/>
        </w:rPr>
      </w:pPr>
    </w:p>
    <w:p w14:paraId="1984C9B5" w14:textId="163AD862" w:rsidR="00B60CC1" w:rsidRDefault="00B60CC1" w:rsidP="00B60CC1">
      <w:pPr>
        <w:jc w:val="center"/>
        <w:rPr>
          <w:rFonts w:ascii="Times New Roman" w:hAnsi="Times New Roman" w:cs="Times New Roman"/>
          <w:b/>
          <w:bCs/>
          <w:sz w:val="32"/>
          <w:szCs w:val="32"/>
        </w:rPr>
      </w:pPr>
    </w:p>
    <w:p w14:paraId="6A8BE0D8" w14:textId="133DB5FC" w:rsidR="00B60CC1" w:rsidRDefault="00B60CC1" w:rsidP="00B60CC1">
      <w:pPr>
        <w:jc w:val="center"/>
        <w:rPr>
          <w:rFonts w:ascii="Times New Roman" w:hAnsi="Times New Roman" w:cs="Times New Roman"/>
          <w:b/>
          <w:bCs/>
          <w:sz w:val="32"/>
          <w:szCs w:val="32"/>
        </w:rPr>
      </w:pPr>
    </w:p>
    <w:p w14:paraId="417B2D29" w14:textId="2D80429B" w:rsidR="00B60CC1" w:rsidRDefault="00B60CC1" w:rsidP="00B60CC1">
      <w:pPr>
        <w:jc w:val="center"/>
        <w:rPr>
          <w:rFonts w:ascii="Times New Roman" w:hAnsi="Times New Roman" w:cs="Times New Roman"/>
          <w:b/>
          <w:bCs/>
          <w:sz w:val="32"/>
          <w:szCs w:val="32"/>
        </w:rPr>
      </w:pPr>
    </w:p>
    <w:p w14:paraId="2C87FD71" w14:textId="78129650" w:rsidR="00B60CC1" w:rsidRDefault="00B60CC1" w:rsidP="00B60CC1">
      <w:pPr>
        <w:jc w:val="center"/>
        <w:rPr>
          <w:rFonts w:ascii="Times New Roman" w:hAnsi="Times New Roman" w:cs="Times New Roman"/>
          <w:b/>
          <w:bCs/>
          <w:sz w:val="32"/>
          <w:szCs w:val="32"/>
        </w:rPr>
      </w:pPr>
    </w:p>
    <w:p w14:paraId="7C1D7917" w14:textId="11BB5547" w:rsidR="00B60CC1" w:rsidRDefault="00B60CC1" w:rsidP="00B60CC1">
      <w:pPr>
        <w:jc w:val="center"/>
        <w:rPr>
          <w:rFonts w:ascii="Times New Roman" w:hAnsi="Times New Roman" w:cs="Times New Roman"/>
          <w:b/>
          <w:bCs/>
          <w:sz w:val="32"/>
          <w:szCs w:val="32"/>
        </w:rPr>
      </w:pPr>
    </w:p>
    <w:p w14:paraId="5AC34A40" w14:textId="110461B4" w:rsidR="00B60CC1" w:rsidRDefault="00B60CC1" w:rsidP="00B60CC1">
      <w:pPr>
        <w:jc w:val="center"/>
        <w:rPr>
          <w:rFonts w:ascii="Times New Roman" w:hAnsi="Times New Roman" w:cs="Times New Roman"/>
          <w:b/>
          <w:bCs/>
          <w:sz w:val="32"/>
          <w:szCs w:val="32"/>
        </w:rPr>
      </w:pPr>
    </w:p>
    <w:p w14:paraId="7024F1CE" w14:textId="545D6D9C" w:rsidR="00B60CC1" w:rsidRDefault="00B60CC1" w:rsidP="00B60CC1">
      <w:pPr>
        <w:jc w:val="center"/>
        <w:rPr>
          <w:rFonts w:ascii="Times New Roman" w:hAnsi="Times New Roman" w:cs="Times New Roman"/>
          <w:b/>
          <w:bCs/>
          <w:sz w:val="32"/>
          <w:szCs w:val="32"/>
        </w:rPr>
      </w:pPr>
    </w:p>
    <w:p w14:paraId="1F42EA97" w14:textId="652E726D" w:rsidR="00B60CC1" w:rsidRDefault="00B60CC1" w:rsidP="00B60CC1">
      <w:pPr>
        <w:jc w:val="center"/>
        <w:rPr>
          <w:rFonts w:ascii="Times New Roman" w:hAnsi="Times New Roman" w:cs="Times New Roman"/>
          <w:b/>
          <w:bCs/>
          <w:sz w:val="32"/>
          <w:szCs w:val="32"/>
        </w:rPr>
      </w:pPr>
    </w:p>
    <w:p w14:paraId="41E8BC0E" w14:textId="1883339D" w:rsidR="00B60CC1" w:rsidRDefault="00B60CC1" w:rsidP="00B60CC1">
      <w:pPr>
        <w:jc w:val="center"/>
        <w:rPr>
          <w:rFonts w:ascii="Times New Roman" w:hAnsi="Times New Roman" w:cs="Times New Roman"/>
          <w:b/>
          <w:bCs/>
          <w:sz w:val="32"/>
          <w:szCs w:val="32"/>
        </w:rPr>
      </w:pPr>
    </w:p>
    <w:p w14:paraId="7C5FCF4B" w14:textId="02A07878" w:rsidR="00B60CC1" w:rsidRDefault="00B60CC1" w:rsidP="00B60CC1">
      <w:pPr>
        <w:jc w:val="center"/>
        <w:rPr>
          <w:rFonts w:ascii="Times New Roman" w:hAnsi="Times New Roman" w:cs="Times New Roman"/>
          <w:b/>
          <w:bCs/>
          <w:sz w:val="32"/>
          <w:szCs w:val="32"/>
        </w:rPr>
      </w:pPr>
    </w:p>
    <w:p w14:paraId="613A4FC2" w14:textId="1512C037" w:rsidR="00B60CC1" w:rsidRDefault="00B60CC1" w:rsidP="00B60CC1">
      <w:pPr>
        <w:jc w:val="center"/>
        <w:rPr>
          <w:rFonts w:ascii="Times New Roman" w:hAnsi="Times New Roman" w:cs="Times New Roman"/>
          <w:b/>
          <w:bCs/>
          <w:sz w:val="32"/>
          <w:szCs w:val="32"/>
        </w:rPr>
      </w:pPr>
    </w:p>
    <w:p w14:paraId="0B64B655" w14:textId="31B37EC5" w:rsidR="00B60CC1" w:rsidRDefault="00B60CC1" w:rsidP="00B60CC1">
      <w:pPr>
        <w:jc w:val="center"/>
        <w:rPr>
          <w:rFonts w:ascii="Times New Roman" w:hAnsi="Times New Roman" w:cs="Times New Roman"/>
          <w:b/>
          <w:bCs/>
          <w:sz w:val="32"/>
          <w:szCs w:val="32"/>
        </w:rPr>
      </w:pPr>
    </w:p>
    <w:p w14:paraId="4E1325A1" w14:textId="4F977811" w:rsidR="00B60CC1" w:rsidRDefault="00B60CC1" w:rsidP="00B60CC1">
      <w:pPr>
        <w:jc w:val="center"/>
        <w:rPr>
          <w:rFonts w:ascii="Times New Roman" w:hAnsi="Times New Roman" w:cs="Times New Roman"/>
          <w:b/>
          <w:bCs/>
          <w:sz w:val="32"/>
          <w:szCs w:val="32"/>
        </w:rPr>
      </w:pPr>
    </w:p>
    <w:p w14:paraId="00E5F135" w14:textId="1063273E" w:rsidR="00B60CC1" w:rsidRDefault="00B60CC1" w:rsidP="00B60CC1">
      <w:pPr>
        <w:jc w:val="center"/>
        <w:rPr>
          <w:rFonts w:ascii="Times New Roman" w:hAnsi="Times New Roman" w:cs="Times New Roman"/>
          <w:b/>
          <w:bCs/>
          <w:sz w:val="32"/>
          <w:szCs w:val="32"/>
        </w:rPr>
      </w:pPr>
    </w:p>
    <w:p w14:paraId="46E536B6" w14:textId="6270CA81" w:rsidR="00B60CC1" w:rsidRDefault="00B60CC1" w:rsidP="00B60CC1">
      <w:pPr>
        <w:jc w:val="center"/>
        <w:rPr>
          <w:rFonts w:ascii="Times New Roman" w:hAnsi="Times New Roman" w:cs="Times New Roman"/>
          <w:b/>
          <w:bCs/>
          <w:sz w:val="32"/>
          <w:szCs w:val="32"/>
        </w:rPr>
      </w:pPr>
    </w:p>
    <w:p w14:paraId="1C15AC0E" w14:textId="06764BDD" w:rsidR="00B60CC1" w:rsidRDefault="00B60CC1" w:rsidP="00B60CC1">
      <w:pPr>
        <w:jc w:val="center"/>
        <w:rPr>
          <w:rFonts w:ascii="Times New Roman" w:hAnsi="Times New Roman" w:cs="Times New Roman"/>
          <w:b/>
          <w:bCs/>
          <w:sz w:val="32"/>
          <w:szCs w:val="32"/>
        </w:rPr>
      </w:pPr>
    </w:p>
    <w:p w14:paraId="0349084C" w14:textId="23D00921" w:rsidR="00B60CC1" w:rsidRDefault="00B60CC1" w:rsidP="00B60CC1">
      <w:pPr>
        <w:jc w:val="center"/>
        <w:rPr>
          <w:rFonts w:ascii="Times New Roman" w:hAnsi="Times New Roman" w:cs="Times New Roman"/>
          <w:b/>
          <w:bCs/>
          <w:sz w:val="32"/>
          <w:szCs w:val="32"/>
        </w:rPr>
      </w:pPr>
    </w:p>
    <w:p w14:paraId="7EFAEF55" w14:textId="7BBC977F" w:rsidR="00B60CC1" w:rsidRDefault="00B60CC1" w:rsidP="00B60CC1">
      <w:pPr>
        <w:jc w:val="center"/>
        <w:rPr>
          <w:rFonts w:ascii="Times New Roman" w:hAnsi="Times New Roman" w:cs="Times New Roman"/>
          <w:b/>
          <w:bCs/>
          <w:sz w:val="32"/>
          <w:szCs w:val="32"/>
        </w:rPr>
      </w:pPr>
    </w:p>
    <w:p w14:paraId="71CE2BBC" w14:textId="0D70B6AC" w:rsidR="00B60CC1" w:rsidRDefault="00B60CC1" w:rsidP="00B60CC1">
      <w:pPr>
        <w:jc w:val="center"/>
        <w:rPr>
          <w:rFonts w:ascii="Times New Roman" w:hAnsi="Times New Roman" w:cs="Times New Roman"/>
          <w:b/>
          <w:bCs/>
          <w:sz w:val="32"/>
          <w:szCs w:val="32"/>
        </w:rPr>
      </w:pPr>
    </w:p>
    <w:p w14:paraId="381CA333" w14:textId="77777777" w:rsidR="00B60CC1" w:rsidRPr="00B60CC1" w:rsidRDefault="00B60CC1" w:rsidP="00B60CC1">
      <w:pPr>
        <w:jc w:val="center"/>
        <w:rPr>
          <w:rFonts w:ascii="Times New Roman" w:hAnsi="Times New Roman" w:cs="Times New Roman"/>
          <w:b/>
          <w:bCs/>
          <w:sz w:val="32"/>
          <w:szCs w:val="32"/>
        </w:rPr>
      </w:pPr>
    </w:p>
    <w:sectPr w:rsidR="00B60CC1" w:rsidRPr="00B60CC1">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9FDD9" w14:textId="77777777" w:rsidR="00D30669" w:rsidRDefault="00D30669" w:rsidP="0039417B">
      <w:pPr>
        <w:spacing w:after="0" w:line="240" w:lineRule="auto"/>
      </w:pPr>
      <w:r>
        <w:separator/>
      </w:r>
    </w:p>
  </w:endnote>
  <w:endnote w:type="continuationSeparator" w:id="0">
    <w:p w14:paraId="75B96422" w14:textId="77777777" w:rsidR="00D30669" w:rsidRDefault="00D30669" w:rsidP="003941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0162369"/>
      <w:docPartObj>
        <w:docPartGallery w:val="Page Numbers (Bottom of Page)"/>
        <w:docPartUnique/>
      </w:docPartObj>
    </w:sdtPr>
    <w:sdtEndPr>
      <w:rPr>
        <w:noProof/>
      </w:rPr>
    </w:sdtEndPr>
    <w:sdtContent>
      <w:p w14:paraId="1B307421" w14:textId="3A83B03A" w:rsidR="0039417B" w:rsidRDefault="003941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92EECE" w14:textId="77777777" w:rsidR="0039417B" w:rsidRDefault="00394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1F74A" w14:textId="77777777" w:rsidR="00D30669" w:rsidRDefault="00D30669" w:rsidP="0039417B">
      <w:pPr>
        <w:spacing w:after="0" w:line="240" w:lineRule="auto"/>
      </w:pPr>
      <w:r>
        <w:separator/>
      </w:r>
    </w:p>
  </w:footnote>
  <w:footnote w:type="continuationSeparator" w:id="0">
    <w:p w14:paraId="6F04BE92" w14:textId="77777777" w:rsidR="00D30669" w:rsidRDefault="00D30669" w:rsidP="003941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EE2206"/>
    <w:multiLevelType w:val="hybridMultilevel"/>
    <w:tmpl w:val="07F81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93D"/>
    <w:rsid w:val="000008E1"/>
    <w:rsid w:val="0000662F"/>
    <w:rsid w:val="00013540"/>
    <w:rsid w:val="0001599C"/>
    <w:rsid w:val="00015EC5"/>
    <w:rsid w:val="000171E6"/>
    <w:rsid w:val="0002008D"/>
    <w:rsid w:val="000318DC"/>
    <w:rsid w:val="0003255B"/>
    <w:rsid w:val="00037FB5"/>
    <w:rsid w:val="000444B8"/>
    <w:rsid w:val="00046178"/>
    <w:rsid w:val="00071D3B"/>
    <w:rsid w:val="00076758"/>
    <w:rsid w:val="00084ACD"/>
    <w:rsid w:val="00092C07"/>
    <w:rsid w:val="000B42E0"/>
    <w:rsid w:val="000B74A5"/>
    <w:rsid w:val="000D4A04"/>
    <w:rsid w:val="001248A1"/>
    <w:rsid w:val="00127007"/>
    <w:rsid w:val="001332B9"/>
    <w:rsid w:val="00154A7C"/>
    <w:rsid w:val="00154FC9"/>
    <w:rsid w:val="0018248F"/>
    <w:rsid w:val="00194D17"/>
    <w:rsid w:val="001C582C"/>
    <w:rsid w:val="001D793D"/>
    <w:rsid w:val="001F2F23"/>
    <w:rsid w:val="0020238B"/>
    <w:rsid w:val="002053AF"/>
    <w:rsid w:val="00224DE2"/>
    <w:rsid w:val="00242D95"/>
    <w:rsid w:val="002527E1"/>
    <w:rsid w:val="002655A8"/>
    <w:rsid w:val="00291F54"/>
    <w:rsid w:val="002A528E"/>
    <w:rsid w:val="002A70DB"/>
    <w:rsid w:val="002B3414"/>
    <w:rsid w:val="002D1625"/>
    <w:rsid w:val="002D64FB"/>
    <w:rsid w:val="002E2089"/>
    <w:rsid w:val="002F1DC2"/>
    <w:rsid w:val="002F2EA7"/>
    <w:rsid w:val="003046EE"/>
    <w:rsid w:val="00316DD9"/>
    <w:rsid w:val="00346B3A"/>
    <w:rsid w:val="00350DD4"/>
    <w:rsid w:val="00353D0F"/>
    <w:rsid w:val="00371C80"/>
    <w:rsid w:val="003753C6"/>
    <w:rsid w:val="00377521"/>
    <w:rsid w:val="0038079D"/>
    <w:rsid w:val="00387FBE"/>
    <w:rsid w:val="0039417B"/>
    <w:rsid w:val="003A20D9"/>
    <w:rsid w:val="003D709E"/>
    <w:rsid w:val="003E0245"/>
    <w:rsid w:val="00455543"/>
    <w:rsid w:val="00466218"/>
    <w:rsid w:val="00473AC3"/>
    <w:rsid w:val="00475A2F"/>
    <w:rsid w:val="004A1027"/>
    <w:rsid w:val="004A3611"/>
    <w:rsid w:val="004C72B6"/>
    <w:rsid w:val="004F03C4"/>
    <w:rsid w:val="004F740D"/>
    <w:rsid w:val="0050448A"/>
    <w:rsid w:val="005164FC"/>
    <w:rsid w:val="005179FA"/>
    <w:rsid w:val="00517ADB"/>
    <w:rsid w:val="00520630"/>
    <w:rsid w:val="00543CAE"/>
    <w:rsid w:val="005452AF"/>
    <w:rsid w:val="00553968"/>
    <w:rsid w:val="00565E7D"/>
    <w:rsid w:val="00570F88"/>
    <w:rsid w:val="00573B8D"/>
    <w:rsid w:val="005A6FE3"/>
    <w:rsid w:val="005C3658"/>
    <w:rsid w:val="005C66F2"/>
    <w:rsid w:val="005E1447"/>
    <w:rsid w:val="005F390A"/>
    <w:rsid w:val="00601307"/>
    <w:rsid w:val="006020A0"/>
    <w:rsid w:val="006039F2"/>
    <w:rsid w:val="00614953"/>
    <w:rsid w:val="00620100"/>
    <w:rsid w:val="00642EDF"/>
    <w:rsid w:val="006452CF"/>
    <w:rsid w:val="0066622B"/>
    <w:rsid w:val="006A514A"/>
    <w:rsid w:val="006A75CE"/>
    <w:rsid w:val="006A7B09"/>
    <w:rsid w:val="006B11DD"/>
    <w:rsid w:val="006B4BDA"/>
    <w:rsid w:val="006D0F87"/>
    <w:rsid w:val="006E0937"/>
    <w:rsid w:val="006F3BB8"/>
    <w:rsid w:val="00702E79"/>
    <w:rsid w:val="00712B17"/>
    <w:rsid w:val="00732560"/>
    <w:rsid w:val="00740901"/>
    <w:rsid w:val="00741C31"/>
    <w:rsid w:val="00743F41"/>
    <w:rsid w:val="007444C5"/>
    <w:rsid w:val="00781A93"/>
    <w:rsid w:val="0079220F"/>
    <w:rsid w:val="007957CE"/>
    <w:rsid w:val="007A0E35"/>
    <w:rsid w:val="007A10F0"/>
    <w:rsid w:val="007A1471"/>
    <w:rsid w:val="007E21C6"/>
    <w:rsid w:val="007F11DD"/>
    <w:rsid w:val="007F2BDF"/>
    <w:rsid w:val="007F3854"/>
    <w:rsid w:val="00801D65"/>
    <w:rsid w:val="0082033A"/>
    <w:rsid w:val="00831A99"/>
    <w:rsid w:val="008515C8"/>
    <w:rsid w:val="00880DD2"/>
    <w:rsid w:val="008952F1"/>
    <w:rsid w:val="008B1E08"/>
    <w:rsid w:val="008D031B"/>
    <w:rsid w:val="008D77F2"/>
    <w:rsid w:val="00901828"/>
    <w:rsid w:val="00911624"/>
    <w:rsid w:val="00947470"/>
    <w:rsid w:val="00990B31"/>
    <w:rsid w:val="00995266"/>
    <w:rsid w:val="00996EBB"/>
    <w:rsid w:val="009A2630"/>
    <w:rsid w:val="009A735E"/>
    <w:rsid w:val="009C4479"/>
    <w:rsid w:val="009C5ED0"/>
    <w:rsid w:val="009D3EC2"/>
    <w:rsid w:val="009F0C89"/>
    <w:rsid w:val="009F2A35"/>
    <w:rsid w:val="009F552A"/>
    <w:rsid w:val="00A02E53"/>
    <w:rsid w:val="00A03B76"/>
    <w:rsid w:val="00A11F3B"/>
    <w:rsid w:val="00A35E2B"/>
    <w:rsid w:val="00A37389"/>
    <w:rsid w:val="00A4075F"/>
    <w:rsid w:val="00A50748"/>
    <w:rsid w:val="00A53699"/>
    <w:rsid w:val="00A64FFF"/>
    <w:rsid w:val="00A70E4B"/>
    <w:rsid w:val="00A71A5C"/>
    <w:rsid w:val="00A80389"/>
    <w:rsid w:val="00A81547"/>
    <w:rsid w:val="00A84ADC"/>
    <w:rsid w:val="00AA1449"/>
    <w:rsid w:val="00AA3A40"/>
    <w:rsid w:val="00AA40C3"/>
    <w:rsid w:val="00AB1E61"/>
    <w:rsid w:val="00AD4CC8"/>
    <w:rsid w:val="00AD6631"/>
    <w:rsid w:val="00AF3AC1"/>
    <w:rsid w:val="00AF7832"/>
    <w:rsid w:val="00B012BB"/>
    <w:rsid w:val="00B04C7C"/>
    <w:rsid w:val="00B13151"/>
    <w:rsid w:val="00B15BC2"/>
    <w:rsid w:val="00B24A98"/>
    <w:rsid w:val="00B300C3"/>
    <w:rsid w:val="00B42582"/>
    <w:rsid w:val="00B51D80"/>
    <w:rsid w:val="00B60CC1"/>
    <w:rsid w:val="00B6194D"/>
    <w:rsid w:val="00B67E0F"/>
    <w:rsid w:val="00B704CF"/>
    <w:rsid w:val="00B92F6A"/>
    <w:rsid w:val="00BA691C"/>
    <w:rsid w:val="00BB3F12"/>
    <w:rsid w:val="00BB64F6"/>
    <w:rsid w:val="00BB7EAF"/>
    <w:rsid w:val="00BD218A"/>
    <w:rsid w:val="00C023F8"/>
    <w:rsid w:val="00C13019"/>
    <w:rsid w:val="00C2004B"/>
    <w:rsid w:val="00C30536"/>
    <w:rsid w:val="00C36A3B"/>
    <w:rsid w:val="00C4621C"/>
    <w:rsid w:val="00C46AB5"/>
    <w:rsid w:val="00C51FC6"/>
    <w:rsid w:val="00C52ED2"/>
    <w:rsid w:val="00C568B0"/>
    <w:rsid w:val="00C67149"/>
    <w:rsid w:val="00C77751"/>
    <w:rsid w:val="00C940BE"/>
    <w:rsid w:val="00CA3C5C"/>
    <w:rsid w:val="00CA5477"/>
    <w:rsid w:val="00CB58D1"/>
    <w:rsid w:val="00CC60BD"/>
    <w:rsid w:val="00CD2149"/>
    <w:rsid w:val="00CD38E0"/>
    <w:rsid w:val="00CE2049"/>
    <w:rsid w:val="00CE4A07"/>
    <w:rsid w:val="00CE6933"/>
    <w:rsid w:val="00CF3A60"/>
    <w:rsid w:val="00CF45E9"/>
    <w:rsid w:val="00CF5B66"/>
    <w:rsid w:val="00D047FD"/>
    <w:rsid w:val="00D20C99"/>
    <w:rsid w:val="00D30669"/>
    <w:rsid w:val="00D3239F"/>
    <w:rsid w:val="00D323C3"/>
    <w:rsid w:val="00D3370B"/>
    <w:rsid w:val="00D4748E"/>
    <w:rsid w:val="00D61FA3"/>
    <w:rsid w:val="00D74B6D"/>
    <w:rsid w:val="00D75607"/>
    <w:rsid w:val="00D7661D"/>
    <w:rsid w:val="00D96307"/>
    <w:rsid w:val="00DA0A59"/>
    <w:rsid w:val="00DB47EC"/>
    <w:rsid w:val="00DD1AA3"/>
    <w:rsid w:val="00DD343B"/>
    <w:rsid w:val="00DD79A2"/>
    <w:rsid w:val="00DE0B84"/>
    <w:rsid w:val="00DE1D85"/>
    <w:rsid w:val="00DE5AF2"/>
    <w:rsid w:val="00DF0023"/>
    <w:rsid w:val="00DF3721"/>
    <w:rsid w:val="00DF5222"/>
    <w:rsid w:val="00DF544A"/>
    <w:rsid w:val="00DF7221"/>
    <w:rsid w:val="00E11317"/>
    <w:rsid w:val="00E21ACC"/>
    <w:rsid w:val="00E26454"/>
    <w:rsid w:val="00E552E3"/>
    <w:rsid w:val="00E6501B"/>
    <w:rsid w:val="00E878B7"/>
    <w:rsid w:val="00E907F4"/>
    <w:rsid w:val="00E92D04"/>
    <w:rsid w:val="00E969F1"/>
    <w:rsid w:val="00EA4B7C"/>
    <w:rsid w:val="00EC5CCD"/>
    <w:rsid w:val="00ED2556"/>
    <w:rsid w:val="00ED5ED2"/>
    <w:rsid w:val="00F00E2C"/>
    <w:rsid w:val="00F00F63"/>
    <w:rsid w:val="00F0702E"/>
    <w:rsid w:val="00F07599"/>
    <w:rsid w:val="00F15D90"/>
    <w:rsid w:val="00F24965"/>
    <w:rsid w:val="00F36A6B"/>
    <w:rsid w:val="00F44666"/>
    <w:rsid w:val="00F64D3D"/>
    <w:rsid w:val="00FA34F2"/>
    <w:rsid w:val="00FA3C2F"/>
    <w:rsid w:val="00FA6A79"/>
    <w:rsid w:val="00FB5C98"/>
    <w:rsid w:val="00FB7482"/>
    <w:rsid w:val="00FC3980"/>
    <w:rsid w:val="00FD7E77"/>
    <w:rsid w:val="00FE3860"/>
    <w:rsid w:val="00FE42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0317C"/>
  <w15:chartTrackingRefBased/>
  <w15:docId w15:val="{05FB26EF-0B0D-4D17-BE71-CD106BA51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A3C5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7FB5"/>
    <w:rPr>
      <w:color w:val="0563C1" w:themeColor="hyperlink"/>
      <w:u w:val="single"/>
    </w:rPr>
  </w:style>
  <w:style w:type="character" w:styleId="UnresolvedMention">
    <w:name w:val="Unresolved Mention"/>
    <w:basedOn w:val="DefaultParagraphFont"/>
    <w:uiPriority w:val="99"/>
    <w:semiHidden/>
    <w:unhideWhenUsed/>
    <w:rsid w:val="00037FB5"/>
    <w:rPr>
      <w:color w:val="605E5C"/>
      <w:shd w:val="clear" w:color="auto" w:fill="E1DFDD"/>
    </w:rPr>
  </w:style>
  <w:style w:type="paragraph" w:styleId="ListParagraph">
    <w:name w:val="List Paragraph"/>
    <w:basedOn w:val="Normal"/>
    <w:uiPriority w:val="34"/>
    <w:qFormat/>
    <w:rsid w:val="00A03B76"/>
    <w:pPr>
      <w:ind w:left="720"/>
      <w:contextualSpacing/>
    </w:pPr>
  </w:style>
  <w:style w:type="paragraph" w:styleId="Header">
    <w:name w:val="header"/>
    <w:basedOn w:val="Normal"/>
    <w:link w:val="HeaderChar"/>
    <w:uiPriority w:val="99"/>
    <w:unhideWhenUsed/>
    <w:rsid w:val="003941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17B"/>
  </w:style>
  <w:style w:type="paragraph" w:styleId="Footer">
    <w:name w:val="footer"/>
    <w:basedOn w:val="Normal"/>
    <w:link w:val="FooterChar"/>
    <w:uiPriority w:val="99"/>
    <w:unhideWhenUsed/>
    <w:rsid w:val="003941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17B"/>
  </w:style>
  <w:style w:type="character" w:customStyle="1" w:styleId="Heading1Char">
    <w:name w:val="Heading 1 Char"/>
    <w:basedOn w:val="DefaultParagraphFont"/>
    <w:link w:val="Heading1"/>
    <w:uiPriority w:val="9"/>
    <w:rsid w:val="00CA3C5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575741">
      <w:bodyDiv w:val="1"/>
      <w:marLeft w:val="0"/>
      <w:marRight w:val="0"/>
      <w:marTop w:val="0"/>
      <w:marBottom w:val="0"/>
      <w:divBdr>
        <w:top w:val="none" w:sz="0" w:space="0" w:color="auto"/>
        <w:left w:val="none" w:sz="0" w:space="0" w:color="auto"/>
        <w:bottom w:val="none" w:sz="0" w:space="0" w:color="auto"/>
        <w:right w:val="none" w:sz="0" w:space="0" w:color="auto"/>
      </w:divBdr>
    </w:div>
    <w:div w:id="826821322">
      <w:bodyDiv w:val="1"/>
      <w:marLeft w:val="0"/>
      <w:marRight w:val="0"/>
      <w:marTop w:val="0"/>
      <w:marBottom w:val="0"/>
      <w:divBdr>
        <w:top w:val="none" w:sz="0" w:space="0" w:color="auto"/>
        <w:left w:val="none" w:sz="0" w:space="0" w:color="auto"/>
        <w:bottom w:val="none" w:sz="0" w:space="0" w:color="auto"/>
        <w:right w:val="none" w:sz="0" w:space="0" w:color="auto"/>
      </w:divBdr>
    </w:div>
    <w:div w:id="880675463">
      <w:bodyDiv w:val="1"/>
      <w:marLeft w:val="0"/>
      <w:marRight w:val="0"/>
      <w:marTop w:val="0"/>
      <w:marBottom w:val="0"/>
      <w:divBdr>
        <w:top w:val="none" w:sz="0" w:space="0" w:color="auto"/>
        <w:left w:val="none" w:sz="0" w:space="0" w:color="auto"/>
        <w:bottom w:val="none" w:sz="0" w:space="0" w:color="auto"/>
        <w:right w:val="none" w:sz="0" w:space="0" w:color="auto"/>
      </w:divBdr>
    </w:div>
    <w:div w:id="1086416599">
      <w:bodyDiv w:val="1"/>
      <w:marLeft w:val="0"/>
      <w:marRight w:val="0"/>
      <w:marTop w:val="0"/>
      <w:marBottom w:val="0"/>
      <w:divBdr>
        <w:top w:val="none" w:sz="0" w:space="0" w:color="auto"/>
        <w:left w:val="none" w:sz="0" w:space="0" w:color="auto"/>
        <w:bottom w:val="none" w:sz="0" w:space="0" w:color="auto"/>
        <w:right w:val="none" w:sz="0" w:space="0" w:color="auto"/>
      </w:divBdr>
    </w:div>
    <w:div w:id="1919708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TotalTime>
  <Pages>18</Pages>
  <Words>3132</Words>
  <Characters>17853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Gancheva (2022711)</dc:creator>
  <cp:keywords/>
  <dc:description/>
  <cp:lastModifiedBy>Galina Gancheva (2022711)</cp:lastModifiedBy>
  <cp:revision>27</cp:revision>
  <dcterms:created xsi:type="dcterms:W3CDTF">2021-07-26T19:50:00Z</dcterms:created>
  <dcterms:modified xsi:type="dcterms:W3CDTF">2021-07-26T21:30:00Z</dcterms:modified>
</cp:coreProperties>
</file>