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8D256D" w14:textId="283E23BA" w:rsidR="005A76EE" w:rsidRDefault="007F62A2" w:rsidP="141BE979">
      <w:pPr>
        <w:jc w:val="center"/>
        <w:rPr>
          <w:rFonts w:ascii="Times New Roman" w:eastAsia="Times New Roman" w:hAnsi="Times New Roman" w:cs="Times New Roman"/>
          <w:color w:val="000000" w:themeColor="text1"/>
          <w:sz w:val="36"/>
          <w:szCs w:val="36"/>
        </w:rPr>
      </w:pPr>
      <w:r>
        <w:rPr>
          <w:rFonts w:ascii="Times New Roman" w:eastAsia="Times New Roman" w:hAnsi="Times New Roman" w:cs="Times New Roman"/>
          <w:b/>
          <w:bCs/>
          <w:color w:val="000000" w:themeColor="text1"/>
          <w:sz w:val="36"/>
          <w:szCs w:val="36"/>
          <w:u w:val="single"/>
        </w:rPr>
        <w:t xml:space="preserve">Criminal , </w:t>
      </w:r>
      <w:r w:rsidR="420927C5" w:rsidRPr="141BE979">
        <w:rPr>
          <w:rFonts w:ascii="Times New Roman" w:eastAsia="Times New Roman" w:hAnsi="Times New Roman" w:cs="Times New Roman"/>
          <w:b/>
          <w:bCs/>
          <w:color w:val="000000" w:themeColor="text1"/>
          <w:sz w:val="36"/>
          <w:szCs w:val="36"/>
          <w:u w:val="single"/>
        </w:rPr>
        <w:t>Law and Legal Practice</w:t>
      </w:r>
    </w:p>
    <w:p w14:paraId="75AE8CB2" w14:textId="3FC41537" w:rsidR="005A76EE" w:rsidRDefault="087A4EB4" w:rsidP="1D64A439">
      <w:pPr>
        <w:jc w:val="center"/>
        <w:rPr>
          <w:rFonts w:ascii="Times New Roman" w:eastAsia="Times New Roman" w:hAnsi="Times New Roman" w:cs="Times New Roman"/>
          <w:b/>
          <w:bCs/>
          <w:color w:val="000000" w:themeColor="text1"/>
          <w:sz w:val="32"/>
          <w:szCs w:val="32"/>
          <w:u w:val="single"/>
        </w:rPr>
      </w:pPr>
      <w:r w:rsidRPr="1D64A439">
        <w:rPr>
          <w:rFonts w:ascii="Times New Roman" w:eastAsia="Times New Roman" w:hAnsi="Times New Roman" w:cs="Times New Roman"/>
          <w:b/>
          <w:bCs/>
          <w:color w:val="000000" w:themeColor="text1"/>
          <w:sz w:val="32"/>
          <w:szCs w:val="32"/>
          <w:u w:val="single"/>
        </w:rPr>
        <w:t>Hermela Tecleab</w:t>
      </w:r>
    </w:p>
    <w:p w14:paraId="2C078E63" w14:textId="2A302AE4" w:rsidR="005A76EE" w:rsidRDefault="005A76EE" w:rsidP="141BE979"/>
    <w:p w14:paraId="0EDBBE7A" w14:textId="0A582965" w:rsidR="7B101CC1" w:rsidRDefault="7B101CC1" w:rsidP="141BE979">
      <w:pPr>
        <w:jc w:val="both"/>
        <w:rPr>
          <w:rFonts w:ascii="Times New Roman" w:eastAsia="Times New Roman" w:hAnsi="Times New Roman" w:cs="Times New Roman"/>
          <w:color w:val="000000" w:themeColor="text1"/>
          <w:sz w:val="24"/>
          <w:szCs w:val="24"/>
        </w:rPr>
      </w:pPr>
      <w:r w:rsidRPr="141BE979">
        <w:rPr>
          <w:rFonts w:ascii="Times New Roman" w:eastAsia="Times New Roman" w:hAnsi="Times New Roman" w:cs="Times New Roman"/>
          <w:color w:val="000000" w:themeColor="text1"/>
          <w:sz w:val="24"/>
          <w:szCs w:val="24"/>
        </w:rPr>
        <w:t xml:space="preserve">Paula </w:t>
      </w:r>
      <w:r w:rsidR="05751235" w:rsidRPr="141BE979">
        <w:rPr>
          <w:rFonts w:ascii="Times New Roman" w:eastAsia="Times New Roman" w:hAnsi="Times New Roman" w:cs="Times New Roman"/>
          <w:color w:val="000000" w:themeColor="text1"/>
          <w:sz w:val="24"/>
          <w:szCs w:val="24"/>
        </w:rPr>
        <w:t xml:space="preserve">will be </w:t>
      </w:r>
      <w:r w:rsidR="4D019827" w:rsidRPr="141BE979">
        <w:rPr>
          <w:rFonts w:ascii="Times New Roman" w:eastAsia="Times New Roman" w:hAnsi="Times New Roman" w:cs="Times New Roman"/>
          <w:color w:val="000000" w:themeColor="text1"/>
          <w:sz w:val="24"/>
          <w:szCs w:val="24"/>
        </w:rPr>
        <w:t>criminally</w:t>
      </w:r>
      <w:r w:rsidR="05751235" w:rsidRPr="141BE979">
        <w:rPr>
          <w:rFonts w:ascii="Times New Roman" w:eastAsia="Times New Roman" w:hAnsi="Times New Roman" w:cs="Times New Roman"/>
          <w:color w:val="000000" w:themeColor="text1"/>
          <w:sz w:val="24"/>
          <w:szCs w:val="24"/>
        </w:rPr>
        <w:t xml:space="preserve"> liable for theft, </w:t>
      </w:r>
      <w:r w:rsidR="3DB36102" w:rsidRPr="141BE979">
        <w:rPr>
          <w:rFonts w:ascii="Times New Roman" w:eastAsia="Times New Roman" w:hAnsi="Times New Roman" w:cs="Times New Roman"/>
          <w:color w:val="000000" w:themeColor="text1"/>
          <w:sz w:val="24"/>
          <w:szCs w:val="24"/>
        </w:rPr>
        <w:t xml:space="preserve">S1 Theft Act 1968 defines theft as: the dishonest appropriation of property belonging to another with the intention to permanently deprive </w:t>
      </w:r>
      <w:r w:rsidR="1C8BCAD6" w:rsidRPr="141BE979">
        <w:rPr>
          <w:rFonts w:ascii="Times New Roman" w:eastAsia="Times New Roman" w:hAnsi="Times New Roman" w:cs="Times New Roman"/>
          <w:color w:val="000000" w:themeColor="text1"/>
          <w:sz w:val="24"/>
          <w:szCs w:val="24"/>
        </w:rPr>
        <w:t>the</w:t>
      </w:r>
      <w:r w:rsidR="3DB36102" w:rsidRPr="141BE979">
        <w:rPr>
          <w:rFonts w:ascii="Times New Roman" w:eastAsia="Times New Roman" w:hAnsi="Times New Roman" w:cs="Times New Roman"/>
          <w:color w:val="000000" w:themeColor="text1"/>
          <w:sz w:val="24"/>
          <w:szCs w:val="24"/>
        </w:rPr>
        <w:t xml:space="preserve"> first stage of the actus reus for theft is that there must be an appropriation. Under s3 Theft Act 1968 “any assumption…of the rights of the owner” counts as appropriation. This includes touching, taking, destroying, consuming or lending somebody else’s property. There can be an appropriation even if the victim consents to the defendant’s action. Cases:</w:t>
      </w:r>
    </w:p>
    <w:p w14:paraId="65EEF614" w14:textId="5EC86F49" w:rsidR="3DB36102" w:rsidRDefault="3DB36102" w:rsidP="141BE979">
      <w:pPr>
        <w:jc w:val="both"/>
        <w:rPr>
          <w:rFonts w:ascii="Times New Roman" w:eastAsia="Times New Roman" w:hAnsi="Times New Roman" w:cs="Times New Roman"/>
          <w:color w:val="000000" w:themeColor="text1"/>
          <w:sz w:val="24"/>
          <w:szCs w:val="24"/>
        </w:rPr>
      </w:pPr>
      <w:r w:rsidRPr="141BE979">
        <w:rPr>
          <w:rFonts w:ascii="Times New Roman" w:eastAsia="Times New Roman" w:hAnsi="Times New Roman" w:cs="Times New Roman"/>
          <w:color w:val="000000" w:themeColor="text1"/>
          <w:sz w:val="24"/>
          <w:szCs w:val="24"/>
        </w:rPr>
        <w:t>• In Morris, switching the tags on goods in a supermarket in order to pay a lower price was an appropriation.</w:t>
      </w:r>
    </w:p>
    <w:p w14:paraId="35516D7B" w14:textId="57FFA7C5" w:rsidR="3DB36102" w:rsidRDefault="3DB36102" w:rsidP="141BE979">
      <w:pPr>
        <w:jc w:val="both"/>
        <w:rPr>
          <w:rFonts w:ascii="Times New Roman" w:eastAsia="Times New Roman" w:hAnsi="Times New Roman" w:cs="Times New Roman"/>
          <w:color w:val="000000" w:themeColor="text1"/>
          <w:sz w:val="24"/>
          <w:szCs w:val="24"/>
        </w:rPr>
      </w:pPr>
      <w:r w:rsidRPr="141BE979">
        <w:rPr>
          <w:rFonts w:ascii="Times New Roman" w:eastAsia="Times New Roman" w:hAnsi="Times New Roman" w:cs="Times New Roman"/>
          <w:color w:val="000000" w:themeColor="text1"/>
          <w:sz w:val="24"/>
          <w:szCs w:val="24"/>
        </w:rPr>
        <w:t>• In R v Gomez, D persuaded his manager to accept 2 cheques in payment of goods even though he knew the cheques were worthless. The court held that consent obtained by deception is not true consent.</w:t>
      </w:r>
    </w:p>
    <w:p w14:paraId="6E49C8F4" w14:textId="6B44874B" w:rsidR="3DB36102" w:rsidRDefault="3DB36102" w:rsidP="141BE979">
      <w:pPr>
        <w:jc w:val="both"/>
        <w:rPr>
          <w:rFonts w:ascii="Times New Roman" w:eastAsia="Times New Roman" w:hAnsi="Times New Roman" w:cs="Times New Roman"/>
          <w:color w:val="000000" w:themeColor="text1"/>
          <w:sz w:val="24"/>
          <w:szCs w:val="24"/>
        </w:rPr>
      </w:pPr>
      <w:r w:rsidRPr="141BE979">
        <w:rPr>
          <w:rFonts w:ascii="Times New Roman" w:eastAsia="Times New Roman" w:hAnsi="Times New Roman" w:cs="Times New Roman"/>
          <w:color w:val="000000" w:themeColor="text1"/>
          <w:sz w:val="24"/>
          <w:szCs w:val="24"/>
        </w:rPr>
        <w:t xml:space="preserve">• In R v Lawrence a foreign student told a taxi driver to take the ‘correct fare’ for a journey from his </w:t>
      </w:r>
      <w:r w:rsidR="0F56DE20" w:rsidRPr="141BE979">
        <w:rPr>
          <w:rFonts w:ascii="Times New Roman" w:eastAsia="Times New Roman" w:hAnsi="Times New Roman" w:cs="Times New Roman"/>
          <w:color w:val="000000" w:themeColor="text1"/>
          <w:sz w:val="24"/>
          <w:szCs w:val="24"/>
        </w:rPr>
        <w:t>wallet,</w:t>
      </w:r>
      <w:r w:rsidRPr="141BE979">
        <w:rPr>
          <w:rFonts w:ascii="Times New Roman" w:eastAsia="Times New Roman" w:hAnsi="Times New Roman" w:cs="Times New Roman"/>
          <w:color w:val="000000" w:themeColor="text1"/>
          <w:sz w:val="24"/>
          <w:szCs w:val="24"/>
        </w:rPr>
        <w:t xml:space="preserve"> but he took too much. Although the driver had consent, he still appropriated the money as he treated the money as his own. Application: Here there was an appropriation because D physically touched/took/used/spent/ sold V’s property. Only V had the right to touch/take/use/ spend/sell this property so there was an assumption of some of these rights. The second stage of the actus reus for theft is that the item appropriated must amount to property. Property includes “money and all other property, real or personal things in action and other intangible property” (S4 Theft Act 1968). Cases: Confidential information is not classed as property (Oxford v Moss), corpses aren’t property unless they have acquired different attributes by application of skill (Kelly) and wild plants/fruit/ mushrooms are not property unless the picker goes on to sell the foraged materials commercially. Application: Here [x] has been taken. This constitutes personal property under the statutory definition. The final stage of the actus reus for theft is that the property appropriated must belong to another. Under s5 Theft Act 1968, property belongs to any person with “possession or control or any proprietary interest in it.” Cases:</w:t>
      </w:r>
    </w:p>
    <w:p w14:paraId="473C93DD" w14:textId="741D42AF" w:rsidR="3DB36102" w:rsidRDefault="3DB36102" w:rsidP="141BE979">
      <w:pPr>
        <w:spacing w:line="240" w:lineRule="exact"/>
        <w:jc w:val="both"/>
        <w:rPr>
          <w:rFonts w:ascii="Times New Roman" w:eastAsia="Times New Roman" w:hAnsi="Times New Roman" w:cs="Times New Roman"/>
          <w:color w:val="000000" w:themeColor="text1"/>
          <w:sz w:val="24"/>
          <w:szCs w:val="24"/>
        </w:rPr>
      </w:pPr>
      <w:r w:rsidRPr="141BE979">
        <w:rPr>
          <w:rFonts w:ascii="Times New Roman" w:eastAsia="Times New Roman" w:hAnsi="Times New Roman" w:cs="Times New Roman"/>
          <w:color w:val="000000" w:themeColor="text1"/>
          <w:sz w:val="24"/>
          <w:szCs w:val="24"/>
        </w:rPr>
        <w:t>· The definition of “belonging” is so wide a person can steal their own property, as in Turner 2 when an</w:t>
      </w:r>
      <w:r w:rsidR="72128729"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owner took his car from a garage to avoid paying for repairs.</w:t>
      </w:r>
      <w:r w:rsidR="6C691423" w:rsidRPr="141BE979">
        <w:rPr>
          <w:rFonts w:ascii="Times New Roman" w:eastAsia="Times New Roman" w:hAnsi="Times New Roman" w:cs="Times New Roman"/>
          <w:color w:val="000000" w:themeColor="text1"/>
          <w:sz w:val="24"/>
          <w:szCs w:val="24"/>
        </w:rPr>
        <w:t xml:space="preserve"> Part of the </w:t>
      </w:r>
      <w:proofErr w:type="spellStart"/>
      <w:r w:rsidR="6C691423" w:rsidRPr="141BE979">
        <w:rPr>
          <w:rFonts w:ascii="Times New Roman" w:eastAsia="Times New Roman" w:hAnsi="Times New Roman" w:cs="Times New Roman"/>
          <w:color w:val="000000" w:themeColor="text1"/>
          <w:sz w:val="24"/>
          <w:szCs w:val="24"/>
        </w:rPr>
        <w:t>mens</w:t>
      </w:r>
      <w:proofErr w:type="spellEnd"/>
      <w:r w:rsidR="6C691423" w:rsidRPr="141BE979">
        <w:rPr>
          <w:rFonts w:ascii="Times New Roman" w:eastAsia="Times New Roman" w:hAnsi="Times New Roman" w:cs="Times New Roman"/>
          <w:color w:val="000000" w:themeColor="text1"/>
          <w:sz w:val="24"/>
          <w:szCs w:val="24"/>
        </w:rPr>
        <w:t xml:space="preserve"> rea for theft is that the defendant must be acting dishonestly. Under s2 Theft Act 1968 D will not be dishonest if:   </w:t>
      </w:r>
    </w:p>
    <w:p w14:paraId="632191EA" w14:textId="64F86AAB" w:rsidR="6C691423" w:rsidRDefault="6C691423" w:rsidP="141BE979">
      <w:pPr>
        <w:spacing w:line="240" w:lineRule="exact"/>
        <w:jc w:val="both"/>
        <w:rPr>
          <w:rFonts w:ascii="Times New Roman" w:eastAsia="Times New Roman" w:hAnsi="Times New Roman" w:cs="Times New Roman"/>
          <w:color w:val="000000" w:themeColor="text1"/>
          <w:sz w:val="24"/>
          <w:szCs w:val="24"/>
        </w:rPr>
      </w:pPr>
      <w:r w:rsidRPr="141BE979">
        <w:rPr>
          <w:rFonts w:ascii="Times New Roman" w:eastAsia="Times New Roman" w:hAnsi="Times New Roman" w:cs="Times New Roman"/>
          <w:color w:val="000000" w:themeColor="text1"/>
          <w:sz w:val="24"/>
          <w:szCs w:val="24"/>
        </w:rPr>
        <w:t xml:space="preserve"> </w:t>
      </w:r>
    </w:p>
    <w:p w14:paraId="6C777FCA" w14:textId="54777162" w:rsidR="6C691423" w:rsidRDefault="6C691423" w:rsidP="141BE979">
      <w:pPr>
        <w:pStyle w:val="ListParagraph"/>
        <w:numPr>
          <w:ilvl w:val="0"/>
          <w:numId w:val="2"/>
        </w:numPr>
        <w:spacing w:line="240" w:lineRule="exact"/>
        <w:jc w:val="both"/>
        <w:rPr>
          <w:rFonts w:ascii="Times New Roman" w:eastAsia="Times New Roman" w:hAnsi="Times New Roman" w:cs="Times New Roman"/>
          <w:color w:val="000000" w:themeColor="text1"/>
          <w:sz w:val="24"/>
          <w:szCs w:val="24"/>
        </w:rPr>
      </w:pPr>
      <w:r w:rsidRPr="141BE979">
        <w:rPr>
          <w:rFonts w:ascii="Times New Roman" w:eastAsia="Times New Roman" w:hAnsi="Times New Roman" w:cs="Times New Roman"/>
          <w:color w:val="000000" w:themeColor="text1"/>
          <w:sz w:val="24"/>
          <w:szCs w:val="24"/>
        </w:rPr>
        <w:t>They believed they had a right to deprive the other of the property (</w:t>
      </w:r>
      <w:proofErr w:type="gramStart"/>
      <w:r w:rsidRPr="141BE979">
        <w:rPr>
          <w:rFonts w:ascii="Times New Roman" w:eastAsia="Times New Roman" w:hAnsi="Times New Roman" w:cs="Times New Roman"/>
          <w:color w:val="000000" w:themeColor="text1"/>
          <w:sz w:val="24"/>
          <w:szCs w:val="24"/>
        </w:rPr>
        <w:t>e.g.</w:t>
      </w:r>
      <w:proofErr w:type="gramEnd"/>
      <w:r w:rsidRPr="141BE979">
        <w:rPr>
          <w:rFonts w:ascii="Times New Roman" w:eastAsia="Times New Roman" w:hAnsi="Times New Roman" w:cs="Times New Roman"/>
          <w:color w:val="000000" w:themeColor="text1"/>
          <w:sz w:val="24"/>
          <w:szCs w:val="24"/>
        </w:rPr>
        <w:t xml:space="preserve"> R v Robinson); </w:t>
      </w:r>
    </w:p>
    <w:p w14:paraId="4408C946" w14:textId="2C14F300" w:rsidR="6C691423" w:rsidRDefault="6C691423" w:rsidP="141BE979">
      <w:pPr>
        <w:pStyle w:val="ListParagraph"/>
        <w:numPr>
          <w:ilvl w:val="0"/>
          <w:numId w:val="2"/>
        </w:numPr>
        <w:spacing w:line="240" w:lineRule="exact"/>
        <w:jc w:val="both"/>
        <w:rPr>
          <w:color w:val="000000" w:themeColor="text1"/>
          <w:sz w:val="24"/>
          <w:szCs w:val="24"/>
        </w:rPr>
      </w:pPr>
      <w:r w:rsidRPr="141BE979">
        <w:rPr>
          <w:rFonts w:ascii="Times New Roman" w:eastAsia="Times New Roman" w:hAnsi="Times New Roman" w:cs="Times New Roman"/>
          <w:color w:val="000000" w:themeColor="text1"/>
          <w:sz w:val="24"/>
          <w:szCs w:val="24"/>
        </w:rPr>
        <w:t xml:space="preserve">They believed the other would have consented if they knew of the </w:t>
      </w:r>
      <w:r w:rsidR="15361F12" w:rsidRPr="141BE979">
        <w:rPr>
          <w:rFonts w:ascii="Times New Roman" w:eastAsia="Times New Roman" w:hAnsi="Times New Roman" w:cs="Times New Roman"/>
          <w:color w:val="000000" w:themeColor="text1"/>
          <w:sz w:val="24"/>
          <w:szCs w:val="24"/>
        </w:rPr>
        <w:t>circumstances,</w:t>
      </w:r>
      <w:r w:rsidRPr="141BE979">
        <w:rPr>
          <w:rFonts w:ascii="Times New Roman" w:eastAsia="Times New Roman" w:hAnsi="Times New Roman" w:cs="Times New Roman"/>
          <w:color w:val="000000" w:themeColor="text1"/>
          <w:sz w:val="24"/>
          <w:szCs w:val="24"/>
        </w:rPr>
        <w:t xml:space="preserve"> OR </w:t>
      </w:r>
    </w:p>
    <w:p w14:paraId="4D15C2EC" w14:textId="7FEC89B9" w:rsidR="6C691423" w:rsidRDefault="6C691423" w:rsidP="141BE979">
      <w:pPr>
        <w:pStyle w:val="ListParagraph"/>
        <w:numPr>
          <w:ilvl w:val="0"/>
          <w:numId w:val="2"/>
        </w:numPr>
        <w:spacing w:line="240" w:lineRule="exact"/>
        <w:jc w:val="both"/>
        <w:rPr>
          <w:rFonts w:ascii="Times New Roman" w:eastAsia="Times New Roman" w:hAnsi="Times New Roman" w:cs="Times New Roman"/>
          <w:color w:val="000000" w:themeColor="text1"/>
          <w:sz w:val="24"/>
          <w:szCs w:val="24"/>
        </w:rPr>
      </w:pPr>
      <w:r w:rsidRPr="141BE979">
        <w:rPr>
          <w:rFonts w:ascii="Times New Roman" w:eastAsia="Times New Roman" w:hAnsi="Times New Roman" w:cs="Times New Roman"/>
          <w:color w:val="000000" w:themeColor="text1"/>
          <w:sz w:val="24"/>
          <w:szCs w:val="24"/>
        </w:rPr>
        <w:t xml:space="preserve"> The person to whom the property belongs cannot be traced by taking reasonable steps.   </w:t>
      </w:r>
    </w:p>
    <w:p w14:paraId="7A081482" w14:textId="48C1CBEB" w:rsidR="6C691423" w:rsidRDefault="6C691423" w:rsidP="141BE979">
      <w:pPr>
        <w:pStyle w:val="ListParagraph"/>
        <w:numPr>
          <w:ilvl w:val="0"/>
          <w:numId w:val="2"/>
        </w:numPr>
        <w:spacing w:line="240" w:lineRule="exact"/>
        <w:jc w:val="both"/>
        <w:rPr>
          <w:rFonts w:ascii="Times New Roman" w:eastAsia="Times New Roman" w:hAnsi="Times New Roman" w:cs="Times New Roman"/>
          <w:color w:val="000000" w:themeColor="text1"/>
          <w:sz w:val="24"/>
          <w:szCs w:val="24"/>
        </w:rPr>
      </w:pPr>
      <w:r w:rsidRPr="141BE979">
        <w:rPr>
          <w:rFonts w:ascii="Times New Roman" w:eastAsia="Times New Roman" w:hAnsi="Times New Roman" w:cs="Times New Roman"/>
          <w:color w:val="000000" w:themeColor="text1"/>
          <w:sz w:val="24"/>
          <w:szCs w:val="24"/>
        </w:rPr>
        <w:t>It is the subjective belief of the defendant that matters, even if it is not reasonable (R v Small)</w:t>
      </w:r>
      <w:r w:rsidR="39CA32FD" w:rsidRPr="141BE979">
        <w:rPr>
          <w:rFonts w:ascii="Times New Roman" w:eastAsia="Times New Roman" w:hAnsi="Times New Roman" w:cs="Times New Roman"/>
          <w:b/>
          <w:bCs/>
          <w:color w:val="000000" w:themeColor="text1"/>
          <w:sz w:val="24"/>
          <w:szCs w:val="24"/>
          <w:vertAlign w:val="superscript"/>
        </w:rPr>
        <w:t xml:space="preserve"> </w:t>
      </w:r>
    </w:p>
    <w:p w14:paraId="779E4F46" w14:textId="5FAACCC8" w:rsidR="141BE979" w:rsidRDefault="141BE979" w:rsidP="141BE979">
      <w:pPr>
        <w:rPr>
          <w:rFonts w:ascii="Times New Roman" w:eastAsia="Times New Roman" w:hAnsi="Times New Roman" w:cs="Times New Roman"/>
          <w:color w:val="000000" w:themeColor="text1"/>
          <w:sz w:val="24"/>
          <w:szCs w:val="24"/>
        </w:rPr>
      </w:pPr>
    </w:p>
    <w:p w14:paraId="5CD691E0" w14:textId="2FCAE0FD" w:rsidR="141BE979" w:rsidRDefault="141BE979" w:rsidP="141BE979">
      <w:pPr>
        <w:rPr>
          <w:rFonts w:ascii="Times New Roman" w:eastAsia="Times New Roman" w:hAnsi="Times New Roman" w:cs="Times New Roman"/>
          <w:color w:val="000000" w:themeColor="text1"/>
          <w:sz w:val="24"/>
          <w:szCs w:val="24"/>
        </w:rPr>
      </w:pPr>
    </w:p>
    <w:p w14:paraId="148BB591" w14:textId="4B5CC10F" w:rsidR="7B101CC1" w:rsidRDefault="7B101CC1" w:rsidP="141BE979">
      <w:pPr>
        <w:rPr>
          <w:rFonts w:ascii="Times New Roman" w:eastAsia="Times New Roman" w:hAnsi="Times New Roman" w:cs="Times New Roman"/>
          <w:color w:val="000000" w:themeColor="text1"/>
          <w:sz w:val="24"/>
          <w:szCs w:val="24"/>
        </w:rPr>
      </w:pPr>
      <w:r w:rsidRPr="141BE979">
        <w:rPr>
          <w:rFonts w:ascii="Times New Roman" w:eastAsia="Times New Roman" w:hAnsi="Times New Roman" w:cs="Times New Roman"/>
          <w:color w:val="000000" w:themeColor="text1"/>
          <w:sz w:val="24"/>
          <w:szCs w:val="24"/>
        </w:rPr>
        <w:t xml:space="preserve">Harriet </w:t>
      </w:r>
      <w:r w:rsidR="0831DFA5" w:rsidRPr="141BE979">
        <w:rPr>
          <w:rFonts w:ascii="Times New Roman" w:eastAsia="Times New Roman" w:hAnsi="Times New Roman" w:cs="Times New Roman"/>
          <w:color w:val="000000" w:themeColor="text1"/>
          <w:sz w:val="24"/>
          <w:szCs w:val="24"/>
        </w:rPr>
        <w:t xml:space="preserve">would be criminally liable for criminal damage and s20 GBH </w:t>
      </w:r>
      <w:r w:rsidR="589262FB" w:rsidRPr="141BE979">
        <w:rPr>
          <w:rFonts w:ascii="Times New Roman" w:eastAsia="Times New Roman" w:hAnsi="Times New Roman" w:cs="Times New Roman"/>
          <w:color w:val="000000" w:themeColor="text1"/>
          <w:sz w:val="24"/>
          <w:szCs w:val="24"/>
        </w:rPr>
        <w:t>Under s1(1) Criminal Damage Act 1971, a</w:t>
      </w:r>
      <w:r w:rsidR="6E3357B0" w:rsidRPr="141BE979">
        <w:rPr>
          <w:rFonts w:ascii="Times New Roman" w:eastAsia="Times New Roman" w:hAnsi="Times New Roman" w:cs="Times New Roman"/>
          <w:color w:val="000000" w:themeColor="text1"/>
          <w:sz w:val="24"/>
          <w:szCs w:val="24"/>
        </w:rPr>
        <w:t xml:space="preserve"> </w:t>
      </w:r>
      <w:r w:rsidR="589262FB" w:rsidRPr="141BE979">
        <w:rPr>
          <w:rFonts w:ascii="Times New Roman" w:eastAsia="Times New Roman" w:hAnsi="Times New Roman" w:cs="Times New Roman"/>
          <w:color w:val="000000" w:themeColor="text1"/>
          <w:sz w:val="24"/>
          <w:szCs w:val="24"/>
        </w:rPr>
        <w:t>person is guilty of criminal damage if</w:t>
      </w:r>
      <w:r w:rsidR="461120F5" w:rsidRPr="141BE979">
        <w:rPr>
          <w:rFonts w:ascii="Times New Roman" w:eastAsia="Times New Roman" w:hAnsi="Times New Roman" w:cs="Times New Roman"/>
          <w:color w:val="000000" w:themeColor="text1"/>
          <w:sz w:val="24"/>
          <w:szCs w:val="24"/>
        </w:rPr>
        <w:t xml:space="preserve"> </w:t>
      </w:r>
      <w:r w:rsidR="589262FB" w:rsidRPr="141BE979">
        <w:rPr>
          <w:rFonts w:ascii="Times New Roman" w:eastAsia="Times New Roman" w:hAnsi="Times New Roman" w:cs="Times New Roman"/>
          <w:color w:val="000000" w:themeColor="text1"/>
          <w:sz w:val="24"/>
          <w:szCs w:val="24"/>
        </w:rPr>
        <w:t>they intentionally or recklessly destroy</w:t>
      </w:r>
      <w:r w:rsidR="32BAA124" w:rsidRPr="141BE979">
        <w:rPr>
          <w:rFonts w:ascii="Times New Roman" w:eastAsia="Times New Roman" w:hAnsi="Times New Roman" w:cs="Times New Roman"/>
          <w:color w:val="000000" w:themeColor="text1"/>
          <w:sz w:val="24"/>
          <w:szCs w:val="24"/>
        </w:rPr>
        <w:t xml:space="preserve"> </w:t>
      </w:r>
      <w:r w:rsidR="589262FB" w:rsidRPr="141BE979">
        <w:rPr>
          <w:rFonts w:ascii="Times New Roman" w:eastAsia="Times New Roman" w:hAnsi="Times New Roman" w:cs="Times New Roman"/>
          <w:color w:val="000000" w:themeColor="text1"/>
          <w:sz w:val="24"/>
          <w:szCs w:val="24"/>
        </w:rPr>
        <w:t>or damage property belonging to another</w:t>
      </w:r>
      <w:r w:rsidR="75B09D9E" w:rsidRPr="141BE979">
        <w:rPr>
          <w:rFonts w:ascii="Times New Roman" w:eastAsia="Times New Roman" w:hAnsi="Times New Roman" w:cs="Times New Roman"/>
          <w:color w:val="000000" w:themeColor="text1"/>
          <w:sz w:val="24"/>
          <w:szCs w:val="24"/>
        </w:rPr>
        <w:t xml:space="preserve"> </w:t>
      </w:r>
      <w:r w:rsidR="589262FB" w:rsidRPr="141BE979">
        <w:rPr>
          <w:rFonts w:ascii="Times New Roman" w:eastAsia="Times New Roman" w:hAnsi="Times New Roman" w:cs="Times New Roman"/>
          <w:color w:val="000000" w:themeColor="text1"/>
          <w:sz w:val="24"/>
          <w:szCs w:val="24"/>
        </w:rPr>
        <w:t>without lawful excuse</w:t>
      </w:r>
      <w:r w:rsidR="038AE53E" w:rsidRPr="141BE979">
        <w:rPr>
          <w:rFonts w:ascii="Times New Roman" w:eastAsia="Times New Roman" w:hAnsi="Times New Roman" w:cs="Times New Roman"/>
          <w:color w:val="000000" w:themeColor="text1"/>
          <w:sz w:val="24"/>
          <w:szCs w:val="24"/>
        </w:rPr>
        <w:t xml:space="preserve"> </w:t>
      </w:r>
      <w:r w:rsidR="589262FB" w:rsidRPr="141BE979">
        <w:rPr>
          <w:rFonts w:ascii="Times New Roman" w:eastAsia="Times New Roman" w:hAnsi="Times New Roman" w:cs="Times New Roman"/>
          <w:color w:val="000000" w:themeColor="text1"/>
          <w:sz w:val="24"/>
          <w:szCs w:val="24"/>
        </w:rPr>
        <w:t>There are 4 parts to the actus reus:</w:t>
      </w:r>
      <w:r>
        <w:br/>
      </w:r>
    </w:p>
    <w:p w14:paraId="3366EB97" w14:textId="5BD1AB48" w:rsidR="589262FB" w:rsidRDefault="589262FB" w:rsidP="141BE979">
      <w:pPr>
        <w:pStyle w:val="ListParagraph"/>
        <w:numPr>
          <w:ilvl w:val="0"/>
          <w:numId w:val="1"/>
        </w:numPr>
        <w:rPr>
          <w:rFonts w:ascii="Times New Roman" w:eastAsia="Times New Roman" w:hAnsi="Times New Roman" w:cs="Times New Roman"/>
          <w:color w:val="000000" w:themeColor="text1"/>
          <w:sz w:val="24"/>
          <w:szCs w:val="24"/>
        </w:rPr>
      </w:pPr>
      <w:r w:rsidRPr="141BE979">
        <w:rPr>
          <w:rFonts w:ascii="Times New Roman" w:eastAsia="Times New Roman" w:hAnsi="Times New Roman" w:cs="Times New Roman"/>
          <w:color w:val="000000" w:themeColor="text1"/>
          <w:sz w:val="24"/>
          <w:szCs w:val="24"/>
        </w:rPr>
        <w:t xml:space="preserve">D must damage or destroy an </w:t>
      </w:r>
      <w:r w:rsidR="26B90235" w:rsidRPr="141BE979">
        <w:rPr>
          <w:rFonts w:ascii="Times New Roman" w:eastAsia="Times New Roman" w:hAnsi="Times New Roman" w:cs="Times New Roman"/>
          <w:color w:val="000000" w:themeColor="text1"/>
          <w:sz w:val="24"/>
          <w:szCs w:val="24"/>
        </w:rPr>
        <w:t>item.</w:t>
      </w:r>
      <w:r>
        <w:br/>
      </w:r>
    </w:p>
    <w:p w14:paraId="293F5E78" w14:textId="5CDBD0A9" w:rsidR="589262FB" w:rsidRDefault="589262FB" w:rsidP="141BE979">
      <w:pPr>
        <w:pStyle w:val="ListParagraph"/>
        <w:numPr>
          <w:ilvl w:val="0"/>
          <w:numId w:val="1"/>
        </w:numPr>
        <w:rPr>
          <w:rFonts w:ascii="Times New Roman" w:eastAsia="Times New Roman" w:hAnsi="Times New Roman" w:cs="Times New Roman"/>
          <w:color w:val="000000" w:themeColor="text1"/>
          <w:sz w:val="24"/>
          <w:szCs w:val="24"/>
        </w:rPr>
      </w:pPr>
      <w:r w:rsidRPr="141BE979">
        <w:rPr>
          <w:rFonts w:ascii="Times New Roman" w:eastAsia="Times New Roman" w:hAnsi="Times New Roman" w:cs="Times New Roman"/>
          <w:color w:val="000000" w:themeColor="text1"/>
          <w:sz w:val="24"/>
          <w:szCs w:val="24"/>
        </w:rPr>
        <w:t xml:space="preserve">The item must be classed as </w:t>
      </w:r>
      <w:r w:rsidR="22542EAA" w:rsidRPr="141BE979">
        <w:rPr>
          <w:rFonts w:ascii="Times New Roman" w:eastAsia="Times New Roman" w:hAnsi="Times New Roman" w:cs="Times New Roman"/>
          <w:color w:val="000000" w:themeColor="text1"/>
          <w:sz w:val="24"/>
          <w:szCs w:val="24"/>
        </w:rPr>
        <w:t>property.</w:t>
      </w:r>
      <w:r>
        <w:br/>
      </w:r>
    </w:p>
    <w:p w14:paraId="6656ECD0" w14:textId="18929704" w:rsidR="589262FB" w:rsidRDefault="589262FB" w:rsidP="141BE979">
      <w:pPr>
        <w:pStyle w:val="ListParagraph"/>
        <w:numPr>
          <w:ilvl w:val="0"/>
          <w:numId w:val="1"/>
        </w:numPr>
        <w:rPr>
          <w:rFonts w:ascii="Times New Roman" w:eastAsia="Times New Roman" w:hAnsi="Times New Roman" w:cs="Times New Roman"/>
          <w:color w:val="000000" w:themeColor="text1"/>
          <w:sz w:val="24"/>
          <w:szCs w:val="24"/>
        </w:rPr>
      </w:pPr>
      <w:r w:rsidRPr="141BE979">
        <w:rPr>
          <w:rFonts w:ascii="Times New Roman" w:eastAsia="Times New Roman" w:hAnsi="Times New Roman" w:cs="Times New Roman"/>
          <w:color w:val="000000" w:themeColor="text1"/>
          <w:sz w:val="24"/>
          <w:szCs w:val="24"/>
        </w:rPr>
        <w:t xml:space="preserve">The property must belong to </w:t>
      </w:r>
      <w:r w:rsidR="2B18AB22" w:rsidRPr="141BE979">
        <w:rPr>
          <w:rFonts w:ascii="Times New Roman" w:eastAsia="Times New Roman" w:hAnsi="Times New Roman" w:cs="Times New Roman"/>
          <w:color w:val="000000" w:themeColor="text1"/>
          <w:sz w:val="24"/>
          <w:szCs w:val="24"/>
        </w:rPr>
        <w:t>another.</w:t>
      </w:r>
      <w:r>
        <w:br/>
      </w:r>
    </w:p>
    <w:p w14:paraId="20B005D6" w14:textId="70A386F5" w:rsidR="589262FB" w:rsidRDefault="589262FB" w:rsidP="141BE979">
      <w:pPr>
        <w:pStyle w:val="ListParagraph"/>
        <w:numPr>
          <w:ilvl w:val="0"/>
          <w:numId w:val="1"/>
        </w:numPr>
        <w:rPr>
          <w:rFonts w:ascii="Times New Roman" w:eastAsia="Times New Roman" w:hAnsi="Times New Roman" w:cs="Times New Roman"/>
          <w:color w:val="000000" w:themeColor="text1"/>
          <w:sz w:val="24"/>
          <w:szCs w:val="24"/>
        </w:rPr>
      </w:pPr>
      <w:r w:rsidRPr="141BE979">
        <w:rPr>
          <w:rFonts w:ascii="Times New Roman" w:eastAsia="Times New Roman" w:hAnsi="Times New Roman" w:cs="Times New Roman"/>
          <w:color w:val="000000" w:themeColor="text1"/>
          <w:sz w:val="24"/>
          <w:szCs w:val="24"/>
        </w:rPr>
        <w:t>D must have no lawful excuse.</w:t>
      </w:r>
      <w:r>
        <w:br/>
      </w:r>
    </w:p>
    <w:p w14:paraId="0757843D" w14:textId="5A58B1FC" w:rsidR="589262FB" w:rsidRDefault="589262FB" w:rsidP="141BE979">
      <w:pPr>
        <w:jc w:val="both"/>
        <w:rPr>
          <w:rFonts w:ascii="Times New Roman" w:eastAsia="Times New Roman" w:hAnsi="Times New Roman" w:cs="Times New Roman"/>
          <w:color w:val="000000" w:themeColor="text1"/>
          <w:sz w:val="24"/>
          <w:szCs w:val="24"/>
        </w:rPr>
      </w:pPr>
      <w:r w:rsidRPr="141BE979">
        <w:rPr>
          <w:rFonts w:ascii="Times New Roman" w:eastAsia="Times New Roman" w:hAnsi="Times New Roman" w:cs="Times New Roman"/>
          <w:color w:val="000000" w:themeColor="text1"/>
          <w:sz w:val="24"/>
          <w:szCs w:val="24"/>
        </w:rPr>
        <w:t xml:space="preserve">The </w:t>
      </w:r>
      <w:proofErr w:type="spellStart"/>
      <w:r w:rsidRPr="141BE979">
        <w:rPr>
          <w:rFonts w:ascii="Times New Roman" w:eastAsia="Times New Roman" w:hAnsi="Times New Roman" w:cs="Times New Roman"/>
          <w:color w:val="000000" w:themeColor="text1"/>
          <w:sz w:val="24"/>
          <w:szCs w:val="24"/>
        </w:rPr>
        <w:t>mens</w:t>
      </w:r>
      <w:proofErr w:type="spellEnd"/>
      <w:r w:rsidRPr="141BE979">
        <w:rPr>
          <w:rFonts w:ascii="Times New Roman" w:eastAsia="Times New Roman" w:hAnsi="Times New Roman" w:cs="Times New Roman"/>
          <w:color w:val="000000" w:themeColor="text1"/>
          <w:sz w:val="24"/>
          <w:szCs w:val="24"/>
        </w:rPr>
        <w:t xml:space="preserve"> rea is intention or</w:t>
      </w:r>
      <w:r w:rsidR="1873AA21"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recklessness to destroy or damage</w:t>
      </w:r>
      <w:r w:rsidR="632F5B8C"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property.</w:t>
      </w:r>
      <w:r>
        <w:br/>
      </w:r>
      <w:r>
        <w:br/>
      </w:r>
      <w:r w:rsidRPr="141BE979">
        <w:rPr>
          <w:rFonts w:ascii="Times New Roman" w:eastAsia="Times New Roman" w:hAnsi="Times New Roman" w:cs="Times New Roman"/>
          <w:color w:val="000000" w:themeColor="text1"/>
          <w:sz w:val="24"/>
          <w:szCs w:val="24"/>
        </w:rPr>
        <w:t>Damage is not defined in the</w:t>
      </w:r>
      <w:r w:rsidR="01D396EB"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Act. It is for the jury/magistrate</w:t>
      </w:r>
      <w:r w:rsidR="77C61CB9"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to decide if there is damage.</w:t>
      </w:r>
      <w:r w:rsidR="25B23C84"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This</w:t>
      </w:r>
      <w:r w:rsidR="423F0274"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is a question of fact based</w:t>
      </w:r>
      <w:r w:rsidR="5E1CD4AC"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on common sense.</w:t>
      </w:r>
      <w:r w:rsidR="42AA51BB"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Damage includes physical harm,</w:t>
      </w:r>
      <w:r w:rsidR="2F8247A9"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reducing an</w:t>
      </w:r>
      <w:r w:rsidR="3C4D662D"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item's value, or</w:t>
      </w:r>
      <w:r w:rsidR="3D64159B"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impairing its usefulness.</w:t>
      </w:r>
      <w:r w:rsidR="5551B92D"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The damage does not need to be</w:t>
      </w:r>
      <w:r w:rsidR="3D8225A5"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permanent</w:t>
      </w:r>
      <w:r w:rsidR="313D09BA" w:rsidRPr="141BE979">
        <w:rPr>
          <w:rFonts w:ascii="Times New Roman" w:eastAsia="Times New Roman" w:hAnsi="Times New Roman" w:cs="Times New Roman"/>
          <w:color w:val="000000" w:themeColor="text1"/>
          <w:sz w:val="24"/>
          <w:szCs w:val="24"/>
        </w:rPr>
        <w:t xml:space="preserve"> and </w:t>
      </w:r>
      <w:r w:rsidRPr="141BE979">
        <w:rPr>
          <w:rFonts w:ascii="Times New Roman" w:eastAsia="Times New Roman" w:hAnsi="Times New Roman" w:cs="Times New Roman"/>
          <w:color w:val="000000" w:themeColor="text1"/>
          <w:sz w:val="24"/>
          <w:szCs w:val="24"/>
        </w:rPr>
        <w:t>If cost is incurred in rectifying</w:t>
      </w:r>
      <w:r w:rsidR="40CE02BF"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damage, there is more likely to</w:t>
      </w:r>
      <w:r w:rsidR="594F4551"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be damage.</w:t>
      </w:r>
      <w:r w:rsidR="2CCA03C8"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Under s10(1) Criminal</w:t>
      </w:r>
      <w:r w:rsidR="09658313"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Damage Act 1971</w:t>
      </w:r>
      <w:r w:rsidR="5F613C3F"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property only includes</w:t>
      </w:r>
      <w:r w:rsidR="587FCCBF"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tangible property (real</w:t>
      </w:r>
      <w:r>
        <w:br/>
      </w:r>
      <w:r w:rsidRPr="141BE979">
        <w:rPr>
          <w:rFonts w:ascii="Times New Roman" w:eastAsia="Times New Roman" w:hAnsi="Times New Roman" w:cs="Times New Roman"/>
          <w:color w:val="000000" w:themeColor="text1"/>
          <w:sz w:val="24"/>
          <w:szCs w:val="24"/>
        </w:rPr>
        <w:t>estate, personal and</w:t>
      </w:r>
      <w:r w:rsidR="25D4A093"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money).</w:t>
      </w:r>
      <w:r w:rsidR="33309A2C" w:rsidRPr="141BE979">
        <w:rPr>
          <w:rFonts w:ascii="Times New Roman" w:eastAsia="Times New Roman" w:hAnsi="Times New Roman" w:cs="Times New Roman"/>
          <w:color w:val="000000" w:themeColor="text1"/>
          <w:sz w:val="24"/>
          <w:szCs w:val="24"/>
        </w:rPr>
        <w:t xml:space="preserve"> Property </w:t>
      </w:r>
      <w:r w:rsidR="2DBCFE94" w:rsidRPr="141BE979">
        <w:rPr>
          <w:rFonts w:ascii="Times New Roman" w:eastAsia="Times New Roman" w:hAnsi="Times New Roman" w:cs="Times New Roman"/>
          <w:color w:val="000000" w:themeColor="text1"/>
          <w:sz w:val="24"/>
          <w:szCs w:val="24"/>
        </w:rPr>
        <w:t>excludes Wild</w:t>
      </w:r>
      <w:r w:rsidRPr="141BE979">
        <w:rPr>
          <w:rFonts w:ascii="Times New Roman" w:eastAsia="Times New Roman" w:hAnsi="Times New Roman" w:cs="Times New Roman"/>
          <w:color w:val="000000" w:themeColor="text1"/>
          <w:sz w:val="24"/>
          <w:szCs w:val="24"/>
        </w:rPr>
        <w:t xml:space="preserve"> mushrooms, fruit,</w:t>
      </w:r>
      <w:r w:rsidR="39973090"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flowers</w:t>
      </w:r>
      <w:r w:rsidR="56528CD0" w:rsidRPr="141BE979">
        <w:rPr>
          <w:rFonts w:ascii="Times New Roman" w:eastAsia="Times New Roman" w:hAnsi="Times New Roman" w:cs="Times New Roman"/>
          <w:color w:val="000000" w:themeColor="text1"/>
          <w:sz w:val="24"/>
          <w:szCs w:val="24"/>
        </w:rPr>
        <w:t xml:space="preserve"> and</w:t>
      </w:r>
      <w:r w:rsidRPr="141BE979">
        <w:rPr>
          <w:rFonts w:ascii="Times New Roman" w:eastAsia="Times New Roman" w:hAnsi="Times New Roman" w:cs="Times New Roman"/>
          <w:color w:val="000000" w:themeColor="text1"/>
          <w:sz w:val="24"/>
          <w:szCs w:val="24"/>
        </w:rPr>
        <w:t xml:space="preserve"> plants</w:t>
      </w:r>
      <w:r w:rsidR="18D27242" w:rsidRPr="141BE979">
        <w:rPr>
          <w:rFonts w:ascii="Times New Roman" w:eastAsia="Times New Roman" w:hAnsi="Times New Roman" w:cs="Times New Roman"/>
          <w:color w:val="000000" w:themeColor="text1"/>
          <w:sz w:val="24"/>
          <w:szCs w:val="24"/>
        </w:rPr>
        <w:t xml:space="preserve">. </w:t>
      </w:r>
      <w:r w:rsidR="365CC8D1" w:rsidRPr="141BE979">
        <w:rPr>
          <w:rFonts w:ascii="Times New Roman" w:eastAsia="Times New Roman" w:hAnsi="Times New Roman" w:cs="Times New Roman"/>
          <w:color w:val="000000" w:themeColor="text1"/>
          <w:sz w:val="24"/>
          <w:szCs w:val="24"/>
        </w:rPr>
        <w:t>A</w:t>
      </w:r>
      <w:r w:rsidRPr="141BE979">
        <w:rPr>
          <w:rFonts w:ascii="Times New Roman" w:eastAsia="Times New Roman" w:hAnsi="Times New Roman" w:cs="Times New Roman"/>
          <w:color w:val="000000" w:themeColor="text1"/>
          <w:sz w:val="24"/>
          <w:szCs w:val="24"/>
        </w:rPr>
        <w:t>nimals are</w:t>
      </w:r>
      <w:r w:rsidR="2CBA0E0C"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only included if they are</w:t>
      </w:r>
      <w:r w:rsidR="0D3056E8"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kept in captivity.</w:t>
      </w:r>
      <w:r w:rsidR="69069EAD"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Under s10(2) Criminal</w:t>
      </w:r>
      <w:r w:rsidR="1D8A2DFA"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Damage Act 1971,</w:t>
      </w:r>
      <w:r w:rsidR="33F1ED78"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property "belongs" to any</w:t>
      </w:r>
      <w:r w:rsidR="0489B5DD"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person having: custody</w:t>
      </w:r>
      <w:r w:rsidR="443053BC"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or control of it, a</w:t>
      </w:r>
      <w:r w:rsidR="3D89409E"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proprietary right or</w:t>
      </w:r>
      <w:r w:rsidR="61DD6C7B"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interest in it, or</w:t>
      </w:r>
      <w:r w:rsidR="7B684466"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a charge</w:t>
      </w:r>
      <w:r w:rsidR="21F83610"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on in".</w:t>
      </w:r>
      <w:r w:rsidR="011F175C"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Belonging to</w:t>
      </w:r>
      <w:r w:rsidR="48493167"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Another Under s5 Criminal Damage Act 1971, D</w:t>
      </w:r>
      <w:r w:rsidR="6A6D944E"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will have a lawful excuse for criminal</w:t>
      </w:r>
      <w:r w:rsidR="04EF44C3"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damage if:</w:t>
      </w:r>
      <w:r w:rsidR="585E916D"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They believe they have, or would</w:t>
      </w:r>
      <w:r w:rsidR="345CBD66"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have, the</w:t>
      </w:r>
      <w:r w:rsidR="2247678D"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consent of the person to</w:t>
      </w:r>
      <w:r w:rsidR="775C5020"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whom the property belongs</w:t>
      </w:r>
      <w:r w:rsidR="7501AE02" w:rsidRPr="141BE979">
        <w:rPr>
          <w:rFonts w:ascii="Times New Roman" w:eastAsia="Times New Roman" w:hAnsi="Times New Roman" w:cs="Times New Roman"/>
          <w:color w:val="000000" w:themeColor="text1"/>
          <w:sz w:val="24"/>
          <w:szCs w:val="24"/>
        </w:rPr>
        <w:t>. D is a</w:t>
      </w:r>
      <w:r w:rsidRPr="141BE979">
        <w:rPr>
          <w:rFonts w:ascii="Times New Roman" w:eastAsia="Times New Roman" w:hAnsi="Times New Roman" w:cs="Times New Roman"/>
          <w:color w:val="000000" w:themeColor="text1"/>
          <w:sz w:val="24"/>
          <w:szCs w:val="24"/>
        </w:rPr>
        <w:t>cting</w:t>
      </w:r>
      <w:r w:rsidR="6E0C609C"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unlawfully</w:t>
      </w:r>
      <w:r w:rsidR="19083D93" w:rsidRPr="141BE979">
        <w:rPr>
          <w:rFonts w:ascii="Times New Roman" w:eastAsia="Times New Roman" w:hAnsi="Times New Roman" w:cs="Times New Roman"/>
          <w:color w:val="000000" w:themeColor="text1"/>
          <w:sz w:val="24"/>
          <w:szCs w:val="24"/>
        </w:rPr>
        <w:t xml:space="preserve"> if they</w:t>
      </w:r>
      <w:r w:rsidRPr="141BE979">
        <w:rPr>
          <w:rFonts w:ascii="Times New Roman" w:eastAsia="Times New Roman" w:hAnsi="Times New Roman" w:cs="Times New Roman"/>
          <w:color w:val="000000" w:themeColor="text1"/>
          <w:sz w:val="24"/>
          <w:szCs w:val="24"/>
        </w:rPr>
        <w:t xml:space="preserve"> believe that there is an</w:t>
      </w:r>
      <w:r w:rsidR="48A7BA3C"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immediate necessity to protect their</w:t>
      </w:r>
      <w:r w:rsidR="5BB31FB4"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own property.</w:t>
      </w:r>
      <w:r w:rsidR="0F640E31"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Section 5(3) makes it clear that the belief</w:t>
      </w:r>
      <w:r w:rsidR="633ECB26"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is subjective and must be honestly held</w:t>
      </w:r>
      <w:r>
        <w:br/>
      </w:r>
      <w:r>
        <w:br/>
      </w:r>
      <w:proofErr w:type="spellStart"/>
      <w:r w:rsidRPr="141BE979">
        <w:rPr>
          <w:rFonts w:ascii="Times New Roman" w:eastAsia="Times New Roman" w:hAnsi="Times New Roman" w:cs="Times New Roman"/>
          <w:color w:val="000000" w:themeColor="text1"/>
          <w:sz w:val="24"/>
          <w:szCs w:val="24"/>
        </w:rPr>
        <w:t>Mens</w:t>
      </w:r>
      <w:proofErr w:type="spellEnd"/>
      <w:r w:rsidRPr="141BE979">
        <w:rPr>
          <w:rFonts w:ascii="Times New Roman" w:eastAsia="Times New Roman" w:hAnsi="Times New Roman" w:cs="Times New Roman"/>
          <w:color w:val="000000" w:themeColor="text1"/>
          <w:sz w:val="24"/>
          <w:szCs w:val="24"/>
        </w:rPr>
        <w:t xml:space="preserve"> Rea</w:t>
      </w:r>
      <w:r w:rsidR="3F3E8EB4" w:rsidRPr="141BE979">
        <w:rPr>
          <w:rFonts w:ascii="Times New Roman" w:eastAsia="Times New Roman" w:hAnsi="Times New Roman" w:cs="Times New Roman"/>
          <w:color w:val="000000" w:themeColor="text1"/>
          <w:sz w:val="24"/>
          <w:szCs w:val="24"/>
        </w:rPr>
        <w:t xml:space="preserve"> </w:t>
      </w:r>
      <w:proofErr w:type="gramStart"/>
      <w:r w:rsidRPr="141BE979">
        <w:rPr>
          <w:rFonts w:ascii="Times New Roman" w:eastAsia="Times New Roman" w:hAnsi="Times New Roman" w:cs="Times New Roman"/>
          <w:color w:val="000000" w:themeColor="text1"/>
          <w:sz w:val="24"/>
          <w:szCs w:val="24"/>
        </w:rPr>
        <w:t>The</w:t>
      </w:r>
      <w:proofErr w:type="gramEnd"/>
      <w:r w:rsidRPr="141BE979">
        <w:rPr>
          <w:rFonts w:ascii="Times New Roman" w:eastAsia="Times New Roman" w:hAnsi="Times New Roman" w:cs="Times New Roman"/>
          <w:color w:val="000000" w:themeColor="text1"/>
          <w:sz w:val="24"/>
          <w:szCs w:val="24"/>
        </w:rPr>
        <w:t xml:space="preserve"> </w:t>
      </w:r>
      <w:proofErr w:type="spellStart"/>
      <w:r w:rsidRPr="141BE979">
        <w:rPr>
          <w:rFonts w:ascii="Times New Roman" w:eastAsia="Times New Roman" w:hAnsi="Times New Roman" w:cs="Times New Roman"/>
          <w:color w:val="000000" w:themeColor="text1"/>
          <w:sz w:val="24"/>
          <w:szCs w:val="24"/>
        </w:rPr>
        <w:t>mens</w:t>
      </w:r>
      <w:proofErr w:type="spellEnd"/>
      <w:r w:rsidRPr="141BE979">
        <w:rPr>
          <w:rFonts w:ascii="Times New Roman" w:eastAsia="Times New Roman" w:hAnsi="Times New Roman" w:cs="Times New Roman"/>
          <w:color w:val="000000" w:themeColor="text1"/>
          <w:sz w:val="24"/>
          <w:szCs w:val="24"/>
        </w:rPr>
        <w:t xml:space="preserve"> rea is intention or</w:t>
      </w:r>
      <w:r w:rsidR="44CA1CD0"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recklessness to damage or destroy</w:t>
      </w:r>
      <w:r w:rsidR="22CC1ACB"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property belonging to another.</w:t>
      </w:r>
      <w:r w:rsidR="08386AFD"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Recklessness is subjective. The test</w:t>
      </w:r>
      <w:r w:rsidR="79E2D506"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is whether D was aware that there</w:t>
      </w:r>
      <w:r w:rsidR="463EE4F5"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was an</w:t>
      </w:r>
      <w:r w:rsidR="59EF7B0B"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unreasonable risk and</w:t>
      </w:r>
      <w:r w:rsidR="761C530D"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decided to take the risk anyway.</w:t>
      </w:r>
      <w:r w:rsidR="0E29C862" w:rsidRPr="141BE979">
        <w:rPr>
          <w:rFonts w:ascii="Times New Roman" w:eastAsia="Times New Roman" w:hAnsi="Times New Roman" w:cs="Times New Roman"/>
          <w:color w:val="000000" w:themeColor="text1"/>
          <w:sz w:val="24"/>
          <w:szCs w:val="24"/>
        </w:rPr>
        <w:t xml:space="preserve"> </w:t>
      </w:r>
    </w:p>
    <w:p w14:paraId="7856A941" w14:textId="18B6577F" w:rsidR="66417CC3" w:rsidRDefault="66417CC3" w:rsidP="141BE979">
      <w:pPr>
        <w:jc w:val="both"/>
        <w:rPr>
          <w:rFonts w:ascii="Times New Roman" w:eastAsia="Times New Roman" w:hAnsi="Times New Roman" w:cs="Times New Roman"/>
          <w:color w:val="000000" w:themeColor="text1"/>
          <w:sz w:val="24"/>
          <w:szCs w:val="24"/>
        </w:rPr>
      </w:pPr>
      <w:r w:rsidRPr="141BE979">
        <w:rPr>
          <w:rFonts w:ascii="Times New Roman" w:eastAsia="Times New Roman" w:hAnsi="Times New Roman" w:cs="Times New Roman"/>
          <w:color w:val="000000" w:themeColor="text1"/>
          <w:sz w:val="24"/>
          <w:szCs w:val="24"/>
        </w:rPr>
        <w:t>GBH occurs where a defendant inflicts (causes) serious injuries to a victim. S20 of the Offences Against the Person Act 1861 defines the S20 GBH offence as follows: “Whosoever shall unlawfully and maliciously wound or inflict any grievous bodily harm upon any other person</w:t>
      </w:r>
      <w:bookmarkStart w:id="0" w:name="_Int_E2HzScBX"/>
      <w:proofErr w:type="gramStart"/>
      <w:r w:rsidRPr="141BE979">
        <w:rPr>
          <w:rFonts w:ascii="Times New Roman" w:eastAsia="Times New Roman" w:hAnsi="Times New Roman" w:cs="Times New Roman"/>
          <w:color w:val="000000" w:themeColor="text1"/>
          <w:sz w:val="24"/>
          <w:szCs w:val="24"/>
        </w:rPr>
        <w:t>....shall</w:t>
      </w:r>
      <w:bookmarkEnd w:id="0"/>
      <w:proofErr w:type="gramEnd"/>
      <w:r w:rsidRPr="141BE979">
        <w:rPr>
          <w:rFonts w:ascii="Times New Roman" w:eastAsia="Times New Roman" w:hAnsi="Times New Roman" w:cs="Times New Roman"/>
          <w:color w:val="000000" w:themeColor="text1"/>
          <w:sz w:val="24"/>
          <w:szCs w:val="24"/>
        </w:rPr>
        <w:t xml:space="preserve"> be guilty of an offence</w:t>
      </w:r>
      <w:bookmarkStart w:id="1" w:name="_Int_FmSujG5g"/>
      <w:r w:rsidRPr="141BE979">
        <w:rPr>
          <w:rFonts w:ascii="Times New Roman" w:eastAsia="Times New Roman" w:hAnsi="Times New Roman" w:cs="Times New Roman"/>
          <w:color w:val="000000" w:themeColor="text1"/>
          <w:sz w:val="24"/>
          <w:szCs w:val="24"/>
        </w:rPr>
        <w:t>...”It</w:t>
      </w:r>
      <w:bookmarkEnd w:id="1"/>
      <w:r w:rsidRPr="141BE979">
        <w:rPr>
          <w:rFonts w:ascii="Times New Roman" w:eastAsia="Times New Roman" w:hAnsi="Times New Roman" w:cs="Times New Roman"/>
          <w:color w:val="000000" w:themeColor="text1"/>
          <w:sz w:val="24"/>
          <w:szCs w:val="24"/>
        </w:rPr>
        <w:t xml:space="preserve"> is an either-way </w:t>
      </w:r>
      <w:r w:rsidR="4D94A8BE" w:rsidRPr="141BE979">
        <w:rPr>
          <w:rFonts w:ascii="Times New Roman" w:eastAsia="Times New Roman" w:hAnsi="Times New Roman" w:cs="Times New Roman"/>
          <w:color w:val="000000" w:themeColor="text1"/>
          <w:sz w:val="24"/>
          <w:szCs w:val="24"/>
        </w:rPr>
        <w:t>offence and</w:t>
      </w:r>
      <w:r w:rsidRPr="141BE979">
        <w:rPr>
          <w:rFonts w:ascii="Times New Roman" w:eastAsia="Times New Roman" w:hAnsi="Times New Roman" w:cs="Times New Roman"/>
          <w:color w:val="000000" w:themeColor="text1"/>
          <w:sz w:val="24"/>
          <w:szCs w:val="24"/>
        </w:rPr>
        <w:t xml:space="preserve"> carries a maximum sentence of 5 years imprisonment. 1.Actus reus for s20 GBH The actus </w:t>
      </w:r>
      <w:r w:rsidR="414EE128" w:rsidRPr="141BE979">
        <w:rPr>
          <w:rFonts w:ascii="Times New Roman" w:eastAsia="Times New Roman" w:hAnsi="Times New Roman" w:cs="Times New Roman"/>
          <w:color w:val="000000" w:themeColor="text1"/>
          <w:sz w:val="24"/>
          <w:szCs w:val="24"/>
        </w:rPr>
        <w:t>Reus for</w:t>
      </w:r>
      <w:r w:rsidRPr="141BE979">
        <w:rPr>
          <w:rFonts w:ascii="Times New Roman" w:eastAsia="Times New Roman" w:hAnsi="Times New Roman" w:cs="Times New Roman"/>
          <w:color w:val="000000" w:themeColor="text1"/>
          <w:sz w:val="24"/>
          <w:szCs w:val="24"/>
        </w:rPr>
        <w:t xml:space="preserve"> s20 GBH is that the defendant must: </w:t>
      </w:r>
      <w:r w:rsidR="0AC8F305" w:rsidRPr="141BE979">
        <w:rPr>
          <w:rFonts w:ascii="Times New Roman" w:eastAsia="Times New Roman" w:hAnsi="Times New Roman" w:cs="Times New Roman"/>
          <w:color w:val="000000" w:themeColor="text1"/>
          <w:sz w:val="24"/>
          <w:szCs w:val="24"/>
        </w:rPr>
        <w:t>u</w:t>
      </w:r>
      <w:r w:rsidRPr="141BE979">
        <w:rPr>
          <w:rFonts w:ascii="Times New Roman" w:eastAsia="Times New Roman" w:hAnsi="Times New Roman" w:cs="Times New Roman"/>
          <w:color w:val="000000" w:themeColor="text1"/>
          <w:sz w:val="24"/>
          <w:szCs w:val="24"/>
        </w:rPr>
        <w:t>nlawfully</w:t>
      </w:r>
      <w:r w:rsidR="6DFDA2AB" w:rsidRPr="141BE979">
        <w:rPr>
          <w:rFonts w:ascii="Times New Roman" w:eastAsia="Times New Roman" w:hAnsi="Times New Roman" w:cs="Times New Roman"/>
          <w:color w:val="000000" w:themeColor="text1"/>
          <w:sz w:val="24"/>
          <w:szCs w:val="24"/>
        </w:rPr>
        <w:t xml:space="preserve">, </w:t>
      </w:r>
      <w:r w:rsidR="5EF8EDDA" w:rsidRPr="141BE979">
        <w:rPr>
          <w:rFonts w:ascii="Times New Roman" w:eastAsia="Times New Roman" w:hAnsi="Times New Roman" w:cs="Times New Roman"/>
          <w:color w:val="000000" w:themeColor="text1"/>
          <w:sz w:val="24"/>
          <w:szCs w:val="24"/>
        </w:rPr>
        <w:t>w</w:t>
      </w:r>
      <w:r w:rsidRPr="141BE979">
        <w:rPr>
          <w:rFonts w:ascii="Times New Roman" w:eastAsia="Times New Roman" w:hAnsi="Times New Roman" w:cs="Times New Roman"/>
          <w:color w:val="000000" w:themeColor="text1"/>
          <w:sz w:val="24"/>
          <w:szCs w:val="24"/>
        </w:rPr>
        <w:t>ound</w:t>
      </w:r>
      <w:r w:rsidR="219F5497"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or inflict GBH</w:t>
      </w:r>
      <w:r w:rsidR="344999E3"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 xml:space="preserve">on the </w:t>
      </w:r>
      <w:r w:rsidR="36BBFE07" w:rsidRPr="141BE979">
        <w:rPr>
          <w:rFonts w:ascii="Times New Roman" w:eastAsia="Times New Roman" w:hAnsi="Times New Roman" w:cs="Times New Roman"/>
          <w:color w:val="000000" w:themeColor="text1"/>
          <w:sz w:val="24"/>
          <w:szCs w:val="24"/>
        </w:rPr>
        <w:t>victim. The</w:t>
      </w:r>
      <w:r w:rsidRPr="141BE979">
        <w:rPr>
          <w:rFonts w:ascii="Times New Roman" w:eastAsia="Times New Roman" w:hAnsi="Times New Roman" w:cs="Times New Roman"/>
          <w:color w:val="000000" w:themeColor="text1"/>
          <w:sz w:val="24"/>
          <w:szCs w:val="24"/>
        </w:rPr>
        <w:t xml:space="preserve"> first point to note </w:t>
      </w:r>
      <w:r w:rsidR="3CDA93EC" w:rsidRPr="141BE979">
        <w:rPr>
          <w:rFonts w:ascii="Times New Roman" w:eastAsia="Times New Roman" w:hAnsi="Times New Roman" w:cs="Times New Roman"/>
          <w:color w:val="000000" w:themeColor="text1"/>
          <w:sz w:val="24"/>
          <w:szCs w:val="24"/>
        </w:rPr>
        <w:t>is that</w:t>
      </w:r>
      <w:r w:rsidRPr="141BE979">
        <w:rPr>
          <w:rFonts w:ascii="Times New Roman" w:eastAsia="Times New Roman" w:hAnsi="Times New Roman" w:cs="Times New Roman"/>
          <w:color w:val="000000" w:themeColor="text1"/>
          <w:sz w:val="24"/>
          <w:szCs w:val="24"/>
        </w:rPr>
        <w:t xml:space="preserve"> the defendant must inflict (or </w:t>
      </w:r>
      <w:r w:rsidR="18828896" w:rsidRPr="141BE979">
        <w:rPr>
          <w:rFonts w:ascii="Times New Roman" w:eastAsia="Times New Roman" w:hAnsi="Times New Roman" w:cs="Times New Roman"/>
          <w:color w:val="000000" w:themeColor="text1"/>
          <w:sz w:val="24"/>
          <w:szCs w:val="24"/>
        </w:rPr>
        <w:t>cause) the</w:t>
      </w:r>
      <w:r w:rsidRPr="141BE979">
        <w:rPr>
          <w:rFonts w:ascii="Times New Roman" w:eastAsia="Times New Roman" w:hAnsi="Times New Roman" w:cs="Times New Roman"/>
          <w:color w:val="000000" w:themeColor="text1"/>
          <w:sz w:val="24"/>
          <w:szCs w:val="24"/>
        </w:rPr>
        <w:t xml:space="preserve"> </w:t>
      </w:r>
      <w:r w:rsidR="1BEA3AD4" w:rsidRPr="141BE979">
        <w:rPr>
          <w:rFonts w:ascii="Times New Roman" w:eastAsia="Times New Roman" w:hAnsi="Times New Roman" w:cs="Times New Roman"/>
          <w:color w:val="000000" w:themeColor="text1"/>
          <w:sz w:val="24"/>
          <w:szCs w:val="24"/>
        </w:rPr>
        <w:t>injury (</w:t>
      </w:r>
      <w:r w:rsidRPr="141BE979">
        <w:rPr>
          <w:rFonts w:ascii="Times New Roman" w:eastAsia="Times New Roman" w:hAnsi="Times New Roman" w:cs="Times New Roman"/>
          <w:color w:val="000000" w:themeColor="text1"/>
          <w:sz w:val="24"/>
          <w:szCs w:val="24"/>
        </w:rPr>
        <w:t>as described in R v Lewis and R v Burstow). The second point to note is that there must be either a wound or GBH</w:t>
      </w:r>
      <w:r w:rsidR="5A19DD01" w:rsidRPr="141BE979">
        <w:rPr>
          <w:rFonts w:ascii="Times New Roman" w:eastAsia="Times New Roman" w:hAnsi="Times New Roman" w:cs="Times New Roman"/>
          <w:color w:val="000000" w:themeColor="text1"/>
          <w:sz w:val="24"/>
          <w:szCs w:val="24"/>
        </w:rPr>
        <w:t>.</w:t>
      </w:r>
      <w:r w:rsidR="4B91DE43"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Wounding</w:t>
      </w:r>
      <w:r w:rsidR="65877027"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 xml:space="preserve">just means there must </w:t>
      </w:r>
      <w:r w:rsidRPr="141BE979">
        <w:rPr>
          <w:rFonts w:ascii="Times New Roman" w:eastAsia="Times New Roman" w:hAnsi="Times New Roman" w:cs="Times New Roman"/>
          <w:color w:val="000000" w:themeColor="text1"/>
          <w:sz w:val="24"/>
          <w:szCs w:val="24"/>
        </w:rPr>
        <w:lastRenderedPageBreak/>
        <w:t xml:space="preserve">be a break in the surface of the skin. This was clear from the case of JCC v Eisenhower. In this case, the victim was hit by an </w:t>
      </w:r>
      <w:r w:rsidR="1B38BE33" w:rsidRPr="141BE979">
        <w:rPr>
          <w:rFonts w:ascii="Times New Roman" w:eastAsia="Times New Roman" w:hAnsi="Times New Roman" w:cs="Times New Roman"/>
          <w:color w:val="000000" w:themeColor="text1"/>
          <w:sz w:val="24"/>
          <w:szCs w:val="24"/>
        </w:rPr>
        <w:t>air gun</w:t>
      </w:r>
      <w:r w:rsidRPr="141BE979">
        <w:rPr>
          <w:rFonts w:ascii="Times New Roman" w:eastAsia="Times New Roman" w:hAnsi="Times New Roman" w:cs="Times New Roman"/>
          <w:color w:val="000000" w:themeColor="text1"/>
          <w:sz w:val="24"/>
          <w:szCs w:val="24"/>
        </w:rPr>
        <w:t xml:space="preserve"> pellet in the eye and suffered bruising and</w:t>
      </w:r>
      <w:r w:rsidR="48CA710B"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internal</w:t>
      </w:r>
      <w:r w:rsidR="19DB14B4"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bleeding</w:t>
      </w:r>
      <w:r w:rsidR="604439C8"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(not external bleeding). There was accordingly no “wound” as there was no break in skin. •Alternatively, GBH can also occur if the defendant causes other “grievous” injuries</w:t>
      </w:r>
      <w:r w:rsidR="7816010A"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to the victim. Grievous just means “serious”</w:t>
      </w:r>
      <w:r w:rsidR="11DEB6F6"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 xml:space="preserve">injuries (R v </w:t>
      </w:r>
      <w:proofErr w:type="spellStart"/>
      <w:r w:rsidRPr="141BE979">
        <w:rPr>
          <w:rFonts w:ascii="Times New Roman" w:eastAsia="Times New Roman" w:hAnsi="Times New Roman" w:cs="Times New Roman"/>
          <w:color w:val="000000" w:themeColor="text1"/>
          <w:sz w:val="24"/>
          <w:szCs w:val="24"/>
        </w:rPr>
        <w:t>Mowatt</w:t>
      </w:r>
      <w:proofErr w:type="spellEnd"/>
      <w:r w:rsidRPr="141BE979">
        <w:rPr>
          <w:rFonts w:ascii="Times New Roman" w:eastAsia="Times New Roman" w:hAnsi="Times New Roman" w:cs="Times New Roman"/>
          <w:color w:val="000000" w:themeColor="text1"/>
          <w:sz w:val="24"/>
          <w:szCs w:val="24"/>
        </w:rPr>
        <w:t xml:space="preserve">; Saunders). In the past, examples of GBH have included injuries such as: </w:t>
      </w:r>
      <w:r w:rsidR="221E0825" w:rsidRPr="141BE979">
        <w:rPr>
          <w:rFonts w:ascii="Times New Roman" w:eastAsia="Times New Roman" w:hAnsi="Times New Roman" w:cs="Times New Roman"/>
          <w:color w:val="000000" w:themeColor="text1"/>
          <w:sz w:val="24"/>
          <w:szCs w:val="24"/>
        </w:rPr>
        <w:t>permanent</w:t>
      </w:r>
      <w:r w:rsidRPr="141BE979">
        <w:rPr>
          <w:rFonts w:ascii="Times New Roman" w:eastAsia="Times New Roman" w:hAnsi="Times New Roman" w:cs="Times New Roman"/>
          <w:color w:val="000000" w:themeColor="text1"/>
          <w:sz w:val="24"/>
          <w:szCs w:val="24"/>
        </w:rPr>
        <w:t xml:space="preserve"> </w:t>
      </w:r>
      <w:r w:rsidR="7F82CF9F" w:rsidRPr="141BE979">
        <w:rPr>
          <w:rFonts w:ascii="Times New Roman" w:eastAsia="Times New Roman" w:hAnsi="Times New Roman" w:cs="Times New Roman"/>
          <w:color w:val="000000" w:themeColor="text1"/>
          <w:sz w:val="24"/>
          <w:szCs w:val="24"/>
        </w:rPr>
        <w:t>disfigurement (</w:t>
      </w:r>
      <w:r w:rsidRPr="141BE979">
        <w:rPr>
          <w:rFonts w:ascii="Times New Roman" w:eastAsia="Times New Roman" w:hAnsi="Times New Roman" w:cs="Times New Roman"/>
          <w:color w:val="000000" w:themeColor="text1"/>
          <w:sz w:val="24"/>
          <w:szCs w:val="24"/>
        </w:rPr>
        <w:t>such as in the Katie Pipe</w:t>
      </w:r>
      <w:r w:rsidR="6E43C418" w:rsidRPr="141BE979">
        <w:rPr>
          <w:rFonts w:ascii="Times New Roman" w:eastAsia="Times New Roman" w:hAnsi="Times New Roman" w:cs="Times New Roman"/>
          <w:color w:val="000000" w:themeColor="text1"/>
          <w:sz w:val="24"/>
          <w:szCs w:val="24"/>
        </w:rPr>
        <w:t xml:space="preserve"> </w:t>
      </w:r>
      <w:proofErr w:type="spellStart"/>
      <w:r w:rsidRPr="141BE979">
        <w:rPr>
          <w:rFonts w:ascii="Times New Roman" w:eastAsia="Times New Roman" w:hAnsi="Times New Roman" w:cs="Times New Roman"/>
          <w:color w:val="000000" w:themeColor="text1"/>
          <w:sz w:val="24"/>
          <w:szCs w:val="24"/>
        </w:rPr>
        <w:t>racid</w:t>
      </w:r>
      <w:proofErr w:type="spellEnd"/>
      <w:r w:rsidRPr="141BE979">
        <w:rPr>
          <w:rFonts w:ascii="Times New Roman" w:eastAsia="Times New Roman" w:hAnsi="Times New Roman" w:cs="Times New Roman"/>
          <w:color w:val="000000" w:themeColor="text1"/>
          <w:sz w:val="24"/>
          <w:szCs w:val="24"/>
        </w:rPr>
        <w:t xml:space="preserve"> attack case</w:t>
      </w:r>
      <w:r w:rsidR="41E055DB" w:rsidRPr="141BE979">
        <w:rPr>
          <w:rFonts w:ascii="Times New Roman" w:eastAsia="Times New Roman" w:hAnsi="Times New Roman" w:cs="Times New Roman"/>
          <w:color w:val="000000" w:themeColor="text1"/>
          <w:sz w:val="24"/>
          <w:szCs w:val="24"/>
        </w:rPr>
        <w:t>); transmission</w:t>
      </w:r>
      <w:r w:rsidRPr="141BE979">
        <w:rPr>
          <w:rFonts w:ascii="Times New Roman" w:eastAsia="Times New Roman" w:hAnsi="Times New Roman" w:cs="Times New Roman"/>
          <w:color w:val="000000" w:themeColor="text1"/>
          <w:sz w:val="24"/>
          <w:szCs w:val="24"/>
        </w:rPr>
        <w:t xml:space="preserve"> of diseases (such as in R v </w:t>
      </w:r>
      <w:proofErr w:type="spellStart"/>
      <w:r w:rsidRPr="141BE979">
        <w:rPr>
          <w:rFonts w:ascii="Times New Roman" w:eastAsia="Times New Roman" w:hAnsi="Times New Roman" w:cs="Times New Roman"/>
          <w:color w:val="000000" w:themeColor="text1"/>
          <w:sz w:val="24"/>
          <w:szCs w:val="24"/>
        </w:rPr>
        <w:t>Dicawhere</w:t>
      </w:r>
      <w:proofErr w:type="spellEnd"/>
      <w:r w:rsidRPr="141BE979">
        <w:rPr>
          <w:rFonts w:ascii="Times New Roman" w:eastAsia="Times New Roman" w:hAnsi="Times New Roman" w:cs="Times New Roman"/>
          <w:color w:val="000000" w:themeColor="text1"/>
          <w:sz w:val="24"/>
          <w:szCs w:val="24"/>
        </w:rPr>
        <w:t xml:space="preserve"> the defendant recklessly transmitted HIV); </w:t>
      </w:r>
      <w:r w:rsidR="0066653F" w:rsidRPr="141BE979">
        <w:rPr>
          <w:rFonts w:ascii="Times New Roman" w:eastAsia="Times New Roman" w:hAnsi="Times New Roman" w:cs="Times New Roman"/>
          <w:color w:val="000000" w:themeColor="text1"/>
          <w:sz w:val="24"/>
          <w:szCs w:val="24"/>
        </w:rPr>
        <w:t>causing</w:t>
      </w:r>
      <w:r w:rsidRPr="141BE979">
        <w:rPr>
          <w:rFonts w:ascii="Times New Roman" w:eastAsia="Times New Roman" w:hAnsi="Times New Roman" w:cs="Times New Roman"/>
          <w:color w:val="000000" w:themeColor="text1"/>
          <w:sz w:val="24"/>
          <w:szCs w:val="24"/>
        </w:rPr>
        <w:t xml:space="preserve"> broken bones; </w:t>
      </w:r>
      <w:r w:rsidR="6197DA4D" w:rsidRPr="141BE979">
        <w:rPr>
          <w:rFonts w:ascii="Times New Roman" w:eastAsia="Times New Roman" w:hAnsi="Times New Roman" w:cs="Times New Roman"/>
          <w:color w:val="000000" w:themeColor="text1"/>
          <w:sz w:val="24"/>
          <w:szCs w:val="24"/>
        </w:rPr>
        <w:t>permanent</w:t>
      </w:r>
      <w:r w:rsidRPr="141BE979">
        <w:rPr>
          <w:rFonts w:ascii="Times New Roman" w:eastAsia="Times New Roman" w:hAnsi="Times New Roman" w:cs="Times New Roman"/>
          <w:color w:val="000000" w:themeColor="text1"/>
          <w:sz w:val="24"/>
          <w:szCs w:val="24"/>
        </w:rPr>
        <w:t xml:space="preserve"> disability such as deafness or blindness; or </w:t>
      </w:r>
      <w:r w:rsidR="1D221B65" w:rsidRPr="141BE979">
        <w:rPr>
          <w:rFonts w:ascii="Times New Roman" w:eastAsia="Times New Roman" w:hAnsi="Times New Roman" w:cs="Times New Roman"/>
          <w:color w:val="000000" w:themeColor="text1"/>
          <w:sz w:val="24"/>
          <w:szCs w:val="24"/>
        </w:rPr>
        <w:t>serious</w:t>
      </w:r>
      <w:r w:rsidRPr="141BE979">
        <w:rPr>
          <w:rFonts w:ascii="Times New Roman" w:eastAsia="Times New Roman" w:hAnsi="Times New Roman" w:cs="Times New Roman"/>
          <w:color w:val="000000" w:themeColor="text1"/>
          <w:sz w:val="24"/>
          <w:szCs w:val="24"/>
        </w:rPr>
        <w:t xml:space="preserve"> mental </w:t>
      </w:r>
      <w:r w:rsidR="07D4BB4B" w:rsidRPr="141BE979">
        <w:rPr>
          <w:rFonts w:ascii="Times New Roman" w:eastAsia="Times New Roman" w:hAnsi="Times New Roman" w:cs="Times New Roman"/>
          <w:color w:val="000000" w:themeColor="text1"/>
          <w:sz w:val="24"/>
          <w:szCs w:val="24"/>
        </w:rPr>
        <w:t>injury (</w:t>
      </w:r>
      <w:r w:rsidRPr="141BE979">
        <w:rPr>
          <w:rFonts w:ascii="Times New Roman" w:eastAsia="Times New Roman" w:hAnsi="Times New Roman" w:cs="Times New Roman"/>
          <w:color w:val="000000" w:themeColor="text1"/>
          <w:sz w:val="24"/>
          <w:szCs w:val="24"/>
        </w:rPr>
        <w:t>such as in R v Burstow).When determining whether GBH has been committed, there are 2 important points to consider: •What counts as GBH may vary depending on age:</w:t>
      </w:r>
      <w:r w:rsidR="19FF24D5"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 xml:space="preserve">In R v </w:t>
      </w:r>
      <w:proofErr w:type="spellStart"/>
      <w:r w:rsidRPr="141BE979">
        <w:rPr>
          <w:rFonts w:ascii="Times New Roman" w:eastAsia="Times New Roman" w:hAnsi="Times New Roman" w:cs="Times New Roman"/>
          <w:color w:val="000000" w:themeColor="text1"/>
          <w:sz w:val="24"/>
          <w:szCs w:val="24"/>
        </w:rPr>
        <w:t>Bollom</w:t>
      </w:r>
      <w:proofErr w:type="spellEnd"/>
      <w:r w:rsidRPr="141BE979">
        <w:rPr>
          <w:rFonts w:ascii="Times New Roman" w:eastAsia="Times New Roman" w:hAnsi="Times New Roman" w:cs="Times New Roman"/>
          <w:color w:val="000000" w:themeColor="text1"/>
          <w:sz w:val="24"/>
          <w:szCs w:val="24"/>
        </w:rPr>
        <w:t xml:space="preserve">, the defendant inflicted injuries (bruises and abrasions) on his girlfriend’s </w:t>
      </w:r>
      <w:r w:rsidR="7788C7A8" w:rsidRPr="141BE979">
        <w:rPr>
          <w:rFonts w:ascii="Times New Roman" w:eastAsia="Times New Roman" w:hAnsi="Times New Roman" w:cs="Times New Roman"/>
          <w:color w:val="000000" w:themeColor="text1"/>
          <w:sz w:val="24"/>
          <w:szCs w:val="24"/>
        </w:rPr>
        <w:t>17-month-old</w:t>
      </w:r>
      <w:r w:rsidRPr="141BE979">
        <w:rPr>
          <w:rFonts w:ascii="Times New Roman" w:eastAsia="Times New Roman" w:hAnsi="Times New Roman" w:cs="Times New Roman"/>
          <w:color w:val="000000" w:themeColor="text1"/>
          <w:sz w:val="24"/>
          <w:szCs w:val="24"/>
        </w:rPr>
        <w:t xml:space="preserve"> daughter. GBH is defined as “really serious harm”. The court held bruising might not be considered serious harm on a healthy adult, but it could potentially be much more serious on a vulnerable baby or elderly person. •A group of ABH injuries can count as GBH when considered all together</w:t>
      </w:r>
      <w:r w:rsidR="61A05AA2"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 xml:space="preserve">In Brown and </w:t>
      </w:r>
      <w:r w:rsidR="32D9179D" w:rsidRPr="141BE979">
        <w:rPr>
          <w:rFonts w:ascii="Times New Roman" w:eastAsia="Times New Roman" w:hAnsi="Times New Roman" w:cs="Times New Roman"/>
          <w:color w:val="000000" w:themeColor="text1"/>
          <w:sz w:val="24"/>
          <w:szCs w:val="24"/>
        </w:rPr>
        <w:t>Stratton, the</w:t>
      </w:r>
      <w:r w:rsidRPr="141BE979">
        <w:rPr>
          <w:rFonts w:ascii="Times New Roman" w:eastAsia="Times New Roman" w:hAnsi="Times New Roman" w:cs="Times New Roman"/>
          <w:color w:val="000000" w:themeColor="text1"/>
          <w:sz w:val="24"/>
          <w:szCs w:val="24"/>
        </w:rPr>
        <w:t xml:space="preserve"> defendants attacked their transgender relative. The victim sustained bruising, loss of teeth, a broken nose and concussion. GBH is about really “serious”</w:t>
      </w:r>
      <w:r w:rsidR="2A1C5E17"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injury. Taken individually, each of the victim’s injuries would be more likely to constitute ABH rather than GBH. However, the court stated that the victim’s injuries should be viewed overall as a whole. Taken altogether, the victim’s injuries (a collection of ABH injuries) accordingly could amount to GBH.</w:t>
      </w:r>
      <w:r w:rsidR="1D24A9A1"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The final point to note is that the defendant must be acting ‘unlawfully’</w:t>
      </w:r>
      <w:r w:rsidR="1155F08C" w:rsidRPr="141BE979">
        <w:rPr>
          <w:rFonts w:ascii="Times New Roman" w:eastAsia="Times New Roman" w:hAnsi="Times New Roman" w:cs="Times New Roman"/>
          <w:color w:val="000000" w:themeColor="text1"/>
          <w:sz w:val="24"/>
          <w:szCs w:val="24"/>
        </w:rPr>
        <w:t xml:space="preserve">. </w:t>
      </w:r>
      <w:r w:rsidRPr="141BE979">
        <w:rPr>
          <w:rFonts w:ascii="Times New Roman" w:eastAsia="Times New Roman" w:hAnsi="Times New Roman" w:cs="Times New Roman"/>
          <w:color w:val="000000" w:themeColor="text1"/>
          <w:sz w:val="24"/>
          <w:szCs w:val="24"/>
        </w:rPr>
        <w:t xml:space="preserve">In this regard, it should be noted that consent is not a valid </w:t>
      </w:r>
      <w:r w:rsidR="5B761CCD" w:rsidRPr="141BE979">
        <w:rPr>
          <w:rFonts w:ascii="Times New Roman" w:eastAsia="Times New Roman" w:hAnsi="Times New Roman" w:cs="Times New Roman"/>
          <w:color w:val="000000" w:themeColor="text1"/>
          <w:sz w:val="24"/>
          <w:szCs w:val="24"/>
        </w:rPr>
        <w:t>defense</w:t>
      </w:r>
      <w:r w:rsidRPr="141BE979">
        <w:rPr>
          <w:rFonts w:ascii="Times New Roman" w:eastAsia="Times New Roman" w:hAnsi="Times New Roman" w:cs="Times New Roman"/>
          <w:color w:val="000000" w:themeColor="text1"/>
          <w:sz w:val="24"/>
          <w:szCs w:val="24"/>
        </w:rPr>
        <w:t xml:space="preserve"> for GBH. For example, in R v Brown, it was held that consent was not a </w:t>
      </w:r>
      <w:r w:rsidR="5423A98C" w:rsidRPr="141BE979">
        <w:rPr>
          <w:rFonts w:ascii="Times New Roman" w:eastAsia="Times New Roman" w:hAnsi="Times New Roman" w:cs="Times New Roman"/>
          <w:color w:val="000000" w:themeColor="text1"/>
          <w:sz w:val="24"/>
          <w:szCs w:val="24"/>
        </w:rPr>
        <w:t>defense</w:t>
      </w:r>
      <w:r w:rsidRPr="141BE979">
        <w:rPr>
          <w:rFonts w:ascii="Times New Roman" w:eastAsia="Times New Roman" w:hAnsi="Times New Roman" w:cs="Times New Roman"/>
          <w:color w:val="000000" w:themeColor="text1"/>
          <w:sz w:val="24"/>
          <w:szCs w:val="24"/>
        </w:rPr>
        <w:t xml:space="preserve"> to sadomasochistic practices by some homosexual men. The position here is therefore different to that which applies to ABH.</w:t>
      </w:r>
    </w:p>
    <w:p w14:paraId="22AE0836" w14:textId="409ED4EC" w:rsidR="4C9FF257" w:rsidRDefault="4C9FF257" w:rsidP="1D64A439">
      <w:pPr>
        <w:jc w:val="both"/>
        <w:rPr>
          <w:rFonts w:ascii="Times New Roman" w:eastAsia="Times New Roman" w:hAnsi="Times New Roman" w:cs="Times New Roman"/>
          <w:color w:val="000000" w:themeColor="text1"/>
          <w:sz w:val="24"/>
          <w:szCs w:val="24"/>
        </w:rPr>
      </w:pPr>
      <w:r w:rsidRPr="1D64A439">
        <w:rPr>
          <w:rFonts w:ascii="Times New Roman" w:eastAsia="Times New Roman" w:hAnsi="Times New Roman" w:cs="Times New Roman"/>
          <w:color w:val="000000" w:themeColor="text1"/>
          <w:sz w:val="24"/>
          <w:szCs w:val="24"/>
        </w:rPr>
        <w:t xml:space="preserve">Despite the extent and severity of her crimes, there might be a silver lining for </w:t>
      </w:r>
      <w:r w:rsidR="22D598EF" w:rsidRPr="1D64A439">
        <w:rPr>
          <w:rFonts w:ascii="Times New Roman" w:eastAsia="Times New Roman" w:hAnsi="Times New Roman" w:cs="Times New Roman"/>
          <w:color w:val="000000" w:themeColor="text1"/>
          <w:sz w:val="24"/>
          <w:szCs w:val="24"/>
        </w:rPr>
        <w:t>Harriet</w:t>
      </w:r>
      <w:r w:rsidRPr="1D64A439">
        <w:rPr>
          <w:rFonts w:ascii="Times New Roman" w:eastAsia="Times New Roman" w:hAnsi="Times New Roman" w:cs="Times New Roman"/>
          <w:color w:val="000000" w:themeColor="text1"/>
          <w:sz w:val="24"/>
          <w:szCs w:val="24"/>
        </w:rPr>
        <w:t xml:space="preserve">. </w:t>
      </w:r>
      <w:r w:rsidR="2DD02190" w:rsidRPr="1D64A439">
        <w:rPr>
          <w:rFonts w:ascii="Times New Roman" w:eastAsia="Times New Roman" w:hAnsi="Times New Roman" w:cs="Times New Roman"/>
          <w:color w:val="000000" w:themeColor="text1"/>
          <w:sz w:val="24"/>
          <w:szCs w:val="24"/>
        </w:rPr>
        <w:t>Defense</w:t>
      </w:r>
      <w:r w:rsidR="1461A38A" w:rsidRPr="1D64A439">
        <w:rPr>
          <w:rFonts w:ascii="Times New Roman" w:eastAsia="Times New Roman" w:hAnsi="Times New Roman" w:cs="Times New Roman"/>
          <w:color w:val="000000" w:themeColor="text1"/>
          <w:sz w:val="24"/>
          <w:szCs w:val="24"/>
        </w:rPr>
        <w:t xml:space="preserve">s </w:t>
      </w:r>
      <w:r w:rsidR="2DD02190" w:rsidRPr="1D64A439">
        <w:rPr>
          <w:rFonts w:ascii="Times New Roman" w:eastAsia="Times New Roman" w:hAnsi="Times New Roman" w:cs="Times New Roman"/>
          <w:color w:val="000000" w:themeColor="text1"/>
          <w:sz w:val="24"/>
          <w:szCs w:val="24"/>
        </w:rPr>
        <w:t xml:space="preserve">are </w:t>
      </w:r>
      <w:r w:rsidR="0F5DFCA2" w:rsidRPr="1D64A439">
        <w:rPr>
          <w:rFonts w:ascii="Times New Roman" w:eastAsia="Times New Roman" w:hAnsi="Times New Roman" w:cs="Times New Roman"/>
          <w:color w:val="000000" w:themeColor="text1"/>
          <w:sz w:val="24"/>
          <w:szCs w:val="24"/>
        </w:rPr>
        <w:t>rarely</w:t>
      </w:r>
      <w:r w:rsidR="2DD02190" w:rsidRPr="1D64A439">
        <w:rPr>
          <w:rFonts w:ascii="Times New Roman" w:eastAsia="Times New Roman" w:hAnsi="Times New Roman" w:cs="Times New Roman"/>
          <w:color w:val="000000" w:themeColor="text1"/>
          <w:sz w:val="24"/>
          <w:szCs w:val="24"/>
        </w:rPr>
        <w:t xml:space="preserve"> gi</w:t>
      </w:r>
      <w:r w:rsidR="502C159F" w:rsidRPr="1D64A439">
        <w:rPr>
          <w:rFonts w:ascii="Times New Roman" w:eastAsia="Times New Roman" w:hAnsi="Times New Roman" w:cs="Times New Roman"/>
          <w:color w:val="000000" w:themeColor="text1"/>
          <w:sz w:val="24"/>
          <w:szCs w:val="24"/>
        </w:rPr>
        <w:t>v</w:t>
      </w:r>
      <w:r w:rsidR="2DD02190" w:rsidRPr="1D64A439">
        <w:rPr>
          <w:rFonts w:ascii="Times New Roman" w:eastAsia="Times New Roman" w:hAnsi="Times New Roman" w:cs="Times New Roman"/>
          <w:color w:val="000000" w:themeColor="text1"/>
          <w:sz w:val="24"/>
          <w:szCs w:val="24"/>
        </w:rPr>
        <w:t>en out</w:t>
      </w:r>
      <w:r w:rsidR="732FE400" w:rsidRPr="1D64A439">
        <w:rPr>
          <w:rFonts w:ascii="Times New Roman" w:eastAsia="Times New Roman" w:hAnsi="Times New Roman" w:cs="Times New Roman"/>
          <w:color w:val="000000" w:themeColor="text1"/>
          <w:sz w:val="24"/>
          <w:szCs w:val="24"/>
        </w:rPr>
        <w:t xml:space="preserve"> to cases that </w:t>
      </w:r>
      <w:r w:rsidR="4BBF5DD4" w:rsidRPr="1D64A439">
        <w:rPr>
          <w:rFonts w:ascii="Times New Roman" w:eastAsia="Times New Roman" w:hAnsi="Times New Roman" w:cs="Times New Roman"/>
          <w:color w:val="000000" w:themeColor="text1"/>
          <w:sz w:val="24"/>
          <w:szCs w:val="24"/>
        </w:rPr>
        <w:t>aren't</w:t>
      </w:r>
      <w:r w:rsidR="732FE400" w:rsidRPr="1D64A439">
        <w:rPr>
          <w:rFonts w:ascii="Times New Roman" w:eastAsia="Times New Roman" w:hAnsi="Times New Roman" w:cs="Times New Roman"/>
          <w:color w:val="000000" w:themeColor="text1"/>
          <w:sz w:val="24"/>
          <w:szCs w:val="24"/>
        </w:rPr>
        <w:t xml:space="preserve"> murder or </w:t>
      </w:r>
      <w:r w:rsidR="1D703671" w:rsidRPr="1D64A439">
        <w:rPr>
          <w:rFonts w:ascii="Times New Roman" w:eastAsia="Times New Roman" w:hAnsi="Times New Roman" w:cs="Times New Roman"/>
          <w:color w:val="000000" w:themeColor="text1"/>
          <w:sz w:val="24"/>
          <w:szCs w:val="24"/>
        </w:rPr>
        <w:t>manslaughter,</w:t>
      </w:r>
      <w:r w:rsidR="2DD02190" w:rsidRPr="1D64A439">
        <w:rPr>
          <w:rFonts w:ascii="Times New Roman" w:eastAsia="Times New Roman" w:hAnsi="Times New Roman" w:cs="Times New Roman"/>
          <w:color w:val="000000" w:themeColor="text1"/>
          <w:sz w:val="24"/>
          <w:szCs w:val="24"/>
        </w:rPr>
        <w:t xml:space="preserve"> but she could use </w:t>
      </w:r>
      <w:r w:rsidR="3516A4AD" w:rsidRPr="1D64A439">
        <w:rPr>
          <w:rFonts w:ascii="Times New Roman" w:eastAsia="Times New Roman" w:hAnsi="Times New Roman" w:cs="Times New Roman"/>
          <w:color w:val="000000" w:themeColor="text1"/>
          <w:sz w:val="24"/>
          <w:szCs w:val="24"/>
        </w:rPr>
        <w:t>intoxication</w:t>
      </w:r>
      <w:r w:rsidR="2DD02190" w:rsidRPr="1D64A439">
        <w:rPr>
          <w:rFonts w:ascii="Times New Roman" w:eastAsia="Times New Roman" w:hAnsi="Times New Roman" w:cs="Times New Roman"/>
          <w:color w:val="000000" w:themeColor="text1"/>
          <w:sz w:val="24"/>
          <w:szCs w:val="24"/>
        </w:rPr>
        <w:t xml:space="preserve"> as a </w:t>
      </w:r>
      <w:r w:rsidR="6E9CF5FA" w:rsidRPr="1D64A439">
        <w:rPr>
          <w:rFonts w:ascii="Times New Roman" w:eastAsia="Times New Roman" w:hAnsi="Times New Roman" w:cs="Times New Roman"/>
          <w:color w:val="000000" w:themeColor="text1"/>
          <w:sz w:val="24"/>
          <w:szCs w:val="24"/>
        </w:rPr>
        <w:t>defense</w:t>
      </w:r>
      <w:r w:rsidR="517EBB57" w:rsidRPr="1D64A439">
        <w:rPr>
          <w:rFonts w:ascii="Times New Roman" w:eastAsia="Times New Roman" w:hAnsi="Times New Roman" w:cs="Times New Roman"/>
          <w:color w:val="000000" w:themeColor="text1"/>
          <w:sz w:val="24"/>
          <w:szCs w:val="24"/>
        </w:rPr>
        <w:t xml:space="preserve">, as it truly wasn’t her fault that she was in the state she was </w:t>
      </w:r>
      <w:r w:rsidR="0FED3EE1" w:rsidRPr="1D64A439">
        <w:rPr>
          <w:rFonts w:ascii="Times New Roman" w:eastAsia="Times New Roman" w:hAnsi="Times New Roman" w:cs="Times New Roman"/>
          <w:color w:val="000000" w:themeColor="text1"/>
          <w:sz w:val="24"/>
          <w:szCs w:val="24"/>
        </w:rPr>
        <w:t>in,</w:t>
      </w:r>
      <w:r w:rsidR="517EBB57" w:rsidRPr="1D64A439">
        <w:rPr>
          <w:rFonts w:ascii="Times New Roman" w:eastAsia="Times New Roman" w:hAnsi="Times New Roman" w:cs="Times New Roman"/>
          <w:color w:val="000000" w:themeColor="text1"/>
          <w:sz w:val="24"/>
          <w:szCs w:val="24"/>
        </w:rPr>
        <w:t xml:space="preserve"> and she </w:t>
      </w:r>
      <w:r w:rsidR="71FFC7EF" w:rsidRPr="1D64A439">
        <w:rPr>
          <w:rFonts w:ascii="Times New Roman" w:eastAsia="Times New Roman" w:hAnsi="Times New Roman" w:cs="Times New Roman"/>
          <w:color w:val="000000" w:themeColor="text1"/>
          <w:sz w:val="24"/>
          <w:szCs w:val="24"/>
        </w:rPr>
        <w:t xml:space="preserve">was in true fear. For a thorough investigation I would suggest a reasonable </w:t>
      </w:r>
      <w:r w:rsidR="0AFA696E" w:rsidRPr="1D64A439">
        <w:rPr>
          <w:rFonts w:ascii="Times New Roman" w:eastAsia="Times New Roman" w:hAnsi="Times New Roman" w:cs="Times New Roman"/>
          <w:color w:val="000000" w:themeColor="text1"/>
          <w:sz w:val="24"/>
          <w:szCs w:val="24"/>
        </w:rPr>
        <w:t>person's</w:t>
      </w:r>
      <w:r w:rsidR="71FFC7EF" w:rsidRPr="1D64A439">
        <w:rPr>
          <w:rFonts w:ascii="Times New Roman" w:eastAsia="Times New Roman" w:hAnsi="Times New Roman" w:cs="Times New Roman"/>
          <w:color w:val="000000" w:themeColor="text1"/>
          <w:sz w:val="24"/>
          <w:szCs w:val="24"/>
        </w:rPr>
        <w:t xml:space="preserve"> test (would someone exactly like her</w:t>
      </w:r>
      <w:r w:rsidR="6430B3BD" w:rsidRPr="1D64A439">
        <w:rPr>
          <w:rFonts w:ascii="Times New Roman" w:eastAsia="Times New Roman" w:hAnsi="Times New Roman" w:cs="Times New Roman"/>
          <w:color w:val="000000" w:themeColor="text1"/>
          <w:sz w:val="24"/>
          <w:szCs w:val="24"/>
        </w:rPr>
        <w:t xml:space="preserve"> have acted in the same or similar way?)</w:t>
      </w:r>
    </w:p>
    <w:p w14:paraId="17856C8D" w14:textId="09B4A154" w:rsidR="1D64A439" w:rsidRDefault="1D64A439" w:rsidP="1D64A439">
      <w:pPr>
        <w:jc w:val="both"/>
        <w:rPr>
          <w:rFonts w:ascii="Times New Roman" w:eastAsia="Times New Roman" w:hAnsi="Times New Roman" w:cs="Times New Roman"/>
          <w:color w:val="000000" w:themeColor="text1"/>
          <w:sz w:val="24"/>
          <w:szCs w:val="24"/>
        </w:rPr>
      </w:pPr>
    </w:p>
    <w:p w14:paraId="6D6FFB61" w14:textId="7213F4B0" w:rsidR="71CDA608" w:rsidRDefault="71CDA608" w:rsidP="197440C6">
      <w:pPr>
        <w:jc w:val="both"/>
        <w:rPr>
          <w:rFonts w:ascii="Times New Roman" w:eastAsia="Times New Roman" w:hAnsi="Times New Roman" w:cs="Times New Roman"/>
          <w:b/>
          <w:bCs/>
          <w:color w:val="000000" w:themeColor="text1"/>
          <w:sz w:val="32"/>
          <w:szCs w:val="32"/>
          <w:u w:val="single"/>
        </w:rPr>
      </w:pPr>
      <w:r w:rsidRPr="197440C6">
        <w:rPr>
          <w:rFonts w:ascii="Times New Roman" w:eastAsia="Times New Roman" w:hAnsi="Times New Roman" w:cs="Times New Roman"/>
          <w:b/>
          <w:bCs/>
          <w:color w:val="000000" w:themeColor="text1"/>
          <w:sz w:val="32"/>
          <w:szCs w:val="32"/>
          <w:u w:val="single"/>
        </w:rPr>
        <w:t>References</w:t>
      </w:r>
    </w:p>
    <w:p w14:paraId="69364B6E" w14:textId="3355F4A0" w:rsidR="479B8CB2" w:rsidRDefault="004D1BD1" w:rsidP="1D64A439">
      <w:pPr>
        <w:jc w:val="both"/>
        <w:rPr>
          <w:rFonts w:ascii="Times New Roman" w:eastAsia="Times New Roman" w:hAnsi="Times New Roman" w:cs="Times New Roman"/>
          <w:b/>
          <w:bCs/>
          <w:color w:val="000000" w:themeColor="text1"/>
          <w:sz w:val="24"/>
          <w:szCs w:val="24"/>
          <w:u w:val="single"/>
        </w:rPr>
      </w:pPr>
      <w:hyperlink r:id="rId5" w:anchor=":~:text=(1)A%20person%20is%20guilty,steal%E2%80%9D%20shall%20be%20construed%20accordingly">
        <w:r w:rsidR="479B8CB2" w:rsidRPr="1D64A439">
          <w:rPr>
            <w:rStyle w:val="Hyperlink"/>
            <w:rFonts w:ascii="Times New Roman" w:eastAsia="Times New Roman" w:hAnsi="Times New Roman" w:cs="Times New Roman"/>
            <w:b/>
            <w:bCs/>
            <w:sz w:val="24"/>
            <w:szCs w:val="24"/>
          </w:rPr>
          <w:t>https://www.legislation.gov.uk/ukpga/1968/60#:~:text=(1)A%20person%20is%20guilty,steal%E2%80%9D%20shall%20be%20construed%20accordingly</w:t>
        </w:r>
      </w:hyperlink>
      <w:r w:rsidR="479B8CB2" w:rsidRPr="1D64A439">
        <w:rPr>
          <w:rFonts w:ascii="Times New Roman" w:eastAsia="Times New Roman" w:hAnsi="Times New Roman" w:cs="Times New Roman"/>
          <w:b/>
          <w:bCs/>
          <w:color w:val="000000" w:themeColor="text1"/>
          <w:sz w:val="24"/>
          <w:szCs w:val="24"/>
          <w:u w:val="single"/>
        </w:rPr>
        <w:t>.</w:t>
      </w:r>
    </w:p>
    <w:p w14:paraId="23B35469" w14:textId="62BBF929" w:rsidR="479B8CB2" w:rsidRDefault="004D1BD1" w:rsidP="1D64A439">
      <w:pPr>
        <w:jc w:val="both"/>
        <w:rPr>
          <w:sz w:val="24"/>
          <w:szCs w:val="24"/>
        </w:rPr>
      </w:pPr>
      <w:hyperlink r:id="rId6">
        <w:r w:rsidR="479B8CB2" w:rsidRPr="1D64A439">
          <w:rPr>
            <w:rStyle w:val="Hyperlink"/>
            <w:rFonts w:ascii="Times New Roman" w:eastAsia="Times New Roman" w:hAnsi="Times New Roman" w:cs="Times New Roman"/>
            <w:b/>
            <w:bCs/>
            <w:sz w:val="24"/>
            <w:szCs w:val="24"/>
          </w:rPr>
          <w:t>https://www.noblesolicitors.co.uk/about/indepth-theft.html</w:t>
        </w:r>
      </w:hyperlink>
    </w:p>
    <w:p w14:paraId="24BE9FEA" w14:textId="34A186AF" w:rsidR="71DBDF22" w:rsidRDefault="004D1BD1" w:rsidP="1D64A439">
      <w:pPr>
        <w:jc w:val="both"/>
        <w:rPr>
          <w:rFonts w:ascii="Times New Roman" w:eastAsia="Times New Roman" w:hAnsi="Times New Roman" w:cs="Times New Roman"/>
          <w:b/>
          <w:bCs/>
          <w:color w:val="000000" w:themeColor="text1"/>
          <w:sz w:val="24"/>
          <w:szCs w:val="24"/>
          <w:u w:val="single"/>
        </w:rPr>
      </w:pPr>
      <w:hyperlink r:id="rId7" w:anchor=":~:text=The%20Criminal%20Damage%20Act%201971,would%20be%20destroyed%20or%20damaged">
        <w:r w:rsidR="71DBDF22" w:rsidRPr="1D64A439">
          <w:rPr>
            <w:rStyle w:val="Hyperlink"/>
            <w:rFonts w:ascii="Times New Roman" w:eastAsia="Times New Roman" w:hAnsi="Times New Roman" w:cs="Times New Roman"/>
            <w:b/>
            <w:bCs/>
            <w:sz w:val="24"/>
            <w:szCs w:val="24"/>
          </w:rPr>
          <w:t>https://seatons.co.uk/legal-services/criminal-law/criminal-damage-offences/#:~:text=The%20Criminal%20Damage%20Act%201971,would%20be%20destroyed%20or%20damaged</w:t>
        </w:r>
      </w:hyperlink>
      <w:r w:rsidR="71DBDF22" w:rsidRPr="1D64A439">
        <w:rPr>
          <w:rFonts w:ascii="Times New Roman" w:eastAsia="Times New Roman" w:hAnsi="Times New Roman" w:cs="Times New Roman"/>
          <w:b/>
          <w:bCs/>
          <w:color w:val="000000" w:themeColor="text1"/>
          <w:sz w:val="24"/>
          <w:szCs w:val="24"/>
          <w:u w:val="single"/>
        </w:rPr>
        <w:t>.</w:t>
      </w:r>
    </w:p>
    <w:p w14:paraId="4E6B2FD9" w14:textId="1DC45940" w:rsidR="71DBDF22" w:rsidRDefault="004D1BD1" w:rsidP="1D64A439">
      <w:pPr>
        <w:jc w:val="both"/>
        <w:rPr>
          <w:sz w:val="24"/>
          <w:szCs w:val="24"/>
        </w:rPr>
      </w:pPr>
      <w:hyperlink r:id="rId8">
        <w:r w:rsidR="71DBDF22" w:rsidRPr="1D64A439">
          <w:rPr>
            <w:rStyle w:val="Hyperlink"/>
            <w:rFonts w:ascii="Times New Roman" w:eastAsia="Times New Roman" w:hAnsi="Times New Roman" w:cs="Times New Roman"/>
            <w:b/>
            <w:bCs/>
            <w:sz w:val="24"/>
            <w:szCs w:val="24"/>
          </w:rPr>
          <w:t>https://www.legislation.gov.uk/ukpga/1971/48/section/1</w:t>
        </w:r>
      </w:hyperlink>
    </w:p>
    <w:p w14:paraId="2A5420F1" w14:textId="60D49E24" w:rsidR="71DBDF22" w:rsidRDefault="004D1BD1" w:rsidP="1D64A439">
      <w:pPr>
        <w:jc w:val="both"/>
        <w:rPr>
          <w:sz w:val="24"/>
          <w:szCs w:val="24"/>
        </w:rPr>
      </w:pPr>
      <w:hyperlink r:id="rId9">
        <w:r w:rsidR="71DBDF22" w:rsidRPr="1D64A439">
          <w:rPr>
            <w:rStyle w:val="Hyperlink"/>
            <w:rFonts w:ascii="Times New Roman" w:eastAsia="Times New Roman" w:hAnsi="Times New Roman" w:cs="Times New Roman"/>
            <w:b/>
            <w:bCs/>
            <w:sz w:val="24"/>
            <w:szCs w:val="24"/>
          </w:rPr>
          <w:t>https://spartanslaw.co.uk/s20-wounding/</w:t>
        </w:r>
      </w:hyperlink>
    </w:p>
    <w:p w14:paraId="5609F91D" w14:textId="1D506D70" w:rsidR="71DBDF22" w:rsidRDefault="004D1BD1" w:rsidP="1D64A439">
      <w:pPr>
        <w:jc w:val="both"/>
        <w:rPr>
          <w:sz w:val="24"/>
          <w:szCs w:val="24"/>
        </w:rPr>
      </w:pPr>
      <w:hyperlink r:id="rId10">
        <w:r w:rsidR="71DBDF22" w:rsidRPr="1D64A439">
          <w:rPr>
            <w:rStyle w:val="Hyperlink"/>
            <w:rFonts w:ascii="Times New Roman" w:eastAsia="Times New Roman" w:hAnsi="Times New Roman" w:cs="Times New Roman"/>
            <w:b/>
            <w:bCs/>
            <w:sz w:val="24"/>
            <w:szCs w:val="24"/>
          </w:rPr>
          <w:t>https://www.olliers.com/criminal-law/assault-grievous-bodily-harm/</w:t>
        </w:r>
      </w:hyperlink>
    </w:p>
    <w:p w14:paraId="5371A9E5" w14:textId="0EC76E53" w:rsidR="71DBDF22" w:rsidRDefault="004D1BD1" w:rsidP="1D64A439">
      <w:pPr>
        <w:jc w:val="both"/>
        <w:rPr>
          <w:sz w:val="24"/>
          <w:szCs w:val="24"/>
        </w:rPr>
      </w:pPr>
      <w:hyperlink r:id="rId11">
        <w:r w:rsidR="71DBDF22" w:rsidRPr="1D64A439">
          <w:rPr>
            <w:rStyle w:val="Hyperlink"/>
            <w:rFonts w:ascii="Times New Roman" w:eastAsia="Times New Roman" w:hAnsi="Times New Roman" w:cs="Times New Roman"/>
            <w:b/>
            <w:bCs/>
            <w:sz w:val="24"/>
            <w:szCs w:val="24"/>
          </w:rPr>
          <w:t>https://www.sentencingcouncil.org.uk/offences/magistrates-court/item/inflicting-grievous-bodily-harm-unlawful-wounding-racially-or-religiously-aggravated-gbh-unlawful-wounding/</w:t>
        </w:r>
      </w:hyperlink>
    </w:p>
    <w:p w14:paraId="3915CAAE" w14:textId="1A8F9C74" w:rsidR="71DBDF22" w:rsidRDefault="004D1BD1" w:rsidP="1D64A439">
      <w:pPr>
        <w:jc w:val="both"/>
        <w:rPr>
          <w:sz w:val="24"/>
          <w:szCs w:val="24"/>
        </w:rPr>
      </w:pPr>
      <w:hyperlink r:id="rId12">
        <w:r w:rsidR="71DBDF22" w:rsidRPr="1D64A439">
          <w:rPr>
            <w:rStyle w:val="Hyperlink"/>
            <w:rFonts w:ascii="Times New Roman" w:eastAsia="Times New Roman" w:hAnsi="Times New Roman" w:cs="Times New Roman"/>
            <w:b/>
            <w:bCs/>
            <w:sz w:val="24"/>
            <w:szCs w:val="24"/>
          </w:rPr>
          <w:t>https://www.cps.gov.uk/legal-guidance/intoxication</w:t>
        </w:r>
      </w:hyperlink>
    </w:p>
    <w:p w14:paraId="3F683069" w14:textId="7213B032" w:rsidR="71DBDF22" w:rsidRDefault="004D1BD1" w:rsidP="1D64A439">
      <w:pPr>
        <w:jc w:val="both"/>
        <w:rPr>
          <w:sz w:val="24"/>
          <w:szCs w:val="24"/>
        </w:rPr>
      </w:pPr>
      <w:hyperlink r:id="rId13">
        <w:r w:rsidR="71DBDF22" w:rsidRPr="1D64A439">
          <w:rPr>
            <w:rStyle w:val="Hyperlink"/>
            <w:rFonts w:ascii="Times New Roman" w:eastAsia="Times New Roman" w:hAnsi="Times New Roman" w:cs="Times New Roman"/>
            <w:b/>
            <w:bCs/>
            <w:sz w:val="24"/>
            <w:szCs w:val="24"/>
          </w:rPr>
          <w:t>http://www.e-lawresources.co.uk/Intoxication.php</w:t>
        </w:r>
      </w:hyperlink>
    </w:p>
    <w:p w14:paraId="14E1C0A5" w14:textId="0CD6E626" w:rsidR="71DBDF22" w:rsidRDefault="004D1BD1" w:rsidP="1D64A439">
      <w:pPr>
        <w:jc w:val="both"/>
        <w:rPr>
          <w:sz w:val="24"/>
          <w:szCs w:val="24"/>
        </w:rPr>
      </w:pPr>
      <w:hyperlink r:id="rId14">
        <w:r w:rsidR="71DBDF22" w:rsidRPr="1D64A439">
          <w:rPr>
            <w:rStyle w:val="Hyperlink"/>
            <w:rFonts w:ascii="Times New Roman" w:eastAsia="Times New Roman" w:hAnsi="Times New Roman" w:cs="Times New Roman"/>
            <w:b/>
            <w:bCs/>
            <w:sz w:val="24"/>
            <w:szCs w:val="24"/>
          </w:rPr>
          <w:t>https://blogs.kent.ac.uk/criminaljusticenotes/2020/01/31/the-intoxication-defence-in-criminal-law/</w:t>
        </w:r>
      </w:hyperlink>
    </w:p>
    <w:p w14:paraId="03D592CA" w14:textId="3EB9A768" w:rsidR="71DBDF22" w:rsidRDefault="004D1BD1" w:rsidP="1D64A439">
      <w:pPr>
        <w:jc w:val="both"/>
        <w:rPr>
          <w:rFonts w:ascii="Times New Roman" w:eastAsia="Times New Roman" w:hAnsi="Times New Roman" w:cs="Times New Roman"/>
          <w:b/>
          <w:bCs/>
          <w:sz w:val="24"/>
          <w:szCs w:val="24"/>
        </w:rPr>
      </w:pPr>
      <w:hyperlink r:id="rId15" w:anchor=":~:text=This%20is%20a%20common%20law,seek%20the%20opinion%20of%20experts">
        <w:r w:rsidR="71DBDF22" w:rsidRPr="1D64A439">
          <w:rPr>
            <w:rStyle w:val="Hyperlink"/>
            <w:rFonts w:ascii="Times New Roman" w:eastAsia="Times New Roman" w:hAnsi="Times New Roman" w:cs="Times New Roman"/>
            <w:b/>
            <w:bCs/>
            <w:sz w:val="24"/>
            <w:szCs w:val="24"/>
          </w:rPr>
          <w:t>https://healys.com/2015/01/30/professional-negligence-and-the-reasonable-person-test/#:~:text=This%20is%20a%20common%20law,seek%20the%20opinion%20of%20experts</w:t>
        </w:r>
      </w:hyperlink>
      <w:r w:rsidR="71DBDF22" w:rsidRPr="1D64A439">
        <w:rPr>
          <w:rFonts w:ascii="Times New Roman" w:eastAsia="Times New Roman" w:hAnsi="Times New Roman" w:cs="Times New Roman"/>
          <w:b/>
          <w:bCs/>
          <w:sz w:val="24"/>
          <w:szCs w:val="24"/>
        </w:rPr>
        <w:t>.</w:t>
      </w:r>
    </w:p>
    <w:p w14:paraId="7A3A1003" w14:textId="5DB35667" w:rsidR="1D64A439" w:rsidRDefault="1D64A439" w:rsidP="1D64A439">
      <w:pPr>
        <w:jc w:val="center"/>
        <w:rPr>
          <w:rFonts w:ascii="Times New Roman" w:eastAsia="Times New Roman" w:hAnsi="Times New Roman" w:cs="Times New Roman"/>
          <w:b/>
          <w:bCs/>
          <w:sz w:val="32"/>
          <w:szCs w:val="32"/>
        </w:rPr>
      </w:pPr>
    </w:p>
    <w:p w14:paraId="26E92377" w14:textId="52113114" w:rsidR="1D64A439" w:rsidRDefault="1D64A439" w:rsidP="1D64A439">
      <w:pPr>
        <w:jc w:val="both"/>
        <w:rPr>
          <w:rFonts w:ascii="Times New Roman" w:eastAsia="Times New Roman" w:hAnsi="Times New Roman" w:cs="Times New Roman"/>
          <w:color w:val="000000" w:themeColor="text1"/>
          <w:sz w:val="24"/>
          <w:szCs w:val="24"/>
        </w:rPr>
      </w:pPr>
    </w:p>
    <w:sectPr w:rsidR="1D64A43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us64VXoIF1bVoE" int2:id="IfeVPbkl">
      <int2:state int2:value="Rejected" int2:type="LegacyProofing"/>
    </int2:textHash>
    <int2:textHash int2:hashCode="ypnpCXlvsG9C54" int2:id="Bcok7E8I">
      <int2:state int2:value="Rejected" int2:type="LegacyProofing"/>
    </int2:textHash>
    <int2:bookmark int2:bookmarkName="_Int_E2HzScBX" int2:invalidationBookmarkName="" int2:hashCode="0Xk9/jj/bTQ5+G" int2:id="0szCMEJa">
      <int2:state int2:value="Rejected" int2:type="LegacyProofing"/>
    </int2:bookmark>
    <int2:bookmark int2:bookmarkName="_Int_FmSujG5g" int2:invalidationBookmarkName="" int2:hashCode="YQjUeDO7mQkc/L" int2:id="KrMdCEsX">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33C3D"/>
    <w:multiLevelType w:val="hybridMultilevel"/>
    <w:tmpl w:val="3CC0E27C"/>
    <w:lvl w:ilvl="0" w:tplc="3DCE73AA">
      <w:start w:val="1"/>
      <w:numFmt w:val="bullet"/>
      <w:lvlText w:val=""/>
      <w:lvlJc w:val="left"/>
      <w:pPr>
        <w:ind w:left="720" w:hanging="360"/>
      </w:pPr>
      <w:rPr>
        <w:rFonts w:ascii="Symbol" w:hAnsi="Symbol" w:hint="default"/>
      </w:rPr>
    </w:lvl>
    <w:lvl w:ilvl="1" w:tplc="E4F04B74">
      <w:start w:val="1"/>
      <w:numFmt w:val="bullet"/>
      <w:lvlText w:val="o"/>
      <w:lvlJc w:val="left"/>
      <w:pPr>
        <w:ind w:left="1440" w:hanging="360"/>
      </w:pPr>
      <w:rPr>
        <w:rFonts w:ascii="Courier New" w:hAnsi="Courier New" w:hint="default"/>
      </w:rPr>
    </w:lvl>
    <w:lvl w:ilvl="2" w:tplc="1444DA1E">
      <w:start w:val="1"/>
      <w:numFmt w:val="bullet"/>
      <w:lvlText w:val=""/>
      <w:lvlJc w:val="left"/>
      <w:pPr>
        <w:ind w:left="2160" w:hanging="360"/>
      </w:pPr>
      <w:rPr>
        <w:rFonts w:ascii="Wingdings" w:hAnsi="Wingdings" w:hint="default"/>
      </w:rPr>
    </w:lvl>
    <w:lvl w:ilvl="3" w:tplc="5DD6458A">
      <w:start w:val="1"/>
      <w:numFmt w:val="bullet"/>
      <w:lvlText w:val=""/>
      <w:lvlJc w:val="left"/>
      <w:pPr>
        <w:ind w:left="2880" w:hanging="360"/>
      </w:pPr>
      <w:rPr>
        <w:rFonts w:ascii="Symbol" w:hAnsi="Symbol" w:hint="default"/>
      </w:rPr>
    </w:lvl>
    <w:lvl w:ilvl="4" w:tplc="339AED8A">
      <w:start w:val="1"/>
      <w:numFmt w:val="bullet"/>
      <w:lvlText w:val="o"/>
      <w:lvlJc w:val="left"/>
      <w:pPr>
        <w:ind w:left="3600" w:hanging="360"/>
      </w:pPr>
      <w:rPr>
        <w:rFonts w:ascii="Courier New" w:hAnsi="Courier New" w:hint="default"/>
      </w:rPr>
    </w:lvl>
    <w:lvl w:ilvl="5" w:tplc="48207462">
      <w:start w:val="1"/>
      <w:numFmt w:val="bullet"/>
      <w:lvlText w:val=""/>
      <w:lvlJc w:val="left"/>
      <w:pPr>
        <w:ind w:left="4320" w:hanging="360"/>
      </w:pPr>
      <w:rPr>
        <w:rFonts w:ascii="Wingdings" w:hAnsi="Wingdings" w:hint="default"/>
      </w:rPr>
    </w:lvl>
    <w:lvl w:ilvl="6" w:tplc="50123F1C">
      <w:start w:val="1"/>
      <w:numFmt w:val="bullet"/>
      <w:lvlText w:val=""/>
      <w:lvlJc w:val="left"/>
      <w:pPr>
        <w:ind w:left="5040" w:hanging="360"/>
      </w:pPr>
      <w:rPr>
        <w:rFonts w:ascii="Symbol" w:hAnsi="Symbol" w:hint="default"/>
      </w:rPr>
    </w:lvl>
    <w:lvl w:ilvl="7" w:tplc="A0A20D54">
      <w:start w:val="1"/>
      <w:numFmt w:val="bullet"/>
      <w:lvlText w:val="o"/>
      <w:lvlJc w:val="left"/>
      <w:pPr>
        <w:ind w:left="5760" w:hanging="360"/>
      </w:pPr>
      <w:rPr>
        <w:rFonts w:ascii="Courier New" w:hAnsi="Courier New" w:hint="default"/>
      </w:rPr>
    </w:lvl>
    <w:lvl w:ilvl="8" w:tplc="BE00B8FA">
      <w:start w:val="1"/>
      <w:numFmt w:val="bullet"/>
      <w:lvlText w:val=""/>
      <w:lvlJc w:val="left"/>
      <w:pPr>
        <w:ind w:left="6480" w:hanging="360"/>
      </w:pPr>
      <w:rPr>
        <w:rFonts w:ascii="Wingdings" w:hAnsi="Wingdings" w:hint="default"/>
      </w:rPr>
    </w:lvl>
  </w:abstractNum>
  <w:abstractNum w:abstractNumId="1" w15:restartNumberingAfterBreak="0">
    <w:nsid w:val="65C46375"/>
    <w:multiLevelType w:val="hybridMultilevel"/>
    <w:tmpl w:val="7B305CCA"/>
    <w:lvl w:ilvl="0" w:tplc="32A0A8AC">
      <w:start w:val="1"/>
      <w:numFmt w:val="bullet"/>
      <w:lvlText w:val=""/>
      <w:lvlJc w:val="left"/>
      <w:pPr>
        <w:ind w:left="720" w:hanging="360"/>
      </w:pPr>
      <w:rPr>
        <w:rFonts w:ascii="Symbol" w:hAnsi="Symbol" w:hint="default"/>
      </w:rPr>
    </w:lvl>
    <w:lvl w:ilvl="1" w:tplc="58FC3E00">
      <w:start w:val="1"/>
      <w:numFmt w:val="bullet"/>
      <w:lvlText w:val="o"/>
      <w:lvlJc w:val="left"/>
      <w:pPr>
        <w:ind w:left="1440" w:hanging="360"/>
      </w:pPr>
      <w:rPr>
        <w:rFonts w:ascii="Courier New" w:hAnsi="Courier New" w:hint="default"/>
      </w:rPr>
    </w:lvl>
    <w:lvl w:ilvl="2" w:tplc="E99463F8">
      <w:start w:val="1"/>
      <w:numFmt w:val="bullet"/>
      <w:lvlText w:val=""/>
      <w:lvlJc w:val="left"/>
      <w:pPr>
        <w:ind w:left="2160" w:hanging="360"/>
      </w:pPr>
      <w:rPr>
        <w:rFonts w:ascii="Wingdings" w:hAnsi="Wingdings" w:hint="default"/>
      </w:rPr>
    </w:lvl>
    <w:lvl w:ilvl="3" w:tplc="9DC03A22">
      <w:start w:val="1"/>
      <w:numFmt w:val="bullet"/>
      <w:lvlText w:val=""/>
      <w:lvlJc w:val="left"/>
      <w:pPr>
        <w:ind w:left="2880" w:hanging="360"/>
      </w:pPr>
      <w:rPr>
        <w:rFonts w:ascii="Symbol" w:hAnsi="Symbol" w:hint="default"/>
      </w:rPr>
    </w:lvl>
    <w:lvl w:ilvl="4" w:tplc="A95E15B6">
      <w:start w:val="1"/>
      <w:numFmt w:val="bullet"/>
      <w:lvlText w:val="o"/>
      <w:lvlJc w:val="left"/>
      <w:pPr>
        <w:ind w:left="3600" w:hanging="360"/>
      </w:pPr>
      <w:rPr>
        <w:rFonts w:ascii="Courier New" w:hAnsi="Courier New" w:hint="default"/>
      </w:rPr>
    </w:lvl>
    <w:lvl w:ilvl="5" w:tplc="3B08110A">
      <w:start w:val="1"/>
      <w:numFmt w:val="bullet"/>
      <w:lvlText w:val=""/>
      <w:lvlJc w:val="left"/>
      <w:pPr>
        <w:ind w:left="4320" w:hanging="360"/>
      </w:pPr>
      <w:rPr>
        <w:rFonts w:ascii="Wingdings" w:hAnsi="Wingdings" w:hint="default"/>
      </w:rPr>
    </w:lvl>
    <w:lvl w:ilvl="6" w:tplc="03DC566C">
      <w:start w:val="1"/>
      <w:numFmt w:val="bullet"/>
      <w:lvlText w:val=""/>
      <w:lvlJc w:val="left"/>
      <w:pPr>
        <w:ind w:left="5040" w:hanging="360"/>
      </w:pPr>
      <w:rPr>
        <w:rFonts w:ascii="Symbol" w:hAnsi="Symbol" w:hint="default"/>
      </w:rPr>
    </w:lvl>
    <w:lvl w:ilvl="7" w:tplc="03540CCE">
      <w:start w:val="1"/>
      <w:numFmt w:val="bullet"/>
      <w:lvlText w:val="o"/>
      <w:lvlJc w:val="left"/>
      <w:pPr>
        <w:ind w:left="5760" w:hanging="360"/>
      </w:pPr>
      <w:rPr>
        <w:rFonts w:ascii="Courier New" w:hAnsi="Courier New" w:hint="default"/>
      </w:rPr>
    </w:lvl>
    <w:lvl w:ilvl="8" w:tplc="952050DE">
      <w:start w:val="1"/>
      <w:numFmt w:val="bullet"/>
      <w:lvlText w:val=""/>
      <w:lvlJc w:val="left"/>
      <w:pPr>
        <w:ind w:left="6480" w:hanging="360"/>
      </w:pPr>
      <w:rPr>
        <w:rFonts w:ascii="Wingdings" w:hAnsi="Wingdings" w:hint="default"/>
      </w:rPr>
    </w:lvl>
  </w:abstractNum>
  <w:abstractNum w:abstractNumId="2" w15:restartNumberingAfterBreak="0">
    <w:nsid w:val="79C71B90"/>
    <w:multiLevelType w:val="hybridMultilevel"/>
    <w:tmpl w:val="48A44064"/>
    <w:lvl w:ilvl="0" w:tplc="8CF2B506">
      <w:start w:val="1"/>
      <w:numFmt w:val="bullet"/>
      <w:lvlText w:val=""/>
      <w:lvlJc w:val="left"/>
      <w:pPr>
        <w:ind w:left="720" w:hanging="360"/>
      </w:pPr>
      <w:rPr>
        <w:rFonts w:ascii="Symbol" w:hAnsi="Symbol" w:hint="default"/>
      </w:rPr>
    </w:lvl>
    <w:lvl w:ilvl="1" w:tplc="3924A3FA">
      <w:start w:val="1"/>
      <w:numFmt w:val="bullet"/>
      <w:lvlText w:val="o"/>
      <w:lvlJc w:val="left"/>
      <w:pPr>
        <w:ind w:left="1440" w:hanging="360"/>
      </w:pPr>
      <w:rPr>
        <w:rFonts w:ascii="Courier New" w:hAnsi="Courier New" w:hint="default"/>
      </w:rPr>
    </w:lvl>
    <w:lvl w:ilvl="2" w:tplc="2EB4347E">
      <w:start w:val="1"/>
      <w:numFmt w:val="bullet"/>
      <w:lvlText w:val=""/>
      <w:lvlJc w:val="left"/>
      <w:pPr>
        <w:ind w:left="2160" w:hanging="360"/>
      </w:pPr>
      <w:rPr>
        <w:rFonts w:ascii="Wingdings" w:hAnsi="Wingdings" w:hint="default"/>
      </w:rPr>
    </w:lvl>
    <w:lvl w:ilvl="3" w:tplc="3DBCC44A">
      <w:start w:val="1"/>
      <w:numFmt w:val="bullet"/>
      <w:lvlText w:val=""/>
      <w:lvlJc w:val="left"/>
      <w:pPr>
        <w:ind w:left="2880" w:hanging="360"/>
      </w:pPr>
      <w:rPr>
        <w:rFonts w:ascii="Symbol" w:hAnsi="Symbol" w:hint="default"/>
      </w:rPr>
    </w:lvl>
    <w:lvl w:ilvl="4" w:tplc="DC7642AA">
      <w:start w:val="1"/>
      <w:numFmt w:val="bullet"/>
      <w:lvlText w:val="o"/>
      <w:lvlJc w:val="left"/>
      <w:pPr>
        <w:ind w:left="3600" w:hanging="360"/>
      </w:pPr>
      <w:rPr>
        <w:rFonts w:ascii="Courier New" w:hAnsi="Courier New" w:hint="default"/>
      </w:rPr>
    </w:lvl>
    <w:lvl w:ilvl="5" w:tplc="003EB150">
      <w:start w:val="1"/>
      <w:numFmt w:val="bullet"/>
      <w:lvlText w:val=""/>
      <w:lvlJc w:val="left"/>
      <w:pPr>
        <w:ind w:left="4320" w:hanging="360"/>
      </w:pPr>
      <w:rPr>
        <w:rFonts w:ascii="Wingdings" w:hAnsi="Wingdings" w:hint="default"/>
      </w:rPr>
    </w:lvl>
    <w:lvl w:ilvl="6" w:tplc="019C143C">
      <w:start w:val="1"/>
      <w:numFmt w:val="bullet"/>
      <w:lvlText w:val=""/>
      <w:lvlJc w:val="left"/>
      <w:pPr>
        <w:ind w:left="5040" w:hanging="360"/>
      </w:pPr>
      <w:rPr>
        <w:rFonts w:ascii="Symbol" w:hAnsi="Symbol" w:hint="default"/>
      </w:rPr>
    </w:lvl>
    <w:lvl w:ilvl="7" w:tplc="852086DE">
      <w:start w:val="1"/>
      <w:numFmt w:val="bullet"/>
      <w:lvlText w:val="o"/>
      <w:lvlJc w:val="left"/>
      <w:pPr>
        <w:ind w:left="5760" w:hanging="360"/>
      </w:pPr>
      <w:rPr>
        <w:rFonts w:ascii="Courier New" w:hAnsi="Courier New" w:hint="default"/>
      </w:rPr>
    </w:lvl>
    <w:lvl w:ilvl="8" w:tplc="92369B9C">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00E667"/>
    <w:rsid w:val="0013857F"/>
    <w:rsid w:val="004D1BD1"/>
    <w:rsid w:val="005A76EE"/>
    <w:rsid w:val="0066653F"/>
    <w:rsid w:val="007F62A2"/>
    <w:rsid w:val="010EF65D"/>
    <w:rsid w:val="011F175C"/>
    <w:rsid w:val="01D396EB"/>
    <w:rsid w:val="0363DE64"/>
    <w:rsid w:val="038AE53E"/>
    <w:rsid w:val="0489B5DD"/>
    <w:rsid w:val="04EF44C3"/>
    <w:rsid w:val="0533CF84"/>
    <w:rsid w:val="053B8104"/>
    <w:rsid w:val="05751235"/>
    <w:rsid w:val="069B7F26"/>
    <w:rsid w:val="07D4BB4B"/>
    <w:rsid w:val="0831DFA5"/>
    <w:rsid w:val="0837474D"/>
    <w:rsid w:val="08386AFD"/>
    <w:rsid w:val="087A4EB4"/>
    <w:rsid w:val="09658313"/>
    <w:rsid w:val="0A0740A7"/>
    <w:rsid w:val="0AC8F305"/>
    <w:rsid w:val="0AFA696E"/>
    <w:rsid w:val="0D3056E8"/>
    <w:rsid w:val="0E29C862"/>
    <w:rsid w:val="0EE29F50"/>
    <w:rsid w:val="0F56DE20"/>
    <w:rsid w:val="0F5DFCA2"/>
    <w:rsid w:val="0F640E31"/>
    <w:rsid w:val="0FED3EE1"/>
    <w:rsid w:val="10654754"/>
    <w:rsid w:val="10E448B7"/>
    <w:rsid w:val="1155F08C"/>
    <w:rsid w:val="11DEB6F6"/>
    <w:rsid w:val="141BE979"/>
    <w:rsid w:val="1461A38A"/>
    <w:rsid w:val="15361F12"/>
    <w:rsid w:val="18705939"/>
    <w:rsid w:val="1873AA21"/>
    <w:rsid w:val="18828896"/>
    <w:rsid w:val="18D27242"/>
    <w:rsid w:val="19083D93"/>
    <w:rsid w:val="197440C6"/>
    <w:rsid w:val="19DB14B4"/>
    <w:rsid w:val="19F13138"/>
    <w:rsid w:val="19FF24D5"/>
    <w:rsid w:val="1B38BE33"/>
    <w:rsid w:val="1BC8D3D8"/>
    <w:rsid w:val="1BEA3AD4"/>
    <w:rsid w:val="1C8BCAD6"/>
    <w:rsid w:val="1D221B65"/>
    <w:rsid w:val="1D24A9A1"/>
    <w:rsid w:val="1D5CF2B9"/>
    <w:rsid w:val="1D64A439"/>
    <w:rsid w:val="1D703671"/>
    <w:rsid w:val="1D8A2DFA"/>
    <w:rsid w:val="219F5497"/>
    <w:rsid w:val="21F83610"/>
    <w:rsid w:val="221E0825"/>
    <w:rsid w:val="2247678D"/>
    <w:rsid w:val="22542EAA"/>
    <w:rsid w:val="22CC1ACB"/>
    <w:rsid w:val="22D598EF"/>
    <w:rsid w:val="2370D778"/>
    <w:rsid w:val="25B23C84"/>
    <w:rsid w:val="25D4A093"/>
    <w:rsid w:val="26B90235"/>
    <w:rsid w:val="2A1C5E17"/>
    <w:rsid w:val="2AB2D19F"/>
    <w:rsid w:val="2B00E667"/>
    <w:rsid w:val="2B18AB22"/>
    <w:rsid w:val="2B7BE95D"/>
    <w:rsid w:val="2CBA0E0C"/>
    <w:rsid w:val="2CCA03C8"/>
    <w:rsid w:val="2DBCFE94"/>
    <w:rsid w:val="2DD02190"/>
    <w:rsid w:val="2E4DB119"/>
    <w:rsid w:val="2F8247A9"/>
    <w:rsid w:val="2FB560BB"/>
    <w:rsid w:val="2FD0591D"/>
    <w:rsid w:val="30363223"/>
    <w:rsid w:val="309EB10A"/>
    <w:rsid w:val="313D09BA"/>
    <w:rsid w:val="318551DB"/>
    <w:rsid w:val="323CFE4F"/>
    <w:rsid w:val="32BAA124"/>
    <w:rsid w:val="32D9179D"/>
    <w:rsid w:val="33309A2C"/>
    <w:rsid w:val="33D8CEB0"/>
    <w:rsid w:val="33F1ED78"/>
    <w:rsid w:val="344999E3"/>
    <w:rsid w:val="345CBD66"/>
    <w:rsid w:val="3516A4AD"/>
    <w:rsid w:val="3624A23F"/>
    <w:rsid w:val="363F9AA1"/>
    <w:rsid w:val="365CC8D1"/>
    <w:rsid w:val="36BBFE07"/>
    <w:rsid w:val="37106F72"/>
    <w:rsid w:val="3880E8BA"/>
    <w:rsid w:val="39973090"/>
    <w:rsid w:val="39CA32FD"/>
    <w:rsid w:val="3B1AF94A"/>
    <w:rsid w:val="3BCAB838"/>
    <w:rsid w:val="3C4D662D"/>
    <w:rsid w:val="3CDA93EC"/>
    <w:rsid w:val="3D64159B"/>
    <w:rsid w:val="3D8225A5"/>
    <w:rsid w:val="3D89409E"/>
    <w:rsid w:val="3DB36102"/>
    <w:rsid w:val="3F3E8EB4"/>
    <w:rsid w:val="3FEF8DDA"/>
    <w:rsid w:val="40CE02BF"/>
    <w:rsid w:val="414018E0"/>
    <w:rsid w:val="414EE128"/>
    <w:rsid w:val="41E055DB"/>
    <w:rsid w:val="420927C5"/>
    <w:rsid w:val="423F0274"/>
    <w:rsid w:val="42AA51BB"/>
    <w:rsid w:val="443053BC"/>
    <w:rsid w:val="44B96225"/>
    <w:rsid w:val="44CA1CD0"/>
    <w:rsid w:val="461120F5"/>
    <w:rsid w:val="463EE4F5"/>
    <w:rsid w:val="479B8CB2"/>
    <w:rsid w:val="47E053F5"/>
    <w:rsid w:val="48493167"/>
    <w:rsid w:val="48A7BA3C"/>
    <w:rsid w:val="48CA710B"/>
    <w:rsid w:val="48E551BF"/>
    <w:rsid w:val="492218C4"/>
    <w:rsid w:val="4B91DE43"/>
    <w:rsid w:val="4BBF5DD4"/>
    <w:rsid w:val="4C9FF257"/>
    <w:rsid w:val="4D019827"/>
    <w:rsid w:val="4D94A8BE"/>
    <w:rsid w:val="4DB8C2E2"/>
    <w:rsid w:val="502C159F"/>
    <w:rsid w:val="517EBB57"/>
    <w:rsid w:val="537FF6F8"/>
    <w:rsid w:val="5423A98C"/>
    <w:rsid w:val="54B65D92"/>
    <w:rsid w:val="54D2A735"/>
    <w:rsid w:val="5551B92D"/>
    <w:rsid w:val="55C3D4C7"/>
    <w:rsid w:val="56528CD0"/>
    <w:rsid w:val="5842C710"/>
    <w:rsid w:val="585E916D"/>
    <w:rsid w:val="587FCCBF"/>
    <w:rsid w:val="589262FB"/>
    <w:rsid w:val="594F4551"/>
    <w:rsid w:val="5999F9A0"/>
    <w:rsid w:val="59EF7B0B"/>
    <w:rsid w:val="5A19DD01"/>
    <w:rsid w:val="5A3BF4B8"/>
    <w:rsid w:val="5B761CCD"/>
    <w:rsid w:val="5BB31FB4"/>
    <w:rsid w:val="5BD7C519"/>
    <w:rsid w:val="5DA19104"/>
    <w:rsid w:val="5E1CD4AC"/>
    <w:rsid w:val="5EF8EDDA"/>
    <w:rsid w:val="5F5D3D0B"/>
    <w:rsid w:val="5F613C3F"/>
    <w:rsid w:val="5FBF553C"/>
    <w:rsid w:val="604439C8"/>
    <w:rsid w:val="6197DA4D"/>
    <w:rsid w:val="61A05AA2"/>
    <w:rsid w:val="61DD6C7B"/>
    <w:rsid w:val="62911CF8"/>
    <w:rsid w:val="632F5B8C"/>
    <w:rsid w:val="633ECB26"/>
    <w:rsid w:val="6430B3BD"/>
    <w:rsid w:val="643E986A"/>
    <w:rsid w:val="65877027"/>
    <w:rsid w:val="65AF955D"/>
    <w:rsid w:val="66417CC3"/>
    <w:rsid w:val="674B65BE"/>
    <w:rsid w:val="680C0FA4"/>
    <w:rsid w:val="69069EAD"/>
    <w:rsid w:val="6A6D944E"/>
    <w:rsid w:val="6C691423"/>
    <w:rsid w:val="6DFDA2AB"/>
    <w:rsid w:val="6E0C609C"/>
    <w:rsid w:val="6E3357B0"/>
    <w:rsid w:val="6E43C418"/>
    <w:rsid w:val="6E9CF5FA"/>
    <w:rsid w:val="71CDA608"/>
    <w:rsid w:val="71DBDF22"/>
    <w:rsid w:val="71E60AF7"/>
    <w:rsid w:val="71FFC7EF"/>
    <w:rsid w:val="72128729"/>
    <w:rsid w:val="729605EB"/>
    <w:rsid w:val="72A740C2"/>
    <w:rsid w:val="732FE400"/>
    <w:rsid w:val="74431123"/>
    <w:rsid w:val="7501AE02"/>
    <w:rsid w:val="75B09D9E"/>
    <w:rsid w:val="761C530D"/>
    <w:rsid w:val="775C5020"/>
    <w:rsid w:val="7788C7A8"/>
    <w:rsid w:val="77C61CB9"/>
    <w:rsid w:val="7816010A"/>
    <w:rsid w:val="791F6F36"/>
    <w:rsid w:val="79E2D506"/>
    <w:rsid w:val="7B101CC1"/>
    <w:rsid w:val="7B684466"/>
    <w:rsid w:val="7B9E984E"/>
    <w:rsid w:val="7F5933EA"/>
    <w:rsid w:val="7F6C0F88"/>
    <w:rsid w:val="7F82CF9F"/>
    <w:rsid w:val="7F9562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0E667"/>
  <w15:chartTrackingRefBased/>
  <w15:docId w15:val="{4153D517-74DC-4280-8C12-F88502483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71/48/section/1" TargetMode="External"/><Relationship Id="rId13" Type="http://schemas.openxmlformats.org/officeDocument/2006/relationships/hyperlink" Target="http://www.e-lawresources.co.uk/Intoxication.php"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seatons.co.uk/legal-services/criminal-law/criminal-damage-offences/" TargetMode="External"/><Relationship Id="rId12" Type="http://schemas.openxmlformats.org/officeDocument/2006/relationships/hyperlink" Target="https://www.cps.gov.uk/legal-guidance/intoxicati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noblesolicitors.co.uk/about/indepth-theft.html" TargetMode="External"/><Relationship Id="rId11" Type="http://schemas.openxmlformats.org/officeDocument/2006/relationships/hyperlink" Target="https://www.sentencingcouncil.org.uk/offences/magistrates-court/item/inflicting-grievous-bodily-harm-unlawful-wounding-racially-or-religiously-aggravated-gbh-unlawful-wounding/" TargetMode="External"/><Relationship Id="rId5" Type="http://schemas.openxmlformats.org/officeDocument/2006/relationships/hyperlink" Target="https://www.legislation.gov.uk/ukpga/1968/60" TargetMode="External"/><Relationship Id="rId15" Type="http://schemas.openxmlformats.org/officeDocument/2006/relationships/hyperlink" Target="https://healys.com/2015/01/30/professional-negligence-and-the-reasonable-person-test/" TargetMode="External"/><Relationship Id="rId10" Type="http://schemas.openxmlformats.org/officeDocument/2006/relationships/hyperlink" Target="https://www.olliers.com/criminal-law/assault-grievous-bodily-harm/" TargetMode="External"/><Relationship Id="rId4" Type="http://schemas.openxmlformats.org/officeDocument/2006/relationships/webSettings" Target="webSettings.xml"/><Relationship Id="rId9" Type="http://schemas.openxmlformats.org/officeDocument/2006/relationships/hyperlink" Target="https://spartanslaw.co.uk/s20-wounding/" TargetMode="External"/><Relationship Id="rId14" Type="http://schemas.openxmlformats.org/officeDocument/2006/relationships/hyperlink" Target="https://blogs.kent.ac.uk/criminaljusticenotes/2020/01/31/the-intoxication-defence-in-criminal-l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1566</Words>
  <Characters>8931</Characters>
  <Application>Microsoft Office Word</Application>
  <DocSecurity>0</DocSecurity>
  <Lines>74</Lines>
  <Paragraphs>20</Paragraphs>
  <ScaleCrop>false</ScaleCrop>
  <Company/>
  <LinksUpToDate>false</LinksUpToDate>
  <CharactersWithSpaces>10477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 Johnson</dc:creator>
  <cp:keywords/>
  <dc:description/>
  <cp:lastModifiedBy>Hermela Habtom Tecleab (2031392)</cp:lastModifiedBy>
  <cp:revision>2</cp:revision>
  <dcterms:created xsi:type="dcterms:W3CDTF">2022-01-03T14:11:00Z</dcterms:created>
  <dcterms:modified xsi:type="dcterms:W3CDTF">2022-01-03T14:11:00Z</dcterms:modified>
</cp:coreProperties>
</file>