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A2EAF8" w14:textId="77777777" w:rsidR="00F876EA" w:rsidRDefault="00F876EA" w:rsidP="00F876EA">
      <w:pPr>
        <w:jc w:val="center"/>
      </w:pPr>
    </w:p>
    <w:p w14:paraId="441D07E2" w14:textId="77777777" w:rsidR="00BC22A3" w:rsidRDefault="00F876EA" w:rsidP="00F876EA">
      <w:pPr>
        <w:jc w:val="center"/>
      </w:pPr>
      <w:r>
        <w:rPr>
          <w:noProof/>
          <w:color w:val="0000FF"/>
        </w:rPr>
        <w:drawing>
          <wp:inline distT="0" distB="0" distL="0" distR="0" wp14:anchorId="1DB6FD4A" wp14:editId="101FBC6E">
            <wp:extent cx="3009900" cy="998861"/>
            <wp:effectExtent l="0" t="0" r="0" b="0"/>
            <wp:docPr id="4" name="irc_mi" descr="Image result for uwtsd">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uwtsd">
                      <a:hlinkClick r:id="rId11" tgtFrame="&quot;_blank&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61305" cy="1015920"/>
                    </a:xfrm>
                    <a:prstGeom prst="rect">
                      <a:avLst/>
                    </a:prstGeom>
                    <a:noFill/>
                    <a:ln>
                      <a:noFill/>
                    </a:ln>
                  </pic:spPr>
                </pic:pic>
              </a:graphicData>
            </a:graphic>
          </wp:inline>
        </w:drawing>
      </w:r>
    </w:p>
    <w:p w14:paraId="28C43023" w14:textId="77777777" w:rsidR="00F876EA" w:rsidRDefault="00F876EA" w:rsidP="00F876EA">
      <w:pPr>
        <w:jc w:val="center"/>
      </w:pPr>
    </w:p>
    <w:p w14:paraId="097769B0" w14:textId="77777777" w:rsidR="00F876EA" w:rsidRDefault="00F876EA" w:rsidP="00F876EA">
      <w:pPr>
        <w:jc w:val="center"/>
      </w:pPr>
    </w:p>
    <w:p w14:paraId="451E368A" w14:textId="77777777" w:rsidR="00303372" w:rsidRDefault="00303372" w:rsidP="00F876EA">
      <w:pPr>
        <w:jc w:val="center"/>
        <w:rPr>
          <w:b/>
          <w:bCs/>
          <w:i/>
          <w:iCs/>
          <w:sz w:val="24"/>
          <w:szCs w:val="24"/>
        </w:rPr>
      </w:pPr>
    </w:p>
    <w:p w14:paraId="331F2F6A" w14:textId="77777777" w:rsidR="00F876EA" w:rsidRPr="00303372" w:rsidRDefault="00F876EA" w:rsidP="00F876EA">
      <w:pPr>
        <w:jc w:val="center"/>
        <w:rPr>
          <w:b/>
          <w:bCs/>
          <w:i/>
          <w:iCs/>
          <w:sz w:val="36"/>
          <w:szCs w:val="36"/>
        </w:rPr>
      </w:pPr>
      <w:r w:rsidRPr="00303372">
        <w:rPr>
          <w:b/>
          <w:bCs/>
          <w:i/>
          <w:iCs/>
          <w:sz w:val="36"/>
          <w:szCs w:val="36"/>
        </w:rPr>
        <w:t>The Effects of Debris Accumulation on Highway Bridges</w:t>
      </w:r>
    </w:p>
    <w:p w14:paraId="4E6AC2D5" w14:textId="77777777" w:rsidR="00F876EA" w:rsidRPr="00303372" w:rsidRDefault="00F876EA" w:rsidP="00F876EA">
      <w:pPr>
        <w:jc w:val="center"/>
        <w:rPr>
          <w:b/>
          <w:bCs/>
          <w:i/>
          <w:iCs/>
          <w:sz w:val="36"/>
          <w:szCs w:val="36"/>
        </w:rPr>
      </w:pPr>
    </w:p>
    <w:p w14:paraId="70C15099" w14:textId="77777777" w:rsidR="00F876EA" w:rsidRDefault="00F876EA" w:rsidP="00F876EA">
      <w:pPr>
        <w:jc w:val="center"/>
        <w:rPr>
          <w:sz w:val="36"/>
          <w:szCs w:val="36"/>
        </w:rPr>
      </w:pPr>
      <w:r w:rsidRPr="00303372">
        <w:rPr>
          <w:sz w:val="36"/>
          <w:szCs w:val="36"/>
        </w:rPr>
        <w:t xml:space="preserve">Dissertation submitted for the degree of </w:t>
      </w:r>
    </w:p>
    <w:p w14:paraId="433DFB03" w14:textId="77777777" w:rsidR="00303372" w:rsidRPr="00303372" w:rsidRDefault="00303372" w:rsidP="00F876EA">
      <w:pPr>
        <w:jc w:val="center"/>
        <w:rPr>
          <w:sz w:val="36"/>
          <w:szCs w:val="36"/>
        </w:rPr>
      </w:pPr>
    </w:p>
    <w:p w14:paraId="3BD37EA0" w14:textId="77777777" w:rsidR="00F876EA" w:rsidRPr="00303372" w:rsidRDefault="00F876EA" w:rsidP="00F876EA">
      <w:pPr>
        <w:jc w:val="center"/>
        <w:rPr>
          <w:i/>
          <w:iCs/>
          <w:sz w:val="36"/>
          <w:szCs w:val="36"/>
        </w:rPr>
      </w:pPr>
      <w:r w:rsidRPr="00303372">
        <w:rPr>
          <w:i/>
          <w:iCs/>
          <w:sz w:val="36"/>
          <w:szCs w:val="36"/>
        </w:rPr>
        <w:t>BSc Civil Engineering and Environmental Management</w:t>
      </w:r>
    </w:p>
    <w:p w14:paraId="3BADA67A" w14:textId="77777777" w:rsidR="00303372" w:rsidRPr="00303372" w:rsidRDefault="00303372" w:rsidP="00F876EA">
      <w:pPr>
        <w:jc w:val="center"/>
        <w:rPr>
          <w:sz w:val="36"/>
          <w:szCs w:val="36"/>
        </w:rPr>
      </w:pPr>
    </w:p>
    <w:p w14:paraId="0FD874CF" w14:textId="77777777" w:rsidR="00F876EA" w:rsidRPr="00303372" w:rsidRDefault="00F876EA" w:rsidP="00F876EA">
      <w:pPr>
        <w:jc w:val="center"/>
        <w:rPr>
          <w:sz w:val="36"/>
          <w:szCs w:val="36"/>
        </w:rPr>
      </w:pPr>
      <w:r w:rsidRPr="00303372">
        <w:rPr>
          <w:sz w:val="36"/>
          <w:szCs w:val="36"/>
        </w:rPr>
        <w:t xml:space="preserve">University of Wales Trinity Saint David School of </w:t>
      </w:r>
      <w:r w:rsidR="00303372" w:rsidRPr="00303372">
        <w:rPr>
          <w:sz w:val="36"/>
          <w:szCs w:val="36"/>
        </w:rPr>
        <w:t>Architecture, Built and Natural Environment</w:t>
      </w:r>
      <w:r w:rsidRPr="00303372">
        <w:rPr>
          <w:sz w:val="36"/>
          <w:szCs w:val="36"/>
        </w:rPr>
        <w:t xml:space="preserve"> </w:t>
      </w:r>
    </w:p>
    <w:p w14:paraId="7E05DE8B" w14:textId="77777777" w:rsidR="00303372" w:rsidRDefault="00303372" w:rsidP="00F876EA">
      <w:pPr>
        <w:jc w:val="center"/>
        <w:rPr>
          <w:b/>
          <w:bCs/>
          <w:sz w:val="36"/>
          <w:szCs w:val="36"/>
        </w:rPr>
      </w:pPr>
    </w:p>
    <w:p w14:paraId="42378749" w14:textId="77777777" w:rsidR="00F876EA" w:rsidRPr="001138CA" w:rsidRDefault="00F876EA" w:rsidP="001138CA">
      <w:pPr>
        <w:jc w:val="center"/>
        <w:rPr>
          <w:sz w:val="36"/>
          <w:szCs w:val="36"/>
        </w:rPr>
      </w:pPr>
      <w:r w:rsidRPr="001138CA">
        <w:rPr>
          <w:sz w:val="36"/>
          <w:szCs w:val="36"/>
        </w:rPr>
        <w:t>By</w:t>
      </w:r>
    </w:p>
    <w:p w14:paraId="674DE10C" w14:textId="77777777" w:rsidR="001138CA" w:rsidRDefault="001138CA" w:rsidP="00F876EA">
      <w:pPr>
        <w:jc w:val="center"/>
        <w:rPr>
          <w:sz w:val="36"/>
          <w:szCs w:val="36"/>
        </w:rPr>
      </w:pPr>
    </w:p>
    <w:p w14:paraId="31BF67EC" w14:textId="77777777" w:rsidR="00F876EA" w:rsidRPr="001138CA" w:rsidRDefault="00F876EA" w:rsidP="00F876EA">
      <w:pPr>
        <w:jc w:val="center"/>
        <w:rPr>
          <w:sz w:val="36"/>
          <w:szCs w:val="36"/>
        </w:rPr>
      </w:pPr>
      <w:r w:rsidRPr="001138CA">
        <w:rPr>
          <w:sz w:val="36"/>
          <w:szCs w:val="36"/>
        </w:rPr>
        <w:t>Edward Thomas William Rees</w:t>
      </w:r>
    </w:p>
    <w:p w14:paraId="1702850E" w14:textId="77777777" w:rsidR="001138CA" w:rsidRDefault="001138CA" w:rsidP="00F876EA">
      <w:pPr>
        <w:jc w:val="center"/>
        <w:rPr>
          <w:sz w:val="36"/>
          <w:szCs w:val="36"/>
        </w:rPr>
      </w:pPr>
    </w:p>
    <w:p w14:paraId="56B72607" w14:textId="038C2F1C" w:rsidR="00F876EA" w:rsidRPr="001138CA" w:rsidRDefault="00F876EA" w:rsidP="00F876EA">
      <w:pPr>
        <w:jc w:val="center"/>
        <w:rPr>
          <w:sz w:val="36"/>
          <w:szCs w:val="36"/>
        </w:rPr>
      </w:pPr>
      <w:r w:rsidRPr="001138CA">
        <w:rPr>
          <w:sz w:val="36"/>
          <w:szCs w:val="36"/>
        </w:rPr>
        <w:t>Supervisor</w:t>
      </w:r>
      <w:r w:rsidR="00EA0754">
        <w:rPr>
          <w:sz w:val="36"/>
          <w:szCs w:val="36"/>
        </w:rPr>
        <w:t>s</w:t>
      </w:r>
      <w:r w:rsidRPr="001138CA">
        <w:rPr>
          <w:sz w:val="36"/>
          <w:szCs w:val="36"/>
        </w:rPr>
        <w:t>: Dr Keerthi Ran</w:t>
      </w:r>
      <w:r w:rsidR="00303372" w:rsidRPr="001138CA">
        <w:rPr>
          <w:sz w:val="36"/>
          <w:szCs w:val="36"/>
        </w:rPr>
        <w:t>asinghe</w:t>
      </w:r>
      <w:r w:rsidR="00EA0754">
        <w:rPr>
          <w:sz w:val="36"/>
          <w:szCs w:val="36"/>
        </w:rPr>
        <w:t xml:space="preserve"> &amp; </w:t>
      </w:r>
      <w:r w:rsidR="00BE4DAF">
        <w:rPr>
          <w:sz w:val="36"/>
          <w:szCs w:val="36"/>
        </w:rPr>
        <w:t>Deborah Hughes</w:t>
      </w:r>
    </w:p>
    <w:p w14:paraId="4B3AC05F" w14:textId="77777777" w:rsidR="001138CA" w:rsidRDefault="001138CA" w:rsidP="00F876EA">
      <w:pPr>
        <w:jc w:val="center"/>
        <w:rPr>
          <w:sz w:val="36"/>
          <w:szCs w:val="36"/>
        </w:rPr>
      </w:pPr>
    </w:p>
    <w:p w14:paraId="27F2D095" w14:textId="3037F2A1" w:rsidR="00F876EA" w:rsidRDefault="00831DD5" w:rsidP="00F876EA">
      <w:pPr>
        <w:jc w:val="center"/>
        <w:rPr>
          <w:sz w:val="36"/>
          <w:szCs w:val="36"/>
        </w:rPr>
      </w:pPr>
      <w:r w:rsidRPr="001138CA">
        <w:rPr>
          <w:sz w:val="36"/>
          <w:szCs w:val="36"/>
        </w:rPr>
        <w:t>May</w:t>
      </w:r>
      <w:r w:rsidR="00F876EA" w:rsidRPr="001138CA">
        <w:rPr>
          <w:sz w:val="36"/>
          <w:szCs w:val="36"/>
        </w:rPr>
        <w:t xml:space="preserve"> 2020</w:t>
      </w:r>
    </w:p>
    <w:p w14:paraId="2938B654" w14:textId="77777777" w:rsidR="001138CA" w:rsidRDefault="001138CA" w:rsidP="001138CA">
      <w:r>
        <w:rPr>
          <w:noProof/>
          <w:lang w:eastAsia="en-GB"/>
        </w:rPr>
        <w:lastRenderedPageBreak/>
        <w:drawing>
          <wp:inline distT="0" distB="0" distL="0" distR="0" wp14:anchorId="5525F51C" wp14:editId="2C3916E7">
            <wp:extent cx="1657350" cy="638175"/>
            <wp:effectExtent l="0" t="0" r="0" b="0"/>
            <wp:docPr id="1" name="Picture 1" descr="cid:image002.png@01D0EFD4.A5FCFCB0"/>
            <wp:cNvGraphicFramePr/>
            <a:graphic xmlns:a="http://schemas.openxmlformats.org/drawingml/2006/main">
              <a:graphicData uri="http://schemas.openxmlformats.org/drawingml/2006/picture">
                <pic:pic xmlns:pic="http://schemas.openxmlformats.org/drawingml/2006/picture">
                  <pic:nvPicPr>
                    <pic:cNvPr id="1" name="Picture 1" descr="cid:image002.png@01D0EFD4.A5FCFCB0"/>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57350" cy="638175"/>
                    </a:xfrm>
                    <a:prstGeom prst="rect">
                      <a:avLst/>
                    </a:prstGeom>
                    <a:noFill/>
                    <a:ln>
                      <a:noFill/>
                    </a:ln>
                  </pic:spPr>
                </pic:pic>
              </a:graphicData>
            </a:graphic>
          </wp:inline>
        </w:drawing>
      </w:r>
    </w:p>
    <w:p w14:paraId="7FB771F4" w14:textId="77777777" w:rsidR="001138CA" w:rsidRDefault="001138CA" w:rsidP="001138CA"/>
    <w:p w14:paraId="3B9B9BBF" w14:textId="77777777" w:rsidR="001138CA" w:rsidRPr="001138CA" w:rsidRDefault="001138CA" w:rsidP="001138CA">
      <w:pPr>
        <w:rPr>
          <w:sz w:val="24"/>
          <w:szCs w:val="24"/>
        </w:rPr>
      </w:pPr>
    </w:p>
    <w:p w14:paraId="5BB2BCD6" w14:textId="77777777" w:rsidR="001138CA" w:rsidRPr="001138CA" w:rsidRDefault="001138CA" w:rsidP="001138CA">
      <w:pPr>
        <w:rPr>
          <w:b/>
          <w:sz w:val="24"/>
          <w:szCs w:val="24"/>
        </w:rPr>
      </w:pPr>
      <w:r w:rsidRPr="001138CA">
        <w:rPr>
          <w:b/>
          <w:sz w:val="24"/>
          <w:szCs w:val="24"/>
        </w:rPr>
        <w:t>Author’s Declaration</w:t>
      </w:r>
    </w:p>
    <w:p w14:paraId="73033E66" w14:textId="77777777" w:rsidR="001138CA" w:rsidRPr="001138CA" w:rsidRDefault="001138CA" w:rsidP="001138CA">
      <w:pPr>
        <w:rPr>
          <w:sz w:val="24"/>
          <w:szCs w:val="24"/>
        </w:rPr>
      </w:pPr>
      <w:r w:rsidRPr="001138CA">
        <w:rPr>
          <w:sz w:val="24"/>
          <w:szCs w:val="24"/>
        </w:rPr>
        <w:t>I declare that the work in this dissertation was carried out in accordance with the regulations of the University of Wales, Trinity Saint David.  The work is original except where indicated by special references in the text and no part of the dissertation has been submitted for any other degree.</w:t>
      </w:r>
    </w:p>
    <w:p w14:paraId="5E7DB508" w14:textId="77777777" w:rsidR="001138CA" w:rsidRPr="001138CA" w:rsidRDefault="001138CA" w:rsidP="001138CA">
      <w:pPr>
        <w:rPr>
          <w:sz w:val="24"/>
          <w:szCs w:val="24"/>
        </w:rPr>
      </w:pPr>
      <w:r w:rsidRPr="001138CA">
        <w:rPr>
          <w:sz w:val="24"/>
          <w:szCs w:val="24"/>
        </w:rPr>
        <w:t>Any views expressed in the dissertation are those of the author and in no way represent those of the University of Wales, Trinity Saint David.</w:t>
      </w:r>
    </w:p>
    <w:p w14:paraId="1796D5FD" w14:textId="77777777" w:rsidR="001138CA" w:rsidRPr="001138CA" w:rsidRDefault="001138CA" w:rsidP="001138CA">
      <w:pPr>
        <w:rPr>
          <w:sz w:val="24"/>
          <w:szCs w:val="24"/>
        </w:rPr>
      </w:pPr>
      <w:r w:rsidRPr="001138CA">
        <w:rPr>
          <w:sz w:val="24"/>
          <w:szCs w:val="24"/>
        </w:rPr>
        <w:t>The dissertation has not been presented to any other University for examination either in the United Kingdom or overseas.</w:t>
      </w:r>
    </w:p>
    <w:p w14:paraId="109C1BD6" w14:textId="77777777" w:rsidR="001138CA" w:rsidRPr="001138CA" w:rsidRDefault="001138CA" w:rsidP="001138CA">
      <w:pPr>
        <w:rPr>
          <w:sz w:val="24"/>
          <w:szCs w:val="24"/>
        </w:rPr>
      </w:pPr>
      <w:r w:rsidRPr="001138CA">
        <w:rPr>
          <w:sz w:val="24"/>
          <w:szCs w:val="24"/>
        </w:rPr>
        <w:t>I hereby give permission for my work, if accepted, to be available for photocopying and inter-library loan, and for the title and summary to be made available to outside organisations.</w:t>
      </w:r>
    </w:p>
    <w:p w14:paraId="4FE49AD0" w14:textId="77777777" w:rsidR="001138CA" w:rsidRPr="001138CA" w:rsidRDefault="001138CA" w:rsidP="001138CA">
      <w:pPr>
        <w:rPr>
          <w:sz w:val="24"/>
          <w:szCs w:val="24"/>
        </w:rPr>
      </w:pPr>
    </w:p>
    <w:p w14:paraId="1013EEA3" w14:textId="77777777" w:rsidR="001138CA" w:rsidRPr="001138CA" w:rsidRDefault="001138CA" w:rsidP="001138CA">
      <w:pPr>
        <w:rPr>
          <w:sz w:val="24"/>
          <w:szCs w:val="24"/>
        </w:rPr>
      </w:pPr>
    </w:p>
    <w:p w14:paraId="67B6AB38" w14:textId="77777777" w:rsidR="001138CA" w:rsidRPr="001138CA" w:rsidRDefault="001138CA" w:rsidP="001138CA">
      <w:pPr>
        <w:rPr>
          <w:sz w:val="24"/>
          <w:szCs w:val="24"/>
        </w:rPr>
      </w:pPr>
      <w:r w:rsidRPr="001138CA">
        <w:rPr>
          <w:sz w:val="24"/>
          <w:szCs w:val="24"/>
        </w:rPr>
        <w:t>Signed ………………………………………………………………………………………………………….</w:t>
      </w:r>
    </w:p>
    <w:p w14:paraId="65D37289" w14:textId="77777777" w:rsidR="001138CA" w:rsidRPr="001138CA" w:rsidRDefault="001138CA" w:rsidP="001138CA">
      <w:pPr>
        <w:rPr>
          <w:sz w:val="24"/>
          <w:szCs w:val="24"/>
        </w:rPr>
      </w:pPr>
      <w:r w:rsidRPr="001138CA">
        <w:rPr>
          <w:sz w:val="24"/>
          <w:szCs w:val="24"/>
        </w:rPr>
        <w:t>Date …………………………………………………………………………………………………………</w:t>
      </w:r>
      <w:proofErr w:type="gramStart"/>
      <w:r w:rsidRPr="001138CA">
        <w:rPr>
          <w:sz w:val="24"/>
          <w:szCs w:val="24"/>
        </w:rPr>
        <w:t>…..</w:t>
      </w:r>
      <w:proofErr w:type="gramEnd"/>
    </w:p>
    <w:p w14:paraId="7BDDE0E3" w14:textId="77777777" w:rsidR="001138CA" w:rsidRDefault="001138CA">
      <w:pPr>
        <w:rPr>
          <w:sz w:val="36"/>
          <w:szCs w:val="36"/>
        </w:rPr>
      </w:pPr>
      <w:r>
        <w:rPr>
          <w:sz w:val="36"/>
          <w:szCs w:val="36"/>
        </w:rPr>
        <w:br w:type="page"/>
      </w:r>
    </w:p>
    <w:p w14:paraId="0A094C9E" w14:textId="77777777" w:rsidR="001138CA" w:rsidRDefault="001138CA" w:rsidP="001138CA">
      <w:r>
        <w:rPr>
          <w:noProof/>
          <w:lang w:eastAsia="en-GB"/>
        </w:rPr>
        <w:lastRenderedPageBreak/>
        <w:drawing>
          <wp:inline distT="0" distB="0" distL="0" distR="0" wp14:anchorId="25306CB1" wp14:editId="4DC694CC">
            <wp:extent cx="1657350" cy="638175"/>
            <wp:effectExtent l="0" t="0" r="0" b="0"/>
            <wp:docPr id="2" name="Picture 2" descr="cid:image002.png@01D0EFD4.A5FCFCB0"/>
            <wp:cNvGraphicFramePr/>
            <a:graphic xmlns:a="http://schemas.openxmlformats.org/drawingml/2006/main">
              <a:graphicData uri="http://schemas.openxmlformats.org/drawingml/2006/picture">
                <pic:pic xmlns:pic="http://schemas.openxmlformats.org/drawingml/2006/picture">
                  <pic:nvPicPr>
                    <pic:cNvPr id="1" name="Picture 1" descr="cid:image002.png@01D0EFD4.A5FCFCB0"/>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57350" cy="638175"/>
                    </a:xfrm>
                    <a:prstGeom prst="rect">
                      <a:avLst/>
                    </a:prstGeom>
                    <a:noFill/>
                    <a:ln>
                      <a:noFill/>
                    </a:ln>
                  </pic:spPr>
                </pic:pic>
              </a:graphicData>
            </a:graphic>
          </wp:inline>
        </w:drawing>
      </w:r>
    </w:p>
    <w:p w14:paraId="21CD0F75" w14:textId="77777777" w:rsidR="001138CA" w:rsidRDefault="001138CA" w:rsidP="001138CA"/>
    <w:p w14:paraId="52D6CEF9" w14:textId="77777777" w:rsidR="001138CA" w:rsidRDefault="001138CA" w:rsidP="001138CA"/>
    <w:p w14:paraId="15CF0DA3" w14:textId="77777777" w:rsidR="001138CA" w:rsidRPr="001138CA" w:rsidRDefault="001138CA" w:rsidP="001138CA">
      <w:pPr>
        <w:spacing w:after="0" w:line="240" w:lineRule="auto"/>
        <w:rPr>
          <w:sz w:val="24"/>
          <w:szCs w:val="24"/>
        </w:rPr>
      </w:pPr>
      <w:r w:rsidRPr="001138CA">
        <w:rPr>
          <w:sz w:val="24"/>
          <w:szCs w:val="24"/>
        </w:rPr>
        <w:t>Copyright statement</w:t>
      </w:r>
    </w:p>
    <w:p w14:paraId="434ADE43" w14:textId="77777777" w:rsidR="001138CA" w:rsidRPr="001138CA" w:rsidRDefault="001138CA" w:rsidP="001138CA">
      <w:pPr>
        <w:spacing w:after="0" w:line="240" w:lineRule="auto"/>
        <w:rPr>
          <w:sz w:val="24"/>
          <w:szCs w:val="24"/>
        </w:rPr>
      </w:pPr>
    </w:p>
    <w:p w14:paraId="2A3D8516" w14:textId="77777777" w:rsidR="001138CA" w:rsidRPr="001138CA" w:rsidRDefault="001138CA" w:rsidP="001138CA">
      <w:pPr>
        <w:spacing w:after="0" w:line="276" w:lineRule="auto"/>
        <w:rPr>
          <w:sz w:val="24"/>
          <w:szCs w:val="24"/>
        </w:rPr>
      </w:pPr>
      <w:r w:rsidRPr="001138CA">
        <w:rPr>
          <w:sz w:val="24"/>
          <w:szCs w:val="24"/>
        </w:rPr>
        <w:t>The copyright of this dissertation rests with the University of Wales, Trinity Saint David.  No information derived from this dissertation shall be published without the prior written consent of the University.</w:t>
      </w:r>
    </w:p>
    <w:p w14:paraId="1527612E" w14:textId="77777777" w:rsidR="001138CA" w:rsidRPr="001138CA" w:rsidRDefault="001138CA" w:rsidP="001138CA">
      <w:pPr>
        <w:spacing w:after="0" w:line="276" w:lineRule="auto"/>
        <w:rPr>
          <w:sz w:val="24"/>
          <w:szCs w:val="24"/>
        </w:rPr>
      </w:pPr>
    </w:p>
    <w:p w14:paraId="22C7E06E" w14:textId="77777777" w:rsidR="001138CA" w:rsidRPr="001138CA" w:rsidRDefault="001138CA" w:rsidP="001138CA">
      <w:pPr>
        <w:spacing w:after="0" w:line="276" w:lineRule="auto"/>
        <w:rPr>
          <w:sz w:val="24"/>
          <w:szCs w:val="24"/>
        </w:rPr>
      </w:pPr>
    </w:p>
    <w:p w14:paraId="68F990B5" w14:textId="77777777" w:rsidR="001138CA" w:rsidRPr="001138CA" w:rsidRDefault="001138CA" w:rsidP="001138CA">
      <w:pPr>
        <w:spacing w:after="0" w:line="276" w:lineRule="auto"/>
        <w:rPr>
          <w:sz w:val="24"/>
          <w:szCs w:val="24"/>
        </w:rPr>
      </w:pPr>
    </w:p>
    <w:p w14:paraId="49316B29" w14:textId="77777777" w:rsidR="001138CA" w:rsidRPr="001138CA" w:rsidRDefault="001138CA" w:rsidP="001138CA">
      <w:pPr>
        <w:spacing w:after="0" w:line="276" w:lineRule="auto"/>
        <w:rPr>
          <w:sz w:val="24"/>
          <w:szCs w:val="24"/>
        </w:rPr>
      </w:pPr>
    </w:p>
    <w:p w14:paraId="07E8E3F5" w14:textId="77777777" w:rsidR="001138CA" w:rsidRPr="001138CA" w:rsidRDefault="001138CA" w:rsidP="001138CA">
      <w:pPr>
        <w:spacing w:after="0" w:line="276" w:lineRule="auto"/>
        <w:rPr>
          <w:sz w:val="24"/>
          <w:szCs w:val="24"/>
        </w:rPr>
      </w:pPr>
      <w:r w:rsidRPr="001138CA">
        <w:rPr>
          <w:sz w:val="24"/>
          <w:szCs w:val="24"/>
        </w:rPr>
        <w:t>Signature ……………………………………………………………………………………………</w:t>
      </w:r>
      <w:proofErr w:type="gramStart"/>
      <w:r w:rsidRPr="001138CA">
        <w:rPr>
          <w:sz w:val="24"/>
          <w:szCs w:val="24"/>
        </w:rPr>
        <w:t>…..</w:t>
      </w:r>
      <w:proofErr w:type="gramEnd"/>
    </w:p>
    <w:p w14:paraId="0C7DDC3D" w14:textId="77777777" w:rsidR="001138CA" w:rsidRPr="001138CA" w:rsidRDefault="001138CA" w:rsidP="001138CA">
      <w:pPr>
        <w:spacing w:after="0" w:line="276" w:lineRule="auto"/>
        <w:rPr>
          <w:sz w:val="24"/>
          <w:szCs w:val="24"/>
        </w:rPr>
      </w:pPr>
    </w:p>
    <w:p w14:paraId="5376C668" w14:textId="77777777" w:rsidR="001138CA" w:rsidRDefault="001138CA" w:rsidP="001138CA">
      <w:pPr>
        <w:spacing w:after="0" w:line="276" w:lineRule="auto"/>
        <w:rPr>
          <w:sz w:val="24"/>
          <w:szCs w:val="24"/>
        </w:rPr>
      </w:pPr>
      <w:r w:rsidRPr="001138CA">
        <w:rPr>
          <w:sz w:val="24"/>
          <w:szCs w:val="24"/>
        </w:rPr>
        <w:t>Date ……………………………………………………………………………………………………</w:t>
      </w:r>
      <w:proofErr w:type="gramStart"/>
      <w:r w:rsidRPr="001138CA">
        <w:rPr>
          <w:sz w:val="24"/>
          <w:szCs w:val="24"/>
        </w:rPr>
        <w:t>…..</w:t>
      </w:r>
      <w:proofErr w:type="gramEnd"/>
    </w:p>
    <w:p w14:paraId="0EA6711B" w14:textId="77777777" w:rsidR="001138CA" w:rsidRDefault="001138CA">
      <w:pPr>
        <w:rPr>
          <w:sz w:val="24"/>
          <w:szCs w:val="24"/>
        </w:rPr>
      </w:pPr>
      <w:r>
        <w:rPr>
          <w:sz w:val="24"/>
          <w:szCs w:val="24"/>
        </w:rPr>
        <w:br w:type="page"/>
      </w:r>
    </w:p>
    <w:sdt>
      <w:sdtPr>
        <w:rPr>
          <w:rFonts w:asciiTheme="minorHAnsi" w:eastAsiaTheme="minorHAnsi" w:hAnsiTheme="minorHAnsi" w:cstheme="minorBidi"/>
          <w:color w:val="auto"/>
          <w:sz w:val="22"/>
          <w:szCs w:val="22"/>
          <w:lang w:val="en-GB"/>
        </w:rPr>
        <w:id w:val="2044554485"/>
        <w:docPartObj>
          <w:docPartGallery w:val="Table of Contents"/>
          <w:docPartUnique/>
        </w:docPartObj>
      </w:sdtPr>
      <w:sdtEndPr>
        <w:rPr>
          <w:b/>
          <w:bCs/>
          <w:noProof/>
        </w:rPr>
      </w:sdtEndPr>
      <w:sdtContent>
        <w:p w14:paraId="645546E4" w14:textId="53C1628F" w:rsidR="007544CE" w:rsidRDefault="007544CE">
          <w:pPr>
            <w:pStyle w:val="TOCHeading"/>
          </w:pPr>
          <w:r>
            <w:t>Table of Contents</w:t>
          </w:r>
        </w:p>
        <w:p w14:paraId="6A11BDEA" w14:textId="332B2887" w:rsidR="003C406F" w:rsidRDefault="007544CE">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33017413" w:history="1">
            <w:r w:rsidR="003C406F" w:rsidRPr="004F5A18">
              <w:rPr>
                <w:rStyle w:val="Hyperlink"/>
                <w:noProof/>
              </w:rPr>
              <w:t>List of Figures</w:t>
            </w:r>
            <w:r w:rsidR="003C406F">
              <w:rPr>
                <w:noProof/>
                <w:webHidden/>
              </w:rPr>
              <w:tab/>
            </w:r>
            <w:r w:rsidR="003C406F">
              <w:rPr>
                <w:noProof/>
                <w:webHidden/>
              </w:rPr>
              <w:fldChar w:fldCharType="begin"/>
            </w:r>
            <w:r w:rsidR="003C406F">
              <w:rPr>
                <w:noProof/>
                <w:webHidden/>
              </w:rPr>
              <w:instrText xml:space="preserve"> PAGEREF _Toc33017413 \h </w:instrText>
            </w:r>
            <w:r w:rsidR="003C406F">
              <w:rPr>
                <w:noProof/>
                <w:webHidden/>
              </w:rPr>
            </w:r>
            <w:r w:rsidR="003C406F">
              <w:rPr>
                <w:noProof/>
                <w:webHidden/>
              </w:rPr>
              <w:fldChar w:fldCharType="separate"/>
            </w:r>
            <w:r w:rsidR="003C406F">
              <w:rPr>
                <w:noProof/>
                <w:webHidden/>
              </w:rPr>
              <w:t>5</w:t>
            </w:r>
            <w:r w:rsidR="003C406F">
              <w:rPr>
                <w:noProof/>
                <w:webHidden/>
              </w:rPr>
              <w:fldChar w:fldCharType="end"/>
            </w:r>
          </w:hyperlink>
        </w:p>
        <w:p w14:paraId="45AFA5C1" w14:textId="668AA635" w:rsidR="003C406F" w:rsidRDefault="0020643C">
          <w:pPr>
            <w:pStyle w:val="TOC1"/>
            <w:tabs>
              <w:tab w:val="right" w:leader="dot" w:pos="9016"/>
            </w:tabs>
            <w:rPr>
              <w:rFonts w:cstheme="minorBidi"/>
              <w:noProof/>
              <w:lang w:val="en-GB" w:eastAsia="en-GB"/>
            </w:rPr>
          </w:pPr>
          <w:hyperlink w:anchor="_Toc33017414" w:history="1">
            <w:r w:rsidR="003C406F" w:rsidRPr="004F5A18">
              <w:rPr>
                <w:rStyle w:val="Hyperlink"/>
                <w:noProof/>
              </w:rPr>
              <w:t>List of Tables</w:t>
            </w:r>
            <w:r w:rsidR="003C406F">
              <w:rPr>
                <w:noProof/>
                <w:webHidden/>
              </w:rPr>
              <w:tab/>
            </w:r>
            <w:r w:rsidR="003C406F">
              <w:rPr>
                <w:noProof/>
                <w:webHidden/>
              </w:rPr>
              <w:fldChar w:fldCharType="begin"/>
            </w:r>
            <w:r w:rsidR="003C406F">
              <w:rPr>
                <w:noProof/>
                <w:webHidden/>
              </w:rPr>
              <w:instrText xml:space="preserve"> PAGEREF _Toc33017414 \h </w:instrText>
            </w:r>
            <w:r w:rsidR="003C406F">
              <w:rPr>
                <w:noProof/>
                <w:webHidden/>
              </w:rPr>
            </w:r>
            <w:r w:rsidR="003C406F">
              <w:rPr>
                <w:noProof/>
                <w:webHidden/>
              </w:rPr>
              <w:fldChar w:fldCharType="separate"/>
            </w:r>
            <w:r w:rsidR="003C406F">
              <w:rPr>
                <w:noProof/>
                <w:webHidden/>
              </w:rPr>
              <w:t>6</w:t>
            </w:r>
            <w:r w:rsidR="003C406F">
              <w:rPr>
                <w:noProof/>
                <w:webHidden/>
              </w:rPr>
              <w:fldChar w:fldCharType="end"/>
            </w:r>
          </w:hyperlink>
        </w:p>
        <w:p w14:paraId="7E76BE97" w14:textId="50B470FC" w:rsidR="003C406F" w:rsidRDefault="0020643C">
          <w:pPr>
            <w:pStyle w:val="TOC1"/>
            <w:tabs>
              <w:tab w:val="right" w:leader="dot" w:pos="9016"/>
            </w:tabs>
            <w:rPr>
              <w:rFonts w:cstheme="minorBidi"/>
              <w:noProof/>
              <w:lang w:val="en-GB" w:eastAsia="en-GB"/>
            </w:rPr>
          </w:pPr>
          <w:hyperlink w:anchor="_Toc33017415" w:history="1">
            <w:r w:rsidR="003C406F" w:rsidRPr="004F5A18">
              <w:rPr>
                <w:rStyle w:val="Hyperlink"/>
                <w:noProof/>
              </w:rPr>
              <w:t>Acknowledgements</w:t>
            </w:r>
            <w:r w:rsidR="003C406F">
              <w:rPr>
                <w:noProof/>
                <w:webHidden/>
              </w:rPr>
              <w:tab/>
            </w:r>
            <w:r w:rsidR="003C406F">
              <w:rPr>
                <w:noProof/>
                <w:webHidden/>
              </w:rPr>
              <w:fldChar w:fldCharType="begin"/>
            </w:r>
            <w:r w:rsidR="003C406F">
              <w:rPr>
                <w:noProof/>
                <w:webHidden/>
              </w:rPr>
              <w:instrText xml:space="preserve"> PAGEREF _Toc33017415 \h </w:instrText>
            </w:r>
            <w:r w:rsidR="003C406F">
              <w:rPr>
                <w:noProof/>
                <w:webHidden/>
              </w:rPr>
            </w:r>
            <w:r w:rsidR="003C406F">
              <w:rPr>
                <w:noProof/>
                <w:webHidden/>
              </w:rPr>
              <w:fldChar w:fldCharType="separate"/>
            </w:r>
            <w:r w:rsidR="003C406F">
              <w:rPr>
                <w:noProof/>
                <w:webHidden/>
              </w:rPr>
              <w:t>7</w:t>
            </w:r>
            <w:r w:rsidR="003C406F">
              <w:rPr>
                <w:noProof/>
                <w:webHidden/>
              </w:rPr>
              <w:fldChar w:fldCharType="end"/>
            </w:r>
          </w:hyperlink>
        </w:p>
        <w:p w14:paraId="2C7AB31F" w14:textId="5EA99E4D" w:rsidR="003C406F" w:rsidRDefault="0020643C">
          <w:pPr>
            <w:pStyle w:val="TOC1"/>
            <w:tabs>
              <w:tab w:val="right" w:leader="dot" w:pos="9016"/>
            </w:tabs>
            <w:rPr>
              <w:rFonts w:cstheme="minorBidi"/>
              <w:noProof/>
              <w:lang w:val="en-GB" w:eastAsia="en-GB"/>
            </w:rPr>
          </w:pPr>
          <w:hyperlink w:anchor="_Toc33017416" w:history="1">
            <w:r w:rsidR="003C406F" w:rsidRPr="004F5A18">
              <w:rPr>
                <w:rStyle w:val="Hyperlink"/>
                <w:noProof/>
              </w:rPr>
              <w:t>Abstract</w:t>
            </w:r>
            <w:r w:rsidR="003C406F">
              <w:rPr>
                <w:noProof/>
                <w:webHidden/>
              </w:rPr>
              <w:tab/>
            </w:r>
            <w:r w:rsidR="003C406F">
              <w:rPr>
                <w:noProof/>
                <w:webHidden/>
              </w:rPr>
              <w:fldChar w:fldCharType="begin"/>
            </w:r>
            <w:r w:rsidR="003C406F">
              <w:rPr>
                <w:noProof/>
                <w:webHidden/>
              </w:rPr>
              <w:instrText xml:space="preserve"> PAGEREF _Toc33017416 \h </w:instrText>
            </w:r>
            <w:r w:rsidR="003C406F">
              <w:rPr>
                <w:noProof/>
                <w:webHidden/>
              </w:rPr>
            </w:r>
            <w:r w:rsidR="003C406F">
              <w:rPr>
                <w:noProof/>
                <w:webHidden/>
              </w:rPr>
              <w:fldChar w:fldCharType="separate"/>
            </w:r>
            <w:r w:rsidR="003C406F">
              <w:rPr>
                <w:noProof/>
                <w:webHidden/>
              </w:rPr>
              <w:t>8</w:t>
            </w:r>
            <w:r w:rsidR="003C406F">
              <w:rPr>
                <w:noProof/>
                <w:webHidden/>
              </w:rPr>
              <w:fldChar w:fldCharType="end"/>
            </w:r>
          </w:hyperlink>
        </w:p>
        <w:p w14:paraId="7A36874C" w14:textId="7784E1A8" w:rsidR="003C406F" w:rsidRDefault="0020643C">
          <w:pPr>
            <w:pStyle w:val="TOC1"/>
            <w:tabs>
              <w:tab w:val="right" w:leader="dot" w:pos="9016"/>
            </w:tabs>
            <w:rPr>
              <w:rFonts w:cstheme="minorBidi"/>
              <w:noProof/>
              <w:lang w:val="en-GB" w:eastAsia="en-GB"/>
            </w:rPr>
          </w:pPr>
          <w:hyperlink w:anchor="_Toc33017417" w:history="1">
            <w:r w:rsidR="003C406F" w:rsidRPr="004F5A18">
              <w:rPr>
                <w:rStyle w:val="Hyperlink"/>
                <w:noProof/>
              </w:rPr>
              <w:t>List of Abbreviations</w:t>
            </w:r>
            <w:r w:rsidR="003C406F">
              <w:rPr>
                <w:noProof/>
                <w:webHidden/>
              </w:rPr>
              <w:tab/>
            </w:r>
            <w:r w:rsidR="003C406F">
              <w:rPr>
                <w:noProof/>
                <w:webHidden/>
              </w:rPr>
              <w:fldChar w:fldCharType="begin"/>
            </w:r>
            <w:r w:rsidR="003C406F">
              <w:rPr>
                <w:noProof/>
                <w:webHidden/>
              </w:rPr>
              <w:instrText xml:space="preserve"> PAGEREF _Toc33017417 \h </w:instrText>
            </w:r>
            <w:r w:rsidR="003C406F">
              <w:rPr>
                <w:noProof/>
                <w:webHidden/>
              </w:rPr>
            </w:r>
            <w:r w:rsidR="003C406F">
              <w:rPr>
                <w:noProof/>
                <w:webHidden/>
              </w:rPr>
              <w:fldChar w:fldCharType="separate"/>
            </w:r>
            <w:r w:rsidR="003C406F">
              <w:rPr>
                <w:noProof/>
                <w:webHidden/>
              </w:rPr>
              <w:t>9</w:t>
            </w:r>
            <w:r w:rsidR="003C406F">
              <w:rPr>
                <w:noProof/>
                <w:webHidden/>
              </w:rPr>
              <w:fldChar w:fldCharType="end"/>
            </w:r>
          </w:hyperlink>
        </w:p>
        <w:p w14:paraId="18F1630D" w14:textId="7F2D2F4A" w:rsidR="003C406F" w:rsidRDefault="0020643C">
          <w:pPr>
            <w:pStyle w:val="TOC1"/>
            <w:tabs>
              <w:tab w:val="left" w:pos="440"/>
              <w:tab w:val="right" w:leader="dot" w:pos="9016"/>
            </w:tabs>
            <w:rPr>
              <w:rFonts w:cstheme="minorBidi"/>
              <w:noProof/>
              <w:lang w:val="en-GB" w:eastAsia="en-GB"/>
            </w:rPr>
          </w:pPr>
          <w:hyperlink w:anchor="_Toc33017418" w:history="1">
            <w:r w:rsidR="003C406F" w:rsidRPr="004F5A18">
              <w:rPr>
                <w:rStyle w:val="Hyperlink"/>
                <w:noProof/>
              </w:rPr>
              <w:t>1.</w:t>
            </w:r>
            <w:r w:rsidR="003C406F">
              <w:rPr>
                <w:rFonts w:cstheme="minorBidi"/>
                <w:noProof/>
                <w:lang w:val="en-GB" w:eastAsia="en-GB"/>
              </w:rPr>
              <w:tab/>
            </w:r>
            <w:r w:rsidR="003C406F" w:rsidRPr="004F5A18">
              <w:rPr>
                <w:rStyle w:val="Hyperlink"/>
                <w:noProof/>
              </w:rPr>
              <w:t>Introduction</w:t>
            </w:r>
            <w:r w:rsidR="003C406F">
              <w:rPr>
                <w:noProof/>
                <w:webHidden/>
              </w:rPr>
              <w:tab/>
            </w:r>
            <w:r w:rsidR="003C406F">
              <w:rPr>
                <w:noProof/>
                <w:webHidden/>
              </w:rPr>
              <w:fldChar w:fldCharType="begin"/>
            </w:r>
            <w:r w:rsidR="003C406F">
              <w:rPr>
                <w:noProof/>
                <w:webHidden/>
              </w:rPr>
              <w:instrText xml:space="preserve"> PAGEREF _Toc33017418 \h </w:instrText>
            </w:r>
            <w:r w:rsidR="003C406F">
              <w:rPr>
                <w:noProof/>
                <w:webHidden/>
              </w:rPr>
            </w:r>
            <w:r w:rsidR="003C406F">
              <w:rPr>
                <w:noProof/>
                <w:webHidden/>
              </w:rPr>
              <w:fldChar w:fldCharType="separate"/>
            </w:r>
            <w:r w:rsidR="003C406F">
              <w:rPr>
                <w:noProof/>
                <w:webHidden/>
              </w:rPr>
              <w:t>10</w:t>
            </w:r>
            <w:r w:rsidR="003C406F">
              <w:rPr>
                <w:noProof/>
                <w:webHidden/>
              </w:rPr>
              <w:fldChar w:fldCharType="end"/>
            </w:r>
          </w:hyperlink>
        </w:p>
        <w:p w14:paraId="7F71A7AF" w14:textId="3A0DACF9" w:rsidR="003C406F" w:rsidRDefault="0020643C">
          <w:pPr>
            <w:pStyle w:val="TOC1"/>
            <w:tabs>
              <w:tab w:val="left" w:pos="440"/>
              <w:tab w:val="right" w:leader="dot" w:pos="9016"/>
            </w:tabs>
            <w:rPr>
              <w:rFonts w:cstheme="minorBidi"/>
              <w:noProof/>
              <w:lang w:val="en-GB" w:eastAsia="en-GB"/>
            </w:rPr>
          </w:pPr>
          <w:hyperlink w:anchor="_Toc33017419" w:history="1">
            <w:r w:rsidR="003C406F" w:rsidRPr="004F5A18">
              <w:rPr>
                <w:rStyle w:val="Hyperlink"/>
                <w:noProof/>
              </w:rPr>
              <w:t>2.</w:t>
            </w:r>
            <w:r w:rsidR="003C406F">
              <w:rPr>
                <w:rFonts w:cstheme="minorBidi"/>
                <w:noProof/>
                <w:lang w:val="en-GB" w:eastAsia="en-GB"/>
              </w:rPr>
              <w:tab/>
            </w:r>
            <w:r w:rsidR="003C406F" w:rsidRPr="004F5A18">
              <w:rPr>
                <w:rStyle w:val="Hyperlink"/>
                <w:noProof/>
              </w:rPr>
              <w:t>Literature Review</w:t>
            </w:r>
            <w:r w:rsidR="003C406F">
              <w:rPr>
                <w:noProof/>
                <w:webHidden/>
              </w:rPr>
              <w:tab/>
            </w:r>
            <w:r w:rsidR="003C406F">
              <w:rPr>
                <w:noProof/>
                <w:webHidden/>
              </w:rPr>
              <w:fldChar w:fldCharType="begin"/>
            </w:r>
            <w:r w:rsidR="003C406F">
              <w:rPr>
                <w:noProof/>
                <w:webHidden/>
              </w:rPr>
              <w:instrText xml:space="preserve"> PAGEREF _Toc33017419 \h </w:instrText>
            </w:r>
            <w:r w:rsidR="003C406F">
              <w:rPr>
                <w:noProof/>
                <w:webHidden/>
              </w:rPr>
            </w:r>
            <w:r w:rsidR="003C406F">
              <w:rPr>
                <w:noProof/>
                <w:webHidden/>
              </w:rPr>
              <w:fldChar w:fldCharType="separate"/>
            </w:r>
            <w:r w:rsidR="003C406F">
              <w:rPr>
                <w:noProof/>
                <w:webHidden/>
              </w:rPr>
              <w:t>11</w:t>
            </w:r>
            <w:r w:rsidR="003C406F">
              <w:rPr>
                <w:noProof/>
                <w:webHidden/>
              </w:rPr>
              <w:fldChar w:fldCharType="end"/>
            </w:r>
          </w:hyperlink>
        </w:p>
        <w:p w14:paraId="368D8780" w14:textId="4349320C" w:rsidR="007544CE" w:rsidRDefault="007544CE">
          <w:r>
            <w:rPr>
              <w:b/>
              <w:bCs/>
              <w:noProof/>
            </w:rPr>
            <w:fldChar w:fldCharType="end"/>
          </w:r>
        </w:p>
      </w:sdtContent>
    </w:sdt>
    <w:p w14:paraId="224DCCD0" w14:textId="20895DF9" w:rsidR="007544CE" w:rsidRDefault="007544CE">
      <w:pPr>
        <w:rPr>
          <w:sz w:val="36"/>
          <w:szCs w:val="36"/>
        </w:rPr>
      </w:pPr>
      <w:r>
        <w:rPr>
          <w:sz w:val="36"/>
          <w:szCs w:val="36"/>
        </w:rPr>
        <w:br w:type="page"/>
      </w:r>
    </w:p>
    <w:p w14:paraId="50885507" w14:textId="6653B0B7" w:rsidR="005969FF" w:rsidRDefault="00414043" w:rsidP="00D8702C">
      <w:pPr>
        <w:pStyle w:val="Heading1"/>
      </w:pPr>
      <w:bookmarkStart w:id="0" w:name="_Toc33017413"/>
      <w:r>
        <w:lastRenderedPageBreak/>
        <w:t xml:space="preserve">List of </w:t>
      </w:r>
      <w:r w:rsidR="00A516B8">
        <w:t>F</w:t>
      </w:r>
      <w:r>
        <w:t>igures</w:t>
      </w:r>
      <w:bookmarkEnd w:id="0"/>
      <w:r>
        <w:t xml:space="preserve"> </w:t>
      </w:r>
    </w:p>
    <w:p w14:paraId="0DE81697" w14:textId="77777777" w:rsidR="00A516B8" w:rsidRDefault="00A516B8">
      <w:pPr>
        <w:rPr>
          <w:rFonts w:asciiTheme="majorHAnsi" w:eastAsiaTheme="majorEastAsia" w:hAnsiTheme="majorHAnsi" w:cstheme="majorBidi"/>
          <w:color w:val="2F5496" w:themeColor="accent1" w:themeShade="BF"/>
          <w:sz w:val="32"/>
          <w:szCs w:val="32"/>
        </w:rPr>
      </w:pPr>
      <w:r>
        <w:br w:type="page"/>
      </w:r>
    </w:p>
    <w:p w14:paraId="27054D04" w14:textId="307D0F7C" w:rsidR="00D8702C" w:rsidRDefault="00D8702C" w:rsidP="00D8702C">
      <w:pPr>
        <w:pStyle w:val="Heading1"/>
      </w:pPr>
      <w:r>
        <w:lastRenderedPageBreak/>
        <w:t xml:space="preserve"> </w:t>
      </w:r>
      <w:bookmarkStart w:id="1" w:name="_Toc33017414"/>
      <w:r w:rsidR="00A516B8">
        <w:t>List of Tables</w:t>
      </w:r>
      <w:bookmarkEnd w:id="1"/>
      <w:r w:rsidR="00A516B8">
        <w:t xml:space="preserve"> </w:t>
      </w:r>
    </w:p>
    <w:p w14:paraId="48C7C736" w14:textId="3332412E" w:rsidR="00A516B8" w:rsidRDefault="00A516B8">
      <w:r>
        <w:br w:type="page"/>
      </w:r>
    </w:p>
    <w:p w14:paraId="4C1F3162" w14:textId="77777777" w:rsidR="00D72222" w:rsidRDefault="00394FF4" w:rsidP="00394FF4">
      <w:pPr>
        <w:pStyle w:val="Heading1"/>
      </w:pPr>
      <w:bookmarkStart w:id="2" w:name="_Toc33017415"/>
      <w:r>
        <w:lastRenderedPageBreak/>
        <w:t>Acknowledgements</w:t>
      </w:r>
      <w:bookmarkEnd w:id="2"/>
    </w:p>
    <w:p w14:paraId="428EF2CA" w14:textId="77777777" w:rsidR="00A02A00" w:rsidRDefault="00A02A00"/>
    <w:p w14:paraId="6566DB7D" w14:textId="67F87AE1" w:rsidR="00D72222" w:rsidRPr="00FD1343" w:rsidRDefault="00A02A00">
      <w:pPr>
        <w:rPr>
          <w:rFonts w:asciiTheme="majorHAnsi" w:eastAsiaTheme="majorEastAsia" w:hAnsiTheme="majorHAnsi" w:cstheme="majorBidi"/>
          <w:color w:val="2F5496" w:themeColor="accent1" w:themeShade="BF"/>
          <w:sz w:val="24"/>
          <w:szCs w:val="24"/>
        </w:rPr>
      </w:pPr>
      <w:r w:rsidRPr="00FD1343">
        <w:rPr>
          <w:sz w:val="24"/>
          <w:szCs w:val="24"/>
        </w:rPr>
        <w:t xml:space="preserve">E.T.W Rees would like to take the opportunity to thank Juan Ferriz-Papi, Keerthi </w:t>
      </w:r>
      <w:proofErr w:type="spellStart"/>
      <w:r w:rsidRPr="00FD1343">
        <w:rPr>
          <w:sz w:val="24"/>
          <w:szCs w:val="24"/>
        </w:rPr>
        <w:t>Rasinghi</w:t>
      </w:r>
      <w:proofErr w:type="spellEnd"/>
      <w:r w:rsidRPr="00FD1343">
        <w:rPr>
          <w:sz w:val="24"/>
          <w:szCs w:val="24"/>
        </w:rPr>
        <w:t xml:space="preserve"> and Debbie Williams for their assistance during the initial phases of the research, the University Of Wales Trinity St David for the resources that enabled this research to be carried out, and lastly a huge thanks to the authors family for their continued support.</w:t>
      </w:r>
      <w:r w:rsidR="00D72222" w:rsidRPr="00FD1343">
        <w:rPr>
          <w:sz w:val="24"/>
          <w:szCs w:val="24"/>
        </w:rPr>
        <w:br w:type="page"/>
      </w:r>
    </w:p>
    <w:p w14:paraId="33C8CD0A" w14:textId="77777777" w:rsidR="00D72222" w:rsidRDefault="00D72222" w:rsidP="00D72222">
      <w:pPr>
        <w:pStyle w:val="Heading1"/>
      </w:pPr>
      <w:bookmarkStart w:id="3" w:name="_Toc33017416"/>
      <w:r>
        <w:lastRenderedPageBreak/>
        <w:t>Abstract</w:t>
      </w:r>
      <w:bookmarkEnd w:id="3"/>
      <w:r>
        <w:t xml:space="preserve"> </w:t>
      </w:r>
    </w:p>
    <w:p w14:paraId="3BD54614" w14:textId="77777777" w:rsidR="00D174B1" w:rsidRDefault="00D174B1">
      <w:pPr>
        <w:rPr>
          <w:rFonts w:asciiTheme="minorBidi" w:hAnsiTheme="minorBidi"/>
        </w:rPr>
      </w:pPr>
    </w:p>
    <w:p w14:paraId="319165FC" w14:textId="11C01E5D" w:rsidR="001D2E5B" w:rsidRDefault="00FD1343">
      <w:pPr>
        <w:rPr>
          <w:sz w:val="24"/>
          <w:szCs w:val="24"/>
        </w:rPr>
      </w:pPr>
      <w:r w:rsidRPr="00FD1343">
        <w:rPr>
          <w:sz w:val="24"/>
          <w:szCs w:val="24"/>
        </w:rPr>
        <w:t xml:space="preserve">Accumulations of large woody debris can worsen scour at a bridge pier and thereby lead to structural damage. Accumulations can also increase the flood risk in adjacent areas. These consequences can cause disruption to local communities and even pose a risk to human life. Current methodologies acknowledge the existence of these effects of debris but do not provide a practical method, usable by engineers and practitioners, to assess the potential for debris accumulation at a bridge structure based on readily available data. This work aims to address this practical need by proposing a methodology based on direct and indirect observations. Using this methodology, a desk-based analysis can be performed to assess whether a bridge is prone to the formation of debris accumulations. Direct observations may include information from inspection reports, satellite imagery and tree removal </w:t>
      </w:r>
      <w:r w:rsidR="005E7061" w:rsidRPr="00FD1343">
        <w:rPr>
          <w:sz w:val="24"/>
          <w:szCs w:val="24"/>
        </w:rPr>
        <w:t>work</w:t>
      </w:r>
      <w:r w:rsidRPr="00FD1343">
        <w:rPr>
          <w:sz w:val="24"/>
          <w:szCs w:val="24"/>
        </w:rPr>
        <w:t xml:space="preserve">, while indirect observations may use information related to the geographical location of the bridge such as on other structures that share the watercourse or the presence of forested areas in its proximity. This methodology has been applied to local authority-owned bridges in </w:t>
      </w:r>
      <w:r w:rsidR="00B936AE">
        <w:rPr>
          <w:sz w:val="24"/>
          <w:szCs w:val="24"/>
        </w:rPr>
        <w:t>Carmarthenshire</w:t>
      </w:r>
      <w:r w:rsidRPr="00FD1343">
        <w:rPr>
          <w:sz w:val="24"/>
          <w:szCs w:val="24"/>
        </w:rPr>
        <w:t xml:space="preserve">, UK. Results show that </w:t>
      </w:r>
      <w:r w:rsidR="00D45697" w:rsidRPr="00FD1343">
        <w:rPr>
          <w:sz w:val="24"/>
          <w:szCs w:val="24"/>
        </w:rPr>
        <w:t>many</w:t>
      </w:r>
      <w:r w:rsidRPr="00FD1343">
        <w:rPr>
          <w:sz w:val="24"/>
          <w:szCs w:val="24"/>
        </w:rPr>
        <w:t xml:space="preserve"> structures (100 out of over 3000 bridges) are liable to debris accumulations. Direct observations served as primary evidence for over 80% of the bridges liable to debris accumulations. For many cases, direct observations existed to corroborate indirect observations suggesting that indirect observations can also be relied upon. The proposed methodology has also been applied to the prioritisation of bridge inspections for scour assessment. Results showed that many of the bridges prone to debris accumulations would need to be prioritised for scour inspections over other bridges in the aftermath of floods due to their significantly higher risk to scour in the presence of debris</w:t>
      </w:r>
    </w:p>
    <w:p w14:paraId="1DE4D95F" w14:textId="77777777" w:rsidR="001D2E5B" w:rsidRDefault="001D2E5B">
      <w:pPr>
        <w:rPr>
          <w:sz w:val="24"/>
          <w:szCs w:val="24"/>
        </w:rPr>
      </w:pPr>
    </w:p>
    <w:p w14:paraId="6AB2C775" w14:textId="52A559D4" w:rsidR="00D72222" w:rsidRPr="00BF0944" w:rsidRDefault="001D2E5B">
      <w:pPr>
        <w:rPr>
          <w:rFonts w:asciiTheme="majorHAnsi" w:eastAsiaTheme="majorEastAsia" w:hAnsiTheme="majorHAnsi" w:cstheme="majorBidi"/>
          <w:color w:val="2F5496" w:themeColor="accent1" w:themeShade="BF"/>
          <w:sz w:val="24"/>
          <w:szCs w:val="24"/>
        </w:rPr>
      </w:pPr>
      <w:r w:rsidRPr="001D2E5B">
        <w:rPr>
          <w:sz w:val="24"/>
          <w:szCs w:val="24"/>
        </w:rPr>
        <w:t>This paper introduces a novel method for evaluating the effect of debris accumulation on local scour depth at bridge piers. The concept of a debris factor is proposed to replace the current effective and equivalent pier width approaches that have been shown to overestimate debris-induced scour in many instances. The concept enables a simpler, more direct and realistic estimation of the change in local scour depth due to debris since it accounts for (i) debris length (streamwise), width (spanwise) and thickness (depth wise), and (ii) the influence of debris elevation in flow, i.e. is applicable for free-surface debris, submerged debris, or debris resting on the stream bed. The concept works with all existing local scour equations alongside other factors that influence scour depth such as flow angle of attack and pier shape. The mathematical model that underpins the proposed concept is derived through multiple linear regression on experimental data obtained at Exeter and elsewhere. The proposed method is shown to improve accuracy by at least 24% and 5% in comparison to the effective and equivalent pier width approaches, respectively. More importantly, the method is shown to be robust, providing highly consistent results with significantly less uncertainty</w:t>
      </w:r>
      <w:r w:rsidR="00D72222" w:rsidRPr="00BF0944">
        <w:rPr>
          <w:sz w:val="24"/>
          <w:szCs w:val="24"/>
        </w:rPr>
        <w:br w:type="page"/>
      </w:r>
    </w:p>
    <w:p w14:paraId="62C1A426" w14:textId="77777777" w:rsidR="00355DFB" w:rsidRDefault="00355DFB" w:rsidP="00D72222">
      <w:pPr>
        <w:pStyle w:val="Heading1"/>
      </w:pPr>
      <w:bookmarkStart w:id="4" w:name="_Toc33017417"/>
      <w:r>
        <w:lastRenderedPageBreak/>
        <w:t>List of Abbreviations</w:t>
      </w:r>
      <w:bookmarkEnd w:id="4"/>
      <w:r>
        <w:t xml:space="preserve"> </w:t>
      </w:r>
    </w:p>
    <w:p w14:paraId="13224F3F" w14:textId="77777777" w:rsidR="00355DFB" w:rsidRDefault="00355DFB">
      <w:pPr>
        <w:rPr>
          <w:rFonts w:asciiTheme="majorHAnsi" w:eastAsiaTheme="majorEastAsia" w:hAnsiTheme="majorHAnsi" w:cstheme="majorBidi"/>
          <w:color w:val="2F5496" w:themeColor="accent1" w:themeShade="BF"/>
          <w:sz w:val="32"/>
          <w:szCs w:val="32"/>
        </w:rPr>
      </w:pPr>
      <w:r>
        <w:br w:type="page"/>
      </w:r>
    </w:p>
    <w:p w14:paraId="07C21774" w14:textId="750F310F" w:rsidR="00C1051E" w:rsidRDefault="002A5DA2" w:rsidP="004D146A">
      <w:pPr>
        <w:pStyle w:val="Heading1"/>
        <w:numPr>
          <w:ilvl w:val="0"/>
          <w:numId w:val="1"/>
        </w:numPr>
      </w:pPr>
      <w:bookmarkStart w:id="5" w:name="_Toc33017418"/>
      <w:r>
        <w:lastRenderedPageBreak/>
        <w:t>Introduction</w:t>
      </w:r>
      <w:bookmarkEnd w:id="5"/>
      <w:r>
        <w:t xml:space="preserve"> </w:t>
      </w:r>
    </w:p>
    <w:p w14:paraId="62DA121F" w14:textId="77777777" w:rsidR="009D4D73" w:rsidRPr="0001135F" w:rsidRDefault="009D4D73" w:rsidP="009D4D73">
      <w:pPr>
        <w:rPr>
          <w:sz w:val="24"/>
          <w:szCs w:val="24"/>
        </w:rPr>
      </w:pPr>
    </w:p>
    <w:p w14:paraId="2944EAFA" w14:textId="67025B6E" w:rsidR="004D146A" w:rsidRPr="0001135F" w:rsidRDefault="004D146A" w:rsidP="004D146A">
      <w:pPr>
        <w:rPr>
          <w:sz w:val="24"/>
          <w:szCs w:val="24"/>
        </w:rPr>
      </w:pPr>
      <w:r w:rsidRPr="0001135F">
        <w:rPr>
          <w:sz w:val="24"/>
          <w:szCs w:val="24"/>
        </w:rPr>
        <w:t xml:space="preserve">Woody debris, also known as </w:t>
      </w:r>
      <w:r w:rsidR="009D4D73" w:rsidRPr="0001135F">
        <w:rPr>
          <w:sz w:val="24"/>
          <w:szCs w:val="24"/>
        </w:rPr>
        <w:t>driftwood</w:t>
      </w:r>
      <w:r w:rsidRPr="0001135F">
        <w:rPr>
          <w:sz w:val="24"/>
          <w:szCs w:val="24"/>
        </w:rPr>
        <w:t xml:space="preserve">, large wood or in-stream wood in literature (e.g. Bradley et al., 2005) is generally defined as logs having length greater than 1 m and diameter of at least 10 cm (e.g. </w:t>
      </w:r>
      <w:proofErr w:type="spellStart"/>
      <w:r w:rsidRPr="0001135F">
        <w:rPr>
          <w:sz w:val="24"/>
          <w:szCs w:val="24"/>
        </w:rPr>
        <w:t>Gippel</w:t>
      </w:r>
      <w:proofErr w:type="spellEnd"/>
      <w:r w:rsidRPr="0001135F">
        <w:rPr>
          <w:sz w:val="24"/>
          <w:szCs w:val="24"/>
        </w:rPr>
        <w:t xml:space="preserve"> et al., 1996). Woody debris that are transported by </w:t>
      </w:r>
      <w:bookmarkStart w:id="6" w:name="_GoBack"/>
      <w:bookmarkEnd w:id="6"/>
      <w:r w:rsidRPr="0001135F">
        <w:rPr>
          <w:sz w:val="24"/>
          <w:szCs w:val="24"/>
        </w:rPr>
        <w:t>rivers can accumulate at bridge piers, particularly during flood events (</w:t>
      </w:r>
      <w:proofErr w:type="spellStart"/>
      <w:r w:rsidRPr="0001135F">
        <w:rPr>
          <w:sz w:val="24"/>
          <w:szCs w:val="24"/>
        </w:rPr>
        <w:t>Braudrick</w:t>
      </w:r>
      <w:proofErr w:type="spellEnd"/>
      <w:r w:rsidRPr="0001135F">
        <w:rPr>
          <w:sz w:val="24"/>
          <w:szCs w:val="24"/>
        </w:rPr>
        <w:t xml:space="preserve"> et al., 1997; Diehl, 1997; Lagasse et al., 2010). The resulting obstruction to the river flow causes an increase of the upstream water level (often referred to as afflux) that significantly increases the flood risk in adjacent areas. The accumulation also exacerbates local scour (Lagasse et al., 2010; </w:t>
      </w:r>
      <w:proofErr w:type="spellStart"/>
      <w:r w:rsidRPr="0001135F">
        <w:rPr>
          <w:sz w:val="24"/>
          <w:szCs w:val="24"/>
        </w:rPr>
        <w:t>Pagliara</w:t>
      </w:r>
      <w:proofErr w:type="spellEnd"/>
      <w:r w:rsidRPr="0001135F">
        <w:rPr>
          <w:sz w:val="24"/>
          <w:szCs w:val="24"/>
        </w:rPr>
        <w:t xml:space="preserve"> and </w:t>
      </w:r>
      <w:proofErr w:type="spellStart"/>
      <w:r w:rsidRPr="0001135F">
        <w:rPr>
          <w:sz w:val="24"/>
          <w:szCs w:val="24"/>
        </w:rPr>
        <w:t>Carnacina</w:t>
      </w:r>
      <w:proofErr w:type="spellEnd"/>
      <w:r w:rsidRPr="0001135F">
        <w:rPr>
          <w:sz w:val="24"/>
          <w:szCs w:val="24"/>
        </w:rPr>
        <w:t>, 2011), which could expose the pier foundations and eventually result in bridge failure. In the United States, almost one third of bridge failures are attributed to excessive scour induced by debris accumulation (Diehl, 1997), whilst in the UK, debris has been cited as the main or secondary reason (Benn, 2013) for 20 out of 69 railway bridge failures. Furthermore, the costs of debris-related flood damage is considered to be in the order of millions of US dollars (</w:t>
      </w:r>
      <w:proofErr w:type="spellStart"/>
      <w:r w:rsidRPr="0001135F">
        <w:rPr>
          <w:sz w:val="24"/>
          <w:szCs w:val="24"/>
        </w:rPr>
        <w:t>Lassettre</w:t>
      </w:r>
      <w:proofErr w:type="spellEnd"/>
      <w:r w:rsidRPr="0001135F">
        <w:rPr>
          <w:sz w:val="24"/>
          <w:szCs w:val="24"/>
        </w:rPr>
        <w:t xml:space="preserve"> and </w:t>
      </w:r>
      <w:proofErr w:type="spellStart"/>
      <w:r w:rsidRPr="0001135F">
        <w:rPr>
          <w:sz w:val="24"/>
          <w:szCs w:val="24"/>
        </w:rPr>
        <w:t>Kondolf</w:t>
      </w:r>
      <w:proofErr w:type="spellEnd"/>
      <w:r w:rsidRPr="0001135F">
        <w:rPr>
          <w:sz w:val="24"/>
          <w:szCs w:val="24"/>
        </w:rPr>
        <w:t>, 2012) and events with transport of wood are known to have devastating effects on areas adjacent to bridges by blocking bridge openings and causing severe flooding (</w:t>
      </w:r>
      <w:proofErr w:type="spellStart"/>
      <w:r w:rsidRPr="0001135F">
        <w:rPr>
          <w:sz w:val="24"/>
          <w:szCs w:val="24"/>
        </w:rPr>
        <w:t>Steeb</w:t>
      </w:r>
      <w:proofErr w:type="spellEnd"/>
      <w:r w:rsidRPr="0001135F">
        <w:rPr>
          <w:sz w:val="24"/>
          <w:szCs w:val="24"/>
        </w:rPr>
        <w:t xml:space="preserve"> et al., 2017). In recent years, substantial research has hence focused on the shape of these accumulations, the maximum size they could attain (Panici and de Almeida, 2018), the backwater effects that are caused by such accumulations (</w:t>
      </w:r>
      <w:proofErr w:type="spellStart"/>
      <w:r w:rsidRPr="0001135F">
        <w:rPr>
          <w:sz w:val="24"/>
          <w:szCs w:val="24"/>
        </w:rPr>
        <w:t>Schalko</w:t>
      </w:r>
      <w:proofErr w:type="spellEnd"/>
      <w:r w:rsidRPr="0001135F">
        <w:rPr>
          <w:sz w:val="24"/>
          <w:szCs w:val="24"/>
        </w:rPr>
        <w:t xml:space="preserve"> et al., 2018), the forces they apply to the bridge pier (</w:t>
      </w:r>
      <w:proofErr w:type="spellStart"/>
      <w:r w:rsidRPr="0001135F">
        <w:rPr>
          <w:sz w:val="24"/>
          <w:szCs w:val="24"/>
        </w:rPr>
        <w:t>Parola</w:t>
      </w:r>
      <w:proofErr w:type="spellEnd"/>
      <w:r w:rsidRPr="0001135F">
        <w:rPr>
          <w:sz w:val="24"/>
          <w:szCs w:val="24"/>
        </w:rPr>
        <w:t xml:space="preserve"> et al., 2000; Wu et al., 2014; Panici and de Almeida, 2018) and the increased scour that accumulated debris could yield (e.g. Melville and </w:t>
      </w:r>
      <w:proofErr w:type="spellStart"/>
      <w:r w:rsidRPr="0001135F">
        <w:rPr>
          <w:sz w:val="24"/>
          <w:szCs w:val="24"/>
        </w:rPr>
        <w:t>Dongol</w:t>
      </w:r>
      <w:proofErr w:type="spellEnd"/>
      <w:r w:rsidRPr="0001135F">
        <w:rPr>
          <w:sz w:val="24"/>
          <w:szCs w:val="24"/>
        </w:rPr>
        <w:t xml:space="preserve">, 1992; Lagasse et al., 2010; </w:t>
      </w:r>
      <w:proofErr w:type="spellStart"/>
      <w:r w:rsidRPr="0001135F">
        <w:rPr>
          <w:sz w:val="24"/>
          <w:szCs w:val="24"/>
        </w:rPr>
        <w:t>Pagliara</w:t>
      </w:r>
      <w:proofErr w:type="spellEnd"/>
      <w:r w:rsidRPr="0001135F">
        <w:rPr>
          <w:sz w:val="24"/>
          <w:szCs w:val="24"/>
        </w:rPr>
        <w:t xml:space="preserve"> and </w:t>
      </w:r>
      <w:proofErr w:type="spellStart"/>
      <w:r w:rsidRPr="0001135F">
        <w:rPr>
          <w:sz w:val="24"/>
          <w:szCs w:val="24"/>
        </w:rPr>
        <w:t>Carnacina</w:t>
      </w:r>
      <w:proofErr w:type="spellEnd"/>
      <w:r w:rsidRPr="0001135F">
        <w:rPr>
          <w:sz w:val="24"/>
          <w:szCs w:val="24"/>
        </w:rPr>
        <w:t>, 2011; Ebrahimi et al., 2018).</w:t>
      </w:r>
    </w:p>
    <w:p w14:paraId="53F7367C" w14:textId="7C3FB8E6" w:rsidR="004D146A" w:rsidRPr="0001135F" w:rsidRDefault="004D146A" w:rsidP="004D146A">
      <w:pPr>
        <w:rPr>
          <w:sz w:val="24"/>
          <w:szCs w:val="24"/>
        </w:rPr>
      </w:pPr>
      <w:r w:rsidRPr="0001135F">
        <w:rPr>
          <w:sz w:val="24"/>
          <w:szCs w:val="24"/>
        </w:rPr>
        <w:t>The knowledge created by recent research into debris accumulations and their consequences enhances our understanding of debris effects on the flow field around bridge piers (</w:t>
      </w:r>
      <w:proofErr w:type="spellStart"/>
      <w:r w:rsidRPr="0001135F">
        <w:rPr>
          <w:sz w:val="24"/>
          <w:szCs w:val="24"/>
        </w:rPr>
        <w:t>Pagliara</w:t>
      </w:r>
      <w:proofErr w:type="spellEnd"/>
      <w:r w:rsidRPr="0001135F">
        <w:rPr>
          <w:sz w:val="24"/>
          <w:szCs w:val="24"/>
        </w:rPr>
        <w:t xml:space="preserve"> and </w:t>
      </w:r>
      <w:proofErr w:type="spellStart"/>
      <w:r w:rsidRPr="0001135F">
        <w:rPr>
          <w:sz w:val="24"/>
          <w:szCs w:val="24"/>
        </w:rPr>
        <w:t>Carnacina</w:t>
      </w:r>
      <w:proofErr w:type="spellEnd"/>
      <w:r w:rsidRPr="0001135F">
        <w:rPr>
          <w:sz w:val="24"/>
          <w:szCs w:val="24"/>
        </w:rPr>
        <w:t>, 2013), and therefore has applications for bridge management (e.g. evaluating risk of damage to bridges, assessing flood risk) as well as the potential to create economical and societal benefits (</w:t>
      </w:r>
      <w:proofErr w:type="spellStart"/>
      <w:r w:rsidRPr="0001135F">
        <w:rPr>
          <w:sz w:val="24"/>
          <w:szCs w:val="24"/>
        </w:rPr>
        <w:t>Pregnolato</w:t>
      </w:r>
      <w:proofErr w:type="spellEnd"/>
      <w:r w:rsidRPr="0001135F">
        <w:rPr>
          <w:sz w:val="24"/>
          <w:szCs w:val="24"/>
        </w:rPr>
        <w:t>, 2019) by reducing the direct and indirect costs (</w:t>
      </w:r>
      <w:proofErr w:type="spellStart"/>
      <w:r w:rsidRPr="0001135F">
        <w:rPr>
          <w:sz w:val="24"/>
          <w:szCs w:val="24"/>
        </w:rPr>
        <w:t>Arrighi</w:t>
      </w:r>
      <w:proofErr w:type="spellEnd"/>
      <w:r w:rsidRPr="0001135F">
        <w:rPr>
          <w:sz w:val="24"/>
          <w:szCs w:val="24"/>
        </w:rPr>
        <w:t xml:space="preserve"> et al., 2019) incurred by bridge operators and society (e.g. avoid road closures, enable rapid post-flood recovery). The realisation of these benefits </w:t>
      </w:r>
      <w:r w:rsidR="009D4D73" w:rsidRPr="0001135F">
        <w:rPr>
          <w:sz w:val="24"/>
          <w:szCs w:val="24"/>
        </w:rPr>
        <w:t>is</w:t>
      </w:r>
      <w:r w:rsidRPr="0001135F">
        <w:rPr>
          <w:sz w:val="24"/>
          <w:szCs w:val="24"/>
        </w:rPr>
        <w:t xml:space="preserve"> however dependent on the ability to assess whether a bridge is liable to large wood accumulations. Some guidance on this aspect is available from previous research that have predominantly been based on field observations or laboratory experiments as outlined below.</w:t>
      </w:r>
    </w:p>
    <w:p w14:paraId="4DF21FB1" w14:textId="64F7D991" w:rsidR="004D146A" w:rsidRPr="0001135F" w:rsidRDefault="004D146A" w:rsidP="004D146A">
      <w:pPr>
        <w:rPr>
          <w:sz w:val="24"/>
          <w:szCs w:val="24"/>
        </w:rPr>
      </w:pPr>
      <w:r w:rsidRPr="0001135F">
        <w:rPr>
          <w:sz w:val="24"/>
          <w:szCs w:val="24"/>
        </w:rPr>
        <w:t>Few studies have examined the initiation of debris transport from bank erosion; for example, Lagasse et al. (2010) showed that the probability of debris recruitment by bank erosion depends on the distance of a tree from the channel bank. Others have also investigated the initiation of debris transport from large wood already within the channel system (</w:t>
      </w:r>
      <w:proofErr w:type="spellStart"/>
      <w:r w:rsidRPr="0001135F">
        <w:rPr>
          <w:sz w:val="24"/>
          <w:szCs w:val="24"/>
        </w:rPr>
        <w:t>Braudrick</w:t>
      </w:r>
      <w:proofErr w:type="spellEnd"/>
      <w:r w:rsidRPr="0001135F">
        <w:rPr>
          <w:sz w:val="24"/>
          <w:szCs w:val="24"/>
        </w:rPr>
        <w:t xml:space="preserve"> et al., 1997; </w:t>
      </w:r>
      <w:proofErr w:type="spellStart"/>
      <w:r w:rsidRPr="0001135F">
        <w:rPr>
          <w:sz w:val="24"/>
          <w:szCs w:val="24"/>
        </w:rPr>
        <w:t>Crosato</w:t>
      </w:r>
      <w:proofErr w:type="spellEnd"/>
      <w:r w:rsidRPr="0001135F">
        <w:rPr>
          <w:sz w:val="24"/>
          <w:szCs w:val="24"/>
        </w:rPr>
        <w:t xml:space="preserve"> et al., 2013; Ruiz-Villanueva et al., 2016). However, despite past research, the flow conditions that are necessary to initiate debris transport from bank erosion are still not adequately understood (Bradley et al., 2005). Other studies have developed methodologies to estimate the probability of debris anchoring at obstacles (</w:t>
      </w:r>
      <w:proofErr w:type="spellStart"/>
      <w:r w:rsidRPr="0001135F">
        <w:rPr>
          <w:sz w:val="24"/>
          <w:szCs w:val="24"/>
        </w:rPr>
        <w:t>Bocchiola</w:t>
      </w:r>
      <w:proofErr w:type="spellEnd"/>
      <w:r w:rsidRPr="0001135F">
        <w:rPr>
          <w:sz w:val="24"/>
          <w:szCs w:val="24"/>
        </w:rPr>
        <w:t xml:space="preserve"> et al., 2008) including piers (De </w:t>
      </w:r>
      <w:proofErr w:type="spellStart"/>
      <w:r w:rsidRPr="0001135F">
        <w:rPr>
          <w:sz w:val="24"/>
          <w:szCs w:val="24"/>
        </w:rPr>
        <w:t>Cicco</w:t>
      </w:r>
      <w:proofErr w:type="spellEnd"/>
      <w:r w:rsidRPr="0001135F">
        <w:rPr>
          <w:sz w:val="24"/>
          <w:szCs w:val="24"/>
        </w:rPr>
        <w:t xml:space="preserve"> et al., 2016; </w:t>
      </w:r>
      <w:proofErr w:type="spellStart"/>
      <w:r w:rsidRPr="0001135F">
        <w:rPr>
          <w:sz w:val="24"/>
          <w:szCs w:val="24"/>
        </w:rPr>
        <w:t>Gschnitzer</w:t>
      </w:r>
      <w:proofErr w:type="spellEnd"/>
      <w:r w:rsidRPr="0001135F">
        <w:rPr>
          <w:sz w:val="24"/>
          <w:szCs w:val="24"/>
        </w:rPr>
        <w:t xml:space="preserve"> et al., 2017; </w:t>
      </w:r>
      <w:proofErr w:type="spellStart"/>
      <w:r w:rsidRPr="0001135F">
        <w:rPr>
          <w:sz w:val="24"/>
          <w:szCs w:val="24"/>
        </w:rPr>
        <w:t>Schalko</w:t>
      </w:r>
      <w:proofErr w:type="spellEnd"/>
      <w:r w:rsidRPr="0001135F">
        <w:rPr>
          <w:sz w:val="24"/>
          <w:szCs w:val="24"/>
        </w:rPr>
        <w:t xml:space="preserve"> </w:t>
      </w:r>
      <w:r w:rsidRPr="0001135F">
        <w:rPr>
          <w:sz w:val="24"/>
          <w:szCs w:val="24"/>
        </w:rPr>
        <w:lastRenderedPageBreak/>
        <w:t>et al., 2019) and bridge decks (</w:t>
      </w:r>
      <w:proofErr w:type="spellStart"/>
      <w:r w:rsidRPr="0001135F">
        <w:rPr>
          <w:sz w:val="24"/>
          <w:szCs w:val="24"/>
        </w:rPr>
        <w:t>Schmocker</w:t>
      </w:r>
      <w:proofErr w:type="spellEnd"/>
      <w:r w:rsidRPr="0001135F">
        <w:rPr>
          <w:sz w:val="24"/>
          <w:szCs w:val="24"/>
        </w:rPr>
        <w:t xml:space="preserve"> and Hager, 2011), and correlated the anchoring probability to flow velocity and debris length (</w:t>
      </w:r>
      <w:proofErr w:type="spellStart"/>
      <w:r w:rsidRPr="0001135F">
        <w:rPr>
          <w:sz w:val="24"/>
          <w:szCs w:val="24"/>
        </w:rPr>
        <w:t>Schalko</w:t>
      </w:r>
      <w:proofErr w:type="spellEnd"/>
      <w:r w:rsidRPr="0001135F">
        <w:rPr>
          <w:sz w:val="24"/>
          <w:szCs w:val="24"/>
        </w:rPr>
        <w:t xml:space="preserve"> et al., 2019). However, these studies are based on assumptions (e.g. continuous supply of debris elements or burst release of debris pieces, use of single logs), which are difficult to justify in practice. The reliability of the estimations </w:t>
      </w:r>
      <w:r w:rsidR="009D4D73" w:rsidRPr="0001135F">
        <w:rPr>
          <w:sz w:val="24"/>
          <w:szCs w:val="24"/>
        </w:rPr>
        <w:t>is</w:t>
      </w:r>
      <w:r w:rsidRPr="0001135F">
        <w:rPr>
          <w:sz w:val="24"/>
          <w:szCs w:val="24"/>
        </w:rPr>
        <w:t xml:space="preserve"> also dependent on several bridge-specific factors (</w:t>
      </w:r>
      <w:proofErr w:type="spellStart"/>
      <w:r w:rsidRPr="0001135F">
        <w:rPr>
          <w:sz w:val="24"/>
          <w:szCs w:val="24"/>
        </w:rPr>
        <w:t>Comiti</w:t>
      </w:r>
      <w:proofErr w:type="spellEnd"/>
      <w:r w:rsidRPr="0001135F">
        <w:rPr>
          <w:sz w:val="24"/>
          <w:szCs w:val="24"/>
        </w:rPr>
        <w:t xml:space="preserve"> et al., 2016) (e.g. approaching flow characteristics, debris transport processes, frequency of transported debris) that may not be understood thoroughly or expensive to measure in the field. On the contrary, it has been observed that debris are typically recruited by the same type of processes (e.g. 73% of debris input in rivers is believed to be originated by bank erosion and mass-wasting (Diehl, 1997, Lyn et al., 2003, Lagasse et al., 2010)); furthermore, debris elements tend to follow preferential paths (Diehl, 1997; Bradley et al., 2005) and accumulations are likely to occur again at similar flow conditions (Lyn et al., 2007), although reasons for this well-marked transport have yet to be investigated (Lagasse et al., 2010). Therefore, despite existing methodologies providing important insights and shedding light on the key factors that contribute to formation of debris accumulations at bridge piers, there is currently no systematic approach to identify bridge piers liable to debris accumulations in real-world situations (</w:t>
      </w:r>
      <w:proofErr w:type="spellStart"/>
      <w:r w:rsidRPr="0001135F">
        <w:rPr>
          <w:sz w:val="24"/>
          <w:szCs w:val="24"/>
        </w:rPr>
        <w:t>Comiti</w:t>
      </w:r>
      <w:proofErr w:type="spellEnd"/>
      <w:r w:rsidRPr="0001135F">
        <w:rPr>
          <w:sz w:val="24"/>
          <w:szCs w:val="24"/>
        </w:rPr>
        <w:t xml:space="preserve"> et al., 2016).</w:t>
      </w:r>
    </w:p>
    <w:p w14:paraId="7A3C12DC" w14:textId="77777777" w:rsidR="00EB2364" w:rsidRPr="0001135F" w:rsidRDefault="00EB2364" w:rsidP="00EB2364">
      <w:pPr>
        <w:rPr>
          <w:sz w:val="24"/>
          <w:szCs w:val="24"/>
        </w:rPr>
      </w:pPr>
      <w:r w:rsidRPr="0001135F">
        <w:rPr>
          <w:sz w:val="24"/>
          <w:szCs w:val="24"/>
        </w:rPr>
        <w:t xml:space="preserve">Debris accumulation is widely recognized as a factor increasing scour risk at bridges (e.g. Chang and Shen 1979, Diehl 1997, </w:t>
      </w:r>
      <w:proofErr w:type="spellStart"/>
      <w:r w:rsidRPr="0001135F">
        <w:rPr>
          <w:sz w:val="24"/>
          <w:szCs w:val="24"/>
        </w:rPr>
        <w:t>Parola</w:t>
      </w:r>
      <w:proofErr w:type="spellEnd"/>
      <w:r w:rsidRPr="0001135F">
        <w:rPr>
          <w:sz w:val="24"/>
          <w:szCs w:val="24"/>
        </w:rPr>
        <w:t xml:space="preserve"> et al. 2000, May et al. 2002, Bradley et al. 2005, Arneson et al. 2012 and Benn 2013). This is due to debris constricting flow and increasing pier width, and consequently increasing flow velocities around the pier and enhancing scour.  </w:t>
      </w:r>
    </w:p>
    <w:p w14:paraId="2DA757D0" w14:textId="642D7A80" w:rsidR="006C43B3" w:rsidRPr="0001135F" w:rsidRDefault="00EB2364" w:rsidP="006C43B3">
      <w:pPr>
        <w:rPr>
          <w:sz w:val="24"/>
          <w:szCs w:val="24"/>
        </w:rPr>
      </w:pPr>
      <w:r w:rsidRPr="0001135F">
        <w:rPr>
          <w:sz w:val="24"/>
          <w:szCs w:val="24"/>
        </w:rPr>
        <w:t xml:space="preserve">The first study on the effect of debris on scour at piers was carried out by </w:t>
      </w:r>
      <w:proofErr w:type="spellStart"/>
      <w:r w:rsidRPr="0001135F">
        <w:rPr>
          <w:sz w:val="24"/>
          <w:szCs w:val="24"/>
        </w:rPr>
        <w:t>Laursen</w:t>
      </w:r>
      <w:proofErr w:type="spellEnd"/>
      <w:r w:rsidRPr="0001135F">
        <w:rPr>
          <w:sz w:val="24"/>
          <w:szCs w:val="24"/>
        </w:rPr>
        <w:t xml:space="preserve"> and </w:t>
      </w:r>
      <w:proofErr w:type="spellStart"/>
      <w:r w:rsidRPr="0001135F">
        <w:rPr>
          <w:sz w:val="24"/>
          <w:szCs w:val="24"/>
        </w:rPr>
        <w:t>Toch</w:t>
      </w:r>
      <w:proofErr w:type="spellEnd"/>
      <w:r w:rsidRPr="0001135F">
        <w:rPr>
          <w:sz w:val="24"/>
          <w:szCs w:val="24"/>
        </w:rPr>
        <w:t xml:space="preserve"> (1956) who showed that debris deepened and largened scour holes at piers. This effect was later quantified by Melville and </w:t>
      </w:r>
      <w:proofErr w:type="spellStart"/>
      <w:r w:rsidRPr="0001135F">
        <w:rPr>
          <w:sz w:val="24"/>
          <w:szCs w:val="24"/>
        </w:rPr>
        <w:t>Dongol</w:t>
      </w:r>
      <w:proofErr w:type="spellEnd"/>
      <w:r w:rsidRPr="0001135F">
        <w:rPr>
          <w:sz w:val="24"/>
          <w:szCs w:val="24"/>
        </w:rPr>
        <w:t xml:space="preserve"> (1992). They proposed the use of an effective pier width in place of the original pier width in local scour equations to consider the scour effect of debris. The effective pier width, which is larger than the actual pier width, is estimated using debris width and thickness, pier width and flow depth. This approach is also recommended in the first and second editions of the UK CIRIA manual on scour at bridges (May et al. 2002 and Kirby et al. 2015). Upon further research, Lagasse et al. (2010) proposed a revised version of the effective pier width approach known as the equivalent pier width approach. Their approach accounted for the upstream length of debris, a factor ignored in the original method proposed by Melville and </w:t>
      </w:r>
      <w:proofErr w:type="spellStart"/>
      <w:r w:rsidRPr="0001135F">
        <w:rPr>
          <w:sz w:val="24"/>
          <w:szCs w:val="24"/>
        </w:rPr>
        <w:t>Dongol</w:t>
      </w:r>
      <w:proofErr w:type="spellEnd"/>
      <w:r w:rsidRPr="0001135F">
        <w:rPr>
          <w:sz w:val="24"/>
          <w:szCs w:val="24"/>
        </w:rPr>
        <w:t xml:space="preserve"> (1992), and this led to considerable improvement in the estimations of scour depth. However, despite the improvements, the approach by Lagasse et al. (2010), which appears to be less popular within industry standards for scour assessment outside the US, retains </w:t>
      </w:r>
      <w:r w:rsidR="009D4D73" w:rsidRPr="0001135F">
        <w:rPr>
          <w:sz w:val="24"/>
          <w:szCs w:val="24"/>
        </w:rPr>
        <w:t>several of</w:t>
      </w:r>
      <w:r w:rsidRPr="0001135F">
        <w:rPr>
          <w:sz w:val="24"/>
          <w:szCs w:val="24"/>
        </w:rPr>
        <w:t xml:space="preserve"> the same limitations as the approach by Melville and </w:t>
      </w:r>
      <w:proofErr w:type="spellStart"/>
      <w:r w:rsidRPr="0001135F">
        <w:rPr>
          <w:sz w:val="24"/>
          <w:szCs w:val="24"/>
        </w:rPr>
        <w:t>Dongol</w:t>
      </w:r>
      <w:proofErr w:type="spellEnd"/>
      <w:r w:rsidRPr="0001135F">
        <w:rPr>
          <w:sz w:val="24"/>
          <w:szCs w:val="24"/>
        </w:rPr>
        <w:t xml:space="preserve"> (1992). These limitations are listed below.</w:t>
      </w:r>
    </w:p>
    <w:p w14:paraId="018A48C0" w14:textId="4669C726" w:rsidR="000F7B8F" w:rsidRDefault="00EB2364" w:rsidP="000F7B8F">
      <w:r w:rsidRPr="0001135F">
        <w:rPr>
          <w:sz w:val="24"/>
          <w:szCs w:val="24"/>
        </w:rPr>
        <w:t xml:space="preserve"> </w:t>
      </w:r>
      <w:r w:rsidR="000F7B8F" w:rsidRPr="000F7B8F">
        <w:rPr>
          <w:sz w:val="24"/>
          <w:szCs w:val="24"/>
        </w:rPr>
        <w:t xml:space="preserve">The aim of this paper is to bridge the gap between existing knowledge on debris accumulations and its hydrodynamic effects, and the practical management of flooding-related risks to bridges prone to debris accumulations. It proposes to do this through the development of a robust and pragmatic approach for assessing the potential for debris </w:t>
      </w:r>
      <w:r w:rsidR="000F7B8F" w:rsidRPr="000F7B8F">
        <w:rPr>
          <w:sz w:val="24"/>
          <w:szCs w:val="24"/>
        </w:rPr>
        <w:lastRenderedPageBreak/>
        <w:t>accumulation formation at a bridge pier. The methodology, that is based on direct and indirect observations, has been applied to bridge structures in Devon, UK. Results from this research are expected to expand existing practitioner guidance for flood risk and scour assessment to include efficient debris management and mitigation techniques. This research will also be relevant to researchers and engineers working on the flood resilience of structures and its impact on other human activities (e.g. transport, connectivity, social and economic impacts).</w:t>
      </w:r>
    </w:p>
    <w:p w14:paraId="1E267C28" w14:textId="262A267C" w:rsidR="00325463" w:rsidRDefault="00325463" w:rsidP="00EB2364">
      <w:r>
        <w:br w:type="page"/>
      </w:r>
    </w:p>
    <w:p w14:paraId="2926F8D8" w14:textId="77777777" w:rsidR="003C406F" w:rsidRDefault="003C406F" w:rsidP="003C406F">
      <w:pPr>
        <w:pStyle w:val="Heading1"/>
        <w:numPr>
          <w:ilvl w:val="0"/>
          <w:numId w:val="1"/>
        </w:numPr>
      </w:pPr>
      <w:bookmarkStart w:id="7" w:name="_Toc33017419"/>
      <w:r>
        <w:lastRenderedPageBreak/>
        <w:t>Literature Review</w:t>
      </w:r>
      <w:bookmarkEnd w:id="7"/>
      <w:r>
        <w:t xml:space="preserve"> </w:t>
      </w:r>
    </w:p>
    <w:p w14:paraId="64E6E5AA" w14:textId="77777777" w:rsidR="003C406F" w:rsidRDefault="003C406F" w:rsidP="003C406F"/>
    <w:p w14:paraId="29FB3E08" w14:textId="751294E4" w:rsidR="00A516B8" w:rsidRPr="00A516B8" w:rsidRDefault="00394FF4" w:rsidP="003C406F">
      <w:r>
        <w:t xml:space="preserve"> </w:t>
      </w:r>
    </w:p>
    <w:p w14:paraId="0FA87A1E" w14:textId="4D618EDD" w:rsidR="00D8702C" w:rsidRDefault="00D8702C" w:rsidP="00D8702C"/>
    <w:p w14:paraId="32B29671" w14:textId="77777777" w:rsidR="00D8702C" w:rsidRPr="00D8702C" w:rsidRDefault="00D8702C" w:rsidP="00D8702C"/>
    <w:sectPr w:rsidR="00D8702C" w:rsidRPr="00D8702C" w:rsidSect="001138CA">
      <w:pgSz w:w="11906" w:h="16838"/>
      <w:pgMar w:top="1440" w:right="1440" w:bottom="1440" w:left="1440" w:header="708" w:footer="708" w:gutter="0"/>
      <w:pgBorders w:display="firstPage"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646D93" w14:textId="77777777" w:rsidR="0020643C" w:rsidRDefault="0020643C" w:rsidP="00F876EA">
      <w:pPr>
        <w:spacing w:after="0" w:line="240" w:lineRule="auto"/>
      </w:pPr>
      <w:r>
        <w:separator/>
      </w:r>
    </w:p>
  </w:endnote>
  <w:endnote w:type="continuationSeparator" w:id="0">
    <w:p w14:paraId="60BF969A" w14:textId="77777777" w:rsidR="0020643C" w:rsidRDefault="0020643C" w:rsidP="00F87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B78FE8" w14:textId="77777777" w:rsidR="0020643C" w:rsidRDefault="0020643C" w:rsidP="00F876EA">
      <w:pPr>
        <w:spacing w:after="0" w:line="240" w:lineRule="auto"/>
      </w:pPr>
      <w:r>
        <w:separator/>
      </w:r>
    </w:p>
  </w:footnote>
  <w:footnote w:type="continuationSeparator" w:id="0">
    <w:p w14:paraId="1253F42D" w14:textId="77777777" w:rsidR="0020643C" w:rsidRDefault="0020643C" w:rsidP="00F87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03F0E"/>
    <w:multiLevelType w:val="hybridMultilevel"/>
    <w:tmpl w:val="43BCE1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6EA"/>
    <w:rsid w:val="0001135F"/>
    <w:rsid w:val="000F7B8F"/>
    <w:rsid w:val="001138CA"/>
    <w:rsid w:val="00163376"/>
    <w:rsid w:val="001D2E5B"/>
    <w:rsid w:val="0020643C"/>
    <w:rsid w:val="00280035"/>
    <w:rsid w:val="002A5DA2"/>
    <w:rsid w:val="00303372"/>
    <w:rsid w:val="00325463"/>
    <w:rsid w:val="00355DFB"/>
    <w:rsid w:val="00394FF4"/>
    <w:rsid w:val="003C406F"/>
    <w:rsid w:val="00414043"/>
    <w:rsid w:val="00480FAB"/>
    <w:rsid w:val="004D0B1B"/>
    <w:rsid w:val="004D146A"/>
    <w:rsid w:val="005469E1"/>
    <w:rsid w:val="005969FF"/>
    <w:rsid w:val="005E7061"/>
    <w:rsid w:val="00607156"/>
    <w:rsid w:val="006145A5"/>
    <w:rsid w:val="006A0DD4"/>
    <w:rsid w:val="006C43B3"/>
    <w:rsid w:val="007544CE"/>
    <w:rsid w:val="00831DD5"/>
    <w:rsid w:val="00872E01"/>
    <w:rsid w:val="009D4D73"/>
    <w:rsid w:val="00A02A00"/>
    <w:rsid w:val="00A516B8"/>
    <w:rsid w:val="00AE1322"/>
    <w:rsid w:val="00B07916"/>
    <w:rsid w:val="00B936AE"/>
    <w:rsid w:val="00BA210E"/>
    <w:rsid w:val="00BC22A3"/>
    <w:rsid w:val="00BE4DAF"/>
    <w:rsid w:val="00BF0944"/>
    <w:rsid w:val="00C1051E"/>
    <w:rsid w:val="00D174B1"/>
    <w:rsid w:val="00D45697"/>
    <w:rsid w:val="00D72222"/>
    <w:rsid w:val="00D8702C"/>
    <w:rsid w:val="00EA0754"/>
    <w:rsid w:val="00EB2364"/>
    <w:rsid w:val="00EB4046"/>
    <w:rsid w:val="00F30484"/>
    <w:rsid w:val="00F31539"/>
    <w:rsid w:val="00F876EA"/>
    <w:rsid w:val="00FD134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BA140"/>
  <w15:chartTrackingRefBased/>
  <w15:docId w15:val="{D70162D4-6614-4107-A008-4913A7C09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44C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76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76EA"/>
  </w:style>
  <w:style w:type="paragraph" w:styleId="Footer">
    <w:name w:val="footer"/>
    <w:basedOn w:val="Normal"/>
    <w:link w:val="FooterChar"/>
    <w:uiPriority w:val="99"/>
    <w:unhideWhenUsed/>
    <w:rsid w:val="00F876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76EA"/>
  </w:style>
  <w:style w:type="paragraph" w:styleId="BalloonText">
    <w:name w:val="Balloon Text"/>
    <w:basedOn w:val="Normal"/>
    <w:link w:val="BalloonTextChar"/>
    <w:uiPriority w:val="99"/>
    <w:semiHidden/>
    <w:unhideWhenUsed/>
    <w:rsid w:val="00F876E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76EA"/>
    <w:rPr>
      <w:rFonts w:ascii="Segoe UI" w:hAnsi="Segoe UI" w:cs="Segoe UI"/>
      <w:sz w:val="18"/>
      <w:szCs w:val="18"/>
    </w:rPr>
  </w:style>
  <w:style w:type="paragraph" w:customStyle="1" w:styleId="Default">
    <w:name w:val="Default"/>
    <w:rsid w:val="001138CA"/>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uiPriority w:val="9"/>
    <w:rsid w:val="007544C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544CE"/>
    <w:pPr>
      <w:outlineLvl w:val="9"/>
    </w:pPr>
    <w:rPr>
      <w:lang w:val="en-US"/>
    </w:rPr>
  </w:style>
  <w:style w:type="paragraph" w:styleId="TOC2">
    <w:name w:val="toc 2"/>
    <w:basedOn w:val="Normal"/>
    <w:next w:val="Normal"/>
    <w:autoRedefine/>
    <w:uiPriority w:val="39"/>
    <w:unhideWhenUsed/>
    <w:rsid w:val="007544CE"/>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7544CE"/>
    <w:pPr>
      <w:spacing w:after="100"/>
    </w:pPr>
    <w:rPr>
      <w:rFonts w:eastAsiaTheme="minorEastAsia" w:cs="Times New Roman"/>
      <w:lang w:val="en-US"/>
    </w:rPr>
  </w:style>
  <w:style w:type="paragraph" w:styleId="TOC3">
    <w:name w:val="toc 3"/>
    <w:basedOn w:val="Normal"/>
    <w:next w:val="Normal"/>
    <w:autoRedefine/>
    <w:uiPriority w:val="39"/>
    <w:unhideWhenUsed/>
    <w:rsid w:val="007544CE"/>
    <w:pPr>
      <w:spacing w:after="100"/>
      <w:ind w:left="440"/>
    </w:pPr>
    <w:rPr>
      <w:rFonts w:eastAsiaTheme="minorEastAsia" w:cs="Times New Roman"/>
      <w:lang w:val="en-US"/>
    </w:rPr>
  </w:style>
  <w:style w:type="character" w:styleId="Hyperlink">
    <w:name w:val="Hyperlink"/>
    <w:basedOn w:val="DefaultParagraphFont"/>
    <w:uiPriority w:val="99"/>
    <w:unhideWhenUsed/>
    <w:rsid w:val="003C406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ogle.co.uk/url?sa=i&amp;rct=j&amp;q=&amp;esrc=s&amp;source=images&amp;cd=&amp;ved=2ahUKEwio7OzHlOXmAhXCy4UKHaJQCUkQjRx6BAgBEAQ&amp;url=https%3A%2F%2Fwww.ducere.ac.uk%2Fabout-university-of-wales-trinity-saint-david&amp;psig=AOvVaw3XENAYyAF214FuQvnoUOpB&amp;ust=1578062896670664"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F1F505074D5644B76DABD3EF2AD64C" ma:contentTypeVersion="2" ma:contentTypeDescription="Create a new document." ma:contentTypeScope="" ma:versionID="bce60bce5efd05c90acd0e5ab23de9bc">
  <xsd:schema xmlns:xsd="http://www.w3.org/2001/XMLSchema" xmlns:xs="http://www.w3.org/2001/XMLSchema" xmlns:p="http://schemas.microsoft.com/office/2006/metadata/properties" xmlns:ns3="ce934083-7fad-416d-b6bf-4ba2aee19345" targetNamespace="http://schemas.microsoft.com/office/2006/metadata/properties" ma:root="true" ma:fieldsID="61382fb77463321a89b3398f1b0925dc" ns3:_="">
    <xsd:import namespace="ce934083-7fad-416d-b6bf-4ba2aee19345"/>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934083-7fad-416d-b6bf-4ba2aee193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A27732-73B4-48D9-AA74-62EF39CB457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CCDAED7-B1AC-4F73-9826-6652782DD700}">
  <ds:schemaRefs>
    <ds:schemaRef ds:uri="http://schemas.microsoft.com/sharepoint/v3/contenttype/forms"/>
  </ds:schemaRefs>
</ds:datastoreItem>
</file>

<file path=customXml/itemProps3.xml><?xml version="1.0" encoding="utf-8"?>
<ds:datastoreItem xmlns:ds="http://schemas.openxmlformats.org/officeDocument/2006/customXml" ds:itemID="{B947F0E7-28BD-4DAC-8141-24852FA5ED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934083-7fad-416d-b6bf-4ba2aee193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6527DEB-53C7-48D7-A2B8-7E48EF4C3B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448</TotalTime>
  <Pages>13</Pages>
  <Words>2017</Words>
  <Characters>11498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 Rees</dc:creator>
  <cp:keywords/>
  <dc:description/>
  <cp:lastModifiedBy>Edward Rees</cp:lastModifiedBy>
  <cp:revision>41</cp:revision>
  <dcterms:created xsi:type="dcterms:W3CDTF">2020-01-02T14:45:00Z</dcterms:created>
  <dcterms:modified xsi:type="dcterms:W3CDTF">2020-06-15T13:43:00Z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0x010100FAF1F505074D5644B76DABD3EF2AD64C</vt:lpwstr>
  </property>
</Properties>
</file>