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item2.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Calibri" w:hAnsi="Calibri" w:cs="Calibri" w:asciiTheme="minorHAnsi" w:cstheme="minorHAnsi" w:hAnsiTheme="minorHAnsi"/>
          <w:sz w:val="22"/>
          <w:szCs w:val="22"/>
        </w:rPr>
      </w:pPr>
      <w:bookmarkStart w:id="0" w:name="_Toc303070346"/>
      <w:r>
        <w:rPr/>
        <w:drawing>
          <wp:inline distT="0" distB="0" distL="0" distR="0">
            <wp:extent cx="1619250" cy="638175"/>
            <wp:effectExtent l="0" t="0" r="0" b="0"/>
            <wp:docPr id="1" name="Picture 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4" descr=""/>
                    <pic:cNvPicPr>
                      <a:picLocks noChangeAspect="1" noChangeArrowheads="1"/>
                    </pic:cNvPicPr>
                  </pic:nvPicPr>
                  <pic:blipFill>
                    <a:blip r:embed="rId2"/>
                    <a:stretch>
                      <a:fillRect/>
                    </a:stretch>
                  </pic:blipFill>
                  <pic:spPr bwMode="auto">
                    <a:xfrm>
                      <a:off x="0" y="0"/>
                      <a:ext cx="1619250" cy="638175"/>
                    </a:xfrm>
                    <a:prstGeom prst="rect">
                      <a:avLst/>
                    </a:prstGeom>
                  </pic:spPr>
                </pic:pic>
              </a:graphicData>
            </a:graphic>
          </wp:inline>
        </w:drawing>
      </w:r>
      <w:bookmarkEnd w:id="0"/>
    </w:p>
    <w:p>
      <w:pPr>
        <w:pStyle w:val="Normal"/>
        <w:jc w:val="center"/>
        <w:rPr>
          <w:rFonts w:ascii="Calibri" w:hAnsi="Calibri" w:cs="Calibri" w:asciiTheme="minorHAnsi" w:cstheme="minorHAnsi" w:hAnsiTheme="minorHAnsi"/>
          <w:sz w:val="22"/>
          <w:szCs w:val="22"/>
        </w:rPr>
      </w:pPr>
      <w:r>
        <w:rPr>
          <w:rFonts w:cs="Calibri" w:cstheme="minorHAnsi" w:ascii="Calibri" w:hAnsi="Calibri"/>
          <w:sz w:val="22"/>
          <w:szCs w:val="22"/>
        </w:rPr>
      </w:r>
    </w:p>
    <w:tbl>
      <w:tblPr>
        <w:tblStyle w:val="TableGrid"/>
        <w:tblW w:w="9350"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350"/>
      </w:tblGrid>
      <w:tr>
        <w:trPr/>
        <w:tc>
          <w:tcPr>
            <w:tcW w:w="9350" w:type="dxa"/>
            <w:tcBorders/>
            <w:shd w:color="auto" w:fill="E7E6E6" w:themeFill="background2" w:val="clear"/>
          </w:tcPr>
          <w:p>
            <w:pPr>
              <w:pStyle w:val="Normal"/>
              <w:widowControl/>
              <w:suppressAutoHyphens w:val="true"/>
              <w:spacing w:before="0" w:after="0"/>
              <w:jc w:val="center"/>
              <w:rPr>
                <w:rFonts w:cs="Arial"/>
                <w:b/>
                <w:szCs w:val="24"/>
              </w:rPr>
            </w:pPr>
            <w:r>
              <w:rPr>
                <w:rFonts w:eastAsia="Times New Roman" w:cs="Arial"/>
                <w:b/>
                <w:kern w:val="0"/>
                <w:szCs w:val="24"/>
                <w:lang w:val="en-GB" w:bidi="ar-SA"/>
              </w:rPr>
            </w:r>
          </w:p>
          <w:p>
            <w:pPr>
              <w:pStyle w:val="Normal"/>
              <w:widowControl/>
              <w:suppressAutoHyphens w:val="true"/>
              <w:spacing w:before="0" w:after="0"/>
              <w:jc w:val="center"/>
              <w:rPr>
                <w:rFonts w:cs="Arial"/>
                <w:b/>
                <w:szCs w:val="24"/>
              </w:rPr>
            </w:pPr>
            <w:r>
              <w:rPr>
                <w:rFonts w:eastAsia="Times New Roman" w:cs="Arial"/>
                <w:b/>
                <w:kern w:val="0"/>
                <w:szCs w:val="24"/>
                <w:lang w:val="en-GB" w:bidi="ar-SA"/>
              </w:rPr>
              <w:t>UNDERGRADUATE DISSERTATION</w:t>
            </w:r>
          </w:p>
          <w:p>
            <w:pPr>
              <w:pStyle w:val="Normal"/>
              <w:widowControl/>
              <w:suppressAutoHyphens w:val="true"/>
              <w:spacing w:before="0" w:after="0"/>
              <w:jc w:val="center"/>
              <w:rPr>
                <w:rFonts w:cs="Arial"/>
                <w:b/>
                <w:bCs/>
                <w:szCs w:val="24"/>
              </w:rPr>
            </w:pPr>
            <w:r>
              <w:rPr>
                <w:rFonts w:eastAsia="Times New Roman" w:cs="Arial"/>
                <w:b/>
                <w:bCs/>
                <w:kern w:val="0"/>
                <w:szCs w:val="24"/>
                <w:lang w:val="en-GB" w:bidi="ar-SA"/>
              </w:rPr>
              <w:t>RESEARCH PROPOSAL FORM</w:t>
            </w:r>
          </w:p>
          <w:p>
            <w:pPr>
              <w:pStyle w:val="Normal"/>
              <w:widowControl/>
              <w:suppressAutoHyphens w:val="true"/>
              <w:spacing w:before="0" w:after="0"/>
              <w:jc w:val="center"/>
              <w:rPr>
                <w:rFonts w:ascii="Calibri" w:hAnsi="Calibri" w:cs="Calibri" w:asciiTheme="minorHAnsi" w:cstheme="minorHAnsi" w:hAnsiTheme="minorHAnsi"/>
                <w:sz w:val="22"/>
                <w:szCs w:val="22"/>
              </w:rPr>
            </w:pPr>
            <w:r>
              <w:rPr>
                <w:rFonts w:eastAsia="Times New Roman" w:cs="Calibri" w:cstheme="minorHAnsi" w:ascii="Calibri" w:hAnsi="Calibri"/>
                <w:kern w:val="0"/>
                <w:sz w:val="22"/>
                <w:szCs w:val="22"/>
                <w:lang w:val="en-GB" w:bidi="ar-SA"/>
              </w:rPr>
            </w:r>
          </w:p>
        </w:tc>
      </w:tr>
    </w:tbl>
    <w:p>
      <w:pPr>
        <w:pStyle w:val="Normal"/>
        <w:ind w:right="-199"/>
        <w:rPr>
          <w:rFonts w:ascii="Calibri" w:hAnsi="Calibri" w:cs="Calibri" w:asciiTheme="minorHAnsi" w:cstheme="minorHAnsi" w:hAnsiTheme="minorHAnsi"/>
          <w:sz w:val="22"/>
          <w:szCs w:val="22"/>
        </w:rPr>
      </w:pPr>
      <w:r>
        <w:rPr>
          <w:rFonts w:cs="Calibri" w:ascii="Calibri" w:hAnsi="Calibri" w:asciiTheme="minorHAnsi" w:cstheme="minorHAnsi" w:hAnsiTheme="minorHAnsi"/>
          <w:b/>
          <w:bCs/>
          <w:sz w:val="22"/>
          <w:szCs w:val="22"/>
        </w:rPr>
        <w:t xml:space="preserve"> </w:t>
      </w:r>
    </w:p>
    <w:p>
      <w:pPr>
        <w:pStyle w:val="Normal"/>
        <w:rPr>
          <w:rFonts w:cs="Arial"/>
          <w:sz w:val="22"/>
          <w:szCs w:val="22"/>
        </w:rPr>
      </w:pPr>
      <w:r>
        <w:rPr>
          <w:rFonts w:cs="Arial"/>
          <w:sz w:val="22"/>
          <w:szCs w:val="22"/>
        </w:rPr>
        <w:t xml:space="preserve">Please complete the following research proposal and email to </w:t>
      </w:r>
      <w:hyperlink r:id="rId3">
        <w:r>
          <w:rPr>
            <w:rStyle w:val="Hyperlink"/>
            <w:rFonts w:cs="Arial"/>
            <w:sz w:val="22"/>
            <w:szCs w:val="22"/>
          </w:rPr>
          <w:t>mike.durke@uwtsd.ac.uk</w:t>
        </w:r>
      </w:hyperlink>
      <w:r>
        <w:rPr>
          <w:rFonts w:cs="Arial"/>
          <w:sz w:val="22"/>
          <w:szCs w:val="22"/>
        </w:rPr>
        <w:t xml:space="preserve"> </w:t>
      </w:r>
    </w:p>
    <w:p>
      <w:pPr>
        <w:pStyle w:val="Normal"/>
        <w:ind w:right="-199"/>
        <w:rPr>
          <w:rFonts w:cs="Arial"/>
        </w:rPr>
      </w:pPr>
      <w:r>
        <w:rPr>
          <w:rFonts w:cs="Arial"/>
        </w:rPr>
      </w:r>
    </w:p>
    <w:tbl>
      <w:tblPr>
        <w:tblW w:w="5000" w:type="pct"/>
        <w:jc w:val="left"/>
        <w:tblInd w:w="0" w:type="dxa"/>
        <w:tblLayout w:type="fixed"/>
        <w:tblCellMar>
          <w:top w:w="0" w:type="dxa"/>
          <w:left w:w="108" w:type="dxa"/>
          <w:bottom w:w="0" w:type="dxa"/>
          <w:right w:w="108" w:type="dxa"/>
        </w:tblCellMar>
        <w:tblLook w:val="04a0" w:noHBand="0" w:noVBand="1" w:firstColumn="1" w:lastRow="0" w:lastColumn="0" w:firstRow="1"/>
      </w:tblPr>
      <w:tblGrid>
        <w:gridCol w:w="6273"/>
        <w:gridCol w:w="3086"/>
      </w:tblGrid>
      <w:tr>
        <w:trPr>
          <w:trHeight w:val="648" w:hRule="atLeast"/>
        </w:trPr>
        <w:tc>
          <w:tcPr>
            <w:tcW w:w="6273" w:type="dxa"/>
            <w:tcBorders>
              <w:top w:val="single" w:sz="4" w:space="0" w:color="000000"/>
              <w:left w:val="single" w:sz="4" w:space="0" w:color="000000"/>
              <w:bottom w:val="single" w:sz="4" w:space="0" w:color="000000"/>
              <w:right w:val="single" w:sz="4" w:space="0" w:color="000000"/>
            </w:tcBorders>
          </w:tcPr>
          <w:p>
            <w:pPr>
              <w:pStyle w:val="BodyText"/>
              <w:spacing w:lineRule="auto" w:line="360"/>
              <w:jc w:val="both"/>
              <w:rPr>
                <w:rFonts w:cs="Arial"/>
                <w:b/>
                <w:bCs/>
                <w:sz w:val="22"/>
                <w:szCs w:val="22"/>
              </w:rPr>
            </w:pPr>
            <w:r>
              <w:rPr>
                <w:rFonts w:cs="Arial"/>
                <w:b/>
                <w:bCs/>
                <w:sz w:val="22"/>
                <w:szCs w:val="22"/>
              </w:rPr>
              <w:t>NAME:</w:t>
            </w:r>
          </w:p>
          <w:p>
            <w:pPr>
              <w:pStyle w:val="BodyText"/>
              <w:spacing w:lineRule="auto" w:line="360"/>
              <w:jc w:val="both"/>
              <w:rPr>
                <w:rFonts w:cs="Arial"/>
                <w:b/>
                <w:bCs/>
                <w:sz w:val="22"/>
                <w:szCs w:val="22"/>
              </w:rPr>
            </w:pPr>
            <w:r>
              <w:rPr>
                <w:rFonts w:cs="Arial"/>
                <w:b/>
                <w:bCs/>
                <w:sz w:val="22"/>
                <w:szCs w:val="22"/>
              </w:rPr>
              <w:t>Portia Boateng</w:t>
            </w:r>
          </w:p>
        </w:tc>
        <w:tc>
          <w:tcPr>
            <w:tcW w:w="3086" w:type="dxa"/>
            <w:tcBorders>
              <w:top w:val="single" w:sz="4" w:space="0" w:color="000000"/>
              <w:left w:val="single" w:sz="4" w:space="0" w:color="000000"/>
              <w:bottom w:val="single" w:sz="4" w:space="0" w:color="000000"/>
              <w:right w:val="single" w:sz="4" w:space="0" w:color="000000"/>
            </w:tcBorders>
            <w:tcMar>
              <w:left w:w="5" w:type="dxa"/>
              <w:right w:w="5" w:type="dxa"/>
            </w:tcMar>
          </w:tcPr>
          <w:p>
            <w:pPr>
              <w:pStyle w:val="Normal"/>
              <w:jc w:val="both"/>
              <w:rPr>
                <w:rFonts w:cs="Arial"/>
                <w:b/>
                <w:bCs/>
              </w:rPr>
            </w:pPr>
            <w:r>
              <w:rPr>
                <w:rFonts w:cs="Arial"/>
                <w:b/>
                <w:bCs/>
              </w:rPr>
              <w:t xml:space="preserve"> </w:t>
            </w:r>
            <w:r>
              <w:rPr>
                <w:rFonts w:cs="Arial"/>
                <w:b/>
                <w:bCs/>
              </w:rPr>
              <w:t>Student number:</w:t>
            </w:r>
          </w:p>
          <w:p>
            <w:pPr>
              <w:pStyle w:val="Normal"/>
              <w:jc w:val="both"/>
              <w:rPr>
                <w:rFonts w:cs="Arial"/>
              </w:rPr>
            </w:pPr>
            <w:r>
              <w:rPr>
                <w:rFonts w:cs="Arial"/>
              </w:rPr>
              <w:t>2131530</w:t>
            </w:r>
          </w:p>
        </w:tc>
      </w:tr>
      <w:tr>
        <w:trPr>
          <w:trHeight w:val="1637" w:hRule="atLeast"/>
        </w:trPr>
        <w:tc>
          <w:tcPr>
            <w:tcW w:w="9359" w:type="dxa"/>
            <w:gridSpan w:val="2"/>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Normal"/>
              <w:spacing w:lineRule="auto" w:line="360" w:before="240" w:after="0"/>
              <w:jc w:val="both"/>
              <w:rPr>
                <w:rFonts w:cs="Arial"/>
                <w:szCs w:val="24"/>
              </w:rPr>
            </w:pPr>
            <w:r>
              <w:rPr>
                <w:rFonts w:cs="Arial"/>
                <w:b/>
                <w:bCs/>
                <w:szCs w:val="24"/>
              </w:rPr>
              <w:t>DRAFT RESEARCH TITLE QUESTION:</w:t>
            </w:r>
          </w:p>
          <w:p>
            <w:pPr>
              <w:pStyle w:val="Normal"/>
              <w:tabs>
                <w:tab w:val="clear" w:pos="720"/>
                <w:tab w:val="left" w:pos="1860" w:leader="none"/>
              </w:tabs>
              <w:spacing w:lineRule="auto" w:line="360" w:before="240" w:after="0"/>
              <w:jc w:val="both"/>
              <w:rPr>
                <w:rFonts w:cs="Arial"/>
                <w:color w:val="0D0D0D"/>
                <w:szCs w:val="24"/>
                <w:shd w:fill="FFFFFF" w:val="clear"/>
              </w:rPr>
            </w:pPr>
            <w:r>
              <w:rPr>
                <w:rFonts w:cs="Arial"/>
                <w:color w:val="0D0D0D"/>
                <w:szCs w:val="24"/>
                <w:shd w:fill="FFFFFF" w:val="clear"/>
              </w:rPr>
              <w:t>What is the impact of community policing on crime rates and police-community relationships in Telford?</w:t>
            </w:r>
          </w:p>
          <w:p>
            <w:pPr>
              <w:pStyle w:val="Normal"/>
              <w:spacing w:lineRule="auto" w:line="360"/>
              <w:jc w:val="both"/>
              <w:rPr>
                <w:rFonts w:cs="Arial"/>
                <w:szCs w:val="24"/>
              </w:rPr>
            </w:pPr>
            <w:r>
              <w:rPr>
                <w:rFonts w:cs="Arial"/>
                <w:szCs w:val="24"/>
              </w:rPr>
              <w:t>Community policing is a widely debated approach in law enforcement, especially for its effectiveness in reducing crime and building stronger relationships between the police and community members. A compelling example of this approach’s success is the Townhill Anti-Burglary Initiative. In Townhill, when the community were faced with rising burglary rates, the local authority, in response, launched a neighbourhood policing strategy focused on community engagement and active surveillance. Crime rates significantly declined as a result, demonstrating how targeted community-based approaches can foster improvements in public safety (Smith, 2020).</w:t>
            </w:r>
          </w:p>
          <w:p>
            <w:pPr>
              <w:pStyle w:val="Normal"/>
              <w:spacing w:lineRule="auto" w:line="360"/>
              <w:jc w:val="both"/>
              <w:rPr>
                <w:rFonts w:cs="Arial"/>
                <w:szCs w:val="24"/>
              </w:rPr>
            </w:pPr>
            <w:r>
              <w:rPr>
                <w:rFonts w:cs="Arial"/>
                <w:szCs w:val="24"/>
              </w:rPr>
              <w:t>By examining similar strategies in Telford, this study seeks to assess whether community-policing efforts can yield comparable results in reducing crime rates and improving police-community relationships. Drawing on such past evidence, such as the Townhill Initiative provides valuable insights for understanding how community-policing can be adopted and optimized for different regions.</w:t>
            </w:r>
          </w:p>
        </w:tc>
      </w:tr>
      <w:tr>
        <w:trPr>
          <w:trHeight w:val="1998" w:hRule="atLeast"/>
        </w:trPr>
        <w:tc>
          <w:tcPr>
            <w:tcW w:w="9359"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360"/>
              <w:jc w:val="both"/>
              <w:rPr>
                <w:rFonts w:cs="Arial"/>
                <w:b/>
                <w:bCs/>
                <w:szCs w:val="24"/>
              </w:rPr>
            </w:pPr>
            <w:r>
              <w:rPr>
                <w:rFonts w:cs="Arial"/>
                <w:b/>
                <w:bCs/>
                <w:szCs w:val="24"/>
              </w:rPr>
              <w:t>SUMMARY OF RESEARCH AIM &amp; OBJECTIVES:</w:t>
            </w:r>
          </w:p>
          <w:p>
            <w:pPr>
              <w:pStyle w:val="Normal"/>
              <w:spacing w:lineRule="auto" w:line="360"/>
              <w:jc w:val="both"/>
              <w:rPr>
                <w:rFonts w:cs="Arial"/>
                <w:b/>
                <w:bCs/>
                <w:szCs w:val="24"/>
              </w:rPr>
            </w:pPr>
            <w:r>
              <w:rPr>
                <w:rFonts w:cs="Arial"/>
                <w:b/>
                <w:bCs/>
                <w:szCs w:val="24"/>
              </w:rPr>
              <w:t>Research Aim</w:t>
            </w:r>
          </w:p>
          <w:p>
            <w:pPr>
              <w:pStyle w:val="Normal"/>
              <w:spacing w:lineRule="auto" w:line="360"/>
              <w:jc w:val="both"/>
              <w:rPr>
                <w:rFonts w:cs="Arial"/>
                <w:szCs w:val="24"/>
              </w:rPr>
            </w:pPr>
            <w:r>
              <w:rPr>
                <w:rFonts w:cs="Arial"/>
                <w:szCs w:val="24"/>
              </w:rPr>
              <w:t>The primary aim of this research is to assess the impact of community policing on crime rates and police-community relationships in Telford. This involves examining the quantitative effects on crime and exploring the qualitative aspects of trust and cooperation between police and the community.</w:t>
            </w:r>
          </w:p>
          <w:p>
            <w:pPr>
              <w:pStyle w:val="Normal"/>
              <w:spacing w:lineRule="auto" w:line="360"/>
              <w:jc w:val="both"/>
              <w:rPr>
                <w:rFonts w:cs="Arial"/>
                <w:b/>
                <w:bCs/>
                <w:szCs w:val="24"/>
              </w:rPr>
            </w:pPr>
            <w:bookmarkStart w:id="1" w:name="_Hlk165576097"/>
            <w:r>
              <w:rPr>
                <w:rFonts w:cs="Arial"/>
                <w:b/>
                <w:bCs/>
                <w:szCs w:val="24"/>
              </w:rPr>
              <w:t>Research Objectives</w:t>
            </w:r>
            <w:bookmarkEnd w:id="1"/>
          </w:p>
          <w:p>
            <w:pPr>
              <w:pStyle w:val="Normal"/>
              <w:spacing w:lineRule="auto" w:line="360"/>
              <w:jc w:val="both"/>
              <w:rPr>
                <w:rFonts w:cs="Arial"/>
                <w:szCs w:val="24"/>
              </w:rPr>
            </w:pPr>
            <w:r>
              <w:rPr>
                <w:rFonts w:cs="Arial"/>
                <w:szCs w:val="24"/>
              </w:rPr>
              <w:t>1. Assess the Impact of Community Policing on Crime Rates in Telford: Examine how community policing affects crime rates by analyzing data over a specific period to determine if there is a correlation with a reduction in crime.</w:t>
            </w:r>
          </w:p>
          <w:p>
            <w:pPr>
              <w:pStyle w:val="Normal"/>
              <w:spacing w:lineRule="auto" w:line="360"/>
              <w:jc w:val="both"/>
              <w:rPr>
                <w:rFonts w:cs="Arial"/>
                <w:szCs w:val="24"/>
              </w:rPr>
            </w:pPr>
            <w:r>
              <w:rPr>
                <w:rFonts w:cs="Arial"/>
                <w:szCs w:val="24"/>
              </w:rPr>
              <w:t>2. Analyze the Effect of Community Policing on Police-Community Relationships: Investigate how community policing influences trust and cooperation between police and the public through interviews and surveys.</w:t>
            </w:r>
          </w:p>
          <w:p>
            <w:pPr>
              <w:pStyle w:val="Normal"/>
              <w:spacing w:lineRule="auto" w:line="360"/>
              <w:jc w:val="both"/>
              <w:rPr>
                <w:rFonts w:cs="Arial"/>
                <w:szCs w:val="24"/>
              </w:rPr>
            </w:pPr>
            <w:r>
              <w:rPr>
                <w:rFonts w:cs="Arial"/>
                <w:szCs w:val="24"/>
              </w:rPr>
              <w:t>3. Identify Key Factors Contributing to the Success or Challenges of Community Policing in Telford: Explore the elements that contribute to or hinder the success of community policing by gathering insights from police officers, community leaders, and residents.</w:t>
            </w:r>
          </w:p>
          <w:p>
            <w:pPr>
              <w:pStyle w:val="Normal"/>
              <w:spacing w:lineRule="auto" w:line="360"/>
              <w:jc w:val="both"/>
              <w:rPr>
                <w:rFonts w:cs="Arial"/>
                <w:szCs w:val="24"/>
              </w:rPr>
            </w:pPr>
            <w:r>
              <w:rPr>
                <w:rFonts w:cs="Arial"/>
                <w:szCs w:val="24"/>
              </w:rPr>
              <w:t>4. Explore Best Practices and Recommendations for Improving Community Policing Strategies: Determine effective strategies and develop recommendations to improve community policing by synthesizing data from multiple sources.</w:t>
            </w:r>
          </w:p>
        </w:tc>
      </w:tr>
      <w:tr>
        <w:trPr>
          <w:trHeight w:val="2275" w:hRule="atLeast"/>
        </w:trPr>
        <w:tc>
          <w:tcPr>
            <w:tcW w:w="9359"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360"/>
              <w:rPr>
                <w:rFonts w:cs="Arial"/>
                <w:b/>
                <w:bCs/>
                <w:szCs w:val="24"/>
              </w:rPr>
            </w:pPr>
            <w:r>
              <w:rPr>
                <w:rFonts w:cs="Arial"/>
                <w:b/>
                <w:bCs/>
                <w:szCs w:val="24"/>
              </w:rPr>
              <w:t>THEORETICAL CONTEXT:</w:t>
            </w:r>
          </w:p>
          <w:p>
            <w:pPr>
              <w:pStyle w:val="Normal"/>
              <w:spacing w:lineRule="auto" w:line="360" w:before="240" w:after="0"/>
              <w:jc w:val="both"/>
              <w:rPr>
                <w:rFonts w:cs="Arial"/>
                <w:szCs w:val="24"/>
              </w:rPr>
            </w:pPr>
            <w:r>
              <w:rPr>
                <w:rFonts w:cs="Arial"/>
                <w:szCs w:val="24"/>
              </w:rPr>
              <w:t xml:space="preserve">A plethora of academic research has been conducted, providing empirical evidence to contribute to the knowledge base in community policing. Skogan and Frydl (2004) conducted an in-depth study of different policing approaches, with a specific emphasis on </w:t>
            </w:r>
            <w:r>
              <w:rPr>
                <w:rFonts w:cs="Arial"/>
                <w:i/>
                <w:iCs/>
                <w:szCs w:val="24"/>
              </w:rPr>
              <w:t>Fairness and effectiveness in policing</w:t>
            </w:r>
            <w:r>
              <w:rPr>
                <w:rFonts w:cs="Arial"/>
                <w:szCs w:val="24"/>
              </w:rPr>
              <w:t>. Their work provides a bedrock for understanding the fundamental concepts behind community policing efforts.</w:t>
            </w:r>
          </w:p>
          <w:p>
            <w:pPr>
              <w:pStyle w:val="Normal"/>
              <w:spacing w:lineRule="auto" w:line="360" w:before="240" w:after="0"/>
              <w:jc w:val="both"/>
              <w:rPr>
                <w:rFonts w:cs="Arial"/>
                <w:szCs w:val="24"/>
              </w:rPr>
            </w:pPr>
            <w:r>
              <w:rPr>
                <w:rFonts w:cs="Arial"/>
                <w:szCs w:val="24"/>
              </w:rPr>
              <w:t>Also, Kelling and Moore (1988) provided insights into the historical perspective of policing strategies, indicating the shift to community-based approaches. Their analysis contextualizes community policing in a broader historical framework, emphasizing its contemporary relevance.</w:t>
            </w:r>
          </w:p>
          <w:p>
            <w:pPr>
              <w:pStyle w:val="Normal"/>
              <w:spacing w:lineRule="auto" w:line="360" w:before="240" w:after="0"/>
              <w:jc w:val="both"/>
              <w:rPr>
                <w:rFonts w:cs="Arial"/>
                <w:szCs w:val="24"/>
              </w:rPr>
            </w:pPr>
            <w:r>
              <w:rPr>
                <w:rFonts w:cs="Arial"/>
                <w:szCs w:val="24"/>
              </w:rPr>
              <w:t>In addition, Braga and Weisburd’s (2018) article explores Focused deterrence strategies and crime control, providing a systematic review of the efficacy of community policing. Similarly, Gill et al. (2014) conducted a systematic review of Community-oriented policing to reduce crime, disorder and fear and increase satisfaction and legitimacy among citizens, emphasising the role of the police in improving public trust and reducing fear within communities.</w:t>
            </w:r>
          </w:p>
          <w:p>
            <w:pPr>
              <w:pStyle w:val="Normal"/>
              <w:spacing w:lineRule="auto" w:line="360" w:before="240" w:after="0"/>
              <w:jc w:val="both"/>
              <w:rPr>
                <w:rFonts w:cs="Arial"/>
                <w:szCs w:val="24"/>
              </w:rPr>
            </w:pPr>
            <w:r>
              <w:rPr>
                <w:rFonts w:cs="Arial"/>
                <w:szCs w:val="24"/>
              </w:rPr>
              <w:t>Similarly, reports from government agencies, such as the Bureau of Justice Assistance (1994) and Office for National Statistics (2023), establish operational frameworks and quantitative perspectives on the structured implementation of community policing strategies and practical understanding of policing strategies.</w:t>
            </w:r>
          </w:p>
          <w:p>
            <w:pPr>
              <w:pStyle w:val="Normal"/>
              <w:spacing w:lineRule="auto" w:line="360" w:before="240" w:after="0"/>
              <w:jc w:val="both"/>
              <w:rPr>
                <w:rFonts w:cs="Arial"/>
              </w:rPr>
            </w:pPr>
            <w:r>
              <w:rPr>
                <w:rFonts w:cs="Arial"/>
                <w:szCs w:val="24"/>
              </w:rPr>
              <w:t>Organizational strategic plans especially those used by International Association of Chiefs of Police and the College of Policing (2024) shows the importance of community engagement and provide practical guidance for improving police-community relationships (Modise, 2023).</w:t>
            </w:r>
          </w:p>
        </w:tc>
      </w:tr>
      <w:tr>
        <w:trPr>
          <w:trHeight w:val="1332" w:hRule="atLeast"/>
        </w:trPr>
        <w:tc>
          <w:tcPr>
            <w:tcW w:w="9359"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360"/>
              <w:rPr>
                <w:rFonts w:cs="Arial"/>
                <w:b/>
                <w:bCs/>
                <w:szCs w:val="24"/>
              </w:rPr>
            </w:pPr>
            <w:bookmarkStart w:id="2" w:name="_Hlk165576428"/>
            <w:r>
              <w:rPr>
                <w:rFonts w:cs="Arial"/>
                <w:b/>
                <w:bCs/>
                <w:szCs w:val="24"/>
              </w:rPr>
              <w:t>SUMMARY OF RESEARCH –SURVEY METHOD:</w:t>
            </w:r>
            <w:bookmarkEnd w:id="2"/>
          </w:p>
          <w:p>
            <w:pPr>
              <w:pStyle w:val="Normal"/>
              <w:spacing w:lineRule="auto" w:line="360" w:before="240" w:after="144"/>
              <w:jc w:val="both"/>
              <w:rPr>
                <w:rFonts w:eastAsia="Arial" w:cs="Arial"/>
                <w:szCs w:val="24"/>
              </w:rPr>
            </w:pPr>
            <w:r>
              <w:rPr>
                <w:rFonts w:eastAsia="Arial" w:cs="Arial"/>
                <w:szCs w:val="24"/>
              </w:rPr>
              <w:t xml:space="preserve">The study will use a </w:t>
            </w:r>
            <w:r>
              <w:rPr>
                <w:rFonts w:eastAsia="Arial" w:cs="Arial"/>
                <w:b/>
                <w:bCs/>
                <w:szCs w:val="24"/>
              </w:rPr>
              <w:t>general survey</w:t>
            </w:r>
            <w:r>
              <w:rPr>
                <w:rFonts w:eastAsia="Arial" w:cs="Arial"/>
                <w:szCs w:val="24"/>
              </w:rPr>
              <w:t xml:space="preserve"> method to gather perspectives from multiple neighbourhoods within Telford. This will allow for more generalizable results while still providing valuable insights into community-policing efforts.</w:t>
            </w:r>
          </w:p>
          <w:p>
            <w:pPr>
              <w:pStyle w:val="Normal"/>
              <w:spacing w:lineRule="auto" w:line="360" w:before="240" w:after="144"/>
              <w:jc w:val="both"/>
              <w:rPr/>
            </w:pPr>
            <w:r>
              <w:rPr>
                <w:rFonts w:eastAsia="Arial" w:cs="Arial"/>
                <w:szCs w:val="24"/>
              </w:rPr>
              <w:t xml:space="preserve">The research will utilize a </w:t>
            </w:r>
            <w:r>
              <w:rPr>
                <w:rFonts w:eastAsia="Arial" w:cs="Arial"/>
                <w:b/>
                <w:bCs/>
                <w:szCs w:val="24"/>
              </w:rPr>
              <w:t>mixed-methods approach.</w:t>
            </w:r>
          </w:p>
          <w:p>
            <w:pPr>
              <w:pStyle w:val="Normal"/>
              <w:spacing w:lineRule="auto" w:line="360"/>
              <w:jc w:val="both"/>
              <w:rPr>
                <w:rFonts w:cs="Arial"/>
                <w:b/>
                <w:bCs/>
                <w:szCs w:val="24"/>
              </w:rPr>
            </w:pPr>
            <w:r>
              <w:rPr>
                <w:rFonts w:cs="Arial"/>
                <w:b/>
                <w:bCs/>
                <w:szCs w:val="24"/>
              </w:rPr>
              <w:t>Qualitative Methods</w:t>
            </w:r>
          </w:p>
          <w:p>
            <w:pPr>
              <w:pStyle w:val="Normal"/>
              <w:spacing w:lineRule="auto" w:line="360" w:before="240" w:after="144"/>
              <w:jc w:val="both"/>
              <w:rPr>
                <w:rFonts w:eastAsia="Arial" w:cs="Arial"/>
                <w:szCs w:val="24"/>
              </w:rPr>
            </w:pPr>
            <w:r>
              <w:rPr>
                <w:rFonts w:eastAsia="Arial" w:cs="Arial"/>
                <w:szCs w:val="24"/>
              </w:rPr>
              <w:t>These methods will explore the subjective experiences of police officers and community members, particularly regarding trust and cooperation between the police and the public. The qualitative data will be collected through:</w:t>
            </w:r>
          </w:p>
          <w:p>
            <w:pPr>
              <w:pStyle w:val="Normal"/>
              <w:spacing w:lineRule="auto" w:line="360"/>
              <w:jc w:val="both"/>
              <w:rPr>
                <w:rFonts w:cs="Arial"/>
              </w:rPr>
            </w:pPr>
            <w:r>
              <w:rPr>
                <w:rFonts w:cs="Arial"/>
              </w:rPr>
            </w:r>
          </w:p>
          <w:p>
            <w:pPr>
              <w:pStyle w:val="ListParagraph"/>
              <w:numPr>
                <w:ilvl w:val="0"/>
                <w:numId w:val="3"/>
              </w:numPr>
              <w:spacing w:lineRule="auto" w:line="360"/>
              <w:jc w:val="both"/>
              <w:rPr>
                <w:rFonts w:cs="Arial"/>
                <w:szCs w:val="24"/>
              </w:rPr>
            </w:pPr>
            <w:r>
              <w:rPr>
                <w:rFonts w:cs="Arial"/>
                <w:i/>
                <w:iCs/>
                <w:szCs w:val="24"/>
              </w:rPr>
              <w:t>Semi-structured Interviews</w:t>
            </w:r>
            <w:r>
              <w:rPr>
                <w:rFonts w:cs="Arial"/>
                <w:szCs w:val="24"/>
              </w:rPr>
              <w:t xml:space="preserve">: </w:t>
            </w:r>
            <w:r>
              <w:rPr>
                <w:rFonts w:eastAsia="Arial" w:cs="Arial"/>
                <w:szCs w:val="24"/>
              </w:rPr>
              <w:t>Conducted with police officers, community leaders, and selected residents, these interviews will explore personal perceptions of community-policing strategies and their impact.</w:t>
            </w:r>
          </w:p>
          <w:p>
            <w:pPr>
              <w:pStyle w:val="ListParagraph"/>
              <w:numPr>
                <w:ilvl w:val="0"/>
                <w:numId w:val="3"/>
              </w:numPr>
              <w:spacing w:lineRule="auto" w:line="360"/>
              <w:jc w:val="both"/>
              <w:rPr>
                <w:rFonts w:cs="Arial"/>
                <w:szCs w:val="24"/>
              </w:rPr>
            </w:pPr>
            <w:r>
              <w:rPr>
                <w:rFonts w:cs="Arial"/>
                <w:i/>
                <w:iCs/>
                <w:szCs w:val="24"/>
              </w:rPr>
              <w:t>Focus Groups:</w:t>
            </w:r>
            <w:r>
              <w:rPr>
                <w:rFonts w:cs="Arial"/>
                <w:szCs w:val="24"/>
              </w:rPr>
              <w:t xml:space="preserve"> Group discussions with community members to gather a broader range of opinions and foster interactive conversation.</w:t>
            </w:r>
          </w:p>
          <w:p>
            <w:pPr>
              <w:pStyle w:val="Normal"/>
              <w:spacing w:lineRule="auto" w:line="360" w:before="240" w:after="0"/>
              <w:jc w:val="both"/>
              <w:rPr>
                <w:rFonts w:cs="Arial"/>
                <w:b/>
                <w:bCs/>
                <w:szCs w:val="24"/>
              </w:rPr>
            </w:pPr>
            <w:r>
              <w:rPr>
                <w:rFonts w:cs="Arial"/>
                <w:b/>
                <w:bCs/>
                <w:szCs w:val="24"/>
              </w:rPr>
              <w:t>Quantitative Methods</w:t>
            </w:r>
          </w:p>
          <w:p>
            <w:pPr>
              <w:pStyle w:val="Normal"/>
              <w:spacing w:lineRule="auto" w:line="360" w:before="240" w:after="144"/>
              <w:jc w:val="both"/>
              <w:rPr/>
            </w:pPr>
            <w:r>
              <w:rPr>
                <w:rFonts w:eastAsia="Arial" w:cs="Arial"/>
                <w:szCs w:val="24"/>
              </w:rPr>
              <w:t>The quantitative component will assess the broader impact of community-policing by:</w:t>
            </w:r>
          </w:p>
          <w:p>
            <w:pPr>
              <w:pStyle w:val="ListParagraph"/>
              <w:numPr>
                <w:ilvl w:val="0"/>
                <w:numId w:val="4"/>
              </w:numPr>
              <w:spacing w:lineRule="auto" w:line="360"/>
              <w:jc w:val="both"/>
              <w:rPr>
                <w:rFonts w:cs="Arial"/>
                <w:szCs w:val="24"/>
              </w:rPr>
            </w:pPr>
            <w:r>
              <w:rPr>
                <w:rFonts w:cs="Arial"/>
                <w:i/>
                <w:iCs/>
                <w:szCs w:val="24"/>
              </w:rPr>
              <w:t>Crime Rate Analysis</w:t>
            </w:r>
            <w:r>
              <w:rPr>
                <w:rFonts w:cs="Arial"/>
                <w:szCs w:val="24"/>
              </w:rPr>
              <w:t>:</w:t>
            </w:r>
            <w:r>
              <w:rPr>
                <w:rFonts w:eastAsia="Arial" w:cs="Arial"/>
                <w:szCs w:val="24"/>
              </w:rPr>
              <w:t xml:space="preserve"> Analysing crime statistics over a specific period to determine the correlation between community-policing efforts and changes in crime rates.</w:t>
            </w:r>
          </w:p>
          <w:p>
            <w:pPr>
              <w:pStyle w:val="ListParagraph"/>
              <w:numPr>
                <w:ilvl w:val="0"/>
                <w:numId w:val="4"/>
              </w:numPr>
              <w:spacing w:lineRule="auto" w:line="360"/>
              <w:jc w:val="both"/>
              <w:rPr>
                <w:rFonts w:cs="Arial"/>
                <w:szCs w:val="24"/>
              </w:rPr>
            </w:pPr>
            <w:r>
              <w:rPr>
                <w:rFonts w:cs="Arial"/>
                <w:i/>
                <w:iCs/>
                <w:szCs w:val="24"/>
              </w:rPr>
              <w:t>General Surveys</w:t>
            </w:r>
            <w:r>
              <w:rPr>
                <w:rFonts w:cs="Arial"/>
                <w:szCs w:val="24"/>
              </w:rPr>
              <w:t xml:space="preserve">: </w:t>
            </w:r>
            <w:r>
              <w:rPr>
                <w:rFonts w:eastAsia="Arial" w:cs="Arial"/>
                <w:szCs w:val="24"/>
              </w:rPr>
              <w:t>A structured survey will be distributed to a representative sample of Telford residents, collecting data on their perceptions of community policing, trust in law enforcement, and individual experiences with crime.</w:t>
            </w:r>
          </w:p>
          <w:p>
            <w:pPr>
              <w:pStyle w:val="Normal"/>
              <w:spacing w:lineRule="auto" w:line="360" w:before="240" w:after="144"/>
              <w:jc w:val="both"/>
              <w:rPr/>
            </w:pPr>
            <w:r>
              <w:rPr>
                <w:rFonts w:eastAsia="Arial" w:cs="Arial"/>
                <w:szCs w:val="24"/>
              </w:rPr>
              <w:t xml:space="preserve">The </w:t>
            </w:r>
            <w:r>
              <w:rPr>
                <w:rFonts w:eastAsia="Arial" w:cs="Arial"/>
                <w:b/>
                <w:bCs/>
                <w:szCs w:val="24"/>
              </w:rPr>
              <w:t>survey method</w:t>
            </w:r>
            <w:r>
              <w:rPr>
                <w:rFonts w:eastAsia="Arial" w:cs="Arial"/>
                <w:szCs w:val="24"/>
              </w:rPr>
              <w:t xml:space="preserve"> has been chosen for its simplicity and broad applicability, ensuring that many respondents can be reached. This will make the findings more reliable and less prone to the challenges of securing professional responses.</w:t>
            </w:r>
          </w:p>
          <w:p>
            <w:pPr>
              <w:pStyle w:val="Normal"/>
              <w:spacing w:lineRule="auto" w:line="360" w:before="240" w:after="144"/>
              <w:jc w:val="both"/>
              <w:rPr>
                <w:rFonts w:eastAsia="Arial" w:cs="Arial"/>
                <w:szCs w:val="24"/>
              </w:rPr>
            </w:pPr>
            <w:r>
              <w:rPr>
                <w:rFonts w:eastAsia="Arial" w:cs="Arial"/>
                <w:szCs w:val="24"/>
              </w:rPr>
            </w:r>
          </w:p>
          <w:p>
            <w:pPr>
              <w:pStyle w:val="BodyText"/>
              <w:spacing w:lineRule="auto" w:line="360" w:before="240" w:after="144"/>
              <w:jc w:val="both"/>
              <w:rPr/>
            </w:pPr>
            <w:r>
              <w:rPr>
                <w:rStyle w:val="Strong"/>
                <w:rFonts w:eastAsia="Arial" w:cs="Arial"/>
                <w:szCs w:val="24"/>
              </w:rPr>
              <w:t>Limitations of the Study</w:t>
            </w:r>
          </w:p>
          <w:p>
            <w:pPr>
              <w:pStyle w:val="BodyText"/>
              <w:spacing w:lineRule="auto" w:line="360" w:before="0" w:after="283"/>
              <w:jc w:val="both"/>
              <w:rPr/>
            </w:pPr>
            <w:r>
              <w:rPr/>
              <w:t>While this research aims to provide comprehensive insights into the impact of community policing in Telford, several limitations should be noted. Focusing on one geographic area, such as Telford, may restrict the generalizability of the findings. Telford's unique socio-economic context, population density, and crime patterns might differ significantly from those of other regions, meaning the results may not be applicable to areas with different characteristics.</w:t>
            </w:r>
          </w:p>
          <w:p>
            <w:pPr>
              <w:pStyle w:val="BodyText"/>
              <w:spacing w:lineRule="auto" w:line="360" w:before="0" w:after="283"/>
              <w:jc w:val="both"/>
              <w:rPr/>
            </w:pPr>
            <w:r>
              <w:rPr/>
              <w:t>Furthermore, securing responses from professionals such as police officers may be challenging due to their demanding schedules. This could impact the depth of the qualitative data collected. Additional outreach strategies, including flexible interview scheduling and alternative data collection methods, will be considered to mitigate this.</w:t>
            </w:r>
          </w:p>
        </w:tc>
      </w:tr>
      <w:tr>
        <w:trPr>
          <w:trHeight w:val="1998" w:hRule="atLeast"/>
        </w:trPr>
        <w:tc>
          <w:tcPr>
            <w:tcW w:w="9359"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360"/>
              <w:rPr>
                <w:rFonts w:cs="Arial"/>
                <w:szCs w:val="24"/>
              </w:rPr>
            </w:pPr>
            <w:bookmarkStart w:id="3" w:name="_Hlk165576751"/>
            <w:r>
              <w:rPr>
                <w:rFonts w:cs="Arial"/>
                <w:b/>
                <w:bCs/>
                <w:szCs w:val="24"/>
              </w:rPr>
              <w:t>SUMMARY OF SAMPLING FRAMEWORK:</w:t>
            </w:r>
            <w:bookmarkEnd w:id="3"/>
          </w:p>
          <w:p>
            <w:pPr>
              <w:pStyle w:val="ListParagraph"/>
              <w:numPr>
                <w:ilvl w:val="0"/>
                <w:numId w:val="2"/>
              </w:numPr>
              <w:spacing w:lineRule="auto" w:line="360" w:before="240" w:after="0"/>
              <w:contextualSpacing/>
              <w:rPr>
                <w:rFonts w:eastAsia="Arial" w:cs="Arial"/>
                <w:szCs w:val="24"/>
              </w:rPr>
            </w:pPr>
            <w:r>
              <w:rPr>
                <w:rFonts w:eastAsia="Arial" w:cs="Arial"/>
                <w:b/>
                <w:bCs/>
                <w:szCs w:val="24"/>
              </w:rPr>
              <w:t>Purposive Sampling</w:t>
            </w:r>
            <w:r>
              <w:rPr>
                <w:rFonts w:eastAsia="Arial" w:cs="Arial"/>
                <w:szCs w:val="24"/>
              </w:rPr>
              <w:t>: Used to select police officers and community leaders with direct experience in community policing.</w:t>
            </w:r>
          </w:p>
          <w:p>
            <w:pPr>
              <w:pStyle w:val="ListParagraph"/>
              <w:numPr>
                <w:ilvl w:val="0"/>
                <w:numId w:val="2"/>
              </w:numPr>
              <w:spacing w:lineRule="auto" w:line="360" w:before="0" w:after="240"/>
              <w:contextualSpacing/>
              <w:rPr>
                <w:rFonts w:eastAsia="Arial" w:cs="Arial"/>
                <w:szCs w:val="24"/>
              </w:rPr>
            </w:pPr>
            <w:r>
              <w:rPr>
                <w:rFonts w:eastAsia="Arial" w:cs="Arial"/>
                <w:b/>
                <w:bCs/>
                <w:szCs w:val="24"/>
              </w:rPr>
              <w:t>Random Sampling</w:t>
            </w:r>
            <w:r>
              <w:rPr>
                <w:rFonts w:eastAsia="Arial" w:cs="Arial"/>
                <w:szCs w:val="24"/>
              </w:rPr>
              <w:t>: Employed to reach a diverse and representative cross-section of residents across multiple neighborhoods.</w:t>
            </w:r>
          </w:p>
          <w:p>
            <w:pPr>
              <w:pStyle w:val="Normal"/>
              <w:spacing w:lineRule="auto" w:line="360" w:before="240" w:after="144"/>
              <w:jc w:val="both"/>
              <w:rPr/>
            </w:pPr>
            <w:r>
              <w:rPr>
                <w:rFonts w:eastAsia="Arial" w:cs="Arial"/>
                <w:szCs w:val="24"/>
              </w:rPr>
              <w:t>By adopting this more general approach, the research will provide a comprehensive view of community policing in Telford while avoiding the potential pitfalls of overly focusing on one specific area. This broader scope also allows for greater flexibility in analysing successes and challenges across different contexts.</w:t>
            </w:r>
          </w:p>
          <w:p>
            <w:pPr>
              <w:pStyle w:val="Normal"/>
              <w:spacing w:lineRule="auto" w:line="360"/>
              <w:rPr>
                <w:rFonts w:cs="Arial"/>
                <w:b/>
                <w:bCs/>
                <w:szCs w:val="24"/>
              </w:rPr>
            </w:pPr>
            <w:r>
              <w:rPr>
                <w:rFonts w:cs="Arial"/>
                <w:b/>
                <w:bCs/>
                <w:szCs w:val="24"/>
              </w:rPr>
              <w:t>Sample Size</w:t>
            </w:r>
          </w:p>
          <w:p>
            <w:pPr>
              <w:pStyle w:val="ListParagraph"/>
              <w:numPr>
                <w:ilvl w:val="0"/>
                <w:numId w:val="5"/>
              </w:numPr>
              <w:spacing w:lineRule="auto" w:line="360"/>
              <w:jc w:val="both"/>
              <w:rPr>
                <w:rFonts w:cs="Arial"/>
                <w:szCs w:val="24"/>
              </w:rPr>
            </w:pPr>
            <w:r>
              <w:rPr>
                <w:rFonts w:cs="Arial"/>
                <w:szCs w:val="24"/>
              </w:rPr>
              <w:t>For interviews and focus groups, the anticipated sample size is 15-20 participants.</w:t>
            </w:r>
          </w:p>
          <w:p>
            <w:pPr>
              <w:pStyle w:val="ListParagraph"/>
              <w:numPr>
                <w:ilvl w:val="0"/>
                <w:numId w:val="5"/>
              </w:numPr>
              <w:spacing w:lineRule="auto" w:line="360"/>
              <w:jc w:val="both"/>
              <w:rPr>
                <w:rFonts w:cs="Arial"/>
                <w:szCs w:val="24"/>
              </w:rPr>
            </w:pPr>
            <w:r>
              <w:rPr>
                <w:rFonts w:cs="Arial"/>
                <w:szCs w:val="24"/>
              </w:rPr>
              <w:t>For surveys, a sample size of 100-150 respondents provides sufficient data for statistical analysis.</w:t>
            </w:r>
          </w:p>
          <w:p>
            <w:pPr>
              <w:pStyle w:val="Normal"/>
              <w:spacing w:lineRule="auto" w:line="360"/>
              <w:jc w:val="both"/>
              <w:rPr>
                <w:rFonts w:cs="Arial"/>
                <w:b/>
                <w:bCs/>
                <w:szCs w:val="24"/>
              </w:rPr>
            </w:pPr>
            <w:r>
              <w:rPr>
                <w:rFonts w:cs="Arial"/>
                <w:b/>
                <w:bCs/>
                <w:szCs w:val="24"/>
              </w:rPr>
              <w:t>Inclusion and Exclusion Criteria</w:t>
            </w:r>
          </w:p>
          <w:p>
            <w:pPr>
              <w:pStyle w:val="Normal"/>
              <w:spacing w:lineRule="auto" w:line="360"/>
              <w:jc w:val="both"/>
              <w:rPr>
                <w:rFonts w:cs="Arial"/>
                <w:szCs w:val="24"/>
              </w:rPr>
            </w:pPr>
            <w:r>
              <w:rPr>
                <w:rFonts w:cs="Arial"/>
                <w:i/>
                <w:iCs/>
                <w:szCs w:val="24"/>
              </w:rPr>
              <w:t>Inclusion</w:t>
            </w:r>
            <w:r>
              <w:rPr>
                <w:rFonts w:cs="Arial"/>
                <w:szCs w:val="24"/>
              </w:rPr>
              <w:t>: Participants must be involved in or directly interacting with community policing. Survey participants must be over 18 years old.</w:t>
            </w:r>
          </w:p>
          <w:p>
            <w:pPr>
              <w:pStyle w:val="Normal"/>
              <w:spacing w:lineRule="auto" w:line="360"/>
              <w:jc w:val="both"/>
              <w:rPr>
                <w:rFonts w:cs="Arial"/>
                <w:szCs w:val="24"/>
              </w:rPr>
            </w:pPr>
            <w:r>
              <w:rPr>
                <w:rFonts w:cs="Arial"/>
                <w:i/>
                <w:iCs/>
                <w:szCs w:val="24"/>
              </w:rPr>
              <w:t>Exclusion:</w:t>
            </w:r>
            <w:r>
              <w:rPr>
                <w:rFonts w:cs="Arial"/>
                <w:szCs w:val="24"/>
              </w:rPr>
              <w:t xml:space="preserve"> Individuals not meeting inclusion criteria or unwilling to participate.</w:t>
            </w:r>
          </w:p>
          <w:p>
            <w:pPr>
              <w:pStyle w:val="Normal"/>
              <w:spacing w:lineRule="auto" w:line="360"/>
              <w:jc w:val="both"/>
              <w:rPr>
                <w:rFonts w:cs="Arial"/>
                <w:szCs w:val="24"/>
              </w:rPr>
            </w:pPr>
            <w:r>
              <w:rPr>
                <w:rFonts w:cs="Arial"/>
                <w:b/>
                <w:bCs/>
                <w:szCs w:val="24"/>
              </w:rPr>
              <w:t>Ethical Considerations</w:t>
            </w:r>
          </w:p>
          <w:p>
            <w:pPr>
              <w:pStyle w:val="Normal"/>
              <w:spacing w:lineRule="auto" w:line="360"/>
              <w:jc w:val="both"/>
              <w:rPr>
                <w:rFonts w:cs="Arial"/>
                <w:szCs w:val="24"/>
              </w:rPr>
            </w:pPr>
            <w:r>
              <w:rPr>
                <w:rFonts w:cs="Arial"/>
                <w:szCs w:val="24"/>
              </w:rPr>
              <w:t>Participants will provide informed consent, with confidentiality maintained and personal data anonymized for protection.</w:t>
            </w:r>
          </w:p>
        </w:tc>
      </w:tr>
      <w:tr>
        <w:trPr>
          <w:trHeight w:val="983" w:hRule="atLeast"/>
        </w:trPr>
        <w:tc>
          <w:tcPr>
            <w:tcW w:w="9359"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360"/>
              <w:jc w:val="both"/>
              <w:rPr>
                <w:rFonts w:cs="Arial"/>
                <w:b/>
                <w:bCs/>
                <w:szCs w:val="24"/>
              </w:rPr>
            </w:pPr>
            <w:r>
              <w:rPr>
                <w:rFonts w:cs="Arial"/>
                <w:b/>
                <w:bCs/>
                <w:szCs w:val="24"/>
              </w:rPr>
              <w:t>INITIAL REFERENCE LIST:</w:t>
            </w:r>
          </w:p>
          <w:p>
            <w:pPr>
              <w:pStyle w:val="BodyText"/>
              <w:spacing w:lineRule="auto" w:line="360"/>
              <w:jc w:val="both"/>
              <w:rPr>
                <w:rFonts w:cs="Arial"/>
                <w:szCs w:val="24"/>
              </w:rPr>
            </w:pPr>
            <w:r>
              <w:rPr>
                <w:rFonts w:cs="Arial"/>
                <w:szCs w:val="24"/>
              </w:rPr>
              <w:t xml:space="preserve">Braga, A. A. &amp; Weisburd, D. (2015). "Can Policing Deter Crime and Disorder?" </w:t>
            </w:r>
            <w:r>
              <w:rPr>
                <w:rStyle w:val="Emphasis"/>
                <w:rFonts w:cs="Arial"/>
                <w:szCs w:val="24"/>
              </w:rPr>
              <w:t>Annual Review of Criminology</w:t>
            </w:r>
            <w:r>
              <w:rPr>
                <w:rFonts w:cs="Arial"/>
                <w:szCs w:val="24"/>
              </w:rPr>
              <w:t xml:space="preserve">, 1, 199-218. </w:t>
            </w:r>
            <w:hyperlink r:id="rId5">
              <w:r>
                <w:rPr>
                  <w:rStyle w:val="Hyperlink"/>
                  <w:rFonts w:cs="Arial"/>
                  <w:szCs w:val="24"/>
                </w:rPr>
                <w:t>doi:10.1146/annurev-criminol-021616-121409.</w:t>
              </w:r>
            </w:hyperlink>
          </w:p>
          <w:p>
            <w:pPr>
              <w:pStyle w:val="BodyText"/>
              <w:spacing w:lineRule="auto" w:line="360"/>
              <w:jc w:val="both"/>
              <w:rPr>
                <w:rFonts w:cs="Arial"/>
                <w:szCs w:val="24"/>
              </w:rPr>
            </w:pPr>
            <w:r>
              <w:rPr/>
            </w:r>
          </w:p>
          <w:p>
            <w:pPr>
              <w:pStyle w:val="BodyText"/>
              <w:spacing w:lineRule="auto" w:line="360" w:before="0" w:after="283"/>
              <w:rPr/>
            </w:pPr>
            <w:r>
              <w:rPr/>
              <w:t xml:space="preserve">Bureau of Justice Assistance. (1994). </w:t>
            </w:r>
            <w:r>
              <w:rPr>
                <w:rStyle w:val="Emphasis"/>
              </w:rPr>
              <w:t>Understanding Community Policing: A Framework for Action</w:t>
            </w:r>
            <w:r>
              <w:rPr/>
              <w:t>. U.S. Department of Justice, Office of Justice Programs.</w:t>
            </w:r>
          </w:p>
          <w:p>
            <w:pPr>
              <w:pStyle w:val="BodyText"/>
              <w:spacing w:lineRule="auto" w:line="360" w:before="0" w:after="283"/>
              <w:rPr/>
            </w:pPr>
            <w:r>
              <w:rPr/>
              <w:t xml:space="preserve">College of Policing. (n.d.). </w:t>
            </w:r>
            <w:r>
              <w:rPr>
                <w:rStyle w:val="Emphasis"/>
              </w:rPr>
              <w:t>Engagement</w:t>
            </w:r>
            <w:r>
              <w:rPr/>
              <w:t xml:space="preserve">. Available at: </w:t>
            </w:r>
            <w:hyperlink r:id="rId6" w:tgtFrame="_new">
              <w:r>
                <w:rPr>
                  <w:rStyle w:val="Hyperlink"/>
                </w:rPr>
                <w:t>https://www.college.police.uk/app/engagement-and-communication/engagement</w:t>
              </w:r>
            </w:hyperlink>
            <w:r>
              <w:rPr/>
              <w:t xml:space="preserve"> [Accessed 10 October 2024].</w:t>
            </w:r>
          </w:p>
          <w:p>
            <w:pPr>
              <w:pStyle w:val="BodyText"/>
              <w:spacing w:lineRule="auto" w:line="360" w:before="0" w:after="283"/>
              <w:rPr/>
            </w:pPr>
            <w:r>
              <w:rPr/>
              <w:t xml:space="preserve">Gill, C., Weisburd, D., Telep, C. W., Vitter, Z., &amp; Bennett, T. (2014). "Community-Oriented Policing to Reduce Crime, Disorder, and Fear and Increase Satisfaction and Legitimacy among Citizens: A Systematic Review." </w:t>
            </w:r>
            <w:r>
              <w:rPr>
                <w:rStyle w:val="Emphasis"/>
              </w:rPr>
              <w:t>Journal of Experimental Criminology</w:t>
            </w:r>
            <w:r>
              <w:rPr/>
              <w:t>, 10(4), 399-428. doi:10.1007/s11292-014-9210-y.</w:t>
            </w:r>
          </w:p>
          <w:p>
            <w:pPr>
              <w:pStyle w:val="BodyText"/>
              <w:spacing w:lineRule="auto" w:line="360" w:before="0" w:after="283"/>
              <w:rPr/>
            </w:pPr>
            <w:r>
              <w:rPr/>
              <w:t xml:space="preserve">International Association of Chiefs of Police. (2019). </w:t>
            </w:r>
            <w:r>
              <w:rPr>
                <w:rStyle w:val="Emphasis"/>
              </w:rPr>
              <w:t>Community Police-Engagement</w:t>
            </w:r>
            <w:r>
              <w:rPr/>
              <w:t xml:space="preserve">. Available at: </w:t>
            </w:r>
            <w:hyperlink r:id="rId7" w:tgtFrame="_new">
              <w:r>
                <w:rPr>
                  <w:rStyle w:val="Hyperlink"/>
                </w:rPr>
                <w:t>https://www.theiacp.org/resources/document/community-police-engagement</w:t>
              </w:r>
            </w:hyperlink>
            <w:r>
              <w:rPr/>
              <w:t xml:space="preserve"> [Accessed 10 October 2024].</w:t>
            </w:r>
          </w:p>
          <w:p>
            <w:pPr>
              <w:pStyle w:val="BodyText"/>
              <w:spacing w:lineRule="auto" w:line="360" w:before="0" w:after="283"/>
              <w:rPr/>
            </w:pPr>
            <w:r>
              <w:rPr/>
              <w:t xml:space="preserve">Jones, L. M. (2017). </w:t>
            </w:r>
            <w:r>
              <w:rPr>
                <w:rStyle w:val="Emphasis"/>
              </w:rPr>
              <w:t>The Impact of Community Policing on Crime Rates in Urban Areas: A Case Study</w:t>
            </w:r>
            <w:r>
              <w:rPr/>
              <w:t>. Unpublished Master’s Thesis, University of Wales.</w:t>
            </w:r>
          </w:p>
          <w:p>
            <w:pPr>
              <w:pStyle w:val="BodyText"/>
              <w:spacing w:lineRule="auto" w:line="360" w:before="0" w:after="283"/>
              <w:rPr/>
            </w:pPr>
            <w:r>
              <w:rPr/>
              <w:t xml:space="preserve">Kelling, G. L., &amp; Moore, M. H. (1988). </w:t>
            </w:r>
            <w:r>
              <w:rPr>
                <w:rStyle w:val="Emphasis"/>
              </w:rPr>
              <w:t>From Political to Reform to Community: The Evolving Strategy of Police</w:t>
            </w:r>
            <w:r>
              <w:rPr/>
              <w:t>. U.S. Department of Justice, Office of Justice Programs.</w:t>
            </w:r>
          </w:p>
          <w:p>
            <w:pPr>
              <w:pStyle w:val="BodyText"/>
              <w:spacing w:lineRule="auto" w:line="360" w:before="0" w:after="283"/>
              <w:rPr/>
            </w:pPr>
            <w:r>
              <w:rPr/>
              <w:t xml:space="preserve">Modise, J. M. (2023). </w:t>
            </w:r>
            <w:r>
              <w:rPr>
                <w:rStyle w:val="Emphasis"/>
              </w:rPr>
              <w:t>Community Engagement in Policing: A Path to More Meaningful, Knowledgeable, and Successful Public Consultation</w:t>
            </w:r>
            <w:r>
              <w:rPr/>
              <w:t xml:space="preserve">. </w:t>
            </w:r>
            <w:r>
              <w:rPr>
                <w:rStyle w:val="Emphasis"/>
              </w:rPr>
              <w:t>International Journal of Innovative Science and Research Technology</w:t>
            </w:r>
            <w:r>
              <w:rPr/>
              <w:t>, 8(6), 3892-3906. https://doi.org/10.1234/abcde.</w:t>
            </w:r>
          </w:p>
          <w:p>
            <w:pPr>
              <w:pStyle w:val="BodyText"/>
              <w:spacing w:lineRule="auto" w:line="360" w:before="0" w:after="283"/>
              <w:rPr/>
            </w:pPr>
            <w:r>
              <w:rPr/>
              <w:t xml:space="preserve">Office for National Statistics. (2023). </w:t>
            </w:r>
            <w:r>
              <w:rPr>
                <w:rStyle w:val="Emphasis"/>
              </w:rPr>
              <w:t>Crime in England and Wales: Year Ending March 2023</w:t>
            </w:r>
            <w:r>
              <w:rPr/>
              <w:t xml:space="preserve">. Available at: </w:t>
            </w:r>
            <w:hyperlink r:id="rId8" w:tgtFrame="_new">
              <w:r>
                <w:rPr>
                  <w:rStyle w:val="Hyperlink"/>
                </w:rPr>
                <w:t>https://www.ons.gov.uk/peoplepopulationandcommunity/crimeandjustice/bulletins/crimeinenglandandwales/yearendingmarch2023</w:t>
              </w:r>
            </w:hyperlink>
            <w:r>
              <w:rPr/>
              <w:t xml:space="preserve"> [Accessed 10 October 2024].</w:t>
            </w:r>
          </w:p>
          <w:p>
            <w:pPr>
              <w:pStyle w:val="BodyText"/>
              <w:spacing w:lineRule="auto" w:line="360" w:before="0" w:after="283"/>
              <w:rPr/>
            </w:pPr>
            <w:r>
              <w:rPr/>
              <w:t xml:space="preserve">Skogan, W. G., &amp; Frydl, K. (2004). </w:t>
            </w:r>
            <w:r>
              <w:rPr>
                <w:rStyle w:val="Emphasis"/>
              </w:rPr>
              <w:t>Fairness and Effectiveness in Policing: The Evidence</w:t>
            </w:r>
            <w:r>
              <w:rPr/>
              <w:t>. National Academies Press.</w:t>
            </w:r>
          </w:p>
          <w:p>
            <w:pPr>
              <w:pStyle w:val="Normal"/>
              <w:spacing w:lineRule="auto" w:line="360"/>
              <w:jc w:val="both"/>
              <w:rPr>
                <w:rFonts w:cs="Arial"/>
                <w:szCs w:val="24"/>
              </w:rPr>
            </w:pPr>
            <w:r>
              <w:rPr>
                <w:rFonts w:cs="Arial"/>
                <w:szCs w:val="24"/>
              </w:rPr>
              <w:t xml:space="preserve">Smith, J. (2020). </w:t>
            </w:r>
            <w:r>
              <w:rPr>
                <w:rStyle w:val="Emphasis"/>
                <w:rFonts w:cs="Arial"/>
                <w:szCs w:val="24"/>
              </w:rPr>
              <w:t>Community Policing in Action: The Townhill Anti-Burglary Initiative</w:t>
            </w:r>
            <w:r>
              <w:rPr>
                <w:rFonts w:cs="Arial"/>
                <w:szCs w:val="24"/>
              </w:rPr>
              <w:t xml:space="preserve">. </w:t>
            </w:r>
            <w:r>
              <w:rPr>
                <w:rStyle w:val="Emphasis"/>
                <w:rFonts w:cs="Arial"/>
                <w:szCs w:val="24"/>
              </w:rPr>
              <w:t>Journal of Crime Prevention</w:t>
            </w:r>
            <w:r>
              <w:rPr>
                <w:rFonts w:cs="Arial"/>
                <w:szCs w:val="24"/>
              </w:rPr>
              <w:t>, 5(2), 87-102.</w:t>
            </w:r>
          </w:p>
        </w:tc>
      </w:tr>
    </w:tbl>
    <w:p>
      <w:pPr>
        <w:pStyle w:val="Normal"/>
        <w:rPr>
          <w:rFonts w:cs="Arial"/>
          <w:szCs w:val="24"/>
        </w:rPr>
      </w:pPr>
      <w:r>
        <w:rPr>
          <w:rFonts w:cs="Arial"/>
          <w:szCs w:val="24"/>
        </w:rPr>
      </w:r>
    </w:p>
    <w:p>
      <w:pPr>
        <w:pStyle w:val="Normal"/>
        <w:jc w:val="both"/>
        <w:rPr>
          <w:rFonts w:ascii="Calibri" w:hAnsi="Calibri" w:cs="Calibri" w:asciiTheme="minorHAnsi" w:cstheme="minorHAnsi" w:hAnsiTheme="minorHAnsi"/>
          <w:b/>
          <w:bCs/>
          <w:sz w:val="22"/>
          <w:szCs w:val="22"/>
        </w:rPr>
      </w:pPr>
      <w:r>
        <w:rPr>
          <w:rFonts w:cs="Calibri" w:cstheme="minorHAnsi" w:ascii="Calibri" w:hAnsi="Calibri"/>
          <w:b/>
          <w:bCs/>
          <w:sz w:val="22"/>
          <w:szCs w:val="22"/>
        </w:rPr>
      </w:r>
      <w:bookmarkStart w:id="4" w:name="_GoBack"/>
      <w:bookmarkStart w:id="5" w:name="_GoBack"/>
      <w:bookmarkEnd w:id="5"/>
    </w:p>
    <w:sectPr>
      <w:footerReference w:type="even" r:id="rId9"/>
      <w:footerReference w:type="default" r:id="rId10"/>
      <w:footerReference w:type="first" r:id="rId11"/>
      <w:type w:val="nextPage"/>
      <w:pgSz w:w="12240" w:h="15840"/>
      <w:pgMar w:left="1440" w:right="1440" w:gutter="0" w:header="0" w:top="1440" w:footer="708"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Cambria">
    <w:charset w:val="01"/>
    <w:family w:val="roman"/>
    <w:pitch w:val="variable"/>
  </w:font>
  <w:font w:name="Calibri">
    <w:charset w:val="01"/>
    <w:family w:val="roman"/>
    <w:pitch w:val="variable"/>
  </w:font>
  <w:font w:name="Tahoma">
    <w:charset w:val="01"/>
    <w:family w:val="roman"/>
    <w:pitch w:val="variable"/>
  </w:font>
  <w:font w:name="Liberation Sans">
    <w:altName w:val="Arial"/>
    <w:charset w:val="01"/>
    <w:family w:val="roman"/>
    <w:pitch w:val="variable"/>
  </w:font>
  <w:font w:name="CG Times (WN)">
    <w:charset w:val="01"/>
    <w:family w:val="roman"/>
    <w:pitch w:val="variable"/>
  </w:font>
  <w:font w:name="Calibri Light">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360"/>
        </w:tabs>
        <w:ind w:left="360" w:hanging="360"/>
      </w:pPr>
      <w:rPr/>
    </w:lvl>
    <w:lvl w:ilvl="1">
      <w:start w:val="1"/>
      <w:isLgl/>
      <w:numFmt w:val="decimal"/>
      <w:lvlText w:val="%1.%2"/>
      <w:lvlJc w:val="left"/>
      <w:pPr>
        <w:tabs>
          <w:tab w:val="num" w:pos="786"/>
        </w:tabs>
        <w:ind w:left="786" w:hanging="360"/>
      </w:pPr>
      <w:rPr>
        <w:b/>
        <w:bCs/>
      </w:rPr>
    </w:lvl>
    <w:lvl w:ilvl="2">
      <w:start w:val="1"/>
      <w:isLgl/>
      <w:numFmt w:val="decimal"/>
      <w:lvlText w:val="%1.%2.%3"/>
      <w:lvlJc w:val="left"/>
      <w:pPr>
        <w:tabs>
          <w:tab w:val="num" w:pos="720"/>
        </w:tabs>
        <w:ind w:left="720" w:hanging="720"/>
      </w:pPr>
      <w:rPr>
        <w:b w:val="false"/>
      </w:rPr>
    </w:lvl>
    <w:lvl w:ilvl="3">
      <w:start w:val="1"/>
      <w:isLgl/>
      <w:numFmt w:val="decimal"/>
      <w:lvlText w:val="%1.%2.%3.%4"/>
      <w:lvlJc w:val="left"/>
      <w:pPr>
        <w:tabs>
          <w:tab w:val="num" w:pos="720"/>
        </w:tabs>
        <w:ind w:left="720" w:hanging="720"/>
      </w:pPr>
      <w:rPr/>
    </w:lvl>
    <w:lvl w:ilvl="4">
      <w:start w:val="1"/>
      <w:isLgl/>
      <w:numFmt w:val="decimal"/>
      <w:lvlText w:val="%1.%2.%3.%4.%5"/>
      <w:lvlJc w:val="left"/>
      <w:pPr>
        <w:tabs>
          <w:tab w:val="num" w:pos="1080"/>
        </w:tabs>
        <w:ind w:left="1080" w:hanging="1080"/>
      </w:pPr>
      <w:rPr/>
    </w:lvl>
    <w:lvl w:ilvl="5">
      <w:start w:val="1"/>
      <w:isLgl/>
      <w:numFmt w:val="decimal"/>
      <w:lvlText w:val="%1.%2.%3.%4.%5.%6"/>
      <w:lvlJc w:val="left"/>
      <w:pPr>
        <w:tabs>
          <w:tab w:val="num" w:pos="1080"/>
        </w:tabs>
        <w:ind w:left="1080" w:hanging="1080"/>
      </w:pPr>
      <w:rPr/>
    </w:lvl>
    <w:lvl w:ilvl="6">
      <w:start w:val="1"/>
      <w:isLgl/>
      <w:numFmt w:val="decimal"/>
      <w:lvlText w:val="%1.%2.%3.%4.%5.%6.%7"/>
      <w:lvlJc w:val="left"/>
      <w:pPr>
        <w:tabs>
          <w:tab w:val="num" w:pos="1440"/>
        </w:tabs>
        <w:ind w:left="1440" w:hanging="1440"/>
      </w:pPr>
      <w:rPr/>
    </w:lvl>
    <w:lvl w:ilvl="7">
      <w:start w:val="1"/>
      <w:isLgl/>
      <w:numFmt w:val="decimal"/>
      <w:lvlText w:val="%1.%2.%3.%4.%5.%6.%7.%8"/>
      <w:lvlJc w:val="left"/>
      <w:pPr>
        <w:tabs>
          <w:tab w:val="num" w:pos="1440"/>
        </w:tabs>
        <w:ind w:left="1440" w:hanging="1440"/>
      </w:pPr>
      <w:rPr/>
    </w:lvl>
    <w:lvl w:ilvl="8">
      <w:start w:val="1"/>
      <w:isLgl/>
      <w:numFmt w:val="decimal"/>
      <w:lvlText w:val="%1.%2.%3.%4.%5.%6.%7.%8.%9"/>
      <w:lvlJc w:val="left"/>
      <w:pPr>
        <w:tabs>
          <w:tab w:val="num" w:pos="1800"/>
        </w:tabs>
        <w:ind w:left="1800" w:hanging="1800"/>
      </w:pPr>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zh-CN"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GB" w:bidi="ar-SA"/>
      </w:rPr>
    </w:rPrDefault>
    <w:pPrDefault>
      <w:pPr>
        <w:suppressAutoHyphens w:val="true"/>
      </w:pPr>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uiPriority="99" w:semiHidden="1"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65000"/>
    <w:pPr>
      <w:widowControl/>
      <w:suppressAutoHyphens w:val="true"/>
      <w:bidi w:val="0"/>
      <w:spacing w:before="0" w:after="0"/>
      <w:jc w:val="left"/>
    </w:pPr>
    <w:rPr>
      <w:rFonts w:ascii="Arial" w:hAnsi="Arial" w:eastAsia="Times New Roman" w:cs="Times New Roman"/>
      <w:color w:val="auto"/>
      <w:kern w:val="0"/>
      <w:sz w:val="24"/>
      <w:szCs w:val="20"/>
      <w:lang w:eastAsia="en-US" w:val="en-GB" w:bidi="ar-SA"/>
    </w:rPr>
  </w:style>
  <w:style w:type="paragraph" w:styleId="Heading1">
    <w:name w:val="Heading 1"/>
    <w:basedOn w:val="Normal"/>
    <w:next w:val="Normal"/>
    <w:link w:val="Heading1Char"/>
    <w:uiPriority w:val="99"/>
    <w:qFormat/>
    <w:rsid w:val="00a01fce"/>
    <w:pPr>
      <w:keepNext w:val="true"/>
      <w:spacing w:before="240" w:after="60"/>
      <w:outlineLvl w:val="0"/>
    </w:pPr>
    <w:rPr>
      <w:rFonts w:cs="Arial"/>
      <w:b/>
      <w:bCs/>
      <w:kern w:val="2"/>
      <w:sz w:val="32"/>
      <w:szCs w:val="32"/>
    </w:rPr>
  </w:style>
  <w:style w:type="paragraph" w:styleId="Heading2">
    <w:name w:val="Heading 2"/>
    <w:basedOn w:val="Normal"/>
    <w:next w:val="Normal"/>
    <w:link w:val="Heading2Char"/>
    <w:uiPriority w:val="9"/>
    <w:qFormat/>
    <w:rsid w:val="00680b0e"/>
    <w:pPr>
      <w:keepNext w:val="true"/>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val="true"/>
      <w:keepLines/>
      <w:spacing w:before="200" w:after="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val="true"/>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val="true"/>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basedOn w:val="Normal"/>
    <w:next w:val="Normal"/>
    <w:link w:val="Heading7Char"/>
    <w:uiPriority w:val="99"/>
    <w:qFormat/>
    <w:rsid w:val="00940a08"/>
    <w:pPr>
      <w:numPr>
        <w:ilvl w:val="1"/>
        <w:numId w:val="1"/>
      </w:numPr>
      <w:spacing w:before="240" w:after="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val="true"/>
      <w:jc w:val="center"/>
      <w:outlineLvl w:val="7"/>
    </w:pPr>
    <w:rPr>
      <w:b/>
      <w:sz w:val="48"/>
    </w:rPr>
  </w:style>
  <w:style w:type="character" w:styleId="DefaultParagraphFont" w:default="1">
    <w:name w:val="Default Paragraph Font"/>
    <w:uiPriority w:val="1"/>
    <w:semiHidden/>
    <w:unhideWhenUsed/>
    <w:qFormat/>
    <w:rPr/>
  </w:style>
  <w:style w:type="character" w:styleId="Heading1Char" w:customStyle="1">
    <w:name w:val="Heading 1 Char"/>
    <w:link w:val="Heading1"/>
    <w:uiPriority w:val="99"/>
    <w:qFormat/>
    <w:rsid w:val="008e4a17"/>
    <w:rPr>
      <w:rFonts w:ascii="Cambria" w:hAnsi="Cambria" w:eastAsia="Times New Roman" w:cs="Times New Roman"/>
      <w:b/>
      <w:bCs/>
      <w:kern w:val="2"/>
      <w:sz w:val="32"/>
      <w:szCs w:val="32"/>
      <w:lang w:eastAsia="en-US"/>
    </w:rPr>
  </w:style>
  <w:style w:type="character" w:styleId="Heading2Char" w:customStyle="1">
    <w:name w:val="Heading 2 Char"/>
    <w:link w:val="Heading2"/>
    <w:uiPriority w:val="9"/>
    <w:qFormat/>
    <w:rsid w:val="00680b0e"/>
    <w:rPr>
      <w:rFonts w:ascii="Arial" w:hAnsi="Arial" w:cs="Arial"/>
      <w:b/>
      <w:bCs/>
      <w:iCs/>
      <w:sz w:val="28"/>
      <w:szCs w:val="28"/>
      <w:lang w:eastAsia="en-US"/>
    </w:rPr>
  </w:style>
  <w:style w:type="character" w:styleId="Heading4Char" w:customStyle="1">
    <w:name w:val="Heading 4 Char"/>
    <w:link w:val="Heading4"/>
    <w:uiPriority w:val="99"/>
    <w:semiHidden/>
    <w:qFormat/>
    <w:rsid w:val="008e4a17"/>
    <w:rPr>
      <w:rFonts w:ascii="Calibri" w:hAnsi="Calibri" w:eastAsia="Times New Roman" w:cs="Times New Roman"/>
      <w:b/>
      <w:bCs/>
      <w:sz w:val="28"/>
      <w:szCs w:val="28"/>
      <w:lang w:eastAsia="en-US"/>
    </w:rPr>
  </w:style>
  <w:style w:type="character" w:styleId="Heading5Char" w:customStyle="1">
    <w:name w:val="Heading 5 Char"/>
    <w:link w:val="Heading5"/>
    <w:uiPriority w:val="9"/>
    <w:semiHidden/>
    <w:qFormat/>
    <w:rsid w:val="008e4a17"/>
    <w:rPr>
      <w:rFonts w:ascii="Calibri" w:hAnsi="Calibri" w:eastAsia="Times New Roman" w:cs="Times New Roman"/>
      <w:b/>
      <w:bCs/>
      <w:i/>
      <w:iCs/>
      <w:sz w:val="26"/>
      <w:szCs w:val="26"/>
      <w:lang w:eastAsia="en-US"/>
    </w:rPr>
  </w:style>
  <w:style w:type="character" w:styleId="Heading6Char" w:customStyle="1">
    <w:name w:val="Heading 6 Char"/>
    <w:link w:val="Heading6"/>
    <w:uiPriority w:val="9"/>
    <w:semiHidden/>
    <w:qFormat/>
    <w:rsid w:val="008e4a17"/>
    <w:rPr>
      <w:rFonts w:ascii="Calibri" w:hAnsi="Calibri" w:eastAsia="Times New Roman" w:cs="Times New Roman"/>
      <w:b/>
      <w:bCs/>
      <w:sz w:val="22"/>
      <w:szCs w:val="22"/>
      <w:lang w:eastAsia="en-US"/>
    </w:rPr>
  </w:style>
  <w:style w:type="character" w:styleId="Heading8Char" w:customStyle="1">
    <w:name w:val="Heading 8 Char"/>
    <w:link w:val="Heading8"/>
    <w:uiPriority w:val="9"/>
    <w:semiHidden/>
    <w:qFormat/>
    <w:rsid w:val="008e4a17"/>
    <w:rPr>
      <w:rFonts w:ascii="Calibri" w:hAnsi="Calibri" w:eastAsia="Times New Roman" w:cs="Times New Roman"/>
      <w:i/>
      <w:iCs/>
      <w:sz w:val="24"/>
      <w:szCs w:val="24"/>
      <w:lang w:eastAsia="en-US"/>
    </w:rPr>
  </w:style>
  <w:style w:type="character" w:styleId="FooterChar" w:customStyle="1">
    <w:name w:val="Footer Char"/>
    <w:link w:val="Footer"/>
    <w:uiPriority w:val="99"/>
    <w:qFormat/>
    <w:rsid w:val="008e4a17"/>
    <w:rPr>
      <w:sz w:val="24"/>
      <w:lang w:eastAsia="en-US"/>
    </w:rPr>
  </w:style>
  <w:style w:type="character" w:styleId="HeaderChar" w:customStyle="1">
    <w:name w:val="Header Char"/>
    <w:link w:val="Header"/>
    <w:uiPriority w:val="99"/>
    <w:qFormat/>
    <w:rsid w:val="008e4a17"/>
    <w:rPr>
      <w:sz w:val="24"/>
      <w:lang w:eastAsia="en-US"/>
    </w:rPr>
  </w:style>
  <w:style w:type="character" w:styleId="PageNumber">
    <w:name w:val="Page Number"/>
    <w:uiPriority w:val="99"/>
    <w:rsid w:val="00a01fce"/>
    <w:rPr>
      <w:rFonts w:cs="Times New Roman"/>
    </w:rPr>
  </w:style>
  <w:style w:type="character" w:styleId="BodyTextChar" w:customStyle="1">
    <w:name w:val="Body Text Char"/>
    <w:uiPriority w:val="99"/>
    <w:qFormat/>
    <w:rsid w:val="008e4a17"/>
    <w:rPr>
      <w:sz w:val="24"/>
      <w:lang w:eastAsia="en-US"/>
    </w:rPr>
  </w:style>
  <w:style w:type="character" w:styleId="BodyText2Char" w:customStyle="1">
    <w:name w:val="Body Text 2 Char"/>
    <w:link w:val="BodyText2"/>
    <w:uiPriority w:val="99"/>
    <w:semiHidden/>
    <w:qFormat/>
    <w:rsid w:val="008e4a17"/>
    <w:rPr>
      <w:sz w:val="24"/>
      <w:lang w:eastAsia="en-US"/>
    </w:rPr>
  </w:style>
  <w:style w:type="character" w:styleId="Hyperlink">
    <w:name w:val="Hyperlink"/>
    <w:uiPriority w:val="99"/>
    <w:rsid w:val="007767ba"/>
    <w:rPr>
      <w:rFonts w:cs="Times New Roman"/>
      <w:color w:val="0000FF"/>
      <w:u w:val="single"/>
    </w:rPr>
  </w:style>
  <w:style w:type="character" w:styleId="BodyText3Char" w:customStyle="1">
    <w:name w:val="Body Text 3 Char"/>
    <w:link w:val="BodyText3"/>
    <w:uiPriority w:val="99"/>
    <w:semiHidden/>
    <w:qFormat/>
    <w:rsid w:val="008e4a17"/>
    <w:rPr>
      <w:sz w:val="16"/>
      <w:szCs w:val="16"/>
      <w:lang w:eastAsia="en-US"/>
    </w:rPr>
  </w:style>
  <w:style w:type="character" w:styleId="BodyTextIndent2Char" w:customStyle="1">
    <w:name w:val="Body Text Indent 2 Char"/>
    <w:link w:val="BodyTextIndent2"/>
    <w:uiPriority w:val="99"/>
    <w:semiHidden/>
    <w:qFormat/>
    <w:rsid w:val="008e4a17"/>
    <w:rPr>
      <w:sz w:val="24"/>
      <w:lang w:eastAsia="en-US"/>
    </w:rPr>
  </w:style>
  <w:style w:type="character" w:styleId="BodyTextIndentChar" w:customStyle="1">
    <w:name w:val="Body Text Indent Char"/>
    <w:link w:val="BodyTextIndent"/>
    <w:uiPriority w:val="99"/>
    <w:qFormat/>
    <w:rsid w:val="006f69a1"/>
    <w:rPr>
      <w:sz w:val="24"/>
      <w:szCs w:val="24"/>
      <w:lang w:eastAsia="en-US"/>
    </w:rPr>
  </w:style>
  <w:style w:type="character" w:styleId="BalloonTextChar" w:customStyle="1">
    <w:name w:val="Balloon Text Char"/>
    <w:link w:val="BalloonText"/>
    <w:uiPriority w:val="99"/>
    <w:qFormat/>
    <w:rsid w:val="006221df"/>
    <w:rPr>
      <w:rFonts w:ascii="Tahoma" w:hAnsi="Tahoma" w:cs="Tahoma"/>
      <w:sz w:val="16"/>
      <w:szCs w:val="16"/>
      <w:lang w:eastAsia="en-US"/>
    </w:rPr>
  </w:style>
  <w:style w:type="character" w:styleId="Heading3Char" w:customStyle="1">
    <w:name w:val="Heading 3 Char"/>
    <w:link w:val="Heading3"/>
    <w:semiHidden/>
    <w:qFormat/>
    <w:rsid w:val="008b2529"/>
    <w:rPr>
      <w:rFonts w:ascii="Cambria" w:hAnsi="Cambria" w:eastAsia="Times New Roman" w:cs="Times New Roman"/>
      <w:b/>
      <w:bCs/>
      <w:color w:val="4F81BD"/>
      <w:sz w:val="24"/>
      <w:lang w:eastAsia="en-US"/>
    </w:rPr>
  </w:style>
  <w:style w:type="character" w:styleId="Strong">
    <w:name w:val="Strong"/>
    <w:uiPriority w:val="22"/>
    <w:qFormat/>
    <w:rsid w:val="008b2529"/>
    <w:rPr>
      <w:b/>
      <w:bCs/>
    </w:rPr>
  </w:style>
  <w:style w:type="character" w:styleId="TitleChar" w:customStyle="1">
    <w:name w:val="Title Char"/>
    <w:link w:val="Title"/>
    <w:uiPriority w:val="99"/>
    <w:qFormat/>
    <w:rsid w:val="008b2529"/>
    <w:rPr>
      <w:b/>
      <w:bCs/>
      <w:sz w:val="24"/>
      <w:lang w:val="en-US" w:eastAsia="en-US"/>
    </w:rPr>
  </w:style>
  <w:style w:type="character" w:styleId="Emphasis">
    <w:name w:val="Emphasis"/>
    <w:qFormat/>
    <w:rsid w:val="00212e76"/>
    <w:rPr>
      <w:i/>
      <w:iCs/>
    </w:rPr>
  </w:style>
  <w:style w:type="character" w:styleId="apple-style-span" w:customStyle="1">
    <w:name w:val="apple-style-span"/>
    <w:qFormat/>
    <w:rsid w:val="00557e08"/>
    <w:rPr/>
  </w:style>
  <w:style w:type="character" w:styleId="nw1" w:customStyle="1">
    <w:name w:val="nw1"/>
    <w:uiPriority w:val="99"/>
    <w:qFormat/>
    <w:rsid w:val="00557e08"/>
    <w:rPr/>
  </w:style>
  <w:style w:type="character" w:styleId="hps" w:customStyle="1">
    <w:name w:val="hps"/>
    <w:qFormat/>
    <w:rsid w:val="00557e08"/>
    <w:rPr/>
  </w:style>
  <w:style w:type="character" w:styleId="FollowedHyperlink">
    <w:name w:val="FollowedHyperlink"/>
    <w:uiPriority w:val="99"/>
    <w:rsid w:val="00037d7a"/>
    <w:rPr>
      <w:color w:val="800080"/>
      <w:u w:val="single"/>
    </w:rPr>
  </w:style>
  <w:style w:type="character" w:styleId="headingChar" w:customStyle="1">
    <w:name w:val="heading Char"/>
    <w:link w:val="heading11"/>
    <w:qFormat/>
    <w:rsid w:val="006c5084"/>
    <w:rPr>
      <w:b/>
      <w:sz w:val="24"/>
    </w:rPr>
  </w:style>
  <w:style w:type="character" w:styleId="Heading7Char" w:customStyle="1">
    <w:name w:val="Heading 7 Char"/>
    <w:link w:val="Heading7"/>
    <w:uiPriority w:val="99"/>
    <w:qFormat/>
    <w:rsid w:val="00940a08"/>
    <w:rPr>
      <w:rFonts w:ascii="Arial" w:hAnsi="Arial" w:cs="Arial"/>
      <w:b/>
      <w:bCs/>
      <w:sz w:val="22"/>
      <w:szCs w:val="22"/>
    </w:rPr>
  </w:style>
  <w:style w:type="character" w:styleId="lookup-resultcontent" w:customStyle="1">
    <w:name w:val="lookup-result__content"/>
    <w:qFormat/>
    <w:rsid w:val="005c6cd8"/>
    <w:rPr/>
  </w:style>
  <w:style w:type="character" w:styleId="Hyperlink1" w:customStyle="1">
    <w:name w:val="Hyperlink1"/>
    <w:uiPriority w:val="99"/>
    <w:qFormat/>
    <w:rsid w:val="00336342"/>
    <w:rPr>
      <w:color w:val="535353"/>
      <w:u w:val="single"/>
      <w:effect w:val="none"/>
    </w:rPr>
  </w:style>
  <w:style w:type="character" w:styleId="annotationreference">
    <w:name w:val="annotation reference"/>
    <w:uiPriority w:val="99"/>
    <w:unhideWhenUsed/>
    <w:qFormat/>
    <w:rsid w:val="00336342"/>
    <w:rPr>
      <w:sz w:val="16"/>
      <w:szCs w:val="16"/>
    </w:rPr>
  </w:style>
  <w:style w:type="character" w:styleId="CommentTextChar" w:customStyle="1">
    <w:name w:val="Comment Text Char"/>
    <w:link w:val="AnnotationText"/>
    <w:uiPriority w:val="99"/>
    <w:qFormat/>
    <w:rsid w:val="00336342"/>
    <w:rPr>
      <w:lang w:eastAsia="en-US"/>
    </w:rPr>
  </w:style>
  <w:style w:type="character" w:styleId="CommentSubjectChar" w:customStyle="1">
    <w:name w:val="Comment Subject Char"/>
    <w:link w:val="annotationsubject"/>
    <w:uiPriority w:val="99"/>
    <w:qFormat/>
    <w:rsid w:val="00336342"/>
    <w:rPr>
      <w:b/>
      <w:bCs/>
      <w:lang w:eastAsia="en-US"/>
    </w:rPr>
  </w:style>
  <w:style w:type="character" w:styleId="fixedChar" w:customStyle="1">
    <w:name w:val="fixed Char"/>
    <w:link w:val="fixed"/>
    <w:qFormat/>
    <w:rsid w:val="00180e5f"/>
    <w:rPr>
      <w:b/>
      <w:sz w:val="24"/>
    </w:rPr>
  </w:style>
  <w:style w:type="character" w:styleId="bulletChar" w:customStyle="1">
    <w:name w:val="bullet Char"/>
    <w:link w:val="bullet"/>
    <w:qFormat/>
    <w:rsid w:val="00180e5f"/>
    <w:rPr>
      <w:sz w:val="24"/>
    </w:rPr>
  </w:style>
  <w:style w:type="character" w:styleId="ListParagraphChar" w:customStyle="1">
    <w:name w:val="List Paragraph Char"/>
    <w:link w:val="ListParagraph"/>
    <w:uiPriority w:val="34"/>
    <w:qFormat/>
    <w:locked/>
    <w:rsid w:val="00180e5f"/>
    <w:rPr>
      <w:sz w:val="24"/>
      <w:lang w:eastAsia="en-US"/>
    </w:rPr>
  </w:style>
  <w:style w:type="character" w:styleId="StyleCJ1Char" w:customStyle="1">
    <w:name w:val="StyleCJ1 Char"/>
    <w:link w:val="StyleCJ1"/>
    <w:qFormat/>
    <w:rsid w:val="009903da"/>
    <w:rPr>
      <w:rFonts w:ascii="Calibri" w:hAnsi="Calibri" w:eastAsia="Times New Roman" w:cs="Calibri"/>
      <w:b/>
      <w:bCs/>
      <w:kern w:val="2"/>
      <w:sz w:val="28"/>
      <w:szCs w:val="22"/>
      <w:lang w:eastAsia="en-US"/>
    </w:rPr>
  </w:style>
  <w:style w:type="character" w:styleId="Style1CJ2Char" w:customStyle="1">
    <w:name w:val="Style1CJ2 Char"/>
    <w:link w:val="Style1CJ2"/>
    <w:qFormat/>
    <w:rsid w:val="009903da"/>
    <w:rPr>
      <w:rFonts w:ascii="Calibri" w:hAnsi="Calibri" w:eastAsia="Times New Roman" w:cs="Calibri"/>
      <w:b/>
      <w:bCs/>
      <w:kern w:val="2"/>
      <w:sz w:val="22"/>
      <w:szCs w:val="22"/>
      <w:lang w:eastAsia="en-US"/>
    </w:rPr>
  </w:style>
  <w:style w:type="character" w:styleId="UnresolvedMention" w:customStyle="1">
    <w:name w:val="Unresolved Mention"/>
    <w:uiPriority w:val="99"/>
    <w:semiHidden/>
    <w:unhideWhenUsed/>
    <w:qFormat/>
    <w:rsid w:val="0079068f"/>
    <w:rPr>
      <w:color w:val="605E5C"/>
      <w:shd w:fill="E1DFDD" w:val="clear"/>
    </w:rPr>
  </w:style>
  <w:style w:type="character" w:styleId="SubheadingcjChar" w:customStyle="1">
    <w:name w:val="Subheadingcj Char"/>
    <w:basedOn w:val="DefaultParagraphFont"/>
    <w:link w:val="Subheadingcj"/>
    <w:qFormat/>
    <w:rsid w:val="00165440"/>
    <w:rPr>
      <w:rFonts w:ascii="Calibri" w:hAnsi="Calibri" w:cs="Calibri" w:asciiTheme="minorHAnsi" w:cstheme="minorHAnsi" w:hAnsiTheme="minorHAnsi"/>
      <w:sz w:val="24"/>
      <w:lang w:eastAsia="en-US"/>
    </w:rPr>
  </w:style>
  <w:style w:type="paragraph" w:styleId="Heading" w:customStyle="1">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BodyTextChar"/>
    <w:rsid w:val="00a01fce"/>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Cs w:val="24"/>
    </w:rPr>
  </w:style>
  <w:style w:type="paragraph" w:styleId="Index" w:customStyle="1">
    <w:name w:val="Index"/>
    <w:basedOn w:val="Normal"/>
    <w:qFormat/>
    <w:pPr>
      <w:suppressLineNumbers/>
    </w:pPr>
    <w:rPr>
      <w:rFonts w:cs="Noto Sans Devanagari"/>
    </w:rPr>
  </w:style>
  <w:style w:type="paragraph" w:styleId="HeaderandFooter" w:customStyle="1">
    <w:name w:val="Header and Footer"/>
    <w:basedOn w:val="Normal"/>
    <w:qFormat/>
    <w:pPr/>
    <w:rPr/>
  </w:style>
  <w:style w:type="paragraph" w:styleId="Footer">
    <w:name w:val="Footer"/>
    <w:basedOn w:val="Normal"/>
    <w:link w:val="FooterChar"/>
    <w:uiPriority w:val="99"/>
    <w:rsid w:val="00a01fce"/>
    <w:pPr>
      <w:tabs>
        <w:tab w:val="clear" w:pos="720"/>
        <w:tab w:val="center" w:pos="4819" w:leader="none"/>
        <w:tab w:val="right" w:pos="9071" w:leader="none"/>
      </w:tabs>
    </w:pPr>
    <w:rPr/>
  </w:style>
  <w:style w:type="paragraph" w:styleId="Header">
    <w:name w:val="Header"/>
    <w:basedOn w:val="Normal"/>
    <w:link w:val="HeaderChar"/>
    <w:uiPriority w:val="99"/>
    <w:rsid w:val="00a01fce"/>
    <w:pPr>
      <w:tabs>
        <w:tab w:val="clear" w:pos="720"/>
        <w:tab w:val="center" w:pos="4320" w:leader="none"/>
        <w:tab w:val="right" w:pos="8640" w:leader="none"/>
      </w:tabs>
    </w:pPr>
    <w:rPr/>
  </w:style>
  <w:style w:type="paragraph" w:styleId="t3" w:customStyle="1">
    <w:name w:val="t3"/>
    <w:basedOn w:val="Normal"/>
    <w:qFormat/>
    <w:rsid w:val="00a01fce"/>
    <w:pPr>
      <w:spacing w:lineRule="atLeast" w:line="540"/>
    </w:pPr>
    <w:rPr/>
  </w:style>
  <w:style w:type="paragraph" w:styleId="BodyText2">
    <w:name w:val="Body Text 2"/>
    <w:basedOn w:val="Normal"/>
    <w:link w:val="BodyText2Char"/>
    <w:uiPriority w:val="99"/>
    <w:qFormat/>
    <w:rsid w:val="00e25b39"/>
    <w:pPr>
      <w:spacing w:lineRule="auto" w:line="480" w:before="0" w:after="120"/>
    </w:pPr>
    <w:rPr/>
  </w:style>
  <w:style w:type="paragraph" w:styleId="NormalIndent">
    <w:name w:val="Normal Indent"/>
    <w:basedOn w:val="Normal"/>
    <w:uiPriority w:val="99"/>
    <w:qFormat/>
    <w:rsid w:val="007767ba"/>
    <w:pPr>
      <w:ind w:left="720"/>
    </w:pPr>
    <w:rPr/>
  </w:style>
  <w:style w:type="paragraph" w:styleId="BodyText3">
    <w:name w:val="Body Text 3"/>
    <w:basedOn w:val="Normal"/>
    <w:link w:val="BodyText3Char"/>
    <w:uiPriority w:val="99"/>
    <w:qFormat/>
    <w:rsid w:val="00e939ac"/>
    <w:pPr>
      <w:spacing w:before="0" w:after="120"/>
    </w:pPr>
    <w:rPr>
      <w:sz w:val="16"/>
      <w:szCs w:val="16"/>
    </w:rPr>
  </w:style>
  <w:style w:type="paragraph" w:styleId="BodyTextIndent2">
    <w:name w:val="Body Text Indent 2"/>
    <w:basedOn w:val="Normal"/>
    <w:link w:val="BodyTextIndent2Char"/>
    <w:uiPriority w:val="99"/>
    <w:qFormat/>
    <w:rsid w:val="00841be7"/>
    <w:pPr>
      <w:spacing w:lineRule="auto" w:line="480" w:before="0" w:after="120"/>
      <w:ind w:left="283"/>
    </w:pPr>
    <w:rPr/>
  </w:style>
  <w:style w:type="paragraph" w:styleId="Default" w:customStyle="1">
    <w:name w:val="Default"/>
    <w:qFormat/>
    <w:rsid w:val="00ee32bc"/>
    <w:pPr>
      <w:widowControl w:val="false"/>
      <w:suppressAutoHyphens w:val="true"/>
      <w:bidi w:val="0"/>
      <w:spacing w:before="0" w:after="0"/>
      <w:jc w:val="left"/>
    </w:pPr>
    <w:rPr>
      <w:rFonts w:ascii="Times New Roman" w:hAnsi="Times New Roman" w:eastAsia="Times New Roman" w:cs="Times New Roman"/>
      <w:color w:val="000000"/>
      <w:kern w:val="0"/>
      <w:sz w:val="24"/>
      <w:szCs w:val="24"/>
      <w:lang w:val="en-US" w:eastAsia="en-US" w:bidi="ar-SA"/>
    </w:rPr>
  </w:style>
  <w:style w:type="paragraph" w:styleId="NormalWeb">
    <w:name w:val="Normal (Web)"/>
    <w:basedOn w:val="Default"/>
    <w:next w:val="Default"/>
    <w:uiPriority w:val="99"/>
    <w:qFormat/>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false"/>
      <w:spacing w:before="0" w:after="120"/>
      <w:ind w:left="283"/>
    </w:pPr>
    <w:rPr>
      <w:szCs w:val="24"/>
    </w:rPr>
  </w:style>
  <w:style w:type="paragraph" w:styleId="BalloonText">
    <w:name w:val="Balloon Text"/>
    <w:basedOn w:val="Normal"/>
    <w:link w:val="BalloonTextChar"/>
    <w:uiPriority w:val="99"/>
    <w:qFormat/>
    <w:rsid w:val="006221df"/>
    <w:pPr/>
    <w:rPr>
      <w:rFonts w:ascii="Tahoma" w:hAnsi="Tahoma" w:cs="Tahoma"/>
      <w:sz w:val="16"/>
      <w:szCs w:val="16"/>
    </w:rPr>
  </w:style>
  <w:style w:type="paragraph" w:styleId="ListParagraph">
    <w:name w:val="List Paragraph"/>
    <w:basedOn w:val="Normal"/>
    <w:link w:val="ListParagraphChar"/>
    <w:uiPriority w:val="34"/>
    <w:qFormat/>
    <w:rsid w:val="00680b0e"/>
    <w:pPr>
      <w:spacing w:before="0" w:after="0"/>
      <w:ind w:left="720"/>
      <w:contextualSpacing/>
    </w:pPr>
    <w:r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styleId="SMUNORMALARIAL" w:customStyle="1">
    <w:name w:val="SMU NORMAL ARIAL"/>
    <w:basedOn w:val="Normal"/>
    <w:qFormat/>
    <w:rsid w:val="00bf2a01"/>
    <w:pPr/>
    <w:rPr>
      <w:sz w:val="22"/>
      <w:szCs w:val="24"/>
      <w:lang w:eastAsia="en-GB"/>
    </w:rPr>
  </w:style>
  <w:style w:type="paragraph" w:styleId="SMUARIAL14BOLD" w:customStyle="1">
    <w:name w:val="SMU ARIAL 14 BOLD"/>
    <w:qFormat/>
    <w:rsid w:val="00bf2a01"/>
    <w:pPr>
      <w:widowControl/>
      <w:suppressAutoHyphens w:val="true"/>
      <w:bidi w:val="0"/>
      <w:spacing w:before="240" w:after="0"/>
      <w:jc w:val="left"/>
    </w:pPr>
    <w:rPr>
      <w:rFonts w:ascii="Arial" w:hAnsi="Arial" w:cs="Arial" w:eastAsia="Times New Roman"/>
      <w:b/>
      <w:bCs/>
      <w:caps/>
      <w:color w:val="auto"/>
      <w:kern w:val="2"/>
      <w:sz w:val="28"/>
      <w:szCs w:val="32"/>
      <w:lang w:val="en-GB" w:eastAsia="en-GB" w:bidi="ar-SA"/>
    </w:rPr>
  </w:style>
  <w:style w:type="paragraph" w:styleId="Title">
    <w:name w:val="Title"/>
    <w:basedOn w:val="Normal"/>
    <w:link w:val="TitleChar"/>
    <w:qFormat/>
    <w:rsid w:val="008b2529"/>
    <w:pPr>
      <w:jc w:val="center"/>
    </w:pPr>
    <w:rPr>
      <w:b/>
      <w:bCs/>
      <w:lang w:val="en-US"/>
    </w:rPr>
  </w:style>
  <w:style w:type="paragraph" w:styleId="BodyText1" w:customStyle="1">
    <w:name w:val="Body Text1"/>
    <w:basedOn w:val="Normal"/>
    <w:qFormat/>
    <w:rsid w:val="000971b7"/>
    <w:pPr>
      <w:tabs>
        <w:tab w:val="left" w:pos="720" w:leader="none"/>
        <w:tab w:val="left" w:pos="1440" w:leader="none"/>
      </w:tabs>
    </w:pPr>
    <w:rPr>
      <w:rFonts w:ascii="CG Times (WN)" w:hAnsi="CG Times (WN)"/>
    </w:rPr>
  </w:style>
  <w:style w:type="paragraph" w:styleId="NormalWeb1" w:customStyle="1">
    <w:name w:val="Normal (Web)1"/>
    <w:basedOn w:val="Normal"/>
    <w:uiPriority w:val="99"/>
    <w:qFormat/>
    <w:rsid w:val="00557e08"/>
    <w:pPr/>
    <w:rPr>
      <w:rFonts w:eastAsia="Calibri"/>
      <w:szCs w:val="24"/>
      <w:lang w:eastAsia="en-GB"/>
    </w:rPr>
  </w:style>
  <w:style w:type="paragraph" w:styleId="heading11" w:customStyle="1">
    <w:name w:val="heading1"/>
    <w:basedOn w:val="Normal"/>
    <w:link w:val="headingChar"/>
    <w:qFormat/>
    <w:rsid w:val="006c5084"/>
    <w:pPr>
      <w:tabs>
        <w:tab w:val="left" w:pos="720" w:leader="none"/>
        <w:tab w:val="left" w:pos="1440" w:leader="none"/>
        <w:tab w:val="left" w:pos="2160" w:leader="none"/>
        <w:tab w:val="left" w:pos="2880" w:leader="none"/>
      </w:tabs>
      <w:spacing w:before="240" w:after="120"/>
      <w:ind w:hanging="3600" w:left="3600"/>
      <w:textAlignment w:val="baseline"/>
    </w:pPr>
    <w:rPr>
      <w:b/>
      <w:lang w:eastAsia="en-GB"/>
    </w:rPr>
  </w:style>
  <w:style w:type="paragraph" w:styleId="deannah1" w:customStyle="1">
    <w:name w:val="deannah1"/>
    <w:basedOn w:val="Normal"/>
    <w:uiPriority w:val="99"/>
    <w:qFormat/>
    <w:rsid w:val="00336342"/>
    <w:pPr>
      <w:keepNext w:val="true"/>
      <w:spacing w:before="0" w:after="240"/>
    </w:pPr>
    <w:rPr>
      <w:b/>
      <w:bCs/>
      <w:szCs w:val="24"/>
    </w:rPr>
  </w:style>
  <w:style w:type="paragraph" w:styleId="AnnotationText">
    <w:name w:val="Annotation Text"/>
    <w:basedOn w:val="Normal"/>
    <w:link w:val="CommentTextChar"/>
    <w:uiPriority w:val="99"/>
    <w:unhideWhenUsed/>
    <w:rsid w:val="00336342"/>
    <w:pPr/>
    <w:rPr>
      <w:sz w:val="20"/>
    </w:rPr>
  </w:style>
  <w:style w:type="paragraph" w:styleId="annotationsubject">
    <w:name w:val="annotation subject"/>
    <w:basedOn w:val="AnnotationText"/>
    <w:next w:val="AnnotationText"/>
    <w:link w:val="CommentSubjectChar"/>
    <w:uiPriority w:val="99"/>
    <w:unhideWhenUsed/>
    <w:qFormat/>
    <w:rsid w:val="00336342"/>
    <w:pPr/>
    <w:rPr>
      <w:b/>
      <w:bCs/>
    </w:rPr>
  </w:style>
  <w:style w:type="paragraph" w:styleId="fixed" w:customStyle="1">
    <w:name w:val="fixed"/>
    <w:link w:val="fixedChar"/>
    <w:qFormat/>
    <w:rsid w:val="00180e5f"/>
    <w:pPr>
      <w:widowControl/>
      <w:tabs>
        <w:tab w:val="left" w:pos="720" w:leader="none"/>
        <w:tab w:val="left" w:pos="1440" w:leader="none"/>
        <w:tab w:val="left" w:pos="2160" w:leader="none"/>
        <w:tab w:val="left" w:pos="2880" w:leader="none"/>
      </w:tabs>
      <w:suppressAutoHyphens w:val="true"/>
      <w:bidi w:val="0"/>
      <w:spacing w:before="0" w:after="0"/>
      <w:ind w:hanging="3600" w:left="3600"/>
      <w:jc w:val="left"/>
      <w:textAlignment w:val="baseline"/>
    </w:pPr>
    <w:rPr>
      <w:rFonts w:ascii="Times New Roman" w:hAnsi="Times New Roman" w:eastAsia="Times New Roman" w:cs="Times New Roman"/>
      <w:b/>
      <w:color w:val="auto"/>
      <w:kern w:val="0"/>
      <w:sz w:val="24"/>
      <w:szCs w:val="20"/>
      <w:lang w:val="en-GB" w:eastAsia="en-GB" w:bidi="ar-SA"/>
    </w:rPr>
  </w:style>
  <w:style w:type="paragraph" w:styleId="bullet" w:customStyle="1">
    <w:name w:val="bullet"/>
    <w:link w:val="bulletChar"/>
    <w:qFormat/>
    <w:rsid w:val="00180e5f"/>
    <w:pPr>
      <w:widowControl/>
      <w:suppressAutoHyphens w:val="true"/>
      <w:bidi w:val="0"/>
      <w:spacing w:before="120" w:after="0"/>
      <w:ind w:hanging="284" w:left="1004"/>
      <w:jc w:val="both"/>
      <w:textAlignment w:val="baseline"/>
    </w:pPr>
    <w:rPr>
      <w:rFonts w:ascii="Times New Roman" w:hAnsi="Times New Roman" w:eastAsia="Times New Roman" w:cs="Times New Roman"/>
      <w:color w:val="auto"/>
      <w:kern w:val="0"/>
      <w:sz w:val="24"/>
      <w:szCs w:val="20"/>
      <w:lang w:val="en-GB" w:eastAsia="en-GB" w:bidi="ar-SA"/>
    </w:rPr>
  </w:style>
  <w:style w:type="paragraph" w:styleId="StyleCJ1" w:customStyle="1">
    <w:name w:val="StyleCJ1"/>
    <w:basedOn w:val="Heading1"/>
    <w:link w:val="StyleCJ1Char"/>
    <w:qFormat/>
    <w:rsid w:val="009903da"/>
    <w:pPr/>
    <w:rPr>
      <w:rFonts w:ascii="Calibri" w:hAnsi="Calibri" w:cs="Calibri"/>
      <w:sz w:val="28"/>
      <w:szCs w:val="22"/>
    </w:rPr>
  </w:style>
  <w:style w:type="paragraph" w:styleId="Style1CJ2" w:customStyle="1">
    <w:name w:val="Style1CJ2"/>
    <w:basedOn w:val="Heading1"/>
    <w:link w:val="Style1CJ2Char"/>
    <w:qFormat/>
    <w:rsid w:val="009903da"/>
    <w:pPr/>
    <w:rPr>
      <w:rFonts w:ascii="Calibri" w:hAnsi="Calibri" w:cs="Calibri"/>
      <w:sz w:val="22"/>
      <w:szCs w:val="22"/>
      <w:lang w:eastAsia="en-GB"/>
    </w:rPr>
  </w:style>
  <w:style w:type="paragraph" w:styleId="IndexHeading">
    <w:name w:val="Index Heading"/>
    <w:basedOn w:val="Heading"/>
    <w:pPr/>
    <w:rPr/>
  </w:style>
  <w:style w:type="paragraph" w:styleId="TOCHeading">
    <w:name w:val="TOC Heading"/>
    <w:basedOn w:val="Heading1"/>
    <w:next w:val="Normal"/>
    <w:uiPriority w:val="39"/>
    <w:unhideWhenUsed/>
    <w:qFormat/>
    <w:rsid w:val="00d977ff"/>
    <w:pPr>
      <w:keepLines/>
      <w:spacing w:lineRule="auto" w:line="259" w:before="240" w:after="0"/>
      <w:outlineLvl w:val="9"/>
    </w:pPr>
    <w:rPr>
      <w:rFonts w:ascii="Calibri Light" w:hAnsi="Calibri Light" w:cs="Times New Roman"/>
      <w:b w:val="false"/>
      <w:bCs w:val="false"/>
      <w:color w:val="2F5496"/>
      <w:kern w:val="0"/>
      <w:lang w:val="en-US"/>
    </w:rPr>
  </w:style>
  <w:style w:type="paragraph" w:styleId="Subheadingcj" w:customStyle="1">
    <w:name w:val="Subheadingcj"/>
    <w:basedOn w:val="Normal"/>
    <w:link w:val="SubheadingcjChar"/>
    <w:qFormat/>
    <w:rsid w:val="00165440"/>
    <w:pPr>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jc w:val="both"/>
    </w:pPr>
    <w:rPr>
      <w:rFonts w:ascii="Calibri" w:hAnsi="Calibri" w:cs="Calibri" w:asciiTheme="minorHAnsi" w:cstheme="minorHAnsi" w:hAnsiTheme="minorHAnsi"/>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66378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MediumGrid1-Accent1">
    <w:name w:val="Medium Grid 1 Accent 1"/>
    <w:basedOn w:val="TableNormal"/>
    <w:uiPriority w:val="67"/>
    <w:rsid w:val="00e45c00"/>
    <w:rPr>
      <w:sz w:val="22"/>
      <w:szCs w:val="22"/>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Pr/>
    </w:tblStylePr>
    <w:tblStylePr w:type="lastRow">
      <w:rPr>
        <w:b/>
        <w:bCs/>
      </w:rPr>
      <w:tblPr/>
      <w:tcPr>
        <w:tcBorders>
          <w:top w:val="single" w:color="7BA0CD" w:sz="18" w:space="0"/>
        </w:tcBorders>
      </w:tcPr>
    </w:tblStylePr>
    <w:tblStylePr w:type="firstCol">
      <w:rPr>
        <w:b/>
        <w:bCs/>
      </w:rPr>
      <w:tblPr/>
    </w:tblStylePr>
    <w:tblStylePr w:type="lastCol">
      <w:rPr>
        <w:b/>
        <w:bCs/>
      </w:rPr>
      <w:tblPr/>
    </w:tblStylePr>
    <w:tblStylePr w:type="band1Vert">
      <w:tblPr/>
      <w:tcPr>
        <w:shd w:val="clear" w:color="auto" w:fill="A7BFDE"/>
      </w:tcPr>
    </w:tblStylePr>
    <w:tblStylePr w:type="band1Horz">
      <w:tblPr/>
      <w:tcPr>
        <w:shd w:val="clear" w:color="auto" w:fill="A7BFDE"/>
      </w:tcPr>
    </w:tblStylePr>
  </w:style>
  <w:style w:type="table" w:customStyle="1" w:styleId="GridTable1Light-Accent21">
    <w:name w:val="Grid Table 1 Light - Accent 21"/>
    <w:basedOn w:val="TableNormal"/>
    <w:uiPriority w:val="46"/>
    <w:rsid w:val="00c5678b"/>
    <w:rPr>
      <w:lang w:eastAsia="en-US"/>
      <w:sz w:val="22"/>
      <w:szCs w:val="22"/>
    </w:rPr>
    <w:tblPr>
      <w:tblStyleRowBandSize w:val="1"/>
      <w:tblStyleColBandSize w:val="1"/>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Pr>
    <w:tblStylePr w:type="firstRow">
      <w:rPr>
        <w:b/>
        <w:bCs/>
      </w:rPr>
      <w:tblPr/>
      <w:tcPr>
        <w:tcBorders>
          <w:bottom w:val="single" w:color="F4B083" w:sz="12" w:space="0"/>
        </w:tcBorders>
      </w:tcPr>
    </w:tblStylePr>
    <w:tblStylePr w:type="lastRow">
      <w:rPr>
        <w:b/>
        <w:bCs/>
      </w:rPr>
      <w:tblPr/>
      <w:tcPr>
        <w:tcBorders>
          <w:top w:val="double" w:color="F4B083" w:sz="2" w:space="0"/>
        </w:tcBorders>
      </w:tcPr>
    </w:tblStylePr>
    <w:tblStylePr w:type="firstCol">
      <w:rPr>
        <w:b/>
        <w:bCs/>
      </w:rPr>
      <w:tblPr/>
    </w:tblStylePr>
    <w:tblStylePr w:type="lastCol">
      <w:rPr>
        <w:b/>
        <w:bCs/>
      </w:rPr>
      <w:tblPr/>
    </w:tblStylePr>
  </w:style>
  <w:style w:type="table" w:styleId="GridTable1Light-Accent2">
    <w:name w:val="Grid Table 1 Light Accent 2"/>
    <w:basedOn w:val="TableNormal"/>
    <w:uiPriority w:val="46"/>
    <w:rsid w:val="00c5678b"/>
    <w:tblPr>
      <w:tblStyleRowBandSize w:val="1"/>
      <w:tblStyleColBandSize w:val="1"/>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Pr>
    <w:tblStylePr w:type="firstRow">
      <w:rPr>
        <w:b/>
        <w:bCs/>
      </w:rPr>
      <w:tblPr/>
      <w:tcPr>
        <w:tcBorders>
          <w:bottom w:val="single" w:color="F4B083" w:sz="12" w:space="0"/>
        </w:tcBorders>
      </w:tcPr>
    </w:tblStylePr>
    <w:tblStylePr w:type="lastRow">
      <w:rPr>
        <w:b/>
        <w:bCs/>
      </w:rPr>
      <w:tblPr/>
      <w:tcPr>
        <w:tcBorders>
          <w:top w:val="double" w:color="F4B083" w:sz="2" w:space="0"/>
        </w:tcBorders>
      </w:tcPr>
    </w:tblStylePr>
    <w:tblStylePr w:type="firstCol">
      <w:rPr>
        <w:b/>
        <w:bCs/>
      </w:rPr>
      <w:tblPr/>
    </w:tblStylePr>
    <w:tblStylePr w:type="lastCol">
      <w:rPr>
        <w:b/>
        <w:bCs/>
      </w:rPr>
      <w:tblPr/>
    </w:tblStylePr>
  </w:style>
  <w:style w:type="table" w:styleId="TableGrid2">
    <w:name w:val="Table Grid 2"/>
    <w:basedOn w:val="TableNormal"/>
    <w:rsid w:val="00180e5f"/>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GridTable5Dark-Accent4">
    <w:name w:val="Grid Table 5 Dark Accent 4"/>
    <w:basedOn w:val="TableNormal"/>
    <w:uiPriority w:val="50"/>
    <w:rsid w:val="00180e5f"/>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FFF2CC"/>
    </w:tcPr>
    <w:tblStylePr w:type="firstRow">
      <w:rPr>
        <w:b/>
        <w:bCs/>
      </w:rPr>
      <w:tblPr/>
      <w:tcPr>
        <w:tcBorders>
          <w:top w:val="single" w:color="FFFFFF" w:sz="4" w:space="0"/>
          <w:left w:val="single" w:color="FFFFFF" w:sz="4" w:space="0"/>
          <w:right w:val="single" w:color="FFFFFF" w:sz="4" w:space="0"/>
          <w:insideH w:val="nil"/>
          <w:insideV w:val="nil"/>
        </w:tcBorders>
        <w:shd w:val="clear" w:color="auto" w:fill="FFC000"/>
      </w:tcPr>
    </w:tblStylePr>
    <w:tblStylePr w:type="lastRow">
      <w:rPr>
        <w:b/>
        <w:bCs/>
      </w:rPr>
      <w:tblPr/>
      <w:tcPr>
        <w:tcBorders>
          <w:left w:val="single" w:color="FFFFFF" w:sz="4" w:space="0"/>
          <w:bottom w:val="single" w:color="FFFFFF" w:sz="4" w:space="0"/>
          <w:right w:val="single" w:color="FFFFFF" w:sz="4" w:space="0"/>
          <w:insideH w:val="nil"/>
          <w:insideV w:val="nil"/>
        </w:tcBorders>
        <w:shd w:val="clear" w:color="auto" w:fill="FFC000"/>
      </w:tcPr>
    </w:tblStylePr>
    <w:tblStylePr w:type="firstCol">
      <w:rPr>
        <w:b/>
        <w:bCs/>
      </w:rPr>
      <w:tblPr/>
      <w:tcPr>
        <w:tcBorders>
          <w:top w:val="single" w:color="FFFFFF" w:sz="4" w:space="0"/>
          <w:left w:val="single" w:color="FFFFFF" w:sz="4" w:space="0"/>
          <w:bottom w:val="single" w:color="FFFFFF" w:sz="4" w:space="0"/>
          <w:insideV w:val="nil"/>
        </w:tcBorders>
        <w:shd w:val="clear" w:color="auto" w:fill="FFC000"/>
      </w:tcPr>
    </w:tblStylePr>
    <w:tblStylePr w:type="lastCol">
      <w:rPr>
        <w:b/>
        <w:bCs/>
      </w:rPr>
      <w:tblPr/>
      <w:tcPr>
        <w:tcBorders>
          <w:top w:val="single" w:color="FFFFFF" w:sz="4" w:space="0"/>
          <w:bottom w:val="single" w:color="FFFFFF" w:sz="4" w:space="0"/>
          <w:right w:val="single" w:color="FFFFFF" w:sz="4" w:space="0"/>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FEFC0"/>
    </w:tcPr>
    <w:tblStylePr w:type="firstRow">
      <w:rPr>
        <w:b/>
        <w:bCs/>
        <w:i w:val="0"/>
      </w:rPr>
      <w:tblPr/>
      <w:tcPr>
        <w:tcBorders>
          <w:top w:val="single" w:color="FFFFFF" w:sz="8" w:space="0"/>
          <w:left w:val="single" w:color="FFFFFF" w:sz="8" w:space="0"/>
          <w:bottom w:val="single" w:color="FFFFFF" w:sz="24" w:space="0"/>
          <w:right w:val="single" w:color="FFFFFF" w:sz="8" w:space="0"/>
          <w:insideH w:val="nil"/>
          <w:insideV w:val="single" w:color="FFFFFF" w:sz="8" w:space="0"/>
        </w:tcBorders>
        <w:shd w:val="clear" w:color="auto" w:fill="FFC000"/>
      </w:tcPr>
    </w:tblStylePr>
    <w:tblStylePr w:type="lastRow">
      <w:rPr>
        <w:b/>
        <w:bCs/>
        <w:i w:val="0"/>
      </w:rPr>
      <w:tblPr/>
      <w:tcPr>
        <w:tcBorders>
          <w:top w:val="single" w:color="FFFFFF" w:sz="24" w:space="0"/>
          <w:left w:val="single" w:color="FFFFFF" w:sz="8" w:space="0"/>
          <w:bottom w:val="single" w:color="FFFFFF" w:sz="8" w:space="0"/>
          <w:right w:val="single" w:color="FFFFFF" w:sz="8" w:space="0"/>
          <w:insideH w:val="nil"/>
          <w:insideV w:val="single" w:color="FFFFFF" w:sz="8" w:space="0"/>
        </w:tcBorders>
        <w:shd w:val="clear" w:color="auto" w:fill="FFC000"/>
      </w:tcPr>
    </w:tblStylePr>
    <w:tblStylePr w:type="firstCol">
      <w:rPr>
        <w:b/>
        <w:bCs/>
        <w:i w:val="0"/>
      </w:rPr>
      <w:tblPr/>
      <w:tcPr>
        <w:tcBorders>
          <w:left w:val="single" w:color="FFFFFF" w:sz="8" w:space="0"/>
          <w:right w:val="single" w:color="FFFFFF" w:sz="24" w:space="0"/>
          <w:insideH w:val="nil"/>
          <w:insideV w:val="nil"/>
        </w:tcBorders>
        <w:shd w:val="clear" w:color="auto" w:fill="FFC000"/>
      </w:tcPr>
    </w:tblStylePr>
    <w:tblStylePr w:type="lastCol">
      <w:rPr>
        <w:b/>
        <w:bCs/>
        <w:i w:val="0"/>
      </w:rPr>
      <w:tblPr/>
      <w:tcPr>
        <w:tcBorders>
          <w:top w:val="nil"/>
          <w:left w:val="single" w:color="FFFFFF" w:sz="24" w:space="0"/>
          <w:bottom w:val="nil"/>
          <w:right w:val="nil"/>
          <w:insideH w:val="nil"/>
          <w:insideV w:val="nil"/>
        </w:tcBorders>
        <w:shd w:val="clear" w:color="auto" w:fill="FFC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FDF80"/>
      </w:tcPr>
    </w:tblStylePr>
    <w:tblStylePr w:type="band1Horz">
      <w:tblPr/>
      <w:tcPr>
        <w:tcBorders>
          <w:top w:val="single" w:color="FFFFFF" w:sz="8" w:space="0"/>
          <w:left w:val="single" w:color="FFFFFF" w:sz="8" w:space="0"/>
          <w:bottom w:val="single" w:color="FFFFFF" w:sz="8" w:space="0"/>
          <w:right w:val="single" w:color="FFFFFF" w:sz="8" w:space="0"/>
          <w:insideH w:val="single" w:color="FFFFFF" w:sz="8" w:space="0"/>
          <w:insideV w:val="single" w:color="FFFFFF" w:sz="8" w:space="0"/>
        </w:tcBorders>
        <w:shd w:val="clear" w:color="auto" w:fill="FFDF80"/>
      </w:tcPr>
    </w:tblStylePr>
  </w:style>
  <w:style w:type="table" w:styleId="GridTable4-Accent2">
    <w:name w:val="Grid Table 4 Accent 2"/>
    <w:basedOn w:val="TableNormal"/>
    <w:uiPriority w:val="49"/>
    <w:rsid w:val="008947a1"/>
    <w:tblPr>
      <w:tblStyleRowBandSize w:val="1"/>
      <w:tblStyleColBandSize w:val="1"/>
      <w:tblBorders>
        <w:top w:val="single" w:color="F4B083" w:sz="4" w:space="0"/>
        <w:left w:val="single" w:color="F4B083" w:sz="4" w:space="0"/>
        <w:bottom w:val="single" w:color="F4B083" w:sz="4" w:space="0"/>
        <w:right w:val="single" w:color="F4B083" w:sz="4" w:space="0"/>
        <w:insideH w:val="single" w:color="F4B083" w:sz="4" w:space="0"/>
        <w:insideV w:val="single" w:color="F4B083" w:sz="4" w:space="0"/>
      </w:tblBorders>
    </w:tblPr>
    <w:tblStylePr w:type="firstRow">
      <w:rPr>
        <w:b/>
        <w:bCs/>
      </w:rPr>
      <w:tblPr/>
      <w:tcPr>
        <w:tcBorders>
          <w:top w:val="single" w:color="ED7D31" w:sz="4" w:space="0"/>
          <w:left w:val="single" w:color="ED7D31" w:sz="4" w:space="0"/>
          <w:bottom w:val="single" w:color="ED7D31" w:sz="4" w:space="0"/>
          <w:right w:val="single" w:color="ED7D31" w:sz="4" w:space="0"/>
          <w:insideH w:val="nil"/>
          <w:insideV w:val="nil"/>
        </w:tcBorders>
        <w:shd w:val="clear" w:color="auto" w:fill="ED7D31"/>
      </w:tcPr>
    </w:tblStylePr>
    <w:tblStylePr w:type="lastRow">
      <w:rPr>
        <w:b/>
        <w:bCs/>
      </w:rPr>
      <w:tblPr/>
      <w:tcPr>
        <w:tcBorders>
          <w:top w:val="double" w:color="ED7D31" w:sz="4" w:space="0"/>
        </w:tcBorders>
      </w:tcPr>
    </w:tblStylePr>
    <w:tblStylePr w:type="firstCol">
      <w:rPr>
        <w:b/>
        <w:bCs/>
      </w:rPr>
      <w:tblPr/>
    </w:tblStylePr>
    <w:tblStylePr w:type="lastCol">
      <w:rPr>
        <w:b/>
        <w:bCs/>
      </w:rPr>
      <w:tblPr/>
    </w:tblStylePr>
    <w:tblStylePr w:type="band1Vert">
      <w:tblPr/>
      <w:tcPr>
        <w:shd w:val="clear" w:color="auto" w:fill="FBE4D5"/>
      </w:tcPr>
    </w:tblStylePr>
    <w:tblStylePr w:type="band1Horz">
      <w:tblPr/>
      <w:tcPr>
        <w:shd w:val="clear" w:color="auto" w:fill="FBE4D5"/>
      </w:tcPr>
    </w:tblStylePr>
  </w:style>
  <w:style w:type="table" w:styleId="GridTable6Colorful-Accent4">
    <w:name w:val="Grid Table 6 Colorful Accent 4"/>
    <w:basedOn w:val="TableNormal"/>
    <w:uiPriority w:val="51"/>
    <w:rsid w:val="00d977ff"/>
    <w:tblPr>
      <w:tblStyleRowBandSize w:val="1"/>
      <w:tblStyleColBandSize w:val="1"/>
      <w:tblBorders>
        <w:top w:val="single" w:color="FFD966" w:sz="4" w:space="0"/>
        <w:left w:val="single" w:color="FFD966" w:sz="4" w:space="0"/>
        <w:bottom w:val="single" w:color="FFD966" w:sz="4" w:space="0"/>
        <w:right w:val="single" w:color="FFD966" w:sz="4" w:space="0"/>
        <w:insideH w:val="single" w:color="FFD966" w:sz="4" w:space="0"/>
        <w:insideV w:val="single" w:color="FFD966" w:sz="4" w:space="0"/>
      </w:tblBorders>
    </w:tblPr>
    <w:tblStylePr w:type="firstRow">
      <w:rPr>
        <w:b/>
        <w:bCs/>
      </w:rPr>
      <w:tblPr/>
      <w:tcPr>
        <w:tcBorders>
          <w:bottom w:val="single" w:color="FFD966" w:sz="12" w:space="0"/>
        </w:tcBorders>
      </w:tcPr>
    </w:tblStylePr>
    <w:tblStylePr w:type="lastRow">
      <w:rPr>
        <w:b/>
        <w:bCs/>
      </w:rPr>
      <w:tblPr/>
      <w:tcPr>
        <w:tcBorders>
          <w:top w:val="double" w:color="FFD966" w:sz="4" w:space="0"/>
        </w:tcBorders>
      </w:tcPr>
    </w:tblStylePr>
    <w:tblStylePr w:type="firstCol">
      <w:rPr>
        <w:b/>
        <w:bCs/>
      </w:rPr>
      <w:tblPr/>
    </w:tblStylePr>
    <w:tblStylePr w:type="lastCol">
      <w:rPr>
        <w:b/>
        <w:bCs/>
      </w:rPr>
      <w:tbl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color="FFCF40" w:sz="8" w:space="0"/>
        <w:left w:val="single" w:color="FFCF40" w:sz="8" w:space="0"/>
        <w:bottom w:val="single" w:color="FFCF40" w:sz="8" w:space="0"/>
        <w:right w:val="single" w:color="FFCF40" w:sz="8" w:space="0"/>
        <w:insideH w:val="single" w:color="FFCF40" w:sz="8" w:space="0"/>
        <w:insideV w:val="single" w:color="FFCF40" w:sz="8" w:space="0"/>
      </w:tblBorders>
    </w:tblPr>
    <w:tcPr>
      <w:shd w:val="clear" w:color="auto" w:fill="FFEFC0"/>
    </w:tcPr>
    <w:tblStylePr w:type="firstRow">
      <w:rPr>
        <w:b/>
        <w:bCs/>
      </w:rPr>
      <w:tblPr/>
    </w:tblStylePr>
    <w:tblStylePr w:type="lastRow">
      <w:rPr>
        <w:b/>
        <w:bCs/>
      </w:rPr>
      <w:tblPr/>
      <w:tcPr>
        <w:tcBorders>
          <w:top w:val="single" w:color="FFCF40" w:sz="18" w:space="0"/>
        </w:tcBorders>
      </w:tcPr>
    </w:tblStylePr>
    <w:tblStylePr w:type="firstCol">
      <w:rPr>
        <w:b/>
        <w:bCs/>
      </w:rPr>
      <w:tblPr/>
    </w:tblStylePr>
    <w:tblStylePr w:type="lastCol">
      <w:rPr>
        <w:b/>
        <w:bCs/>
      </w:rPr>
      <w:tbl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EEAF6" w:themeFill="accent5" w:themeFillTint="33"/>
    </w:tcPr>
    <w:tblStylePr w:type="firstRow">
      <w:rPr>
        <w:b/>
        <w:bCs/>
        <w:color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5"/>
      </w:tcPr>
    </w:tblStylePr>
    <w:tblStylePr w:type="lastRow">
      <w:rPr>
        <w:b/>
        <w:bCs/>
        <w:color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5"/>
      </w:tcPr>
    </w:tblStylePr>
    <w:tblStylePr w:type="firstCol">
      <w:rPr>
        <w:b/>
        <w:bCs/>
        <w:color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5"/>
      </w:tcPr>
    </w:tblStylePr>
    <w:tblStylePr w:type="lastCol">
      <w:rPr>
        <w:b/>
        <w:bCs/>
        <w:color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TableGrid39">
    <w:name w:val="Table Grid39"/>
    <w:basedOn w:val="TableNormal"/>
    <w:uiPriority w:val="59"/>
    <w:rsid w:val="00f6500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mailto:mike.durke@uwtsd.ac.uk" TargetMode="External"/><Relationship Id="rId4" Type="http://schemas.openxmlformats.org/officeDocument/2006/relationships/hyperlink" Target="https://doi.org/10.1146/annurev-criminol-021616-121409." TargetMode="External"/><Relationship Id="rId5" Type="http://schemas.openxmlformats.org/officeDocument/2006/relationships/hyperlink" Target="" TargetMode="External"/><Relationship Id="rId6" Type="http://schemas.openxmlformats.org/officeDocument/2006/relationships/hyperlink" Target="https://www.college.police.uk/app/engagement-and-communication/engagement" TargetMode="External"/><Relationship Id="rId7" Type="http://schemas.openxmlformats.org/officeDocument/2006/relationships/hyperlink" Target="https://www.theiacp.org/resources/document/community-police-engagement" TargetMode="External"/><Relationship Id="rId8" Type="http://schemas.openxmlformats.org/officeDocument/2006/relationships/hyperlink" Target="https://www.ons.gov.uk/peoplepopulationandcommunity/crimeandjustice/bulletins/crimeinenglandandwales/yearendingmarch2023"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Relationship Id="rId17" Type="http://schemas.openxmlformats.org/officeDocument/2006/relationships/customXml" Target="../customXml/item2.xml"/><Relationship Id="rId18" Type="http://schemas.openxmlformats.org/officeDocument/2006/relationships/customXml" Target="../customXml/item3.xml"/><Relationship Id="rId19"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872389D-CCF5-4941-8E24-F081BDED8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Application>LibreOffice/24.2.5.2$Linux_X86_64 LibreOffice_project/420$Build-2</Application>
  <AppVersion>15.0000</AppVersion>
  <Pages>6</Pages>
  <Words>1337</Words>
  <Characters>8786</Characters>
  <CharactersWithSpaces>10054</CharactersWithSpaces>
  <Paragraphs>66</Paragraphs>
  <Company>sihe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2024-10-11T09:30:00Z</dcterms:created>
  <dc:creator>bus-sh</dc:creator>
  <dc:description/>
  <dc:language>en-US</dc:language>
  <cp:lastModifiedBy/>
  <cp:lastPrinted>2019-10-04T08:38:00Z</cp:lastPrinted>
  <dcterms:modified xsi:type="dcterms:W3CDTF">2024-10-11T16:59:04Z</dcterms:modified>
  <cp:revision>6</cp:revision>
  <dc:subject/>
  <dc:title>Dr Caroline ‘Thiago’ Jawad, 2020</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GrammarlyDocumentId">
    <vt:lpwstr>708e3622de46757ccb5a56ef97348b7e33947b6ff47e78ebb5a363b581fc5b6a</vt:lpwstr>
  </property>
</Properties>
</file>