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06E3B0" w14:textId="16E82BD4" w:rsidR="008B3B83" w:rsidRDefault="00D7711A" w:rsidP="00D7711A">
      <w:pPr>
        <w:jc w:val="center"/>
      </w:pPr>
      <w:r>
        <w:rPr>
          <w:noProof/>
        </w:rPr>
        <w:drawing>
          <wp:inline distT="0" distB="0" distL="0" distR="0" wp14:anchorId="688CB5DC" wp14:editId="09337A51">
            <wp:extent cx="2152650" cy="1076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52650" cy="1076325"/>
                    </a:xfrm>
                    <a:prstGeom prst="rect">
                      <a:avLst/>
                    </a:prstGeom>
                  </pic:spPr>
                </pic:pic>
              </a:graphicData>
            </a:graphic>
          </wp:inline>
        </w:drawing>
      </w:r>
    </w:p>
    <w:p w14:paraId="63E6128B" w14:textId="0C6256FC" w:rsidR="00D7711A" w:rsidRDefault="00D7711A"/>
    <w:p w14:paraId="7575263C" w14:textId="64A248CC" w:rsidR="00D7711A" w:rsidRDefault="00851D18" w:rsidP="00D7711A">
      <w:pPr>
        <w:jc w:val="center"/>
        <w:rPr>
          <w:bCs/>
          <w:sz w:val="36"/>
          <w:szCs w:val="32"/>
        </w:rPr>
      </w:pPr>
      <w:r>
        <w:rPr>
          <w:bCs/>
          <w:sz w:val="36"/>
          <w:szCs w:val="32"/>
        </w:rPr>
        <w:t>Module name</w:t>
      </w:r>
      <w:r w:rsidR="001B7C7A">
        <w:rPr>
          <w:bCs/>
          <w:sz w:val="36"/>
          <w:szCs w:val="32"/>
        </w:rPr>
        <w:t xml:space="preserve">: </w:t>
      </w:r>
      <w:r w:rsidR="00D7711A" w:rsidRPr="005408CC">
        <w:rPr>
          <w:bCs/>
          <w:sz w:val="36"/>
          <w:szCs w:val="32"/>
        </w:rPr>
        <w:t>Community Engagement</w:t>
      </w:r>
    </w:p>
    <w:p w14:paraId="40CFAD46" w14:textId="2FA69F7C" w:rsidR="001B7C7A" w:rsidRDefault="001B7C7A" w:rsidP="00D75F33">
      <w:pPr>
        <w:jc w:val="center"/>
        <w:rPr>
          <w:bCs/>
          <w:sz w:val="36"/>
          <w:szCs w:val="32"/>
        </w:rPr>
      </w:pPr>
      <w:r>
        <w:rPr>
          <w:bCs/>
          <w:sz w:val="36"/>
          <w:szCs w:val="32"/>
        </w:rPr>
        <w:t xml:space="preserve">Module code: </w:t>
      </w:r>
      <w:r w:rsidRPr="005408CC">
        <w:rPr>
          <w:bCs/>
          <w:sz w:val="36"/>
          <w:szCs w:val="32"/>
        </w:rPr>
        <w:t>LCBB4002</w:t>
      </w:r>
    </w:p>
    <w:p w14:paraId="26411929" w14:textId="2298A934" w:rsidR="003C5098" w:rsidRPr="005408CC" w:rsidRDefault="0065556F" w:rsidP="00D75F33">
      <w:pPr>
        <w:jc w:val="center"/>
        <w:rPr>
          <w:bCs/>
          <w:sz w:val="36"/>
          <w:szCs w:val="32"/>
        </w:rPr>
      </w:pPr>
      <w:r>
        <w:rPr>
          <w:bCs/>
          <w:sz w:val="36"/>
          <w:szCs w:val="32"/>
        </w:rPr>
        <w:t>Lecturer</w:t>
      </w:r>
      <w:r w:rsidR="00AD20D4">
        <w:rPr>
          <w:bCs/>
          <w:sz w:val="36"/>
          <w:szCs w:val="32"/>
        </w:rPr>
        <w:t>:</w:t>
      </w:r>
      <w:r>
        <w:rPr>
          <w:bCs/>
          <w:sz w:val="36"/>
          <w:szCs w:val="32"/>
        </w:rPr>
        <w:t xml:space="preserve"> </w:t>
      </w:r>
      <w:r w:rsidR="00A04C54">
        <w:rPr>
          <w:bCs/>
          <w:sz w:val="36"/>
          <w:szCs w:val="32"/>
        </w:rPr>
        <w:t>Dr.</w:t>
      </w:r>
      <w:r w:rsidR="00C7511A">
        <w:rPr>
          <w:bCs/>
          <w:sz w:val="36"/>
          <w:szCs w:val="32"/>
        </w:rPr>
        <w:t xml:space="preserve"> </w:t>
      </w:r>
      <w:r w:rsidR="00A04C54">
        <w:rPr>
          <w:bCs/>
          <w:sz w:val="36"/>
          <w:szCs w:val="32"/>
        </w:rPr>
        <w:t>Olu Adegbite</w:t>
      </w:r>
    </w:p>
    <w:p w14:paraId="33AFB805" w14:textId="7C585FAF" w:rsidR="00D7711A" w:rsidRDefault="00D7711A" w:rsidP="00D75F33">
      <w:pPr>
        <w:jc w:val="center"/>
        <w:rPr>
          <w:bCs/>
          <w:sz w:val="36"/>
          <w:szCs w:val="32"/>
        </w:rPr>
      </w:pPr>
      <w:r w:rsidRPr="005408CC">
        <w:rPr>
          <w:bCs/>
          <w:sz w:val="36"/>
          <w:szCs w:val="32"/>
        </w:rPr>
        <w:t>Assignment 1</w:t>
      </w:r>
      <w:r w:rsidR="00203BE2">
        <w:rPr>
          <w:bCs/>
          <w:sz w:val="36"/>
          <w:szCs w:val="32"/>
        </w:rPr>
        <w:t>-</w:t>
      </w:r>
      <w:r w:rsidRPr="005408CC">
        <w:rPr>
          <w:bCs/>
          <w:sz w:val="36"/>
          <w:szCs w:val="32"/>
        </w:rPr>
        <w:t>Essay</w:t>
      </w:r>
    </w:p>
    <w:p w14:paraId="15FEBF43" w14:textId="04800070" w:rsidR="00D83A2E" w:rsidRPr="00836E28" w:rsidRDefault="00D83A2E" w:rsidP="00D75F33">
      <w:pPr>
        <w:jc w:val="center"/>
        <w:rPr>
          <w:rFonts w:cs="Arial"/>
          <w:bCs/>
          <w:sz w:val="36"/>
          <w:szCs w:val="36"/>
        </w:rPr>
      </w:pPr>
      <w:r w:rsidRPr="00836E28">
        <w:rPr>
          <w:rFonts w:cs="Arial"/>
          <w:bCs/>
          <w:sz w:val="36"/>
          <w:szCs w:val="36"/>
        </w:rPr>
        <w:t>Name: Gurduz</w:t>
      </w:r>
      <w:r w:rsidR="00A0334C">
        <w:rPr>
          <w:rFonts w:cs="Arial"/>
          <w:bCs/>
          <w:sz w:val="36"/>
          <w:szCs w:val="36"/>
        </w:rPr>
        <w:t xml:space="preserve"> </w:t>
      </w:r>
      <w:r w:rsidRPr="00836E28">
        <w:rPr>
          <w:rFonts w:cs="Arial"/>
          <w:bCs/>
          <w:sz w:val="36"/>
          <w:szCs w:val="36"/>
        </w:rPr>
        <w:t>Ana</w:t>
      </w:r>
    </w:p>
    <w:p w14:paraId="68FC17F9" w14:textId="300DC9DD" w:rsidR="00D83A2E" w:rsidRDefault="00D83A2E" w:rsidP="00D75F33">
      <w:pPr>
        <w:jc w:val="center"/>
        <w:rPr>
          <w:rFonts w:cs="Arial"/>
          <w:bCs/>
          <w:sz w:val="36"/>
          <w:szCs w:val="36"/>
        </w:rPr>
      </w:pPr>
      <w:r w:rsidRPr="00836E28">
        <w:rPr>
          <w:rFonts w:cs="Arial"/>
          <w:bCs/>
          <w:sz w:val="36"/>
          <w:szCs w:val="36"/>
        </w:rPr>
        <w:t>Student no: 2029605</w:t>
      </w:r>
    </w:p>
    <w:p w14:paraId="4F888B7D" w14:textId="6BE81330" w:rsidR="00A24873" w:rsidRPr="00836E28" w:rsidRDefault="00A24873" w:rsidP="00836E28">
      <w:pPr>
        <w:rPr>
          <w:rFonts w:cs="Arial"/>
          <w:bCs/>
          <w:sz w:val="36"/>
          <w:szCs w:val="36"/>
        </w:rPr>
      </w:pPr>
      <w:r>
        <w:rPr>
          <w:rFonts w:cs="Arial"/>
          <w:bCs/>
          <w:sz w:val="36"/>
          <w:szCs w:val="36"/>
        </w:rPr>
        <w:t xml:space="preserve">                           </w:t>
      </w:r>
      <w:r w:rsidR="0055615D">
        <w:rPr>
          <w:rFonts w:cs="Arial"/>
          <w:bCs/>
          <w:sz w:val="36"/>
          <w:szCs w:val="36"/>
        </w:rPr>
        <w:t xml:space="preserve"> </w:t>
      </w:r>
    </w:p>
    <w:p w14:paraId="141F7601" w14:textId="77777777" w:rsidR="00D83A2E" w:rsidRPr="005408CC" w:rsidRDefault="00D83A2E" w:rsidP="00D7711A">
      <w:pPr>
        <w:jc w:val="center"/>
        <w:rPr>
          <w:bCs/>
          <w:sz w:val="36"/>
          <w:szCs w:val="32"/>
        </w:rPr>
      </w:pPr>
    </w:p>
    <w:p w14:paraId="1DC349F6" w14:textId="24FE9EBD" w:rsidR="004510AB" w:rsidRDefault="004510AB"/>
    <w:p w14:paraId="571C79D9" w14:textId="7A7B54B8" w:rsidR="00A139C1" w:rsidRDefault="00A139C1"/>
    <w:p w14:paraId="686DFD58" w14:textId="5E9D0563" w:rsidR="00A139C1" w:rsidRDefault="00A139C1"/>
    <w:p w14:paraId="48E4A0CC" w14:textId="05F9994A" w:rsidR="00A139C1" w:rsidRDefault="00A139C1"/>
    <w:p w14:paraId="537A63EE" w14:textId="19587635" w:rsidR="00A139C1" w:rsidRDefault="00A139C1"/>
    <w:p w14:paraId="71BB9370" w14:textId="441414C4" w:rsidR="00A139C1" w:rsidRDefault="00A139C1"/>
    <w:p w14:paraId="516D7E64" w14:textId="70969E56" w:rsidR="00A139C1" w:rsidRDefault="00A139C1"/>
    <w:p w14:paraId="5D454B8B" w14:textId="2A21BFA6" w:rsidR="00A139C1" w:rsidRDefault="00A139C1"/>
    <w:p w14:paraId="6BC20FE1" w14:textId="0EE81D02" w:rsidR="00D83A2E" w:rsidRDefault="00D83A2E"/>
    <w:p w14:paraId="79AD8959" w14:textId="117B214F" w:rsidR="00D83A2E" w:rsidRDefault="00D83A2E"/>
    <w:p w14:paraId="3BB97E7C" w14:textId="56362A05" w:rsidR="00D83A2E" w:rsidRDefault="00D83A2E"/>
    <w:p w14:paraId="76F6ECE3" w14:textId="79EAAFF4" w:rsidR="00D83A2E" w:rsidRDefault="00D83A2E"/>
    <w:p w14:paraId="3B6D2EA2" w14:textId="66A2D497" w:rsidR="00D83A2E" w:rsidRDefault="00D83A2E"/>
    <w:p w14:paraId="0FC29999" w14:textId="378B35E9" w:rsidR="00D83A2E" w:rsidRDefault="00D83A2E"/>
    <w:p w14:paraId="729FEF60" w14:textId="7CAF3DDE" w:rsidR="00D83A2E" w:rsidRDefault="00D83A2E"/>
    <w:p w14:paraId="69E5618F" w14:textId="1FDCAB27" w:rsidR="00D83A2E" w:rsidRDefault="00D83A2E"/>
    <w:p w14:paraId="6F9EC8D6" w14:textId="398BB97F" w:rsidR="00D83A2E" w:rsidRDefault="00D83A2E"/>
    <w:p w14:paraId="40580B70" w14:textId="77777777" w:rsidR="00D83A2E" w:rsidRDefault="00D83A2E"/>
    <w:sdt>
      <w:sdtPr>
        <w:rPr>
          <w:rFonts w:ascii="Arial" w:eastAsiaTheme="minorHAnsi" w:hAnsi="Arial" w:cstheme="minorBidi"/>
          <w:color w:val="auto"/>
          <w:sz w:val="24"/>
          <w:szCs w:val="22"/>
          <w:lang w:val="en-GB"/>
        </w:rPr>
        <w:id w:val="1362399187"/>
        <w:docPartObj>
          <w:docPartGallery w:val="Table of Contents"/>
          <w:docPartUnique/>
        </w:docPartObj>
      </w:sdtPr>
      <w:sdtEndPr>
        <w:rPr>
          <w:b/>
          <w:bCs/>
          <w:noProof/>
        </w:rPr>
      </w:sdtEndPr>
      <w:sdtContent>
        <w:p w14:paraId="19643AC0" w14:textId="24053691" w:rsidR="004510AB" w:rsidRDefault="004510AB" w:rsidP="004510AB">
          <w:pPr>
            <w:pStyle w:val="TOCHeading"/>
            <w:spacing w:after="240"/>
          </w:pPr>
          <w:r>
            <w:t>Table of Contents</w:t>
          </w:r>
        </w:p>
        <w:p w14:paraId="44E76212" w14:textId="6E778A20" w:rsidR="00EF7807" w:rsidRDefault="004510AB">
          <w:pPr>
            <w:pStyle w:val="TOC1"/>
            <w:tabs>
              <w:tab w:val="right" w:leader="dot" w:pos="9019"/>
            </w:tabs>
            <w:rPr>
              <w:noProof/>
            </w:rPr>
          </w:pPr>
          <w:r>
            <w:fldChar w:fldCharType="begin"/>
          </w:r>
          <w:r>
            <w:instrText xml:space="preserve"> TOC \o "1-3" \h \z \u </w:instrText>
          </w:r>
          <w:r>
            <w:fldChar w:fldCharType="separate"/>
          </w:r>
          <w:hyperlink w:anchor="_Toc85183185" w:history="1">
            <w:r w:rsidR="00EF7807" w:rsidRPr="00A14C2D">
              <w:rPr>
                <w:rStyle w:val="Hyperlink"/>
                <w:noProof/>
              </w:rPr>
              <w:t>Introduction</w:t>
            </w:r>
            <w:r w:rsidR="00EF7807">
              <w:rPr>
                <w:noProof/>
                <w:webHidden/>
              </w:rPr>
              <w:tab/>
            </w:r>
            <w:r w:rsidR="00EF7807">
              <w:rPr>
                <w:noProof/>
                <w:webHidden/>
              </w:rPr>
              <w:fldChar w:fldCharType="begin"/>
            </w:r>
            <w:r w:rsidR="00EF7807">
              <w:rPr>
                <w:noProof/>
                <w:webHidden/>
              </w:rPr>
              <w:instrText xml:space="preserve"> PAGEREF _Toc85183185 \h </w:instrText>
            </w:r>
            <w:r w:rsidR="00EF7807">
              <w:rPr>
                <w:noProof/>
                <w:webHidden/>
              </w:rPr>
            </w:r>
            <w:r w:rsidR="00EF7807">
              <w:rPr>
                <w:noProof/>
                <w:webHidden/>
              </w:rPr>
              <w:fldChar w:fldCharType="separate"/>
            </w:r>
            <w:r w:rsidR="00EF7807">
              <w:rPr>
                <w:noProof/>
                <w:webHidden/>
              </w:rPr>
              <w:t>3</w:t>
            </w:r>
            <w:r w:rsidR="00EF7807">
              <w:rPr>
                <w:noProof/>
                <w:webHidden/>
              </w:rPr>
              <w:fldChar w:fldCharType="end"/>
            </w:r>
          </w:hyperlink>
        </w:p>
        <w:p w14:paraId="7BAA2CAB" w14:textId="3362BBF7" w:rsidR="00EF7807" w:rsidRDefault="00DE2635">
          <w:pPr>
            <w:pStyle w:val="TOC1"/>
            <w:tabs>
              <w:tab w:val="right" w:leader="dot" w:pos="9019"/>
            </w:tabs>
            <w:rPr>
              <w:noProof/>
            </w:rPr>
          </w:pPr>
          <w:hyperlink w:anchor="_Toc85183186" w:history="1">
            <w:r w:rsidR="00EF7807" w:rsidRPr="00A14C2D">
              <w:rPr>
                <w:rStyle w:val="Hyperlink"/>
                <w:noProof/>
              </w:rPr>
              <w:t>Importance of community engagement</w:t>
            </w:r>
            <w:r w:rsidR="00EF7807">
              <w:rPr>
                <w:noProof/>
                <w:webHidden/>
              </w:rPr>
              <w:tab/>
            </w:r>
            <w:r w:rsidR="00EF7807">
              <w:rPr>
                <w:noProof/>
                <w:webHidden/>
              </w:rPr>
              <w:fldChar w:fldCharType="begin"/>
            </w:r>
            <w:r w:rsidR="00EF7807">
              <w:rPr>
                <w:noProof/>
                <w:webHidden/>
              </w:rPr>
              <w:instrText xml:space="preserve"> PAGEREF _Toc85183186 \h </w:instrText>
            </w:r>
            <w:r w:rsidR="00EF7807">
              <w:rPr>
                <w:noProof/>
                <w:webHidden/>
              </w:rPr>
            </w:r>
            <w:r w:rsidR="00EF7807">
              <w:rPr>
                <w:noProof/>
                <w:webHidden/>
              </w:rPr>
              <w:fldChar w:fldCharType="separate"/>
            </w:r>
            <w:r w:rsidR="00EF7807">
              <w:rPr>
                <w:noProof/>
                <w:webHidden/>
              </w:rPr>
              <w:t>4</w:t>
            </w:r>
            <w:r w:rsidR="00EF7807">
              <w:rPr>
                <w:noProof/>
                <w:webHidden/>
              </w:rPr>
              <w:fldChar w:fldCharType="end"/>
            </w:r>
          </w:hyperlink>
        </w:p>
        <w:p w14:paraId="4A809E0C" w14:textId="5F3EBE8A" w:rsidR="00EF7807" w:rsidRDefault="00DE2635">
          <w:pPr>
            <w:pStyle w:val="TOC1"/>
            <w:tabs>
              <w:tab w:val="right" w:leader="dot" w:pos="9019"/>
            </w:tabs>
            <w:rPr>
              <w:noProof/>
            </w:rPr>
          </w:pPr>
          <w:hyperlink w:anchor="_Toc85183187" w:history="1">
            <w:r w:rsidR="00EF7807" w:rsidRPr="00A14C2D">
              <w:rPr>
                <w:rStyle w:val="Hyperlink"/>
                <w:noProof/>
              </w:rPr>
              <w:t>The importance of transferable skills in community engagement</w:t>
            </w:r>
            <w:r w:rsidR="00EF7807">
              <w:rPr>
                <w:noProof/>
                <w:webHidden/>
              </w:rPr>
              <w:tab/>
            </w:r>
            <w:r w:rsidR="00EF7807">
              <w:rPr>
                <w:noProof/>
                <w:webHidden/>
              </w:rPr>
              <w:fldChar w:fldCharType="begin"/>
            </w:r>
            <w:r w:rsidR="00EF7807">
              <w:rPr>
                <w:noProof/>
                <w:webHidden/>
              </w:rPr>
              <w:instrText xml:space="preserve"> PAGEREF _Toc85183187 \h </w:instrText>
            </w:r>
            <w:r w:rsidR="00EF7807">
              <w:rPr>
                <w:noProof/>
                <w:webHidden/>
              </w:rPr>
            </w:r>
            <w:r w:rsidR="00EF7807">
              <w:rPr>
                <w:noProof/>
                <w:webHidden/>
              </w:rPr>
              <w:fldChar w:fldCharType="separate"/>
            </w:r>
            <w:r w:rsidR="00EF7807">
              <w:rPr>
                <w:noProof/>
                <w:webHidden/>
              </w:rPr>
              <w:t>5</w:t>
            </w:r>
            <w:r w:rsidR="00EF7807">
              <w:rPr>
                <w:noProof/>
                <w:webHidden/>
              </w:rPr>
              <w:fldChar w:fldCharType="end"/>
            </w:r>
          </w:hyperlink>
        </w:p>
        <w:p w14:paraId="433C0B00" w14:textId="09E914B9" w:rsidR="00EF7807" w:rsidRDefault="00DE2635">
          <w:pPr>
            <w:pStyle w:val="TOC1"/>
            <w:tabs>
              <w:tab w:val="right" w:leader="dot" w:pos="9019"/>
            </w:tabs>
            <w:rPr>
              <w:noProof/>
            </w:rPr>
          </w:pPr>
          <w:hyperlink w:anchor="_Toc85183188" w:history="1">
            <w:r w:rsidR="00EF7807" w:rsidRPr="00A14C2D">
              <w:rPr>
                <w:rStyle w:val="Hyperlink"/>
                <w:noProof/>
              </w:rPr>
              <w:t>Discussion of some transferable skills</w:t>
            </w:r>
            <w:r w:rsidR="00EF7807">
              <w:rPr>
                <w:noProof/>
                <w:webHidden/>
              </w:rPr>
              <w:tab/>
            </w:r>
            <w:r w:rsidR="00EF7807">
              <w:rPr>
                <w:noProof/>
                <w:webHidden/>
              </w:rPr>
              <w:fldChar w:fldCharType="begin"/>
            </w:r>
            <w:r w:rsidR="00EF7807">
              <w:rPr>
                <w:noProof/>
                <w:webHidden/>
              </w:rPr>
              <w:instrText xml:space="preserve"> PAGEREF _Toc85183188 \h </w:instrText>
            </w:r>
            <w:r w:rsidR="00EF7807">
              <w:rPr>
                <w:noProof/>
                <w:webHidden/>
              </w:rPr>
            </w:r>
            <w:r w:rsidR="00EF7807">
              <w:rPr>
                <w:noProof/>
                <w:webHidden/>
              </w:rPr>
              <w:fldChar w:fldCharType="separate"/>
            </w:r>
            <w:r w:rsidR="00EF7807">
              <w:rPr>
                <w:noProof/>
                <w:webHidden/>
              </w:rPr>
              <w:t>5</w:t>
            </w:r>
            <w:r w:rsidR="00EF7807">
              <w:rPr>
                <w:noProof/>
                <w:webHidden/>
              </w:rPr>
              <w:fldChar w:fldCharType="end"/>
            </w:r>
          </w:hyperlink>
        </w:p>
        <w:p w14:paraId="717ED444" w14:textId="507A1835" w:rsidR="00EF7807" w:rsidRDefault="00DE2635">
          <w:pPr>
            <w:pStyle w:val="TOC1"/>
            <w:tabs>
              <w:tab w:val="right" w:leader="dot" w:pos="9019"/>
            </w:tabs>
            <w:rPr>
              <w:noProof/>
            </w:rPr>
          </w:pPr>
          <w:hyperlink w:anchor="_Toc85183189" w:history="1">
            <w:r w:rsidR="00EF7807" w:rsidRPr="00A14C2D">
              <w:rPr>
                <w:rStyle w:val="Hyperlink"/>
                <w:noProof/>
              </w:rPr>
              <w:t>Mr Clark’s employer do to take community engagement</w:t>
            </w:r>
            <w:r w:rsidR="00EF7807">
              <w:rPr>
                <w:noProof/>
                <w:webHidden/>
              </w:rPr>
              <w:tab/>
            </w:r>
            <w:r w:rsidR="00EF7807">
              <w:rPr>
                <w:noProof/>
                <w:webHidden/>
              </w:rPr>
              <w:fldChar w:fldCharType="begin"/>
            </w:r>
            <w:r w:rsidR="00EF7807">
              <w:rPr>
                <w:noProof/>
                <w:webHidden/>
              </w:rPr>
              <w:instrText xml:space="preserve"> PAGEREF _Toc85183189 \h </w:instrText>
            </w:r>
            <w:r w:rsidR="00EF7807">
              <w:rPr>
                <w:noProof/>
                <w:webHidden/>
              </w:rPr>
            </w:r>
            <w:r w:rsidR="00EF7807">
              <w:rPr>
                <w:noProof/>
                <w:webHidden/>
              </w:rPr>
              <w:fldChar w:fldCharType="separate"/>
            </w:r>
            <w:r w:rsidR="00EF7807">
              <w:rPr>
                <w:noProof/>
                <w:webHidden/>
              </w:rPr>
              <w:t>8</w:t>
            </w:r>
            <w:r w:rsidR="00EF7807">
              <w:rPr>
                <w:noProof/>
                <w:webHidden/>
              </w:rPr>
              <w:fldChar w:fldCharType="end"/>
            </w:r>
          </w:hyperlink>
        </w:p>
        <w:p w14:paraId="29A229AB" w14:textId="1D6C2B4E" w:rsidR="00EF7807" w:rsidRDefault="00DE2635">
          <w:pPr>
            <w:pStyle w:val="TOC1"/>
            <w:tabs>
              <w:tab w:val="right" w:leader="dot" w:pos="9019"/>
            </w:tabs>
            <w:rPr>
              <w:noProof/>
            </w:rPr>
          </w:pPr>
          <w:hyperlink w:anchor="_Toc85183190" w:history="1">
            <w:r w:rsidR="00EF7807" w:rsidRPr="00A14C2D">
              <w:rPr>
                <w:rStyle w:val="Hyperlink"/>
                <w:noProof/>
              </w:rPr>
              <w:t>Conclusion</w:t>
            </w:r>
            <w:r w:rsidR="00EF7807">
              <w:rPr>
                <w:noProof/>
                <w:webHidden/>
              </w:rPr>
              <w:tab/>
            </w:r>
            <w:r w:rsidR="00EF7807">
              <w:rPr>
                <w:noProof/>
                <w:webHidden/>
              </w:rPr>
              <w:fldChar w:fldCharType="begin"/>
            </w:r>
            <w:r w:rsidR="00EF7807">
              <w:rPr>
                <w:noProof/>
                <w:webHidden/>
              </w:rPr>
              <w:instrText xml:space="preserve"> PAGEREF _Toc85183190 \h </w:instrText>
            </w:r>
            <w:r w:rsidR="00EF7807">
              <w:rPr>
                <w:noProof/>
                <w:webHidden/>
              </w:rPr>
            </w:r>
            <w:r w:rsidR="00EF7807">
              <w:rPr>
                <w:noProof/>
                <w:webHidden/>
              </w:rPr>
              <w:fldChar w:fldCharType="separate"/>
            </w:r>
            <w:r w:rsidR="00EF7807">
              <w:rPr>
                <w:noProof/>
                <w:webHidden/>
              </w:rPr>
              <w:t>10</w:t>
            </w:r>
            <w:r w:rsidR="00EF7807">
              <w:rPr>
                <w:noProof/>
                <w:webHidden/>
              </w:rPr>
              <w:fldChar w:fldCharType="end"/>
            </w:r>
          </w:hyperlink>
        </w:p>
        <w:p w14:paraId="4D254D6D" w14:textId="43789E1D" w:rsidR="00EF7807" w:rsidRDefault="00DE2635">
          <w:pPr>
            <w:pStyle w:val="TOC1"/>
            <w:tabs>
              <w:tab w:val="right" w:leader="dot" w:pos="9019"/>
            </w:tabs>
            <w:rPr>
              <w:noProof/>
            </w:rPr>
          </w:pPr>
          <w:hyperlink w:anchor="_Toc85183191" w:history="1">
            <w:r w:rsidR="00EF7807" w:rsidRPr="00A14C2D">
              <w:rPr>
                <w:rStyle w:val="Hyperlink"/>
                <w:noProof/>
              </w:rPr>
              <w:t>References</w:t>
            </w:r>
            <w:r w:rsidR="00EF7807">
              <w:rPr>
                <w:noProof/>
                <w:webHidden/>
              </w:rPr>
              <w:tab/>
            </w:r>
            <w:r w:rsidR="00EF7807">
              <w:rPr>
                <w:noProof/>
                <w:webHidden/>
              </w:rPr>
              <w:fldChar w:fldCharType="begin"/>
            </w:r>
            <w:r w:rsidR="00EF7807">
              <w:rPr>
                <w:noProof/>
                <w:webHidden/>
              </w:rPr>
              <w:instrText xml:space="preserve"> PAGEREF _Toc85183191 \h </w:instrText>
            </w:r>
            <w:r w:rsidR="00EF7807">
              <w:rPr>
                <w:noProof/>
                <w:webHidden/>
              </w:rPr>
            </w:r>
            <w:r w:rsidR="00EF7807">
              <w:rPr>
                <w:noProof/>
                <w:webHidden/>
              </w:rPr>
              <w:fldChar w:fldCharType="separate"/>
            </w:r>
            <w:r w:rsidR="00EF7807">
              <w:rPr>
                <w:noProof/>
                <w:webHidden/>
              </w:rPr>
              <w:t>11</w:t>
            </w:r>
            <w:r w:rsidR="00EF7807">
              <w:rPr>
                <w:noProof/>
                <w:webHidden/>
              </w:rPr>
              <w:fldChar w:fldCharType="end"/>
            </w:r>
          </w:hyperlink>
        </w:p>
        <w:p w14:paraId="352E9258" w14:textId="2B18334E" w:rsidR="004510AB" w:rsidRDefault="004510AB">
          <w:r>
            <w:rPr>
              <w:b/>
              <w:bCs/>
              <w:noProof/>
            </w:rPr>
            <w:fldChar w:fldCharType="end"/>
          </w:r>
        </w:p>
      </w:sdtContent>
    </w:sdt>
    <w:p w14:paraId="5E0E927A" w14:textId="68BF3690" w:rsidR="009A13F2" w:rsidRDefault="009A13F2">
      <w:r>
        <w:br w:type="page"/>
      </w:r>
    </w:p>
    <w:p w14:paraId="0A9D1B97" w14:textId="15D1DC76" w:rsidR="00D7711A" w:rsidRDefault="009A13F2" w:rsidP="008178C7">
      <w:pPr>
        <w:pStyle w:val="Heading1"/>
      </w:pPr>
      <w:bookmarkStart w:id="0" w:name="_Toc85183185"/>
      <w:r>
        <w:lastRenderedPageBreak/>
        <w:t>Introduction</w:t>
      </w:r>
      <w:bookmarkEnd w:id="0"/>
    </w:p>
    <w:p w14:paraId="2F03456E" w14:textId="2E660F7D" w:rsidR="00F65418" w:rsidRDefault="008178C7">
      <w:r w:rsidRPr="008178C7">
        <w:t>Engagement in the community may take many forms, and partners might include anything from organized labo</w:t>
      </w:r>
      <w:r w:rsidR="00A673D5">
        <w:t>u</w:t>
      </w:r>
      <w:r w:rsidRPr="008178C7">
        <w:t xml:space="preserve">r unions to local and federal government agencies to charitable organizations and individuals. Co-workers may be engaged in health promotion, research, or policy formulation. According to a recent review of the literature on the topic, </w:t>
      </w:r>
      <w:r w:rsidR="00A673D5">
        <w:t xml:space="preserve">the </w:t>
      </w:r>
      <w:r w:rsidRPr="008178C7">
        <w:t>current study on community participation identified nine areas where it had a positive impact</w:t>
      </w:r>
      <w:r w:rsidR="00EF7807">
        <w:t xml:space="preserve"> </w:t>
      </w:r>
      <w:r w:rsidR="00EF7807" w:rsidRPr="00EF7807">
        <w:t>(Van Rooyen and Snyman, 2011)</w:t>
      </w:r>
      <w:r w:rsidRPr="008178C7">
        <w:t>. To find out more about community participation, this study looks at the importance of it, along with the related transferrable skills. The study that follows a case will also include an examination of a transferrable skill that is based on real-world experience.</w:t>
      </w:r>
    </w:p>
    <w:p w14:paraId="6820789E" w14:textId="77777777" w:rsidR="00F65418" w:rsidRDefault="00F65418">
      <w:r>
        <w:br w:type="page"/>
      </w:r>
    </w:p>
    <w:p w14:paraId="3600E9B9" w14:textId="014D1412" w:rsidR="009A13F2" w:rsidRDefault="00F65418" w:rsidP="00EF2106">
      <w:pPr>
        <w:pStyle w:val="Heading1"/>
      </w:pPr>
      <w:bookmarkStart w:id="1" w:name="_Toc85183186"/>
      <w:r>
        <w:lastRenderedPageBreak/>
        <w:t>Importance of community engagement</w:t>
      </w:r>
      <w:bookmarkEnd w:id="1"/>
      <w:r>
        <w:t xml:space="preserve"> </w:t>
      </w:r>
    </w:p>
    <w:p w14:paraId="61AA6D14" w14:textId="1AF6F28D" w:rsidR="00872246" w:rsidRDefault="00657AC4">
      <w:r w:rsidRPr="00657AC4">
        <w:t>As the depth and breadth of community participation in the democratic nations throughout the world ha</w:t>
      </w:r>
      <w:r w:rsidR="00A673D5">
        <w:t>ve</w:t>
      </w:r>
      <w:r w:rsidRPr="00657AC4">
        <w:t xml:space="preserve"> grown in the twenty-first century, so has the significance of such engagement. Having a positive working relationship with government agencies increases the likelihood that people will get engaged in their communities, according to research. It is more likely that better public decisions will be made when local communities and government institutions work successfully together</w:t>
      </w:r>
      <w:r w:rsidR="00EF7807">
        <w:t xml:space="preserve"> </w:t>
      </w:r>
      <w:r w:rsidR="00EF7807" w:rsidRPr="00EF7807">
        <w:t>(Tannenbaum, 2008)</w:t>
      </w:r>
      <w:r w:rsidRPr="00657AC4">
        <w:t xml:space="preserve">. When local communities and government institutions work together successfully, the overall quality of life in the community increases as well. </w:t>
      </w:r>
    </w:p>
    <w:p w14:paraId="219B8197" w14:textId="0C13F1F2" w:rsidR="00872246" w:rsidRDefault="00657AC4">
      <w:r w:rsidRPr="00657AC4">
        <w:t>Individuals, public organizations, and government agencies must all participate in the community as a consequence of this development. When conventional executive-led methods to service design and delivery fail, it is critical to include members of the community in the process. Even when conventional methods have failed or have been proven to be useless in dealing with the complexity of a community's problems, there is always a way to learn more about the needs and objectives of that community and its members</w:t>
      </w:r>
      <w:r w:rsidR="00EF7807">
        <w:t xml:space="preserve"> </w:t>
      </w:r>
      <w:r w:rsidR="00EF7807" w:rsidRPr="00EF7807">
        <w:t>(Stevens, 2013)</w:t>
      </w:r>
      <w:r w:rsidRPr="00657AC4">
        <w:t xml:space="preserve">. It is possible that government organizations and public decision-making bodies will be interested when communities express their aspirations, fears, and values to them. </w:t>
      </w:r>
    </w:p>
    <w:p w14:paraId="0507B748" w14:textId="0EC3BB8E" w:rsidR="00F65418" w:rsidRDefault="00657AC4">
      <w:r w:rsidRPr="00657AC4">
        <w:t>When communities express their beliefs, government institutions may also reap the benefits of community involvement, as well. Increasing the participation of public decision-makers improves their knowledge and enables them to better fulfil the demands of the community they represent. Government-community partnerships, on the other hand, may result in a stronger feeling of community ownership as well as an increase in the adoption of services since they are customized to the specific needs of the community involved.</w:t>
      </w:r>
    </w:p>
    <w:p w14:paraId="28B0598A" w14:textId="0FBEDE8E" w:rsidR="00872246" w:rsidRDefault="003F43D4">
      <w:r w:rsidRPr="003F43D4">
        <w:t xml:space="preserve">By including the community, governments may become more effective, legitimate, and transparent in their decision-making. Promoting participation allows politicians to make better choices by interacting with and carefully mapping the needs, views, and ideas of local communities on topics that matter to them by accepting and promoting involvement (Sozer, 2010). Because it considers the demands and interests of all stakeholders, it helps create better choices that are more sustainable in the long run. Increasing acceptance and community commitment to results as local knowledge from </w:t>
      </w:r>
      <w:r w:rsidRPr="003F43D4">
        <w:lastRenderedPageBreak/>
        <w:t>different groups and creating inclusive, effective solutions improve the acceptability of alternatives. As a result, people have more faith in corporations and the government to make sound public policy choices.</w:t>
      </w:r>
    </w:p>
    <w:p w14:paraId="18FDEA10" w14:textId="4F28567C" w:rsidR="008636FD" w:rsidRDefault="007F2CF2" w:rsidP="007F2CF2">
      <w:pPr>
        <w:pStyle w:val="Heading1"/>
      </w:pPr>
      <w:bookmarkStart w:id="2" w:name="_Toc85183187"/>
      <w:r>
        <w:t>T</w:t>
      </w:r>
      <w:r w:rsidRPr="007F2CF2">
        <w:t>he importance of transferable skills in community engagement</w:t>
      </w:r>
      <w:bookmarkEnd w:id="2"/>
    </w:p>
    <w:p w14:paraId="24EDF4C5" w14:textId="7AF9ED2E" w:rsidR="00E120D2" w:rsidRDefault="00E120D2" w:rsidP="00E120D2">
      <w:r>
        <w:t>In the simplest words, transferable abilities enable someone to succeed in their profession, whatever it may be, since they are characteristics that are required irrespective of the work function</w:t>
      </w:r>
      <w:r w:rsidR="00EF7807">
        <w:t xml:space="preserve"> </w:t>
      </w:r>
      <w:r w:rsidR="00EF7807" w:rsidRPr="00EF7807">
        <w:t>(Sidell and Smiley, 2012)</w:t>
      </w:r>
      <w:r>
        <w:t>. In addition, transferable abilities enable people to move between professions, industries, or departments for which they may not typically have a full set of prerequisites. Transferable skills increase via experience, time, and growth opportunities, such as training, one-to-one coaching, mentorship. By time and work experience, propose that have been developing these abilities since someone took their first job for example at a local fast-food restaurant or volunteered as a camp counse</w:t>
      </w:r>
      <w:r w:rsidR="00A673D5">
        <w:t>l</w:t>
      </w:r>
      <w:r>
        <w:t>lor, and they will continue to hone them for the rest of their life. Transferable abilities are generally needed</w:t>
      </w:r>
      <w:r w:rsidR="00EF7807">
        <w:t xml:space="preserve"> </w:t>
      </w:r>
      <w:r w:rsidR="00EF7807" w:rsidRPr="00EF7807">
        <w:t>(Heslop, 2011)</w:t>
      </w:r>
      <w:r>
        <w:t>. They contribute to the success and the success of a team, client, or business. In addition, they let to take charge of the career and reduce the stress encountered in transitional periods, such as a promotion or work move.</w:t>
      </w:r>
    </w:p>
    <w:p w14:paraId="780A0730" w14:textId="2F0193CA" w:rsidR="00E120D2" w:rsidRDefault="00E120D2" w:rsidP="00596AE5">
      <w:pPr>
        <w:pStyle w:val="ListParagraph"/>
        <w:numPr>
          <w:ilvl w:val="0"/>
          <w:numId w:val="1"/>
        </w:numPr>
      </w:pPr>
      <w:r>
        <w:t>Being flexible is the name of the game while looking for a new job. Community involvement seeking ‘all-rounders’- individuals who are able to conduct various activities and occupy multiple positions as and when required.</w:t>
      </w:r>
    </w:p>
    <w:p w14:paraId="4FCBDCE9" w14:textId="5A0CE75C" w:rsidR="00E120D2" w:rsidRDefault="00E120D2" w:rsidP="00596AE5">
      <w:pPr>
        <w:pStyle w:val="ListParagraph"/>
        <w:numPr>
          <w:ilvl w:val="0"/>
          <w:numId w:val="1"/>
        </w:numPr>
      </w:pPr>
      <w:r>
        <w:t>Individual</w:t>
      </w:r>
      <w:r w:rsidR="00A673D5">
        <w:t>s</w:t>
      </w:r>
      <w:r>
        <w:t xml:space="preserve"> may acquire transferrable talents anywhere - at life, at home, or at work. The accumulated experiences that they have will determine what transferrable talents possess. No matter what people do or where they do it, they need to have skills</w:t>
      </w:r>
      <w:r w:rsidR="00EF7807">
        <w:t xml:space="preserve"> </w:t>
      </w:r>
      <w:r w:rsidR="00EF7807" w:rsidRPr="00EF7807">
        <w:t>(Deosaran, 2013)</w:t>
      </w:r>
      <w:r>
        <w:t>. As long as they can figure out how to market their abilities to a hiring manager, they will be in a strong position.</w:t>
      </w:r>
    </w:p>
    <w:p w14:paraId="598AA0BF" w14:textId="3C149801" w:rsidR="007F2CF2" w:rsidRDefault="00E120D2" w:rsidP="00596AE5">
      <w:pPr>
        <w:pStyle w:val="ListParagraph"/>
        <w:numPr>
          <w:ilvl w:val="0"/>
          <w:numId w:val="1"/>
        </w:numPr>
      </w:pPr>
      <w:r>
        <w:t>People continuously acquiring transferrable talents and no one can take them away. These transferable talents move from job to employment. Individuals must take note of their skill set and they will discover how they may use it in community involvement.</w:t>
      </w:r>
    </w:p>
    <w:p w14:paraId="377C6AB5" w14:textId="5DD71270" w:rsidR="00596AE5" w:rsidRDefault="008A56A4" w:rsidP="008A56A4">
      <w:pPr>
        <w:pStyle w:val="Heading1"/>
      </w:pPr>
      <w:bookmarkStart w:id="3" w:name="_Toc85183188"/>
      <w:r>
        <w:t>Discussion of some transferable skills</w:t>
      </w:r>
      <w:bookmarkEnd w:id="3"/>
      <w:r>
        <w:t xml:space="preserve"> </w:t>
      </w:r>
    </w:p>
    <w:p w14:paraId="2B05A749" w14:textId="6929C2F7" w:rsidR="008A56A4" w:rsidRDefault="003F43D4" w:rsidP="008A56A4">
      <w:r w:rsidRPr="003F43D4">
        <w:t xml:space="preserve">People with transferable skills are individuals who have acquired them via employment, education, or training that takes them from one place to another. A </w:t>
      </w:r>
      <w:r w:rsidRPr="003F43D4">
        <w:lastRenderedPageBreak/>
        <w:t xml:space="preserve">transferable talent is one that may be utilized in a variety of contexts, such as the workplace, school or further education (Wilkinson and Johnstone, 2017). In this way, it is critical that applicants and interviewees highlight their transferrable talents throughout their materials. Even if </w:t>
      </w:r>
      <w:r w:rsidR="005408CC">
        <w:t xml:space="preserve">an </w:t>
      </w:r>
      <w:r>
        <w:t>individual</w:t>
      </w:r>
      <w:r w:rsidRPr="003F43D4">
        <w:t xml:space="preserve"> do</w:t>
      </w:r>
      <w:r w:rsidR="005408CC">
        <w:t>es</w:t>
      </w:r>
      <w:r w:rsidRPr="003F43D4">
        <w:t>n't have the relevant experience, these abilities may help persuade a prospective employer that would be an excellent addition to their team.</w:t>
      </w:r>
    </w:p>
    <w:p w14:paraId="4DA7645E" w14:textId="77777777" w:rsidR="003F43D4" w:rsidRDefault="008A56A4" w:rsidP="008A56A4">
      <w:pPr>
        <w:rPr>
          <w:b/>
          <w:bCs/>
          <w:i/>
          <w:iCs/>
        </w:rPr>
      </w:pPr>
      <w:r w:rsidRPr="008A56A4">
        <w:rPr>
          <w:b/>
          <w:bCs/>
          <w:i/>
          <w:iCs/>
        </w:rPr>
        <w:t>Leadership and Team Management</w:t>
      </w:r>
    </w:p>
    <w:p w14:paraId="7AA8623F" w14:textId="16B8E149" w:rsidR="008A56A4" w:rsidRPr="003F43D4" w:rsidRDefault="002A24FD" w:rsidP="008A56A4">
      <w:pPr>
        <w:rPr>
          <w:b/>
          <w:bCs/>
          <w:i/>
          <w:iCs/>
        </w:rPr>
      </w:pPr>
      <w:r w:rsidRPr="002A24FD">
        <w:t>Taking control and encouraging people to accomplish particular objectives at the individual, team, and corporate levels are essential leadership and management skills. People who are good at managing groups and delegating tasks, as well as solving issues and resolving disagreements, are likely to be good at teaching others. These abilities do not have to be linked to a certain job (Whittle and Eaton, 2008). To save 60 people from a devastating fire, strong leadership and effective teamwork were needed. Mr Clark and his crew needed to work together to rescue lives and extinguish the fire.</w:t>
      </w:r>
    </w:p>
    <w:p w14:paraId="28CE17AE" w14:textId="7EE40641" w:rsidR="008A56A4" w:rsidRPr="008A56A4" w:rsidRDefault="008A56A4" w:rsidP="008A56A4">
      <w:pPr>
        <w:rPr>
          <w:b/>
          <w:bCs/>
          <w:i/>
          <w:iCs/>
        </w:rPr>
      </w:pPr>
      <w:r w:rsidRPr="008A56A4">
        <w:rPr>
          <w:b/>
          <w:bCs/>
          <w:i/>
          <w:iCs/>
        </w:rPr>
        <w:t>Problem Solving</w:t>
      </w:r>
    </w:p>
    <w:p w14:paraId="056F2D61" w14:textId="63F6749B" w:rsidR="008A56A4" w:rsidRDefault="00B14D8B" w:rsidP="008A56A4">
      <w:r w:rsidRPr="00B14D8B">
        <w:t>Every company has difficulties and may need to show that it can handle problems effectively in order to be considered for a job. Solving certain issues is much simpler since they have to do with achieving goals and eliminating the obstacles that stand in the way. How to put out a fire and what tactics to use all need to be addressed and solved in the fireman scenario. As a result, the ability to solve problems is critical in this role.</w:t>
      </w:r>
    </w:p>
    <w:p w14:paraId="152C9A70" w14:textId="2A295CDB" w:rsidR="008A56A4" w:rsidRPr="008A56A4" w:rsidRDefault="008A56A4" w:rsidP="008A56A4">
      <w:pPr>
        <w:rPr>
          <w:b/>
          <w:bCs/>
          <w:i/>
          <w:iCs/>
        </w:rPr>
      </w:pPr>
      <w:r w:rsidRPr="008A56A4">
        <w:rPr>
          <w:b/>
          <w:bCs/>
          <w:i/>
          <w:iCs/>
        </w:rPr>
        <w:t>Teamwork Ability</w:t>
      </w:r>
    </w:p>
    <w:p w14:paraId="6B2D7701" w14:textId="6F8E21CF" w:rsidR="008A56A4" w:rsidRDefault="003F475B" w:rsidP="008A56A4">
      <w:r w:rsidRPr="003F475B">
        <w:t>Any company's collaborative cooperation is essential. It is in the interest of employers to see their employees working collaboratively to accomplish shared objectives. Teamwork is important because it promotes credit sharing, taking responsibility for one's own work, being open to suggestions and ideas from colleagues, and building relationships with employees throughout the company in order to prevent duplicate work, bad choices, or other issues (Van Rooyen and Snyman, 2011).</w:t>
      </w:r>
    </w:p>
    <w:p w14:paraId="4A3B43AB" w14:textId="18E2CE77" w:rsidR="008A56A4" w:rsidRPr="008A56A4" w:rsidRDefault="008A56A4" w:rsidP="008A56A4">
      <w:pPr>
        <w:rPr>
          <w:b/>
          <w:bCs/>
          <w:i/>
          <w:iCs/>
        </w:rPr>
      </w:pPr>
      <w:r w:rsidRPr="008A56A4">
        <w:rPr>
          <w:b/>
          <w:bCs/>
          <w:i/>
          <w:iCs/>
        </w:rPr>
        <w:t>Data Analysis</w:t>
      </w:r>
    </w:p>
    <w:p w14:paraId="5E9FDCF2" w14:textId="6D0FE540" w:rsidR="008A56A4" w:rsidRDefault="00F730E9" w:rsidP="008A56A4">
      <w:r w:rsidRPr="00F730E9">
        <w:lastRenderedPageBreak/>
        <w:t>Analytical skills are in high demand across a wide range of industries. The ability to analyze information efficiently will help the company in a variety of ways, from detecting patterns to analyzing consumer data. The granularity of the analysis will vary by business and position, but the ability to evaluate data, extract findings, and generate reports is a valuable transferrable talent (Tannenbaum, 2008). Data should be collected, analyzed, and then interpreted by an employee using a database.</w:t>
      </w:r>
    </w:p>
    <w:p w14:paraId="35EC2A59" w14:textId="054C3544" w:rsidR="008A56A4" w:rsidRPr="008A56A4" w:rsidRDefault="008A56A4" w:rsidP="008A56A4">
      <w:pPr>
        <w:rPr>
          <w:b/>
          <w:bCs/>
          <w:i/>
          <w:iCs/>
        </w:rPr>
      </w:pPr>
      <w:r w:rsidRPr="008A56A4">
        <w:rPr>
          <w:b/>
          <w:bCs/>
          <w:i/>
          <w:iCs/>
        </w:rPr>
        <w:t>Communication Skills</w:t>
      </w:r>
    </w:p>
    <w:p w14:paraId="005669AE" w14:textId="02297EB0" w:rsidR="008A56A4" w:rsidRDefault="00876D5D" w:rsidP="008A56A4">
      <w:r w:rsidRPr="00876D5D">
        <w:t xml:space="preserve">The capacity to communicate effectively is a critical employability skill. To communicate effectively with a client or a colleague means getting </w:t>
      </w:r>
      <w:r w:rsidR="005408CC">
        <w:t xml:space="preserve">the </w:t>
      </w:r>
      <w:r w:rsidRPr="00876D5D">
        <w:t xml:space="preserve">message across swiftly and clearly. It will be essential in the workplace to provide information to a wide range of audiences, both within and outside the business. Even though these individuals may lack previous work experience, they must be able to communicate and present knowledge in an orderly, logical manner (Stevens, 2013). Mr Clark and his employees must communicate clearly and efficiently in order to manage a big </w:t>
      </w:r>
      <w:proofErr w:type="gramStart"/>
      <w:r w:rsidRPr="00876D5D">
        <w:t>fire,</w:t>
      </w:r>
      <w:proofErr w:type="gramEnd"/>
      <w:r w:rsidRPr="00876D5D">
        <w:t xml:space="preserve"> therefore all information must be communicated with them. This capacity to transmit is crucial to the result of the case.</w:t>
      </w:r>
      <w:r w:rsidR="00D168DA">
        <w:t xml:space="preserve"> </w:t>
      </w:r>
    </w:p>
    <w:p w14:paraId="50F6E038" w14:textId="682E3C11" w:rsidR="00585918" w:rsidRPr="00B6655C" w:rsidRDefault="00B6655C" w:rsidP="008A56A4">
      <w:pPr>
        <w:rPr>
          <w:b/>
          <w:bCs/>
          <w:u w:val="single"/>
        </w:rPr>
      </w:pPr>
      <w:r w:rsidRPr="00B6655C">
        <w:rPr>
          <w:b/>
          <w:bCs/>
          <w:u w:val="single"/>
        </w:rPr>
        <w:t>Time Management</w:t>
      </w:r>
    </w:p>
    <w:p w14:paraId="72860100" w14:textId="08790461" w:rsidR="00B6655C" w:rsidRDefault="00B943AB" w:rsidP="00B6655C">
      <w:r w:rsidRPr="00B943AB">
        <w:t>Time management refers to the process of planning and allocating a certain amount of time to accomplish a particular activity or set of tasks. People may do more work in less time when they have good time management, which is particularly essential while working under pressure. Prioritization is an important part of time management, and the only way to get better at it is to gain experience and focus on the most important responsibilities instead of the less important ones.</w:t>
      </w:r>
    </w:p>
    <w:p w14:paraId="19E1593C" w14:textId="571DADEC" w:rsidR="00B6655C" w:rsidRPr="00D168DA" w:rsidRDefault="00B6655C" w:rsidP="00B6655C">
      <w:pPr>
        <w:rPr>
          <w:b/>
          <w:bCs/>
          <w:u w:val="single"/>
        </w:rPr>
      </w:pPr>
      <w:r w:rsidRPr="00D168DA">
        <w:rPr>
          <w:b/>
          <w:bCs/>
          <w:u w:val="single"/>
        </w:rPr>
        <w:t>Work Ethic</w:t>
      </w:r>
    </w:p>
    <w:p w14:paraId="50C354EE" w14:textId="029600A8" w:rsidR="00B6655C" w:rsidRDefault="00B40D2F" w:rsidP="00B6655C">
      <w:r w:rsidRPr="00B40D2F">
        <w:t>A strong work ethic is often cited as one of one's personal qualities. It is based on the idea that people should work because they want to, not because of the advantages they may get as a result of their efforts (Sozer, 2010). Being honest, taking initiative, and showing concern for one's colleagues and the work one does are all characteristics of having a strong work ethic. Other indications of a good work ethic include the acquisition of new skills, showing commitment to the business, and accepting responsibility for one's own job even when things don't go as planned.</w:t>
      </w:r>
    </w:p>
    <w:p w14:paraId="27CD743C" w14:textId="08876FD1" w:rsidR="0059680C" w:rsidRDefault="0057363A" w:rsidP="0057363A">
      <w:pPr>
        <w:pStyle w:val="Heading1"/>
      </w:pPr>
      <w:bookmarkStart w:id="4" w:name="_Toc85183189"/>
      <w:r w:rsidRPr="0057363A">
        <w:lastRenderedPageBreak/>
        <w:t>Mr Clark’s employer do</w:t>
      </w:r>
      <w:r w:rsidR="00A673D5">
        <w:t>es</w:t>
      </w:r>
      <w:r w:rsidRPr="0057363A">
        <w:t xml:space="preserve"> take community engagement</w:t>
      </w:r>
      <w:bookmarkEnd w:id="4"/>
    </w:p>
    <w:p w14:paraId="08683A3E" w14:textId="3115C875" w:rsidR="0057363A" w:rsidRDefault="00711E40" w:rsidP="00B6655C">
      <w:r w:rsidRPr="00711E40">
        <w:t>A community is only as strong as the people who contribute to it. Overall, techniques of community participation are critical for building and nurturing the consumers' abilities to make decisions. Mr Clark's business may take note of the following points to enhance community engagement, notwithstanding the fact that each community has its own views and interests and that there is no one-size-fits-all strategy.</w:t>
      </w:r>
      <w:r w:rsidR="0057363A" w:rsidRPr="0057363A">
        <w:t xml:space="preserve"> -</w:t>
      </w:r>
    </w:p>
    <w:p w14:paraId="06351AE5" w14:textId="10640EA4" w:rsidR="0057363A" w:rsidRPr="0057363A" w:rsidRDefault="0057363A" w:rsidP="00B6655C">
      <w:pPr>
        <w:rPr>
          <w:b/>
          <w:bCs/>
          <w:i/>
          <w:iCs/>
        </w:rPr>
      </w:pPr>
      <w:r w:rsidRPr="0057363A">
        <w:rPr>
          <w:b/>
          <w:bCs/>
          <w:i/>
          <w:iCs/>
        </w:rPr>
        <w:t>Give community members a place to express themselves</w:t>
      </w:r>
    </w:p>
    <w:p w14:paraId="6992727B" w14:textId="6C57A249" w:rsidR="0057363A" w:rsidRDefault="00C56E9F" w:rsidP="00B6655C">
      <w:r w:rsidRPr="00C56E9F">
        <w:t xml:space="preserve">The capacity to surprise one's own people is the most essential characteristic of every civilisation. Consider a healthy society as one in which individuals are concerned about one another rather than just about themselves. People like talking with one another about topics that are dear to their hearts, and Mr Clark's company should do all in its power to promote this practice (Sidell and Smiley, 2012). Facilitate the sharing of tales, the discussion of experiences, and the expansion of perspectives by making it simple for individuals to participate in these activities. All customers of Mr Clark's company, for example, are encouraged to offer their community members an outlet for expression via fan walls according to one adherent of Mr Clark's firm. </w:t>
      </w:r>
      <w:proofErr w:type="gramStart"/>
      <w:r w:rsidRPr="00C56E9F">
        <w:t>As a consequence</w:t>
      </w:r>
      <w:proofErr w:type="gramEnd"/>
      <w:r w:rsidRPr="00C56E9F">
        <w:t>, nearly all of the platform's material is created by members of the community, with community hosts contributing just around 2 per</w:t>
      </w:r>
      <w:r w:rsidR="005408CC">
        <w:t xml:space="preserve"> </w:t>
      </w:r>
      <w:r w:rsidRPr="00C56E9F">
        <w:t>cent of the platform's overall content.</w:t>
      </w:r>
    </w:p>
    <w:p w14:paraId="2E8F3F99" w14:textId="7FFDC91C" w:rsidR="0057363A" w:rsidRPr="0057363A" w:rsidRDefault="0057363A" w:rsidP="00B6655C">
      <w:pPr>
        <w:rPr>
          <w:b/>
          <w:bCs/>
          <w:i/>
          <w:iCs/>
        </w:rPr>
      </w:pPr>
      <w:r w:rsidRPr="0057363A">
        <w:rPr>
          <w:b/>
          <w:bCs/>
          <w:i/>
          <w:iCs/>
        </w:rPr>
        <w:t>Focus on community moderation</w:t>
      </w:r>
    </w:p>
    <w:p w14:paraId="46193354" w14:textId="78F9CDD4" w:rsidR="0057363A" w:rsidRDefault="00ED155C" w:rsidP="00B6655C">
      <w:r w:rsidRPr="00ED155C">
        <w:t>However, allowing communities to freely express themselves is essential if such groups are to continue to exist. The employer must, however, take steps to ensure that the community remains a safe place where members respect one another's points of view since this is important. To put it another way, the company must have a tight grip on the community to keep trolling, bullying, insulting, and other bad conduct at bay.</w:t>
      </w:r>
    </w:p>
    <w:p w14:paraId="6B4B7105" w14:textId="45EB055E" w:rsidR="0057363A" w:rsidRPr="0057363A" w:rsidRDefault="00A673D5" w:rsidP="00B6655C">
      <w:pPr>
        <w:rPr>
          <w:b/>
          <w:bCs/>
          <w:i/>
          <w:iCs/>
        </w:rPr>
      </w:pPr>
      <w:r>
        <w:rPr>
          <w:b/>
          <w:bCs/>
          <w:i/>
          <w:iCs/>
        </w:rPr>
        <w:t>The s</w:t>
      </w:r>
      <w:r w:rsidR="0057363A" w:rsidRPr="0057363A">
        <w:rPr>
          <w:b/>
          <w:bCs/>
          <w:i/>
          <w:iCs/>
        </w:rPr>
        <w:t>egment user base for epic community development</w:t>
      </w:r>
    </w:p>
    <w:p w14:paraId="3F5E4E2E" w14:textId="225A37A0" w:rsidR="000B3766" w:rsidRDefault="00ED155C">
      <w:r w:rsidRPr="00ED155C">
        <w:t xml:space="preserve">When it comes to community participation techniques, there is no one-size-fits-all solution, and the user population is likely to be very diverse. This is very useful for things like reward systems and establishing more exclusivity within the community by identifying the most active followers and rewarding their dedication by giving them </w:t>
      </w:r>
      <w:r w:rsidRPr="00ED155C">
        <w:lastRenderedPageBreak/>
        <w:t>exclusive access to the community's resources (Heslop, 2011). In the same way, finding the least involved followers and demonstrating to them the access that the most engaged subscribers have gotten may encourage them to become more active.</w:t>
      </w:r>
      <w:r w:rsidR="000B3766">
        <w:br w:type="page"/>
      </w:r>
    </w:p>
    <w:p w14:paraId="71A4BC95" w14:textId="383BC648" w:rsidR="000B3766" w:rsidRDefault="000B3766" w:rsidP="000B3766">
      <w:pPr>
        <w:pStyle w:val="Heading1"/>
      </w:pPr>
      <w:bookmarkStart w:id="5" w:name="_Toc85183190"/>
      <w:r>
        <w:lastRenderedPageBreak/>
        <w:t>Conclusion</w:t>
      </w:r>
      <w:bookmarkEnd w:id="5"/>
    </w:p>
    <w:p w14:paraId="68327752" w14:textId="7A14C778" w:rsidR="000B3766" w:rsidRDefault="00851C50" w:rsidP="00B6655C">
      <w:r w:rsidRPr="00851C50">
        <w:t>A variety of activities are involved in community involvement, including interacting with members of the public and organizations in the local area. Each of the activities will have its own set of advantages and disadvantages to consider. Furthermore, inadequate community involvement may be worse than no participation in policy-making at all, according to some experts (Deosaran, 2013). Policy practitioners must carefully consider the risks and rewards, as well as their own abilities and competenc</w:t>
      </w:r>
      <w:r w:rsidR="005408CC">
        <w:t>i</w:t>
      </w:r>
      <w:r w:rsidRPr="00851C50">
        <w:t>es, as well as the time and strategy. Public involvement, debate, and discussion, as well as online engagement and participatory decision making, are examples of specific methods. It is not only excellent policy practice, but it is also essential to the manner in which the government develops its connection with the people when it makes a deliberate choice to interact with communities to create policies and address issues.</w:t>
      </w:r>
    </w:p>
    <w:p w14:paraId="5A389DC4" w14:textId="49095513" w:rsidR="00133D12" w:rsidRDefault="00133D12">
      <w:r>
        <w:br w:type="page"/>
      </w:r>
    </w:p>
    <w:p w14:paraId="4D11F3D1" w14:textId="5376BF11" w:rsidR="005408CC" w:rsidRDefault="00133D12" w:rsidP="005408CC">
      <w:pPr>
        <w:pStyle w:val="Heading1"/>
      </w:pPr>
      <w:bookmarkStart w:id="6" w:name="_Toc85183191"/>
      <w:r>
        <w:lastRenderedPageBreak/>
        <w:t>References</w:t>
      </w:r>
      <w:bookmarkEnd w:id="6"/>
    </w:p>
    <w:p w14:paraId="44C3777C" w14:textId="77777777" w:rsidR="005408CC" w:rsidRPr="00EF7807" w:rsidRDefault="005408CC" w:rsidP="005408CC">
      <w:pPr>
        <w:pStyle w:val="NormalWeb"/>
        <w:spacing w:before="0" w:beforeAutospacing="0" w:after="180" w:afterAutospacing="0" w:line="360" w:lineRule="auto"/>
        <w:jc w:val="both"/>
        <w:rPr>
          <w:color w:val="000000"/>
        </w:rPr>
      </w:pPr>
      <w:r w:rsidRPr="00EF7807">
        <w:rPr>
          <w:color w:val="000000"/>
        </w:rPr>
        <w:t>Deosaran, R., 2013. Community policing in the Caribbean. </w:t>
      </w:r>
      <w:r w:rsidRPr="00EF7807">
        <w:rPr>
          <w:i/>
          <w:iCs/>
          <w:color w:val="000000"/>
        </w:rPr>
        <w:t>Policing: An International Journal of Police Strategies &amp; Management</w:t>
      </w:r>
      <w:r w:rsidRPr="00EF7807">
        <w:rPr>
          <w:color w:val="000000"/>
        </w:rPr>
        <w:t>, 25(1), pp.125-146.</w:t>
      </w:r>
    </w:p>
    <w:p w14:paraId="19CBB2BB" w14:textId="77777777" w:rsidR="005408CC" w:rsidRPr="00EF7807" w:rsidRDefault="005408CC" w:rsidP="005408CC">
      <w:pPr>
        <w:pStyle w:val="NormalWeb"/>
        <w:spacing w:before="0" w:beforeAutospacing="0" w:after="180" w:afterAutospacing="0" w:line="360" w:lineRule="auto"/>
        <w:jc w:val="both"/>
        <w:rPr>
          <w:color w:val="000000"/>
        </w:rPr>
      </w:pPr>
      <w:r w:rsidRPr="00EF7807">
        <w:rPr>
          <w:color w:val="000000"/>
        </w:rPr>
        <w:t>Heslop, R., 2011. Community engagement and learning as ‘becoming’: findings from a study of British police recruit training. </w:t>
      </w:r>
      <w:r w:rsidRPr="00EF7807">
        <w:rPr>
          <w:i/>
          <w:iCs/>
          <w:color w:val="000000"/>
        </w:rPr>
        <w:t>Policing and Society</w:t>
      </w:r>
      <w:r w:rsidRPr="00EF7807">
        <w:rPr>
          <w:color w:val="000000"/>
        </w:rPr>
        <w:t>, 21(3), pp.327-342.</w:t>
      </w:r>
    </w:p>
    <w:p w14:paraId="36946BE1" w14:textId="77777777" w:rsidR="005408CC" w:rsidRPr="00EF7807" w:rsidRDefault="005408CC" w:rsidP="005408CC">
      <w:pPr>
        <w:pStyle w:val="NormalWeb"/>
        <w:spacing w:before="0" w:beforeAutospacing="0" w:after="180" w:afterAutospacing="0" w:line="360" w:lineRule="auto"/>
        <w:jc w:val="both"/>
        <w:rPr>
          <w:color w:val="000000"/>
        </w:rPr>
      </w:pPr>
      <w:r w:rsidRPr="00EF7807">
        <w:rPr>
          <w:color w:val="000000"/>
        </w:rPr>
        <w:t>Sidell, N. and Smiley, D., 2012. </w:t>
      </w:r>
      <w:r w:rsidRPr="00EF7807">
        <w:rPr>
          <w:i/>
          <w:iCs/>
          <w:color w:val="000000"/>
        </w:rPr>
        <w:t>Social work communication skills</w:t>
      </w:r>
      <w:r w:rsidRPr="00EF7807">
        <w:rPr>
          <w:color w:val="000000"/>
        </w:rPr>
        <w:t>. Boston, Mass.: Allyn and Bacon.</w:t>
      </w:r>
    </w:p>
    <w:p w14:paraId="76FB5633" w14:textId="77777777" w:rsidR="005408CC" w:rsidRPr="00EF7807" w:rsidRDefault="005408CC" w:rsidP="005408CC">
      <w:pPr>
        <w:pStyle w:val="NormalWeb"/>
        <w:spacing w:before="0" w:beforeAutospacing="0" w:after="180" w:afterAutospacing="0" w:line="360" w:lineRule="auto"/>
        <w:jc w:val="both"/>
        <w:rPr>
          <w:color w:val="000000"/>
        </w:rPr>
      </w:pPr>
      <w:r w:rsidRPr="00EF7807">
        <w:rPr>
          <w:color w:val="000000"/>
        </w:rPr>
        <w:t>Sozer, M., 2010. </w:t>
      </w:r>
      <w:r w:rsidRPr="00EF7807">
        <w:rPr>
          <w:i/>
          <w:iCs/>
          <w:color w:val="000000"/>
        </w:rPr>
        <w:t>Crime and Community Policing</w:t>
      </w:r>
      <w:r w:rsidRPr="00EF7807">
        <w:rPr>
          <w:color w:val="000000"/>
        </w:rPr>
        <w:t>. El Paso: LFB Scholarly Pub. LLC.</w:t>
      </w:r>
    </w:p>
    <w:p w14:paraId="2326DCF6" w14:textId="77777777" w:rsidR="005408CC" w:rsidRPr="00EF7807" w:rsidRDefault="005408CC" w:rsidP="005408CC">
      <w:pPr>
        <w:pStyle w:val="NormalWeb"/>
        <w:spacing w:before="0" w:beforeAutospacing="0" w:after="180" w:afterAutospacing="0" w:line="360" w:lineRule="auto"/>
        <w:jc w:val="both"/>
        <w:rPr>
          <w:color w:val="000000"/>
        </w:rPr>
      </w:pPr>
      <w:r w:rsidRPr="00EF7807">
        <w:rPr>
          <w:color w:val="000000"/>
        </w:rPr>
        <w:t>Stevens, D., 2013. </w:t>
      </w:r>
      <w:r w:rsidRPr="00EF7807">
        <w:rPr>
          <w:i/>
          <w:iCs/>
          <w:color w:val="000000"/>
        </w:rPr>
        <w:t>Policing and community partnerships</w:t>
      </w:r>
      <w:r w:rsidRPr="00EF7807">
        <w:rPr>
          <w:color w:val="000000"/>
        </w:rPr>
        <w:t>. Upper Saddle River, NJ: Prentice Hall.</w:t>
      </w:r>
    </w:p>
    <w:p w14:paraId="24F79BB7" w14:textId="77777777" w:rsidR="005408CC" w:rsidRPr="00EF7807" w:rsidRDefault="005408CC" w:rsidP="005408CC">
      <w:pPr>
        <w:pStyle w:val="NormalWeb"/>
        <w:spacing w:before="0" w:beforeAutospacing="0" w:after="180" w:afterAutospacing="0" w:line="360" w:lineRule="auto"/>
        <w:jc w:val="both"/>
        <w:rPr>
          <w:color w:val="000000"/>
        </w:rPr>
      </w:pPr>
      <w:r w:rsidRPr="00EF7807">
        <w:rPr>
          <w:color w:val="000000"/>
        </w:rPr>
        <w:t>Tannenbaum, S., 2008. </w:t>
      </w:r>
      <w:r w:rsidRPr="00EF7807">
        <w:rPr>
          <w:i/>
          <w:iCs/>
          <w:color w:val="000000"/>
        </w:rPr>
        <w:t>Research, advocacy, and political engagement</w:t>
      </w:r>
      <w:r w:rsidRPr="00EF7807">
        <w:rPr>
          <w:color w:val="000000"/>
        </w:rPr>
        <w:t>. Sterling, Va.: Stylus Pub.</w:t>
      </w:r>
    </w:p>
    <w:p w14:paraId="4A1D86DC" w14:textId="77777777" w:rsidR="005408CC" w:rsidRPr="00EF7807" w:rsidRDefault="005408CC" w:rsidP="005408CC">
      <w:pPr>
        <w:pStyle w:val="NormalWeb"/>
        <w:spacing w:before="0" w:beforeAutospacing="0" w:after="180" w:afterAutospacing="0" w:line="360" w:lineRule="auto"/>
        <w:jc w:val="both"/>
        <w:rPr>
          <w:color w:val="000000"/>
        </w:rPr>
      </w:pPr>
      <w:r w:rsidRPr="00EF7807">
        <w:rPr>
          <w:color w:val="000000"/>
        </w:rPr>
        <w:t>Van Rooyen, H. and Snyman, D., 2011. </w:t>
      </w:r>
      <w:r w:rsidRPr="00EF7807">
        <w:rPr>
          <w:i/>
          <w:iCs/>
          <w:color w:val="000000"/>
        </w:rPr>
        <w:t>Community policing</w:t>
      </w:r>
      <w:r w:rsidRPr="00EF7807">
        <w:rPr>
          <w:color w:val="000000"/>
        </w:rPr>
        <w:t>. [Silverton]: [Promedia Publishers and Printers].</w:t>
      </w:r>
    </w:p>
    <w:p w14:paraId="69CB756B" w14:textId="77777777" w:rsidR="005408CC" w:rsidRPr="00EF7807" w:rsidRDefault="005408CC" w:rsidP="005408CC">
      <w:pPr>
        <w:pStyle w:val="NormalWeb"/>
        <w:spacing w:before="0" w:beforeAutospacing="0" w:after="180" w:afterAutospacing="0" w:line="360" w:lineRule="auto"/>
        <w:jc w:val="both"/>
        <w:rPr>
          <w:color w:val="000000"/>
        </w:rPr>
      </w:pPr>
      <w:r w:rsidRPr="00EF7807">
        <w:rPr>
          <w:color w:val="000000"/>
        </w:rPr>
        <w:t>Whittle, S. and Eaton, D., 2008. Attitudes towards transferable skills in medical undergraduates. </w:t>
      </w:r>
      <w:r w:rsidRPr="00EF7807">
        <w:rPr>
          <w:i/>
          <w:iCs/>
          <w:color w:val="000000"/>
        </w:rPr>
        <w:t>Medical Education</w:t>
      </w:r>
      <w:r w:rsidRPr="00EF7807">
        <w:rPr>
          <w:color w:val="000000"/>
        </w:rPr>
        <w:t>, 35(2), pp.148-153.</w:t>
      </w:r>
    </w:p>
    <w:p w14:paraId="3D647F5C" w14:textId="77777777" w:rsidR="005408CC" w:rsidRPr="00EF7807" w:rsidRDefault="005408CC" w:rsidP="005408CC">
      <w:pPr>
        <w:pStyle w:val="NormalWeb"/>
        <w:spacing w:before="0" w:beforeAutospacing="0" w:after="180" w:afterAutospacing="0" w:line="360" w:lineRule="auto"/>
        <w:jc w:val="both"/>
        <w:rPr>
          <w:color w:val="000000"/>
        </w:rPr>
      </w:pPr>
      <w:r w:rsidRPr="00EF7807">
        <w:rPr>
          <w:color w:val="000000"/>
        </w:rPr>
        <w:t>Wilkinson, A. and Johnstone, S., 2017. </w:t>
      </w:r>
      <w:r w:rsidRPr="00EF7807">
        <w:rPr>
          <w:i/>
          <w:iCs/>
          <w:color w:val="000000"/>
        </w:rPr>
        <w:t>Encyclopedia of human resource management</w:t>
      </w:r>
      <w:r w:rsidRPr="00EF7807">
        <w:rPr>
          <w:color w:val="000000"/>
        </w:rPr>
        <w:t>. Cheltenham: Edward Elgar Publishing.</w:t>
      </w:r>
    </w:p>
    <w:sectPr w:rsidR="005408CC" w:rsidRPr="00EF7807" w:rsidSect="005408CC">
      <w:footerReference w:type="default" r:id="rId9"/>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189CF2" w14:textId="77777777" w:rsidR="001A1089" w:rsidRDefault="001A1089" w:rsidP="00A673D5">
      <w:pPr>
        <w:spacing w:before="0" w:after="0" w:line="240" w:lineRule="auto"/>
      </w:pPr>
      <w:r>
        <w:separator/>
      </w:r>
    </w:p>
  </w:endnote>
  <w:endnote w:type="continuationSeparator" w:id="0">
    <w:p w14:paraId="3D159F8D" w14:textId="77777777" w:rsidR="001A1089" w:rsidRDefault="001A1089" w:rsidP="00A673D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6803328"/>
      <w:docPartObj>
        <w:docPartGallery w:val="Page Numbers (Bottom of Page)"/>
        <w:docPartUnique/>
      </w:docPartObj>
    </w:sdtPr>
    <w:sdtEndPr>
      <w:rPr>
        <w:noProof/>
      </w:rPr>
    </w:sdtEndPr>
    <w:sdtContent>
      <w:p w14:paraId="07F79B87" w14:textId="0B713DF1" w:rsidR="00A673D5" w:rsidRDefault="00A673D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22CBA0" w14:textId="77777777" w:rsidR="00A673D5" w:rsidRDefault="00A673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7C455D" w14:textId="77777777" w:rsidR="001A1089" w:rsidRDefault="001A1089" w:rsidP="00A673D5">
      <w:pPr>
        <w:spacing w:before="0" w:after="0" w:line="240" w:lineRule="auto"/>
      </w:pPr>
      <w:r>
        <w:separator/>
      </w:r>
    </w:p>
  </w:footnote>
  <w:footnote w:type="continuationSeparator" w:id="0">
    <w:p w14:paraId="12CFA7A5" w14:textId="77777777" w:rsidR="001A1089" w:rsidRDefault="001A1089" w:rsidP="00A673D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E35C0"/>
    <w:multiLevelType w:val="hybridMultilevel"/>
    <w:tmpl w:val="9C90B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3536BE"/>
    <w:multiLevelType w:val="hybridMultilevel"/>
    <w:tmpl w:val="B420E5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A3ARJGlmaWlsamJko6SsGpxcWZ+XkgBca1APBk5XIsAAAA"/>
  </w:docVars>
  <w:rsids>
    <w:rsidRoot w:val="00585BAB"/>
    <w:rsid w:val="00082E17"/>
    <w:rsid w:val="000B3766"/>
    <w:rsid w:val="000C4BD0"/>
    <w:rsid w:val="000D7ED9"/>
    <w:rsid w:val="000F27F7"/>
    <w:rsid w:val="00117921"/>
    <w:rsid w:val="00133D12"/>
    <w:rsid w:val="001A1089"/>
    <w:rsid w:val="001B7C7A"/>
    <w:rsid w:val="00203BE2"/>
    <w:rsid w:val="00287D4C"/>
    <w:rsid w:val="002A24FD"/>
    <w:rsid w:val="003C5098"/>
    <w:rsid w:val="003F43D4"/>
    <w:rsid w:val="003F475B"/>
    <w:rsid w:val="004510AB"/>
    <w:rsid w:val="005408CC"/>
    <w:rsid w:val="0055615D"/>
    <w:rsid w:val="0057363A"/>
    <w:rsid w:val="005737BE"/>
    <w:rsid w:val="00585918"/>
    <w:rsid w:val="00585BAB"/>
    <w:rsid w:val="0059680C"/>
    <w:rsid w:val="00596AE5"/>
    <w:rsid w:val="0065556F"/>
    <w:rsid w:val="00657AC4"/>
    <w:rsid w:val="006F0A2D"/>
    <w:rsid w:val="00711E40"/>
    <w:rsid w:val="00732970"/>
    <w:rsid w:val="00756AE4"/>
    <w:rsid w:val="007861D3"/>
    <w:rsid w:val="007A192B"/>
    <w:rsid w:val="007F2CF2"/>
    <w:rsid w:val="008178C7"/>
    <w:rsid w:val="00836E28"/>
    <w:rsid w:val="00851C50"/>
    <w:rsid w:val="00851D18"/>
    <w:rsid w:val="008636FD"/>
    <w:rsid w:val="00872246"/>
    <w:rsid w:val="00876D5D"/>
    <w:rsid w:val="008A56A4"/>
    <w:rsid w:val="008B3B83"/>
    <w:rsid w:val="009A13F2"/>
    <w:rsid w:val="009C1B90"/>
    <w:rsid w:val="009C3A6C"/>
    <w:rsid w:val="00A0334C"/>
    <w:rsid w:val="00A04C54"/>
    <w:rsid w:val="00A139C1"/>
    <w:rsid w:val="00A24873"/>
    <w:rsid w:val="00A3022A"/>
    <w:rsid w:val="00A673D5"/>
    <w:rsid w:val="00AA5827"/>
    <w:rsid w:val="00AD20D4"/>
    <w:rsid w:val="00B0496D"/>
    <w:rsid w:val="00B14D8B"/>
    <w:rsid w:val="00B40D2F"/>
    <w:rsid w:val="00B6655C"/>
    <w:rsid w:val="00B943AB"/>
    <w:rsid w:val="00BA4556"/>
    <w:rsid w:val="00BE0DB7"/>
    <w:rsid w:val="00C56E9F"/>
    <w:rsid w:val="00C7511A"/>
    <w:rsid w:val="00CB0BDC"/>
    <w:rsid w:val="00D168DA"/>
    <w:rsid w:val="00D75F33"/>
    <w:rsid w:val="00D7711A"/>
    <w:rsid w:val="00D83A2E"/>
    <w:rsid w:val="00DB6CA9"/>
    <w:rsid w:val="00DE2635"/>
    <w:rsid w:val="00E120D2"/>
    <w:rsid w:val="00E46327"/>
    <w:rsid w:val="00E6687C"/>
    <w:rsid w:val="00EC3A33"/>
    <w:rsid w:val="00ED155C"/>
    <w:rsid w:val="00EF2106"/>
    <w:rsid w:val="00EF7807"/>
    <w:rsid w:val="00F65418"/>
    <w:rsid w:val="00F730E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457E4"/>
  <w15:chartTrackingRefBased/>
  <w15:docId w15:val="{904C9894-6F38-4C24-9FD4-07A5F32A0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GB" w:eastAsia="en-US"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87D4C"/>
    <w:pPr>
      <w:keepNext/>
      <w:keepLines/>
      <w:outlineLvl w:val="0"/>
    </w:pPr>
    <w:rPr>
      <w:rFonts w:eastAsiaTheme="majorEastAsia"/>
      <w:b/>
      <w:color w:val="0099CC"/>
      <w:sz w:val="28"/>
      <w:szCs w:val="32"/>
    </w:rPr>
  </w:style>
  <w:style w:type="paragraph" w:styleId="Heading2">
    <w:name w:val="heading 2"/>
    <w:basedOn w:val="Normal"/>
    <w:next w:val="Normal"/>
    <w:link w:val="Heading2Char"/>
    <w:autoRedefine/>
    <w:uiPriority w:val="9"/>
    <w:semiHidden/>
    <w:unhideWhenUsed/>
    <w:qFormat/>
    <w:rsid w:val="00287D4C"/>
    <w:pPr>
      <w:keepNext/>
      <w:keepLines/>
      <w:outlineLvl w:val="1"/>
    </w:pPr>
    <w:rPr>
      <w:rFonts w:eastAsiaTheme="majorEastAsia"/>
      <w:color w:val="99CC00"/>
      <w:szCs w:val="26"/>
    </w:rPr>
  </w:style>
  <w:style w:type="paragraph" w:styleId="Heading3">
    <w:name w:val="heading 3"/>
    <w:basedOn w:val="Normal"/>
    <w:next w:val="Normal"/>
    <w:link w:val="Heading3Char"/>
    <w:autoRedefine/>
    <w:uiPriority w:val="9"/>
    <w:semiHidden/>
    <w:unhideWhenUsed/>
    <w:qFormat/>
    <w:rsid w:val="00E46327"/>
    <w:pPr>
      <w:keepNext/>
      <w:keepLines/>
      <w:outlineLvl w:val="2"/>
    </w:pPr>
    <w:rPr>
      <w:rFonts w:eastAsiaTheme="majorEastAsia" w:cstheme="majorBidi"/>
      <w:color w:val="00B05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7D4C"/>
    <w:rPr>
      <w:rFonts w:eastAsiaTheme="majorEastAsia"/>
      <w:b/>
      <w:color w:val="0099CC"/>
      <w:sz w:val="28"/>
      <w:szCs w:val="32"/>
    </w:rPr>
  </w:style>
  <w:style w:type="character" w:customStyle="1" w:styleId="Heading2Char">
    <w:name w:val="Heading 2 Char"/>
    <w:basedOn w:val="DefaultParagraphFont"/>
    <w:link w:val="Heading2"/>
    <w:uiPriority w:val="9"/>
    <w:semiHidden/>
    <w:rsid w:val="00287D4C"/>
    <w:rPr>
      <w:rFonts w:eastAsiaTheme="majorEastAsia"/>
      <w:color w:val="99CC00"/>
      <w:szCs w:val="26"/>
    </w:rPr>
  </w:style>
  <w:style w:type="character" w:customStyle="1" w:styleId="Heading3Char">
    <w:name w:val="Heading 3 Char"/>
    <w:basedOn w:val="DefaultParagraphFont"/>
    <w:link w:val="Heading3"/>
    <w:uiPriority w:val="9"/>
    <w:semiHidden/>
    <w:rsid w:val="00E46327"/>
    <w:rPr>
      <w:rFonts w:eastAsiaTheme="majorEastAsia" w:cstheme="majorBidi"/>
      <w:color w:val="00B050"/>
      <w:szCs w:val="24"/>
    </w:rPr>
  </w:style>
  <w:style w:type="paragraph" w:styleId="TOCHeading">
    <w:name w:val="TOC Heading"/>
    <w:basedOn w:val="Heading1"/>
    <w:next w:val="Normal"/>
    <w:uiPriority w:val="39"/>
    <w:unhideWhenUsed/>
    <w:qFormat/>
    <w:rsid w:val="004510AB"/>
    <w:pPr>
      <w:spacing w:before="240" w:after="0" w:line="259" w:lineRule="auto"/>
      <w:jc w:val="left"/>
      <w:outlineLvl w:val="9"/>
    </w:pPr>
    <w:rPr>
      <w:rFonts w:asciiTheme="majorHAnsi" w:hAnsiTheme="majorHAnsi" w:cstheme="majorBidi"/>
      <w:b w:val="0"/>
      <w:color w:val="2F5496" w:themeColor="accent1" w:themeShade="BF"/>
      <w:sz w:val="32"/>
      <w:lang w:val="en-US"/>
    </w:rPr>
  </w:style>
  <w:style w:type="paragraph" w:styleId="ListParagraph">
    <w:name w:val="List Paragraph"/>
    <w:basedOn w:val="Normal"/>
    <w:uiPriority w:val="34"/>
    <w:qFormat/>
    <w:rsid w:val="00596AE5"/>
    <w:pPr>
      <w:ind w:left="720"/>
      <w:contextualSpacing/>
    </w:pPr>
  </w:style>
  <w:style w:type="paragraph" w:styleId="NormalWeb">
    <w:name w:val="Normal (Web)"/>
    <w:basedOn w:val="Normal"/>
    <w:uiPriority w:val="99"/>
    <w:semiHidden/>
    <w:unhideWhenUsed/>
    <w:rsid w:val="00EF7807"/>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TOC1">
    <w:name w:val="toc 1"/>
    <w:basedOn w:val="Normal"/>
    <w:next w:val="Normal"/>
    <w:autoRedefine/>
    <w:uiPriority w:val="39"/>
    <w:unhideWhenUsed/>
    <w:rsid w:val="00EF7807"/>
    <w:pPr>
      <w:spacing w:after="100"/>
    </w:pPr>
  </w:style>
  <w:style w:type="character" w:styleId="Hyperlink">
    <w:name w:val="Hyperlink"/>
    <w:basedOn w:val="DefaultParagraphFont"/>
    <w:uiPriority w:val="99"/>
    <w:unhideWhenUsed/>
    <w:rsid w:val="00EF7807"/>
    <w:rPr>
      <w:color w:val="0563C1" w:themeColor="hyperlink"/>
      <w:u w:val="single"/>
    </w:rPr>
  </w:style>
  <w:style w:type="paragraph" w:styleId="Header">
    <w:name w:val="header"/>
    <w:basedOn w:val="Normal"/>
    <w:link w:val="HeaderChar"/>
    <w:uiPriority w:val="99"/>
    <w:unhideWhenUsed/>
    <w:rsid w:val="00A673D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673D5"/>
  </w:style>
  <w:style w:type="paragraph" w:styleId="Footer">
    <w:name w:val="footer"/>
    <w:basedOn w:val="Normal"/>
    <w:link w:val="FooterChar"/>
    <w:uiPriority w:val="99"/>
    <w:unhideWhenUsed/>
    <w:rsid w:val="00A673D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673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6390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36AE6F-B569-4342-AD7B-FF290CB190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11</Pages>
  <Words>2306</Words>
  <Characters>13145</Characters>
  <Application>Microsoft Office Word</Application>
  <DocSecurity>0</DocSecurity>
  <Lines>109</Lines>
  <Paragraphs>30</Paragraphs>
  <ScaleCrop>false</ScaleCrop>
  <Company/>
  <LinksUpToDate>false</LinksUpToDate>
  <CharactersWithSpaces>15421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Kareem</dc:creator>
  <cp:keywords/>
  <dc:description/>
  <cp:lastModifiedBy>ANA BURDUJA</cp:lastModifiedBy>
  <cp:revision>82</cp:revision>
  <dcterms:created xsi:type="dcterms:W3CDTF">2021-10-15T02:31:00Z</dcterms:created>
  <dcterms:modified xsi:type="dcterms:W3CDTF">2021-10-16T14:05:00Z</dcterms:modified>
</cp:coreProperties>
</file>