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2F2C56" w14:textId="64252C8D" w:rsidR="003A2F52" w:rsidRDefault="009742E4" w:rsidP="00504487">
      <w:pPr>
        <w:spacing w:after="0"/>
        <w:jc w:val="center"/>
      </w:pPr>
      <w:r>
        <w:rPr>
          <w:sz w:val="24"/>
        </w:rPr>
        <w:t>Identify the Best Items to Offer the Trader, Explaining Your Choices in the Context of the Athenian and Babylonian Economy</w:t>
      </w:r>
    </w:p>
    <w:p w14:paraId="09EC751D" w14:textId="77777777" w:rsidR="00504487" w:rsidRDefault="00504487" w:rsidP="00504487">
      <w:pPr>
        <w:spacing w:after="0"/>
        <w:jc w:val="both"/>
      </w:pPr>
    </w:p>
    <w:p w14:paraId="012B09F3" w14:textId="16B1A8B1" w:rsidR="009742E4" w:rsidRDefault="009742E4" w:rsidP="00504487">
      <w:pPr>
        <w:spacing w:after="0"/>
        <w:jc w:val="both"/>
      </w:pPr>
      <w:r>
        <w:t xml:space="preserve">This essay is based on the hypothetical scenario in which a Freedman in Athens has the opportunity to </w:t>
      </w:r>
      <w:r w:rsidR="00504487">
        <w:t xml:space="preserve">trade with Babylonian trader. It will cover the possibility of selling silverware, weapons and shields, or wine and olive oil, focusing on </w:t>
      </w:r>
      <w:r w:rsidR="00AD7208">
        <w:t>why they would be a good choice.</w:t>
      </w:r>
    </w:p>
    <w:p w14:paraId="38A1502A" w14:textId="1F8D2823" w:rsidR="00AD7208" w:rsidRDefault="00AD7208" w:rsidP="00504487">
      <w:pPr>
        <w:spacing w:after="0"/>
        <w:jc w:val="both"/>
      </w:pPr>
    </w:p>
    <w:p w14:paraId="05498822" w14:textId="7919C308" w:rsidR="00AD7208" w:rsidRDefault="00AD7208" w:rsidP="00504487">
      <w:pPr>
        <w:spacing w:after="0"/>
        <w:jc w:val="both"/>
      </w:pPr>
      <w:r>
        <w:t xml:space="preserve">A major source for this essay is Herodotus. </w:t>
      </w:r>
      <w:r w:rsidR="000A2706">
        <w:t xml:space="preserve">However, due to the age of the texts, </w:t>
      </w:r>
      <w:r w:rsidR="00B84C5A">
        <w:t xml:space="preserve">and previous translations, the original meaning and context of some aspects of the text may have been lost. In addition, we have no way of verifying whether or not everything that he writes was true. </w:t>
      </w:r>
    </w:p>
    <w:p w14:paraId="6C5BF247" w14:textId="1E6A8F0C" w:rsidR="00B84C5A" w:rsidRDefault="00B84C5A" w:rsidP="00504487">
      <w:pPr>
        <w:spacing w:after="0"/>
        <w:jc w:val="both"/>
      </w:pPr>
    </w:p>
    <w:p w14:paraId="30C50F1C" w14:textId="76197E40" w:rsidR="003D1146" w:rsidRDefault="00B84C5A" w:rsidP="00504487">
      <w:pPr>
        <w:spacing w:after="0"/>
        <w:jc w:val="both"/>
      </w:pPr>
      <w:r>
        <w:t>The Babylonian economy was based on agriculture and trade with neighbours</w:t>
      </w:r>
      <w:r w:rsidR="00F94CB6">
        <w:rPr>
          <w:rStyle w:val="FootnoteReference"/>
        </w:rPr>
        <w:footnoteReference w:id="1"/>
      </w:r>
      <w:r>
        <w:t xml:space="preserve">. Since </w:t>
      </w:r>
      <w:r w:rsidR="00ED666E">
        <w:t>it was built on an alluvial plain, grain was abundant, and there were plenty of sheep, who’s wool was used for weaving</w:t>
      </w:r>
      <w:r w:rsidR="00F94CB6">
        <w:rPr>
          <w:rStyle w:val="FootnoteReference"/>
        </w:rPr>
        <w:footnoteReference w:id="2"/>
      </w:r>
      <w:r w:rsidR="00ED666E">
        <w:t xml:space="preserve">. </w:t>
      </w:r>
      <w:r w:rsidR="00A05CCA">
        <w:t>In comparison, the Athenian economy was based on silver, but, like Babylon, trade was an essential aspect of its economy</w:t>
      </w:r>
      <w:r w:rsidR="000B7E75">
        <w:rPr>
          <w:rStyle w:val="FootnoteReference"/>
        </w:rPr>
        <w:footnoteReference w:id="3"/>
      </w:r>
      <w:r w:rsidR="000B7E75">
        <w:t>.</w:t>
      </w:r>
      <w:r w:rsidR="00A05CCA">
        <w:t xml:space="preserve"> While the basis of their respective economies </w:t>
      </w:r>
      <w:proofErr w:type="gramStart"/>
      <w:r w:rsidR="00A05CCA">
        <w:t>were</w:t>
      </w:r>
      <w:proofErr w:type="gramEnd"/>
      <w:r w:rsidR="00A05CCA">
        <w:t xml:space="preserve"> different, </w:t>
      </w:r>
      <w:r w:rsidR="00DC0DED">
        <w:t xml:space="preserve">trade was what allowed both cities to rise to power. The first potential trade items </w:t>
      </w:r>
      <w:proofErr w:type="gramStart"/>
      <w:r w:rsidR="00136C50">
        <w:t>are</w:t>
      </w:r>
      <w:proofErr w:type="gramEnd"/>
      <w:r w:rsidR="00DC0DED">
        <w:t xml:space="preserve"> silverware. Athens’ </w:t>
      </w:r>
      <w:r w:rsidR="00136C50">
        <w:t>power was as a result of their abundance of silver</w:t>
      </w:r>
      <w:r w:rsidR="000B7E75">
        <w:rPr>
          <w:rStyle w:val="FootnoteReference"/>
        </w:rPr>
        <w:footnoteReference w:id="4"/>
      </w:r>
      <w:r w:rsidR="00136C50">
        <w:t xml:space="preserve">, and therefore it would be relatively cheap to send large amounts of fine silverwork to Babylon. </w:t>
      </w:r>
      <w:r w:rsidR="0021181D">
        <w:t xml:space="preserve">However, it would have to be </w:t>
      </w:r>
      <w:r w:rsidR="00C93569">
        <w:t xml:space="preserve">of a high quality, and should also be in the Greek or Athenian style, so as to be considered appropriately ‘exotic’ to Babylonian buyers. </w:t>
      </w:r>
      <w:r w:rsidR="008F0D0A">
        <w:t xml:space="preserve">Silverware would be a good choice because </w:t>
      </w:r>
      <w:r w:rsidR="00DB5CFA">
        <w:t>Babylon naturally had no metals, and therefore all metals arrived through trade</w:t>
      </w:r>
      <w:r w:rsidR="000B7E75">
        <w:rPr>
          <w:rStyle w:val="FootnoteReference"/>
        </w:rPr>
        <w:footnoteReference w:id="5"/>
      </w:r>
      <w:r w:rsidR="00DB5CFA">
        <w:t xml:space="preserve">. The second potential </w:t>
      </w:r>
      <w:r w:rsidR="00033C87">
        <w:t xml:space="preserve">shipment could be of weapons and shields. The family of Athenodoros own a shield workshop, so it could be a cheap option. Due to the difference between Greek and Babylonian styles, </w:t>
      </w:r>
      <w:r w:rsidR="00E56AE6">
        <w:t>Athenian weapons could be considered ‘exotic’ enough to sell well.</w:t>
      </w:r>
      <w:r w:rsidR="003776D5">
        <w:t xml:space="preserve"> The final option </w:t>
      </w:r>
      <w:r w:rsidR="00C105F0">
        <w:t>is to trade wine and olive oil. The land surrounding Babylon was not suitable for growing olives or grapes, and consequently these items were imported</w:t>
      </w:r>
      <w:r w:rsidR="000B7E75">
        <w:rPr>
          <w:rStyle w:val="FootnoteReference"/>
        </w:rPr>
        <w:footnoteReference w:id="6"/>
      </w:r>
      <w:r w:rsidR="00C105F0">
        <w:t xml:space="preserve">. </w:t>
      </w:r>
      <w:r w:rsidR="00EE2E2B">
        <w:t>Since it is known that Babylon imported wine from Armenia</w:t>
      </w:r>
      <w:r w:rsidR="000B7E75">
        <w:rPr>
          <w:rStyle w:val="FootnoteReference"/>
        </w:rPr>
        <w:footnoteReference w:id="7"/>
      </w:r>
      <w:r w:rsidR="00EE2E2B">
        <w:t xml:space="preserve">, we can assume that Greek wine would also sell well. </w:t>
      </w:r>
      <w:r w:rsidR="00545046">
        <w:t>Since the family of Athenodor</w:t>
      </w:r>
      <w:r w:rsidR="003D1146">
        <w:t>o</w:t>
      </w:r>
      <w:r w:rsidR="00545046">
        <w:t xml:space="preserve">s </w:t>
      </w:r>
      <w:r w:rsidR="003D1146">
        <w:t xml:space="preserve">also has connections to a pottery workshop, it would not be difficult to supply amphoras in which this could be stored. Overall, this gives three viable options to offer the Babylonian trader. </w:t>
      </w:r>
    </w:p>
    <w:p w14:paraId="6F230FA6" w14:textId="77777777" w:rsidR="003D1146" w:rsidRDefault="003D1146" w:rsidP="00504487">
      <w:pPr>
        <w:spacing w:after="0"/>
        <w:jc w:val="both"/>
      </w:pPr>
    </w:p>
    <w:p w14:paraId="78FE7F92" w14:textId="0591FFB6" w:rsidR="00B84C5A" w:rsidRDefault="00134810" w:rsidP="00504487">
      <w:pPr>
        <w:spacing w:after="0"/>
        <w:jc w:val="both"/>
      </w:pPr>
      <w:r>
        <w:t xml:space="preserve">Overall, these three options are viable for different reasons. Silverware had a high value, and would not be as readily available in Babylon, </w:t>
      </w:r>
      <w:r w:rsidR="002B23B2">
        <w:t xml:space="preserve">and </w:t>
      </w:r>
      <w:r>
        <w:t>weapons and shield would stylistically look very different</w:t>
      </w:r>
      <w:r w:rsidR="002B23B2">
        <w:t xml:space="preserve">, which would help them to sell. Wine and </w:t>
      </w:r>
      <w:r w:rsidR="00663086">
        <w:t xml:space="preserve">olive oil, like silver, were </w:t>
      </w:r>
      <w:r w:rsidR="00CB6735">
        <w:t>not easily available to those living in ancient Babylon, and would need to be supplied to foreign traders. Therefore, all three of these option</w:t>
      </w:r>
      <w:r w:rsidR="00F73C0A">
        <w:t>s</w:t>
      </w:r>
      <w:r w:rsidR="00CB6735">
        <w:t xml:space="preserve"> could potentially sell well in a Babylonian market. </w:t>
      </w:r>
    </w:p>
    <w:p w14:paraId="4D0B8D02" w14:textId="4F2D5FCA" w:rsidR="00200C03" w:rsidRDefault="00200C03" w:rsidP="00504487">
      <w:pPr>
        <w:spacing w:after="0"/>
        <w:jc w:val="both"/>
      </w:pPr>
    </w:p>
    <w:p w14:paraId="1AC0AEF6" w14:textId="6D04E064" w:rsidR="00200C03" w:rsidRDefault="00200C03" w:rsidP="00504487">
      <w:pPr>
        <w:spacing w:after="0"/>
        <w:jc w:val="both"/>
      </w:pPr>
    </w:p>
    <w:p w14:paraId="6F21520A" w14:textId="6C553142" w:rsidR="00200C03" w:rsidRDefault="00200C03" w:rsidP="00504487">
      <w:pPr>
        <w:spacing w:after="0"/>
        <w:jc w:val="both"/>
      </w:pPr>
    </w:p>
    <w:p w14:paraId="1B4F92E9" w14:textId="56C3B7B4" w:rsidR="00200C03" w:rsidRDefault="00200C03" w:rsidP="00504487">
      <w:pPr>
        <w:spacing w:after="0"/>
        <w:jc w:val="both"/>
      </w:pPr>
    </w:p>
    <w:p w14:paraId="2D6B6409" w14:textId="0BE9797A" w:rsidR="00200C03" w:rsidRDefault="00200C03" w:rsidP="00504487">
      <w:pPr>
        <w:spacing w:after="0"/>
        <w:jc w:val="both"/>
      </w:pPr>
    </w:p>
    <w:p w14:paraId="093F4244" w14:textId="5ADDD4E3" w:rsidR="00200C03" w:rsidRDefault="00200C03" w:rsidP="00504487">
      <w:pPr>
        <w:spacing w:after="0"/>
        <w:jc w:val="both"/>
      </w:pPr>
      <w:bookmarkStart w:id="2" w:name="_GoBack"/>
      <w:bookmarkEnd w:id="2"/>
    </w:p>
    <w:p w14:paraId="2109A95C" w14:textId="14FEFE83" w:rsidR="00200C03" w:rsidRDefault="00200C03" w:rsidP="00504487">
      <w:pPr>
        <w:spacing w:after="0"/>
        <w:jc w:val="both"/>
      </w:pPr>
      <w:r>
        <w:rPr>
          <w:sz w:val="24"/>
        </w:rPr>
        <w:lastRenderedPageBreak/>
        <w:t>Bibliography</w:t>
      </w:r>
    </w:p>
    <w:p w14:paraId="157697FF" w14:textId="6076B379" w:rsidR="00200C03" w:rsidRDefault="00934F21" w:rsidP="007721B9">
      <w:pPr>
        <w:pStyle w:val="ListParagraph"/>
        <w:numPr>
          <w:ilvl w:val="0"/>
          <w:numId w:val="1"/>
        </w:numPr>
        <w:spacing w:after="0"/>
      </w:pPr>
      <w:r>
        <w:t xml:space="preserve">Herodotus, </w:t>
      </w:r>
      <w:r>
        <w:rPr>
          <w:i/>
        </w:rPr>
        <w:t>The Histories</w:t>
      </w:r>
      <w:r>
        <w:t>. A.D. Godley,</w:t>
      </w:r>
      <w:r w:rsidR="00812F21">
        <w:t xml:space="preserve"> [trans], 1920, Cambridge: Harvard University Press, Available at:</w:t>
      </w:r>
      <w:r w:rsidR="00812F21" w:rsidRPr="00812F21">
        <w:t xml:space="preserve"> </w:t>
      </w:r>
      <w:hyperlink r:id="rId8" w:history="1">
        <w:r w:rsidR="00812F21" w:rsidRPr="00CA1150">
          <w:rPr>
            <w:rStyle w:val="Hyperlink"/>
          </w:rPr>
          <w:t>http://www.perseus.tufts.edu/hopper/text?doc=Perseus%3Atext%3A1999.01.0126%3Abook%3D1&amp;force=y</w:t>
        </w:r>
      </w:hyperlink>
      <w:r w:rsidR="00812F21">
        <w:t xml:space="preserve"> Accessed on 7</w:t>
      </w:r>
      <w:r w:rsidR="00812F21" w:rsidRPr="00812F21">
        <w:rPr>
          <w:vertAlign w:val="superscript"/>
        </w:rPr>
        <w:t>th</w:t>
      </w:r>
      <w:r w:rsidR="00812F21">
        <w:t xml:space="preserve"> October 2018</w:t>
      </w:r>
    </w:p>
    <w:p w14:paraId="44D00425" w14:textId="4E440275" w:rsidR="00812F21" w:rsidRDefault="00180C1B" w:rsidP="007721B9">
      <w:pPr>
        <w:pStyle w:val="ListParagraph"/>
        <w:numPr>
          <w:ilvl w:val="0"/>
          <w:numId w:val="1"/>
        </w:numPr>
        <w:spacing w:after="0"/>
      </w:pPr>
      <w:proofErr w:type="spellStart"/>
      <w:r>
        <w:t>Diodorus</w:t>
      </w:r>
      <w:proofErr w:type="spellEnd"/>
      <w:r>
        <w:t xml:space="preserve"> </w:t>
      </w:r>
      <w:r w:rsidR="007721B9">
        <w:t xml:space="preserve">Siculus, </w:t>
      </w:r>
      <w:r w:rsidR="007721B9">
        <w:rPr>
          <w:i/>
        </w:rPr>
        <w:t>The Library of History</w:t>
      </w:r>
      <w:r w:rsidR="007721B9">
        <w:t xml:space="preserve">, Available at: </w:t>
      </w:r>
      <w:hyperlink r:id="rId9" w:history="1">
        <w:r w:rsidR="007721B9" w:rsidRPr="00CA1150">
          <w:rPr>
            <w:rStyle w:val="Hyperlink"/>
          </w:rPr>
          <w:t>http://penelope.uchicago.edu/Thayer/e/roman/texts/diodorus_siculus/2a*.html</w:t>
        </w:r>
      </w:hyperlink>
      <w:r w:rsidR="007721B9">
        <w:t xml:space="preserve">  Accessed on </w:t>
      </w:r>
      <w:r w:rsidR="00D22C26">
        <w:t>5</w:t>
      </w:r>
      <w:r w:rsidR="00D22C26" w:rsidRPr="00D22C26">
        <w:rPr>
          <w:vertAlign w:val="superscript"/>
        </w:rPr>
        <w:t>th</w:t>
      </w:r>
      <w:r w:rsidR="00D22C26">
        <w:t xml:space="preserve"> October 2018</w:t>
      </w:r>
    </w:p>
    <w:p w14:paraId="221F1407" w14:textId="6395802A" w:rsidR="00D22C26" w:rsidRDefault="005E1764" w:rsidP="007721B9">
      <w:pPr>
        <w:pStyle w:val="ListParagraph"/>
        <w:numPr>
          <w:ilvl w:val="0"/>
          <w:numId w:val="1"/>
        </w:numPr>
        <w:spacing w:after="0"/>
      </w:pPr>
      <w:r>
        <w:t xml:space="preserve">Hornblower, </w:t>
      </w:r>
      <w:proofErr w:type="spellStart"/>
      <w:r>
        <w:t>Spawforth</w:t>
      </w:r>
      <w:proofErr w:type="spellEnd"/>
      <w:r>
        <w:t xml:space="preserve"> and </w:t>
      </w:r>
      <w:proofErr w:type="spellStart"/>
      <w:r>
        <w:t>Eidinow</w:t>
      </w:r>
      <w:proofErr w:type="spellEnd"/>
      <w:r>
        <w:t xml:space="preserve">, </w:t>
      </w:r>
      <w:r>
        <w:rPr>
          <w:i/>
        </w:rPr>
        <w:t>The Oxford Companion to Classical Civili</w:t>
      </w:r>
      <w:r w:rsidR="008F4EB5">
        <w:rPr>
          <w:i/>
        </w:rPr>
        <w:t>zation,</w:t>
      </w:r>
      <w:r w:rsidR="008F4EB5">
        <w:t xml:space="preserve"> (2014) 2</w:t>
      </w:r>
      <w:r w:rsidR="008F4EB5" w:rsidRPr="008F4EB5">
        <w:rPr>
          <w:vertAlign w:val="superscript"/>
        </w:rPr>
        <w:t>nd</w:t>
      </w:r>
      <w:r w:rsidR="008F4EB5">
        <w:t xml:space="preserve"> Ed. Oxford: Oxford University Press</w:t>
      </w:r>
    </w:p>
    <w:p w14:paraId="7962BBDF" w14:textId="32F706BA" w:rsidR="008F4EB5" w:rsidRDefault="00552D76" w:rsidP="007721B9">
      <w:pPr>
        <w:pStyle w:val="ListParagraph"/>
        <w:numPr>
          <w:ilvl w:val="0"/>
          <w:numId w:val="1"/>
        </w:numPr>
        <w:spacing w:after="0"/>
      </w:pPr>
      <w:r>
        <w:t xml:space="preserve">Gagarin, M. </w:t>
      </w:r>
      <w:r>
        <w:rPr>
          <w:i/>
        </w:rPr>
        <w:t xml:space="preserve">The Oxford </w:t>
      </w:r>
      <w:proofErr w:type="spellStart"/>
      <w:r w:rsidR="00086512">
        <w:rPr>
          <w:i/>
        </w:rPr>
        <w:t>Encyclopedia</w:t>
      </w:r>
      <w:proofErr w:type="spellEnd"/>
      <w:r>
        <w:rPr>
          <w:i/>
        </w:rPr>
        <w:t xml:space="preserve"> of Ancient Greece and Rome</w:t>
      </w:r>
      <w:r w:rsidR="00086512">
        <w:rPr>
          <w:i/>
        </w:rPr>
        <w:t>,</w:t>
      </w:r>
      <w:r w:rsidR="00086512">
        <w:t xml:space="preserve"> (2010), Oxford: Oxford University Press</w:t>
      </w:r>
    </w:p>
    <w:p w14:paraId="7F7A7516" w14:textId="77777777" w:rsidR="003717FC" w:rsidRDefault="0009699E" w:rsidP="007721B9">
      <w:pPr>
        <w:pStyle w:val="ListParagraph"/>
        <w:numPr>
          <w:ilvl w:val="0"/>
          <w:numId w:val="1"/>
        </w:numPr>
        <w:spacing w:after="0"/>
      </w:pPr>
      <w:proofErr w:type="spellStart"/>
      <w:r>
        <w:t>Sayce</w:t>
      </w:r>
      <w:proofErr w:type="spellEnd"/>
      <w:r>
        <w:t xml:space="preserve">, </w:t>
      </w:r>
      <w:proofErr w:type="spellStart"/>
      <w:r>
        <w:t>Rev.A.H</w:t>
      </w:r>
      <w:proofErr w:type="spellEnd"/>
      <w:r>
        <w:t xml:space="preserve">, </w:t>
      </w:r>
      <w:r>
        <w:rPr>
          <w:i/>
        </w:rPr>
        <w:t>Babylonians and Assyrians</w:t>
      </w:r>
      <w:r w:rsidR="00E43C54">
        <w:t xml:space="preserve">, (?), </w:t>
      </w:r>
      <w:r w:rsidR="003717FC">
        <w:t>London: Ballantyne, Hanson &amp; Co</w:t>
      </w:r>
    </w:p>
    <w:p w14:paraId="49C9E40A" w14:textId="28D865F4" w:rsidR="006062DB" w:rsidRDefault="00794720" w:rsidP="007721B9">
      <w:pPr>
        <w:pStyle w:val="ListParagraph"/>
        <w:numPr>
          <w:ilvl w:val="0"/>
          <w:numId w:val="1"/>
        </w:numPr>
        <w:spacing w:after="0"/>
      </w:pPr>
      <w:r>
        <w:t xml:space="preserve">Oates, J. </w:t>
      </w:r>
      <w:r>
        <w:rPr>
          <w:i/>
        </w:rPr>
        <w:t>Babylon,</w:t>
      </w:r>
      <w:r>
        <w:t xml:space="preserve"> </w:t>
      </w:r>
      <w:r w:rsidR="00607D87">
        <w:t>(1979)</w:t>
      </w:r>
      <w:r w:rsidR="00607D87">
        <w:rPr>
          <w:i/>
        </w:rPr>
        <w:t>,</w:t>
      </w:r>
      <w:r w:rsidR="00607D87">
        <w:t xml:space="preserve"> London: Thames and Hudson</w:t>
      </w:r>
    </w:p>
    <w:p w14:paraId="10CC1231" w14:textId="0CF5C734" w:rsidR="00607D87" w:rsidRDefault="000B74FE" w:rsidP="007721B9">
      <w:pPr>
        <w:pStyle w:val="ListParagraph"/>
        <w:numPr>
          <w:ilvl w:val="0"/>
          <w:numId w:val="1"/>
        </w:numPr>
        <w:spacing w:after="0"/>
      </w:pPr>
      <w:proofErr w:type="spellStart"/>
      <w:r>
        <w:t>Kriwaczek</w:t>
      </w:r>
      <w:proofErr w:type="spellEnd"/>
      <w:r>
        <w:t xml:space="preserve">, P, </w:t>
      </w:r>
      <w:r>
        <w:rPr>
          <w:i/>
        </w:rPr>
        <w:t>Babylon,</w:t>
      </w:r>
      <w:r>
        <w:t xml:space="preserve"> (2010), Great Britain: Atlantic Books</w:t>
      </w:r>
    </w:p>
    <w:p w14:paraId="4BE7E072" w14:textId="77777777" w:rsidR="000B74FE" w:rsidRPr="00200C03" w:rsidRDefault="000B74FE" w:rsidP="004F7ED6">
      <w:pPr>
        <w:pStyle w:val="ListParagraph"/>
        <w:spacing w:after="0"/>
      </w:pPr>
    </w:p>
    <w:sectPr w:rsidR="000B74FE" w:rsidRPr="00200C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F9BB24" w14:textId="77777777" w:rsidR="007E68B2" w:rsidRDefault="007E68B2" w:rsidP="00F94CB6">
      <w:pPr>
        <w:spacing w:after="0" w:line="240" w:lineRule="auto"/>
      </w:pPr>
      <w:r>
        <w:separator/>
      </w:r>
    </w:p>
  </w:endnote>
  <w:endnote w:type="continuationSeparator" w:id="0">
    <w:p w14:paraId="56A6335F" w14:textId="77777777" w:rsidR="007E68B2" w:rsidRDefault="007E68B2" w:rsidP="00F94C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E65737" w14:textId="77777777" w:rsidR="007E68B2" w:rsidRDefault="007E68B2" w:rsidP="00F94CB6">
      <w:pPr>
        <w:spacing w:after="0" w:line="240" w:lineRule="auto"/>
      </w:pPr>
      <w:r>
        <w:separator/>
      </w:r>
    </w:p>
  </w:footnote>
  <w:footnote w:type="continuationSeparator" w:id="0">
    <w:p w14:paraId="244C28D7" w14:textId="77777777" w:rsidR="007E68B2" w:rsidRDefault="007E68B2" w:rsidP="00F94CB6">
      <w:pPr>
        <w:spacing w:after="0" w:line="240" w:lineRule="auto"/>
      </w:pPr>
      <w:r>
        <w:continuationSeparator/>
      </w:r>
    </w:p>
  </w:footnote>
  <w:footnote w:id="1">
    <w:p w14:paraId="219433E9" w14:textId="438169AC" w:rsidR="00F94CB6" w:rsidRDefault="00F94CB6">
      <w:pPr>
        <w:pStyle w:val="FootnoteText"/>
      </w:pPr>
      <w:r>
        <w:rPr>
          <w:rStyle w:val="FootnoteReference"/>
        </w:rPr>
        <w:footnoteRef/>
      </w:r>
      <w:r>
        <w:t xml:space="preserve"> </w:t>
      </w:r>
      <w:bookmarkStart w:id="0" w:name="_Hlk526711324"/>
      <w:proofErr w:type="spellStart"/>
      <w:r w:rsidR="008D7B56">
        <w:t>Sayce</w:t>
      </w:r>
      <w:proofErr w:type="spellEnd"/>
      <w:r w:rsidR="00832F1F">
        <w:t xml:space="preserve"> (?), p.107</w:t>
      </w:r>
      <w:bookmarkEnd w:id="0"/>
    </w:p>
  </w:footnote>
  <w:footnote w:id="2">
    <w:p w14:paraId="5D1F0597" w14:textId="62CA0253" w:rsidR="00F94CB6" w:rsidRDefault="00F94CB6">
      <w:pPr>
        <w:pStyle w:val="FootnoteText"/>
      </w:pPr>
      <w:r>
        <w:rPr>
          <w:rStyle w:val="FootnoteReference"/>
        </w:rPr>
        <w:footnoteRef/>
      </w:r>
      <w:r>
        <w:t xml:space="preserve"> </w:t>
      </w:r>
      <w:proofErr w:type="spellStart"/>
      <w:r w:rsidR="00832F1F">
        <w:t>Sayce</w:t>
      </w:r>
      <w:proofErr w:type="spellEnd"/>
      <w:r w:rsidR="00832F1F">
        <w:t xml:space="preserve"> (?), p.107</w:t>
      </w:r>
    </w:p>
  </w:footnote>
  <w:footnote w:id="3">
    <w:p w14:paraId="1355CB26" w14:textId="18E7FF2D" w:rsidR="000B7E75" w:rsidRDefault="000B7E75">
      <w:pPr>
        <w:pStyle w:val="FootnoteText"/>
      </w:pPr>
      <w:r>
        <w:rPr>
          <w:rStyle w:val="FootnoteReference"/>
        </w:rPr>
        <w:footnoteRef/>
      </w:r>
      <w:r>
        <w:t xml:space="preserve"> </w:t>
      </w:r>
      <w:bookmarkStart w:id="1" w:name="_Hlk526711439"/>
      <w:r w:rsidR="00832F1F">
        <w:t xml:space="preserve">Hornblower, </w:t>
      </w:r>
      <w:proofErr w:type="spellStart"/>
      <w:r w:rsidR="00832F1F">
        <w:t>Spawforth</w:t>
      </w:r>
      <w:proofErr w:type="spellEnd"/>
      <w:r w:rsidR="00832F1F">
        <w:t xml:space="preserve"> and </w:t>
      </w:r>
      <w:proofErr w:type="spellStart"/>
      <w:r w:rsidR="00832F1F">
        <w:t>Eidenow</w:t>
      </w:r>
      <w:proofErr w:type="spellEnd"/>
      <w:r w:rsidR="00832F1F">
        <w:t xml:space="preserve"> (2014), Economy, Greek</w:t>
      </w:r>
      <w:bookmarkEnd w:id="1"/>
    </w:p>
  </w:footnote>
  <w:footnote w:id="4">
    <w:p w14:paraId="10692D03" w14:textId="138AB60D" w:rsidR="000B7E75" w:rsidRDefault="000B7E75">
      <w:pPr>
        <w:pStyle w:val="FootnoteText"/>
      </w:pPr>
      <w:r>
        <w:rPr>
          <w:rStyle w:val="FootnoteReference"/>
        </w:rPr>
        <w:footnoteRef/>
      </w:r>
      <w:r>
        <w:t xml:space="preserve"> </w:t>
      </w:r>
      <w:r w:rsidR="00B87DE2">
        <w:t xml:space="preserve">Hornblower, </w:t>
      </w:r>
      <w:proofErr w:type="spellStart"/>
      <w:r w:rsidR="00B87DE2">
        <w:t>Spawforth</w:t>
      </w:r>
      <w:proofErr w:type="spellEnd"/>
      <w:r w:rsidR="00B87DE2">
        <w:t xml:space="preserve"> and </w:t>
      </w:r>
      <w:proofErr w:type="spellStart"/>
      <w:r w:rsidR="00B87DE2">
        <w:t>Eidenow</w:t>
      </w:r>
      <w:proofErr w:type="spellEnd"/>
      <w:r w:rsidR="00B87DE2">
        <w:t xml:space="preserve"> (2014), Economy, Greek</w:t>
      </w:r>
    </w:p>
  </w:footnote>
  <w:footnote w:id="5">
    <w:p w14:paraId="2B39F3C7" w14:textId="1A494147" w:rsidR="000B7E75" w:rsidRDefault="000B7E75">
      <w:pPr>
        <w:pStyle w:val="FootnoteText"/>
      </w:pPr>
      <w:r>
        <w:rPr>
          <w:rStyle w:val="FootnoteReference"/>
        </w:rPr>
        <w:footnoteRef/>
      </w:r>
      <w:r>
        <w:t xml:space="preserve"> </w:t>
      </w:r>
      <w:r w:rsidR="004F3158">
        <w:t>Oates, (1979), p.</w:t>
      </w:r>
      <w:r w:rsidR="00535219">
        <w:t>11</w:t>
      </w:r>
    </w:p>
  </w:footnote>
  <w:footnote w:id="6">
    <w:p w14:paraId="4AC9C658" w14:textId="26FE1061" w:rsidR="000B7E75" w:rsidRDefault="000B7E75">
      <w:pPr>
        <w:pStyle w:val="FootnoteText"/>
      </w:pPr>
      <w:r>
        <w:rPr>
          <w:rStyle w:val="FootnoteReference"/>
        </w:rPr>
        <w:footnoteRef/>
      </w:r>
      <w:r>
        <w:t xml:space="preserve"> </w:t>
      </w:r>
      <w:r w:rsidR="00535219">
        <w:t>Herodotus, (193.3)</w:t>
      </w:r>
    </w:p>
  </w:footnote>
  <w:footnote w:id="7">
    <w:p w14:paraId="4B0D5044" w14:textId="1A88B5F3" w:rsidR="000B7E75" w:rsidRDefault="000B7E75">
      <w:pPr>
        <w:pStyle w:val="FootnoteText"/>
      </w:pPr>
      <w:r>
        <w:rPr>
          <w:rStyle w:val="FootnoteReference"/>
        </w:rPr>
        <w:footnoteRef/>
      </w:r>
      <w:r>
        <w:t xml:space="preserve"> </w:t>
      </w:r>
      <w:r w:rsidR="003A52A4">
        <w:t>Herodotus, (194.2)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6C5169"/>
    <w:multiLevelType w:val="hybridMultilevel"/>
    <w:tmpl w:val="EF508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2E4"/>
    <w:rsid w:val="00033C87"/>
    <w:rsid w:val="00086512"/>
    <w:rsid w:val="0009699E"/>
    <w:rsid w:val="000A2706"/>
    <w:rsid w:val="000B74FE"/>
    <w:rsid w:val="000B7E75"/>
    <w:rsid w:val="00134810"/>
    <w:rsid w:val="00136C50"/>
    <w:rsid w:val="00180C1B"/>
    <w:rsid w:val="00200C03"/>
    <w:rsid w:val="0021181D"/>
    <w:rsid w:val="002B23B2"/>
    <w:rsid w:val="003717FC"/>
    <w:rsid w:val="003776D5"/>
    <w:rsid w:val="003A2F52"/>
    <w:rsid w:val="003A52A4"/>
    <w:rsid w:val="003D1146"/>
    <w:rsid w:val="004F3158"/>
    <w:rsid w:val="004F7ED6"/>
    <w:rsid w:val="00504487"/>
    <w:rsid w:val="00535219"/>
    <w:rsid w:val="00545046"/>
    <w:rsid w:val="00552D76"/>
    <w:rsid w:val="00585DE7"/>
    <w:rsid w:val="005E1764"/>
    <w:rsid w:val="006062DB"/>
    <w:rsid w:val="00607D87"/>
    <w:rsid w:val="00663086"/>
    <w:rsid w:val="007721B9"/>
    <w:rsid w:val="00794720"/>
    <w:rsid w:val="007E68B2"/>
    <w:rsid w:val="00812F21"/>
    <w:rsid w:val="00832F1F"/>
    <w:rsid w:val="008D7B56"/>
    <w:rsid w:val="008F0D0A"/>
    <w:rsid w:val="008F4EB5"/>
    <w:rsid w:val="00934F21"/>
    <w:rsid w:val="009742E4"/>
    <w:rsid w:val="00A05CCA"/>
    <w:rsid w:val="00AD7208"/>
    <w:rsid w:val="00B84C5A"/>
    <w:rsid w:val="00B87DE2"/>
    <w:rsid w:val="00C105F0"/>
    <w:rsid w:val="00C93569"/>
    <w:rsid w:val="00CB6735"/>
    <w:rsid w:val="00D22C26"/>
    <w:rsid w:val="00DB5CFA"/>
    <w:rsid w:val="00DC0DED"/>
    <w:rsid w:val="00E43C54"/>
    <w:rsid w:val="00E56AE6"/>
    <w:rsid w:val="00ED666E"/>
    <w:rsid w:val="00EE2E2B"/>
    <w:rsid w:val="00F73C0A"/>
    <w:rsid w:val="00F94C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957EC"/>
  <w15:chartTrackingRefBased/>
  <w15:docId w15:val="{75850A91-214E-4D2D-A3B4-5E4268692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0C03"/>
    <w:pPr>
      <w:ind w:left="720"/>
      <w:contextualSpacing/>
    </w:pPr>
  </w:style>
  <w:style w:type="character" w:styleId="Hyperlink">
    <w:name w:val="Hyperlink"/>
    <w:basedOn w:val="DefaultParagraphFont"/>
    <w:uiPriority w:val="99"/>
    <w:unhideWhenUsed/>
    <w:rsid w:val="00812F21"/>
    <w:rPr>
      <w:color w:val="0563C1" w:themeColor="hyperlink"/>
      <w:u w:val="single"/>
    </w:rPr>
  </w:style>
  <w:style w:type="character" w:styleId="UnresolvedMention">
    <w:name w:val="Unresolved Mention"/>
    <w:basedOn w:val="DefaultParagraphFont"/>
    <w:uiPriority w:val="99"/>
    <w:semiHidden/>
    <w:unhideWhenUsed/>
    <w:rsid w:val="00812F21"/>
    <w:rPr>
      <w:color w:val="605E5C"/>
      <w:shd w:val="clear" w:color="auto" w:fill="E1DFDD"/>
    </w:rPr>
  </w:style>
  <w:style w:type="paragraph" w:styleId="FootnoteText">
    <w:name w:val="footnote text"/>
    <w:basedOn w:val="Normal"/>
    <w:link w:val="FootnoteTextChar"/>
    <w:uiPriority w:val="99"/>
    <w:semiHidden/>
    <w:unhideWhenUsed/>
    <w:rsid w:val="00F94CB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94CB6"/>
    <w:rPr>
      <w:sz w:val="20"/>
      <w:szCs w:val="20"/>
    </w:rPr>
  </w:style>
  <w:style w:type="character" w:styleId="FootnoteReference">
    <w:name w:val="footnote reference"/>
    <w:basedOn w:val="DefaultParagraphFont"/>
    <w:uiPriority w:val="99"/>
    <w:semiHidden/>
    <w:unhideWhenUsed/>
    <w:rsid w:val="00F94CB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rseus.tufts.edu/hopper/text?doc=Perseus%3Atext%3A1999.01.0126%3Abook%3D1&amp;force=y"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penelope.uchicago.edu/Thayer/e/roman/texts/diodorus_siculus/2a*.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8FA178B-FBD8-46B8-B3B2-75E6640B47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583</Words>
  <Characters>3328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Earp</dc:creator>
  <cp:keywords/>
  <dc:description/>
  <cp:lastModifiedBy>Lily Earp</cp:lastModifiedBy>
  <cp:revision>2</cp:revision>
  <dcterms:created xsi:type="dcterms:W3CDTF">2018-10-07T20:39:00Z</dcterms:created>
  <dcterms:modified xsi:type="dcterms:W3CDTF">2018-10-07T20:39:00Z</dcterms:modified>
</cp:coreProperties>
</file>