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04775" w14:textId="77777777" w:rsidR="00B8340D" w:rsidRPr="00E22557" w:rsidRDefault="00B8340D" w:rsidP="00B8340D">
      <w:pPr>
        <w:spacing w:line="360" w:lineRule="auto"/>
        <w:rPr>
          <w:rFonts w:ascii="Arial" w:hAnsi="Arial" w:cs="Arial"/>
          <w:sz w:val="24"/>
          <w:szCs w:val="24"/>
        </w:rPr>
      </w:pPr>
      <w:r w:rsidRPr="00E22557">
        <w:rPr>
          <w:rFonts w:ascii="Arial" w:hAnsi="Arial" w:cs="Arial"/>
          <w:noProof/>
          <w:sz w:val="24"/>
          <w:szCs w:val="24"/>
          <w:lang w:eastAsia="en-GB"/>
        </w:rPr>
        <w:drawing>
          <wp:anchor distT="0" distB="0" distL="114300" distR="114300" simplePos="0" relativeHeight="251659264" behindDoc="0" locked="0" layoutInCell="1" allowOverlap="1" wp14:anchorId="66D42238" wp14:editId="73319F13">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1221F8F" w14:textId="77777777" w:rsidR="00B8340D" w:rsidRPr="00895432" w:rsidRDefault="00B8340D" w:rsidP="00B8340D">
      <w:pPr>
        <w:spacing w:line="360" w:lineRule="auto"/>
        <w:jc w:val="center"/>
        <w:rPr>
          <w:rFonts w:ascii="Arial" w:hAnsi="Arial" w:cs="Arial"/>
          <w:b/>
          <w:bCs/>
          <w:sz w:val="36"/>
          <w:szCs w:val="32"/>
        </w:rPr>
      </w:pPr>
      <w:r w:rsidRPr="00895432">
        <w:rPr>
          <w:rFonts w:ascii="Arial" w:hAnsi="Arial" w:cs="Arial"/>
          <w:b/>
          <w:bCs/>
          <w:sz w:val="36"/>
          <w:szCs w:val="32"/>
        </w:rPr>
        <w:t>MSc Public Health and Social Care in Practice</w:t>
      </w:r>
    </w:p>
    <w:p w14:paraId="6521726F" w14:textId="77777777" w:rsidR="00B8340D" w:rsidRPr="00E22557"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 xml:space="preserve">Module: </w:t>
      </w:r>
      <w:r w:rsidRPr="00390A00">
        <w:rPr>
          <w:rFonts w:ascii="Arial" w:hAnsi="Arial" w:cs="Arial"/>
          <w:b/>
          <w:bCs/>
          <w:sz w:val="28"/>
          <w:szCs w:val="24"/>
        </w:rPr>
        <w:t>Health Care System, Organisation and Leadership</w:t>
      </w:r>
    </w:p>
    <w:p w14:paraId="4F300316" w14:textId="77777777" w:rsidR="00B8340D" w:rsidRPr="00E22557"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 xml:space="preserve">Module code: </w:t>
      </w:r>
      <w:r w:rsidRPr="00390A00">
        <w:rPr>
          <w:rFonts w:ascii="Arial" w:hAnsi="Arial" w:cs="Arial"/>
          <w:b/>
          <w:bCs/>
          <w:sz w:val="28"/>
          <w:szCs w:val="24"/>
        </w:rPr>
        <w:t>LCHS7002</w:t>
      </w:r>
    </w:p>
    <w:p w14:paraId="7FF33902" w14:textId="77777777" w:rsidR="00B8340D" w:rsidRPr="00E22557"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 xml:space="preserve">Assessment Title: </w:t>
      </w:r>
      <w:r w:rsidRPr="0008199B">
        <w:rPr>
          <w:rFonts w:ascii="Arial" w:hAnsi="Arial" w:cs="Arial"/>
          <w:b/>
          <w:bCs/>
          <w:sz w:val="28"/>
          <w:szCs w:val="24"/>
        </w:rPr>
        <w:t>Comparative report on</w:t>
      </w:r>
      <w:r>
        <w:rPr>
          <w:rFonts w:ascii="Arial" w:hAnsi="Arial" w:cs="Arial"/>
          <w:b/>
          <w:bCs/>
          <w:sz w:val="28"/>
          <w:szCs w:val="24"/>
        </w:rPr>
        <w:t xml:space="preserve"> </w:t>
      </w:r>
      <w:r w:rsidRPr="0008199B">
        <w:rPr>
          <w:rFonts w:ascii="Arial" w:hAnsi="Arial" w:cs="Arial"/>
          <w:b/>
          <w:bCs/>
          <w:sz w:val="28"/>
          <w:szCs w:val="24"/>
        </w:rPr>
        <w:t>COVID19 leadership</w:t>
      </w:r>
      <w:r>
        <w:rPr>
          <w:rFonts w:ascii="Arial" w:hAnsi="Arial" w:cs="Arial"/>
          <w:b/>
          <w:bCs/>
          <w:sz w:val="28"/>
          <w:szCs w:val="24"/>
        </w:rPr>
        <w:t xml:space="preserve"> </w:t>
      </w:r>
      <w:r w:rsidRPr="0008199B">
        <w:rPr>
          <w:rFonts w:ascii="Arial" w:hAnsi="Arial" w:cs="Arial"/>
          <w:b/>
          <w:bCs/>
          <w:sz w:val="28"/>
          <w:szCs w:val="24"/>
        </w:rPr>
        <w:t>responses</w:t>
      </w:r>
    </w:p>
    <w:p w14:paraId="30DEEFA6" w14:textId="774F48E4" w:rsidR="00B8340D" w:rsidRPr="00E22557"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Student Name:</w:t>
      </w:r>
      <w:r w:rsidRPr="00E22557">
        <w:rPr>
          <w:rFonts w:ascii="Arial" w:hAnsi="Arial" w:cs="Arial"/>
          <w:sz w:val="28"/>
          <w:szCs w:val="24"/>
        </w:rPr>
        <w:t xml:space="preserve"> </w:t>
      </w:r>
      <w:r w:rsidR="00FE2721" w:rsidRPr="00FE2721">
        <w:rPr>
          <w:rFonts w:ascii="Arial" w:hAnsi="Arial" w:cs="Arial"/>
          <w:b/>
          <w:bCs/>
          <w:sz w:val="28"/>
          <w:szCs w:val="24"/>
        </w:rPr>
        <w:t>Tarikul Islam</w:t>
      </w:r>
    </w:p>
    <w:p w14:paraId="739C78C3" w14:textId="4EBD3786" w:rsidR="00B8340D" w:rsidRPr="00E22557"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Student Number:</w:t>
      </w:r>
      <w:r w:rsidRPr="00E22557">
        <w:rPr>
          <w:rFonts w:ascii="Arial" w:hAnsi="Arial" w:cs="Arial"/>
          <w:sz w:val="28"/>
          <w:szCs w:val="24"/>
        </w:rPr>
        <w:t xml:space="preserve"> </w:t>
      </w:r>
      <w:r w:rsidR="00FE2721" w:rsidRPr="00FE2721">
        <w:rPr>
          <w:rFonts w:ascii="Arial" w:hAnsi="Arial" w:cs="Arial"/>
          <w:b/>
          <w:bCs/>
          <w:sz w:val="28"/>
          <w:szCs w:val="24"/>
        </w:rPr>
        <w:t>2422390</w:t>
      </w:r>
    </w:p>
    <w:p w14:paraId="54D1B94A" w14:textId="7361C374" w:rsidR="00B8340D" w:rsidRPr="00E22557" w:rsidRDefault="00B8340D" w:rsidP="00950AAC">
      <w:pPr>
        <w:spacing w:line="360" w:lineRule="auto"/>
        <w:jc w:val="center"/>
        <w:rPr>
          <w:rFonts w:ascii="Arial" w:hAnsi="Arial" w:cs="Arial"/>
          <w:b/>
          <w:bCs/>
          <w:sz w:val="28"/>
          <w:szCs w:val="24"/>
        </w:rPr>
      </w:pPr>
      <w:r w:rsidRPr="00E22557">
        <w:rPr>
          <w:rFonts w:ascii="Arial" w:hAnsi="Arial" w:cs="Arial"/>
          <w:b/>
          <w:bCs/>
          <w:sz w:val="28"/>
          <w:szCs w:val="24"/>
        </w:rPr>
        <w:t xml:space="preserve">Word Count: </w:t>
      </w:r>
      <w:r>
        <w:rPr>
          <w:rFonts w:ascii="Arial" w:hAnsi="Arial" w:cs="Arial"/>
          <w:b/>
          <w:bCs/>
          <w:sz w:val="28"/>
          <w:szCs w:val="24"/>
        </w:rPr>
        <w:t>4</w:t>
      </w:r>
      <w:r w:rsidR="00950AAC">
        <w:rPr>
          <w:rFonts w:ascii="Arial" w:hAnsi="Arial" w:cs="Arial"/>
          <w:b/>
          <w:bCs/>
          <w:sz w:val="28"/>
          <w:szCs w:val="24"/>
        </w:rPr>
        <w:t>77</w:t>
      </w:r>
      <w:r w:rsidR="00EA5E02">
        <w:rPr>
          <w:rFonts w:ascii="Arial" w:hAnsi="Arial" w:cs="Arial"/>
          <w:b/>
          <w:bCs/>
          <w:sz w:val="28"/>
          <w:szCs w:val="24"/>
        </w:rPr>
        <w:t>4</w:t>
      </w:r>
    </w:p>
    <w:p w14:paraId="0CBE2DD1" w14:textId="55C78E04" w:rsidR="00B8340D" w:rsidRPr="00E22557"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 xml:space="preserve">Lecturer: </w:t>
      </w:r>
      <w:r w:rsidR="00560536">
        <w:rPr>
          <w:rFonts w:ascii="Arial" w:hAnsi="Arial" w:cs="Arial"/>
          <w:b/>
          <w:bCs/>
          <w:sz w:val="28"/>
          <w:szCs w:val="24"/>
        </w:rPr>
        <w:t>Shepherd Ziko</w:t>
      </w:r>
    </w:p>
    <w:p w14:paraId="76F06DE9" w14:textId="77777777" w:rsidR="00B8340D" w:rsidRDefault="00B8340D" w:rsidP="00B8340D">
      <w:pPr>
        <w:spacing w:line="360" w:lineRule="auto"/>
        <w:jc w:val="center"/>
        <w:rPr>
          <w:rFonts w:ascii="Arial" w:hAnsi="Arial" w:cs="Arial"/>
          <w:b/>
          <w:bCs/>
          <w:sz w:val="28"/>
          <w:szCs w:val="24"/>
        </w:rPr>
      </w:pPr>
      <w:r w:rsidRPr="00E22557">
        <w:rPr>
          <w:rFonts w:ascii="Arial" w:hAnsi="Arial" w:cs="Arial"/>
          <w:b/>
          <w:bCs/>
          <w:sz w:val="28"/>
          <w:szCs w:val="24"/>
        </w:rPr>
        <w:t>Submission Deadline: 1</w:t>
      </w:r>
      <w:r>
        <w:rPr>
          <w:rFonts w:ascii="Arial" w:hAnsi="Arial" w:cs="Arial"/>
          <w:b/>
          <w:bCs/>
          <w:sz w:val="28"/>
          <w:szCs w:val="24"/>
        </w:rPr>
        <w:t>6</w:t>
      </w:r>
      <w:r w:rsidRPr="00E22557">
        <w:rPr>
          <w:rFonts w:ascii="Arial" w:hAnsi="Arial" w:cs="Arial"/>
          <w:b/>
          <w:bCs/>
          <w:sz w:val="28"/>
          <w:szCs w:val="24"/>
          <w:vertAlign w:val="superscript"/>
        </w:rPr>
        <w:t>th</w:t>
      </w:r>
      <w:r w:rsidRPr="00E22557">
        <w:rPr>
          <w:rFonts w:ascii="Arial" w:hAnsi="Arial" w:cs="Arial"/>
          <w:b/>
          <w:bCs/>
          <w:sz w:val="28"/>
          <w:szCs w:val="24"/>
        </w:rPr>
        <w:t xml:space="preserve"> December 2025</w:t>
      </w:r>
    </w:p>
    <w:p w14:paraId="00B56C53" w14:textId="77777777" w:rsidR="00B8340D" w:rsidRDefault="00B8340D" w:rsidP="00B8340D">
      <w:pPr>
        <w:spacing w:after="160" w:line="278" w:lineRule="auto"/>
        <w:rPr>
          <w:rFonts w:ascii="Arial" w:hAnsi="Arial" w:cs="Arial"/>
          <w:b/>
          <w:bCs/>
          <w:sz w:val="28"/>
          <w:szCs w:val="24"/>
        </w:rPr>
      </w:pPr>
      <w:r>
        <w:rPr>
          <w:rFonts w:ascii="Arial" w:hAnsi="Arial" w:cs="Arial"/>
          <w:b/>
          <w:bCs/>
          <w:sz w:val="28"/>
          <w:szCs w:val="24"/>
        </w:rPr>
        <w:br w:type="page"/>
      </w:r>
    </w:p>
    <w:p w14:paraId="4B095630" w14:textId="77777777" w:rsidR="00B8340D" w:rsidRDefault="00B8340D" w:rsidP="00B8340D">
      <w:pPr>
        <w:spacing w:line="360" w:lineRule="auto"/>
        <w:rPr>
          <w:rFonts w:ascii="Arial" w:hAnsi="Arial" w:cs="Arial"/>
          <w:b/>
          <w:bCs/>
          <w:sz w:val="28"/>
          <w:szCs w:val="24"/>
        </w:rPr>
        <w:sectPr w:rsidR="00B8340D" w:rsidSect="00B8340D">
          <w:footerReference w:type="first" r:id="rId9"/>
          <w:pgSz w:w="11906" w:h="16838"/>
          <w:pgMar w:top="1440" w:right="1440" w:bottom="1440" w:left="1440" w:header="720" w:footer="720" w:gutter="0"/>
          <w:pgBorders w:display="firstPage" w:offsetFrom="page">
            <w:top w:val="starsShadowed" w:sz="12" w:space="24" w:color="auto"/>
            <w:left w:val="starsShadowed" w:sz="12" w:space="24" w:color="auto"/>
            <w:bottom w:val="starsShadowed" w:sz="12" w:space="24" w:color="auto"/>
            <w:right w:val="starsShadowed" w:sz="12" w:space="24" w:color="auto"/>
          </w:pgBorders>
          <w:pgNumType w:fmt="lowerRoman" w:start="1"/>
          <w:cols w:space="720"/>
          <w:titlePg/>
          <w:docGrid w:linePitch="299"/>
        </w:sectPr>
      </w:pPr>
    </w:p>
    <w:p w14:paraId="403C4575" w14:textId="77777777" w:rsidR="00B8340D" w:rsidRDefault="00B8340D" w:rsidP="00B8340D">
      <w:pPr>
        <w:pStyle w:val="Heading1"/>
      </w:pPr>
      <w:bookmarkStart w:id="0" w:name="_Toc216264186"/>
      <w:bookmarkStart w:id="1" w:name="_Toc216525527"/>
      <w:r>
        <w:lastRenderedPageBreak/>
        <w:t>Executive Summary:</w:t>
      </w:r>
      <w:bookmarkEnd w:id="0"/>
      <w:bookmarkEnd w:id="1"/>
    </w:p>
    <w:p w14:paraId="63416C86" w14:textId="55EF9A0B" w:rsidR="00B8340D" w:rsidRDefault="00EA5E02" w:rsidP="00B8340D">
      <w:pPr>
        <w:spacing w:line="360" w:lineRule="auto"/>
        <w:jc w:val="both"/>
        <w:rPr>
          <w:rFonts w:ascii="Arial" w:hAnsi="Arial" w:cs="Arial"/>
          <w:szCs w:val="20"/>
          <w:lang w:val="en-US"/>
        </w:rPr>
      </w:pPr>
      <w:r w:rsidRPr="00EA5E02">
        <w:rPr>
          <w:rFonts w:ascii="Arial" w:hAnsi="Arial" w:cs="Arial"/>
          <w:szCs w:val="20"/>
          <w:lang w:val="en-US"/>
        </w:rPr>
        <w:t xml:space="preserve">The report will critically compare and contrast the response to COVID-19 in Spain, South Korea and Canada with regard to the interdependent nature of the </w:t>
      </w:r>
      <w:proofErr w:type="spellStart"/>
      <w:r w:rsidRPr="00EA5E02">
        <w:rPr>
          <w:rFonts w:ascii="Arial" w:hAnsi="Arial" w:cs="Arial"/>
          <w:szCs w:val="20"/>
          <w:lang w:val="en-US"/>
        </w:rPr>
        <w:t>typologising</w:t>
      </w:r>
      <w:proofErr w:type="spellEnd"/>
      <w:r w:rsidRPr="00EA5E02">
        <w:rPr>
          <w:rFonts w:ascii="Arial" w:hAnsi="Arial" w:cs="Arial"/>
          <w:szCs w:val="20"/>
          <w:lang w:val="en-US"/>
        </w:rPr>
        <w:t xml:space="preserve"> of the national healthcare system and the role played by the governmental leadership. The initial analysis starts with the definition of basic ideas of both </w:t>
      </w:r>
      <w:proofErr w:type="spellStart"/>
      <w:r w:rsidRPr="00EA5E02">
        <w:rPr>
          <w:rFonts w:ascii="Arial" w:hAnsi="Arial" w:cs="Arial"/>
          <w:szCs w:val="20"/>
          <w:lang w:val="en-US"/>
        </w:rPr>
        <w:t>centralisation</w:t>
      </w:r>
      <w:proofErr w:type="spellEnd"/>
      <w:r w:rsidRPr="00EA5E02">
        <w:rPr>
          <w:rFonts w:ascii="Arial" w:hAnsi="Arial" w:cs="Arial"/>
          <w:szCs w:val="20"/>
          <w:lang w:val="en-US"/>
        </w:rPr>
        <w:t xml:space="preserve"> and </w:t>
      </w:r>
      <w:proofErr w:type="spellStart"/>
      <w:r w:rsidRPr="00EA5E02">
        <w:rPr>
          <w:rFonts w:ascii="Arial" w:hAnsi="Arial" w:cs="Arial"/>
          <w:szCs w:val="20"/>
          <w:lang w:val="en-US"/>
        </w:rPr>
        <w:t>decentralisation</w:t>
      </w:r>
      <w:proofErr w:type="spellEnd"/>
      <w:r w:rsidRPr="00EA5E02">
        <w:rPr>
          <w:rFonts w:ascii="Arial" w:hAnsi="Arial" w:cs="Arial"/>
          <w:szCs w:val="20"/>
          <w:lang w:val="en-US"/>
        </w:rPr>
        <w:t xml:space="preserve"> and the way these structural features influenced the agility and efficiency of each country in its initial stage. Section 2 is a critical analysis of the different approaches to the system, in which initial </w:t>
      </w:r>
      <w:proofErr w:type="spellStart"/>
      <w:r w:rsidRPr="00EA5E02">
        <w:rPr>
          <w:rFonts w:ascii="Arial" w:hAnsi="Arial" w:cs="Arial"/>
          <w:szCs w:val="20"/>
          <w:lang w:val="en-US"/>
        </w:rPr>
        <w:t>decentralisation</w:t>
      </w:r>
      <w:proofErr w:type="spellEnd"/>
      <w:r w:rsidRPr="00EA5E02">
        <w:rPr>
          <w:rFonts w:ascii="Arial" w:hAnsi="Arial" w:cs="Arial"/>
          <w:szCs w:val="20"/>
          <w:lang w:val="en-US"/>
        </w:rPr>
        <w:t xml:space="preserve"> in Spain necessitated an emergency </w:t>
      </w:r>
      <w:proofErr w:type="spellStart"/>
      <w:r w:rsidRPr="00EA5E02">
        <w:rPr>
          <w:rFonts w:ascii="Arial" w:hAnsi="Arial" w:cs="Arial"/>
          <w:szCs w:val="20"/>
          <w:lang w:val="en-US"/>
        </w:rPr>
        <w:t>recentralisation</w:t>
      </w:r>
      <w:proofErr w:type="spellEnd"/>
      <w:r w:rsidRPr="00EA5E02">
        <w:rPr>
          <w:rFonts w:ascii="Arial" w:hAnsi="Arial" w:cs="Arial"/>
          <w:szCs w:val="20"/>
          <w:lang w:val="en-US"/>
        </w:rPr>
        <w:t xml:space="preserve">, and the response needed in South Korea was rapid, </w:t>
      </w:r>
      <w:proofErr w:type="spellStart"/>
      <w:r w:rsidRPr="00EA5E02">
        <w:rPr>
          <w:rFonts w:ascii="Arial" w:hAnsi="Arial" w:cs="Arial"/>
          <w:szCs w:val="20"/>
          <w:lang w:val="en-US"/>
        </w:rPr>
        <w:t>standardised</w:t>
      </w:r>
      <w:proofErr w:type="spellEnd"/>
      <w:r w:rsidRPr="00EA5E02">
        <w:rPr>
          <w:rFonts w:ascii="Arial" w:hAnsi="Arial" w:cs="Arial"/>
          <w:szCs w:val="20"/>
          <w:lang w:val="en-US"/>
        </w:rPr>
        <w:t xml:space="preserve">, and based on data because of its highly </w:t>
      </w:r>
      <w:proofErr w:type="spellStart"/>
      <w:r w:rsidRPr="00EA5E02">
        <w:rPr>
          <w:rFonts w:ascii="Arial" w:hAnsi="Arial" w:cs="Arial"/>
          <w:szCs w:val="20"/>
          <w:lang w:val="en-US"/>
        </w:rPr>
        <w:t>centralised</w:t>
      </w:r>
      <w:proofErr w:type="spellEnd"/>
      <w:r w:rsidRPr="00EA5E02">
        <w:rPr>
          <w:rFonts w:ascii="Arial" w:hAnsi="Arial" w:cs="Arial"/>
          <w:szCs w:val="20"/>
          <w:lang w:val="en-US"/>
        </w:rPr>
        <w:t xml:space="preserve"> structure. The highly </w:t>
      </w:r>
      <w:proofErr w:type="spellStart"/>
      <w:r w:rsidRPr="00EA5E02">
        <w:rPr>
          <w:rFonts w:ascii="Arial" w:hAnsi="Arial" w:cs="Arial"/>
          <w:szCs w:val="20"/>
          <w:lang w:val="en-US"/>
        </w:rPr>
        <w:t>decentralised</w:t>
      </w:r>
      <w:proofErr w:type="spellEnd"/>
      <w:r w:rsidRPr="00EA5E02">
        <w:rPr>
          <w:rFonts w:ascii="Arial" w:hAnsi="Arial" w:cs="Arial"/>
          <w:szCs w:val="20"/>
          <w:lang w:val="en-US"/>
        </w:rPr>
        <w:t xml:space="preserve"> federation that Canada adopted, on the other hand, meant that there was a need to negotiate all the time, and so the response of different provinces took the form of patchwork. Section 3 uses a range of leadership theories to contrast the strategies employed by the key personalities, including the crisis-driven transitional shift in Spain, the serve-bureaucratic triumph in South Korea, and the transformational collaboration that held in Canada, and eventually argues that the efficacy of leadership was inherently limited or increased by the same underlying structural model of power</w:t>
      </w:r>
      <w:r w:rsidR="00B8340D">
        <w:rPr>
          <w:rFonts w:ascii="Arial" w:hAnsi="Arial" w:cs="Arial"/>
          <w:szCs w:val="20"/>
          <w:lang w:val="en-US"/>
        </w:rPr>
        <w:t>.</w:t>
      </w:r>
    </w:p>
    <w:p w14:paraId="5FED3468" w14:textId="77777777" w:rsidR="00B8340D" w:rsidRDefault="00B8340D" w:rsidP="00B8340D">
      <w:pPr>
        <w:spacing w:after="160" w:line="278" w:lineRule="auto"/>
        <w:rPr>
          <w:rFonts w:ascii="Arial" w:hAnsi="Arial" w:cs="Arial"/>
          <w:szCs w:val="20"/>
          <w:lang w:val="en-US"/>
        </w:rPr>
      </w:pPr>
      <w:r>
        <w:rPr>
          <w:rFonts w:ascii="Arial" w:hAnsi="Arial" w:cs="Arial"/>
          <w:szCs w:val="20"/>
          <w:lang w:val="en-US"/>
        </w:rPr>
        <w:br w:type="page"/>
      </w:r>
    </w:p>
    <w:p w14:paraId="2A0070EB" w14:textId="77777777" w:rsidR="00B8340D" w:rsidRPr="00D35FAA" w:rsidRDefault="00B8340D" w:rsidP="00B8340D">
      <w:pPr>
        <w:spacing w:line="360" w:lineRule="auto"/>
        <w:jc w:val="both"/>
        <w:rPr>
          <w:rFonts w:ascii="Arial" w:hAnsi="Arial" w:cs="Arial"/>
          <w:szCs w:val="20"/>
          <w:lang w:val="en-US"/>
        </w:rPr>
      </w:pPr>
    </w:p>
    <w:sdt>
      <w:sdtPr>
        <w:rPr>
          <w:rFonts w:asciiTheme="minorHAnsi" w:eastAsiaTheme="minorHAnsi" w:hAnsiTheme="minorHAnsi" w:cs="Arial"/>
          <w:b/>
          <w:bCs w:val="0"/>
          <w:color w:val="auto"/>
          <w:sz w:val="22"/>
          <w:szCs w:val="22"/>
          <w:lang w:eastAsia="en-US"/>
        </w:rPr>
        <w:id w:val="-1799833914"/>
        <w:docPartObj>
          <w:docPartGallery w:val="Table of Contents"/>
          <w:docPartUnique/>
        </w:docPartObj>
      </w:sdtPr>
      <w:sdtEndPr>
        <w:rPr>
          <w:rFonts w:cstheme="minorBidi"/>
          <w:b w:val="0"/>
          <w:noProof/>
        </w:rPr>
      </w:sdtEndPr>
      <w:sdtContent>
        <w:p w14:paraId="6DF8B9DD" w14:textId="77777777" w:rsidR="00B8340D" w:rsidRPr="00D35FAA" w:rsidRDefault="00B8340D" w:rsidP="00B8340D">
          <w:pPr>
            <w:pStyle w:val="TOCHeading"/>
            <w:jc w:val="center"/>
            <w:rPr>
              <w:rFonts w:cs="Arial"/>
              <w:u w:val="single"/>
            </w:rPr>
          </w:pPr>
          <w:r w:rsidRPr="00D35FAA">
            <w:rPr>
              <w:rFonts w:cs="Arial"/>
              <w:u w:val="single"/>
            </w:rPr>
            <w:t>Table of Contents</w:t>
          </w:r>
        </w:p>
        <w:p w14:paraId="3B556560" w14:textId="687C448C" w:rsidR="00D35FAA" w:rsidRPr="00D35FAA" w:rsidRDefault="00B8340D">
          <w:pPr>
            <w:pStyle w:val="TOC1"/>
            <w:tabs>
              <w:tab w:val="right" w:leader="dot" w:pos="9016"/>
            </w:tabs>
            <w:rPr>
              <w:rFonts w:ascii="Arial" w:eastAsiaTheme="minorEastAsia" w:hAnsi="Arial" w:cs="Arial"/>
              <w:noProof/>
              <w:kern w:val="2"/>
              <w:sz w:val="24"/>
              <w:szCs w:val="24"/>
              <w:lang w:val="en-US"/>
              <w14:ligatures w14:val="standardContextual"/>
            </w:rPr>
          </w:pPr>
          <w:r w:rsidRPr="00D35FAA">
            <w:rPr>
              <w:rFonts w:ascii="Arial" w:hAnsi="Arial" w:cs="Arial"/>
            </w:rPr>
            <w:fldChar w:fldCharType="begin"/>
          </w:r>
          <w:r w:rsidRPr="00D35FAA">
            <w:rPr>
              <w:rFonts w:ascii="Arial" w:hAnsi="Arial" w:cs="Arial"/>
            </w:rPr>
            <w:instrText xml:space="preserve"> TOC \o "1-3" \h \z \u </w:instrText>
          </w:r>
          <w:r w:rsidRPr="00D35FAA">
            <w:rPr>
              <w:rFonts w:ascii="Arial" w:hAnsi="Arial" w:cs="Arial"/>
            </w:rPr>
            <w:fldChar w:fldCharType="separate"/>
          </w:r>
          <w:hyperlink w:anchor="_Toc216525527" w:history="1">
            <w:r w:rsidR="00D35FAA" w:rsidRPr="00D35FAA">
              <w:rPr>
                <w:rStyle w:val="Hyperlink"/>
                <w:rFonts w:ascii="Arial" w:hAnsi="Arial" w:cs="Arial"/>
                <w:noProof/>
              </w:rPr>
              <w:t>Executive Summary:</w:t>
            </w:r>
            <w:r w:rsidR="00D35FAA" w:rsidRPr="00D35FAA">
              <w:rPr>
                <w:rFonts w:ascii="Arial" w:hAnsi="Arial" w:cs="Arial"/>
                <w:noProof/>
                <w:webHidden/>
              </w:rPr>
              <w:tab/>
            </w:r>
            <w:r w:rsidR="00D35FAA" w:rsidRPr="00D35FAA">
              <w:rPr>
                <w:rFonts w:ascii="Arial" w:hAnsi="Arial" w:cs="Arial"/>
                <w:noProof/>
                <w:webHidden/>
              </w:rPr>
              <w:fldChar w:fldCharType="begin"/>
            </w:r>
            <w:r w:rsidR="00D35FAA" w:rsidRPr="00D35FAA">
              <w:rPr>
                <w:rFonts w:ascii="Arial" w:hAnsi="Arial" w:cs="Arial"/>
                <w:noProof/>
                <w:webHidden/>
              </w:rPr>
              <w:instrText xml:space="preserve"> PAGEREF _Toc216525527 \h </w:instrText>
            </w:r>
            <w:r w:rsidR="00D35FAA" w:rsidRPr="00D35FAA">
              <w:rPr>
                <w:rFonts w:ascii="Arial" w:hAnsi="Arial" w:cs="Arial"/>
                <w:noProof/>
                <w:webHidden/>
              </w:rPr>
            </w:r>
            <w:r w:rsidR="00D35FAA" w:rsidRPr="00D35FAA">
              <w:rPr>
                <w:rFonts w:ascii="Arial" w:hAnsi="Arial" w:cs="Arial"/>
                <w:noProof/>
                <w:webHidden/>
              </w:rPr>
              <w:fldChar w:fldCharType="separate"/>
            </w:r>
            <w:r w:rsidR="001F1401">
              <w:rPr>
                <w:rFonts w:ascii="Arial" w:hAnsi="Arial" w:cs="Arial"/>
                <w:noProof/>
                <w:webHidden/>
              </w:rPr>
              <w:t>i</w:t>
            </w:r>
            <w:r w:rsidR="00D35FAA" w:rsidRPr="00D35FAA">
              <w:rPr>
                <w:rFonts w:ascii="Arial" w:hAnsi="Arial" w:cs="Arial"/>
                <w:noProof/>
                <w:webHidden/>
              </w:rPr>
              <w:fldChar w:fldCharType="end"/>
            </w:r>
          </w:hyperlink>
        </w:p>
        <w:p w14:paraId="561EEF70" w14:textId="1D37CA05" w:rsidR="00D35FAA" w:rsidRPr="00D35FAA" w:rsidRDefault="00D35FAA">
          <w:pPr>
            <w:pStyle w:val="TOC1"/>
            <w:tabs>
              <w:tab w:val="right" w:leader="dot" w:pos="9016"/>
            </w:tabs>
            <w:rPr>
              <w:rFonts w:ascii="Arial" w:eastAsiaTheme="minorEastAsia" w:hAnsi="Arial" w:cs="Arial"/>
              <w:noProof/>
              <w:kern w:val="2"/>
              <w:sz w:val="24"/>
              <w:szCs w:val="24"/>
              <w:lang w:val="en-US"/>
              <w14:ligatures w14:val="standardContextual"/>
            </w:rPr>
          </w:pPr>
          <w:hyperlink w:anchor="_Toc216525528" w:history="1">
            <w:r w:rsidRPr="00D35FAA">
              <w:rPr>
                <w:rStyle w:val="Hyperlink"/>
                <w:rFonts w:ascii="Arial" w:hAnsi="Arial" w:cs="Arial"/>
                <w:noProof/>
              </w:rPr>
              <w:t>1. Introduction</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_Toc216525528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w:t>
            </w:r>
            <w:r w:rsidRPr="00D35FAA">
              <w:rPr>
                <w:rFonts w:ascii="Arial" w:hAnsi="Arial" w:cs="Arial"/>
                <w:noProof/>
                <w:webHidden/>
              </w:rPr>
              <w:fldChar w:fldCharType="end"/>
            </w:r>
          </w:hyperlink>
        </w:p>
        <w:p w14:paraId="7BD4742D" w14:textId="16B58601" w:rsidR="00D35FAA" w:rsidRPr="00D35FAA" w:rsidRDefault="00D35FAA">
          <w:pPr>
            <w:pStyle w:val="TOC1"/>
            <w:tabs>
              <w:tab w:val="right" w:leader="dot" w:pos="9016"/>
            </w:tabs>
            <w:rPr>
              <w:rFonts w:ascii="Arial" w:eastAsiaTheme="minorEastAsia" w:hAnsi="Arial" w:cs="Arial"/>
              <w:noProof/>
              <w:kern w:val="2"/>
              <w:sz w:val="24"/>
              <w:szCs w:val="24"/>
              <w:lang w:val="en-US"/>
              <w14:ligatures w14:val="standardContextual"/>
            </w:rPr>
          </w:pPr>
          <w:hyperlink w:anchor="_Toc216525529" w:history="1">
            <w:r w:rsidRPr="00D35FAA">
              <w:rPr>
                <w:rStyle w:val="Hyperlink"/>
                <w:rFonts w:ascii="Arial" w:hAnsi="Arial" w:cs="Arial"/>
                <w:noProof/>
              </w:rPr>
              <w:t>2. Critical Analysis of Each Country's Typology and Systems Approach for the COVID-19 Pandemic</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_Toc216525529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2</w:t>
            </w:r>
            <w:r w:rsidRPr="00D35FAA">
              <w:rPr>
                <w:rFonts w:ascii="Arial" w:hAnsi="Arial" w:cs="Arial"/>
                <w:noProof/>
                <w:webHidden/>
              </w:rPr>
              <w:fldChar w:fldCharType="end"/>
            </w:r>
          </w:hyperlink>
        </w:p>
        <w:p w14:paraId="2079D00C" w14:textId="77FD74B7" w:rsidR="00D35FAA" w:rsidRPr="00D35FAA" w:rsidRDefault="00D35FAA">
          <w:pPr>
            <w:pStyle w:val="TOC2"/>
            <w:tabs>
              <w:tab w:val="right" w:leader="dot" w:pos="9016"/>
            </w:tabs>
            <w:rPr>
              <w:rFonts w:ascii="Arial" w:eastAsiaTheme="minorEastAsia" w:hAnsi="Arial" w:cs="Arial"/>
              <w:noProof/>
              <w:kern w:val="2"/>
              <w:sz w:val="24"/>
              <w:szCs w:val="24"/>
              <w:lang w:val="en-US"/>
              <w14:ligatures w14:val="standardContextual"/>
            </w:rPr>
          </w:pPr>
          <w:hyperlink w:anchor="_Toc216525530" w:history="1">
            <w:r w:rsidRPr="00D35FAA">
              <w:rPr>
                <w:rStyle w:val="Hyperlink"/>
                <w:rFonts w:ascii="Arial" w:hAnsi="Arial" w:cs="Arial"/>
                <w:noProof/>
                <w:lang w:val="en-US"/>
              </w:rPr>
              <w:t>2.1. Spain: The Proposal of a Highly Decentralised National Health System</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_Toc216525530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2</w:t>
            </w:r>
            <w:r w:rsidRPr="00D35FAA">
              <w:rPr>
                <w:rFonts w:ascii="Arial" w:hAnsi="Arial" w:cs="Arial"/>
                <w:noProof/>
                <w:webHidden/>
              </w:rPr>
              <w:fldChar w:fldCharType="end"/>
            </w:r>
          </w:hyperlink>
        </w:p>
        <w:p w14:paraId="7C2F0CD6" w14:textId="0D60D13E"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1" w:history="1">
            <w:r w:rsidRPr="00D35FAA">
              <w:rPr>
                <w:rStyle w:val="Hyperlink"/>
                <w:rFonts w:ascii="Arial" w:hAnsi="Arial" w:cs="Arial"/>
                <w:noProof/>
                <w:lang w:val="en-US"/>
              </w:rPr>
              <w:t>2.1.1. Spanish Healthcare System Typology Outline</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_Toc216525531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2</w:t>
            </w:r>
            <w:r w:rsidRPr="00D35FAA">
              <w:rPr>
                <w:rFonts w:ascii="Arial" w:hAnsi="Arial" w:cs="Arial"/>
                <w:noProof/>
                <w:webHidden/>
              </w:rPr>
              <w:fldChar w:fldCharType="end"/>
            </w:r>
          </w:hyperlink>
        </w:p>
        <w:p w14:paraId="340C5B97" w14:textId="7A6BB30F"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2" w:history="1">
            <w:r w:rsidRPr="00D35FAA">
              <w:rPr>
                <w:rStyle w:val="Hyperlink"/>
                <w:rFonts w:ascii="Arial" w:hAnsi="Arial" w:cs="Arial"/>
                <w:noProof/>
                <w:lang w:val="en-US"/>
              </w:rPr>
              <w:t>2.1.2. Analysis of the Systems Approach at the Time of the Pandemic</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_Toc216525532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2</w:t>
            </w:r>
            <w:r w:rsidRPr="00D35FAA">
              <w:rPr>
                <w:rFonts w:ascii="Arial" w:hAnsi="Arial" w:cs="Arial"/>
                <w:noProof/>
                <w:webHidden/>
              </w:rPr>
              <w:fldChar w:fldCharType="end"/>
            </w:r>
          </w:hyperlink>
        </w:p>
        <w:p w14:paraId="59226E6B" w14:textId="24909F1F"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3" w:history="1">
            <w:r w:rsidRPr="00D35FAA">
              <w:rPr>
                <w:rStyle w:val="Hyperlink"/>
                <w:rFonts w:ascii="Arial" w:hAnsi="Arial" w:cs="Arial"/>
                <w:noProof/>
                <w:lang w:val="en-US"/>
              </w:rPr>
              <w:t>2.1.3. Benefits, Adverse Effects, and Health Outcomes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_Toc216525533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3</w:t>
            </w:r>
            <w:r w:rsidRPr="00D35FAA">
              <w:rPr>
                <w:rFonts w:ascii="Arial" w:hAnsi="Arial" w:cs="Arial"/>
                <w:noProof/>
                <w:webHidden/>
              </w:rPr>
              <w:fldChar w:fldCharType="end"/>
            </w:r>
          </w:hyperlink>
        </w:p>
        <w:p w14:paraId="18F2F26A" w14:textId="31EC3276" w:rsidR="00D35FAA" w:rsidRPr="00D35FAA" w:rsidRDefault="00D35FAA">
          <w:pPr>
            <w:pStyle w:val="TOC2"/>
            <w:tabs>
              <w:tab w:val="right" w:leader="dot" w:pos="9016"/>
            </w:tabs>
            <w:rPr>
              <w:rFonts w:ascii="Arial" w:eastAsiaTheme="minorEastAsia" w:hAnsi="Arial" w:cs="Arial"/>
              <w:noProof/>
              <w:kern w:val="2"/>
              <w:sz w:val="24"/>
              <w:szCs w:val="24"/>
              <w:lang w:val="en-US"/>
              <w14:ligatures w14:val="standardContextual"/>
            </w:rPr>
          </w:pPr>
          <w:hyperlink w:anchor="_Toc216525534" w:history="1">
            <w:r w:rsidRPr="00D35FAA">
              <w:rPr>
                <w:rStyle w:val="Hyperlink"/>
                <w:rFonts w:ascii="Arial" w:hAnsi="Arial" w:cs="Arial"/>
                <w:noProof/>
                <w:lang w:val="en-US"/>
              </w:rPr>
              <w:t>2.2. South Korea: Stronger with a Prepared, Centralised Public Health Model</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_Toc216525534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4</w:t>
            </w:r>
            <w:r w:rsidRPr="00D35FAA">
              <w:rPr>
                <w:rFonts w:ascii="Arial" w:hAnsi="Arial" w:cs="Arial"/>
                <w:noProof/>
                <w:webHidden/>
              </w:rPr>
              <w:fldChar w:fldCharType="end"/>
            </w:r>
          </w:hyperlink>
        </w:p>
        <w:p w14:paraId="3B4A836E" w14:textId="349A76EC"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5" w:history="1">
            <w:r w:rsidRPr="00D35FAA">
              <w:rPr>
                <w:rStyle w:val="Hyperlink"/>
                <w:rFonts w:ascii="Arial" w:hAnsi="Arial" w:cs="Arial"/>
                <w:noProof/>
                <w:lang w:val="en-US"/>
              </w:rPr>
              <w:t>2.2.1. Summary of South Korean Healthcare System Typology</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_Toc216525535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4</w:t>
            </w:r>
            <w:r w:rsidRPr="00D35FAA">
              <w:rPr>
                <w:rFonts w:ascii="Arial" w:hAnsi="Arial" w:cs="Arial"/>
                <w:noProof/>
                <w:webHidden/>
              </w:rPr>
              <w:fldChar w:fldCharType="end"/>
            </w:r>
          </w:hyperlink>
        </w:p>
        <w:p w14:paraId="34A0F245" w14:textId="18737767"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6" w:history="1">
            <w:r w:rsidRPr="00D35FAA">
              <w:rPr>
                <w:rStyle w:val="Hyperlink"/>
                <w:rFonts w:ascii="Arial" w:hAnsi="Arial" w:cs="Arial"/>
                <w:noProof/>
                <w:lang w:val="en-US"/>
              </w:rPr>
              <w:t>2.2.2. The Systems Approach Critical Analysis in the Pandemic</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_Toc216525536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5</w:t>
            </w:r>
            <w:r w:rsidRPr="00D35FAA">
              <w:rPr>
                <w:rFonts w:ascii="Arial" w:hAnsi="Arial" w:cs="Arial"/>
                <w:noProof/>
                <w:webHidden/>
              </w:rPr>
              <w:fldChar w:fldCharType="end"/>
            </w:r>
          </w:hyperlink>
        </w:p>
        <w:p w14:paraId="1D7B1CB5" w14:textId="52790464"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7" w:history="1">
            <w:r w:rsidRPr="00D35FAA">
              <w:rPr>
                <w:rStyle w:val="Hyperlink"/>
                <w:rFonts w:ascii="Arial" w:hAnsi="Arial" w:cs="Arial"/>
                <w:noProof/>
                <w:lang w:val="en-US"/>
              </w:rPr>
              <w:t>2.2.3. Advantages, Disadvantages, and Health Outcomes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_Toc216525537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5</w:t>
            </w:r>
            <w:r w:rsidRPr="00D35FAA">
              <w:rPr>
                <w:rFonts w:ascii="Arial" w:hAnsi="Arial" w:cs="Arial"/>
                <w:noProof/>
                <w:webHidden/>
              </w:rPr>
              <w:fldChar w:fldCharType="end"/>
            </w:r>
          </w:hyperlink>
        </w:p>
        <w:p w14:paraId="170904DA" w14:textId="254AA609" w:rsidR="00D35FAA" w:rsidRPr="00D35FAA" w:rsidRDefault="00D35FAA">
          <w:pPr>
            <w:pStyle w:val="TOC2"/>
            <w:tabs>
              <w:tab w:val="right" w:leader="dot" w:pos="9016"/>
            </w:tabs>
            <w:rPr>
              <w:rFonts w:ascii="Arial" w:eastAsiaTheme="minorEastAsia" w:hAnsi="Arial" w:cs="Arial"/>
              <w:noProof/>
              <w:kern w:val="2"/>
              <w:sz w:val="24"/>
              <w:szCs w:val="24"/>
              <w:lang w:val="en-US"/>
              <w14:ligatures w14:val="standardContextual"/>
            </w:rPr>
          </w:pPr>
          <w:hyperlink w:anchor="_Toc216525538" w:history="1">
            <w:r w:rsidRPr="00D35FAA">
              <w:rPr>
                <w:rStyle w:val="Hyperlink"/>
                <w:rFonts w:ascii="Arial" w:hAnsi="Arial" w:cs="Arial"/>
                <w:noProof/>
                <w:lang w:val="en-US"/>
              </w:rPr>
              <w:t>2.3. Canada: The Systemic Tension of a Highly Decentralised Federation</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_Toc216525538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7</w:t>
            </w:r>
            <w:r w:rsidRPr="00D35FAA">
              <w:rPr>
                <w:rFonts w:ascii="Arial" w:hAnsi="Arial" w:cs="Arial"/>
                <w:noProof/>
                <w:webHidden/>
              </w:rPr>
              <w:fldChar w:fldCharType="end"/>
            </w:r>
          </w:hyperlink>
        </w:p>
        <w:p w14:paraId="500BE268" w14:textId="6A2C2E16"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39" w:history="1">
            <w:r w:rsidRPr="00D35FAA">
              <w:rPr>
                <w:rStyle w:val="Hyperlink"/>
                <w:rFonts w:ascii="Arial" w:hAnsi="Arial" w:cs="Arial"/>
                <w:noProof/>
                <w:lang w:val="en-US"/>
              </w:rPr>
              <w:t>2.3.1. Summary of the Typology of the Canadian Healthcare System</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_Toc216525539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7</w:t>
            </w:r>
            <w:r w:rsidRPr="00D35FAA">
              <w:rPr>
                <w:rFonts w:ascii="Arial" w:hAnsi="Arial" w:cs="Arial"/>
                <w:noProof/>
                <w:webHidden/>
              </w:rPr>
              <w:fldChar w:fldCharType="end"/>
            </w:r>
          </w:hyperlink>
        </w:p>
        <w:p w14:paraId="72F986FF" w14:textId="1420E9EF"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0" w:history="1">
            <w:r w:rsidRPr="00D35FAA">
              <w:rPr>
                <w:rStyle w:val="Hyperlink"/>
                <w:rFonts w:ascii="Arial" w:hAnsi="Arial" w:cs="Arial"/>
                <w:noProof/>
                <w:lang w:val="en-US"/>
              </w:rPr>
              <w:t>2.3.2. The Systems Approach Analysis of the Pandemic Critically</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_Toc216525540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7</w:t>
            </w:r>
            <w:r w:rsidRPr="00D35FAA">
              <w:rPr>
                <w:rFonts w:ascii="Arial" w:hAnsi="Arial" w:cs="Arial"/>
                <w:noProof/>
                <w:webHidden/>
              </w:rPr>
              <w:fldChar w:fldCharType="end"/>
            </w:r>
          </w:hyperlink>
        </w:p>
        <w:p w14:paraId="69BCCEF5" w14:textId="6A3D7492"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1" w:history="1">
            <w:r w:rsidRPr="00D35FAA">
              <w:rPr>
                <w:rStyle w:val="Hyperlink"/>
                <w:rFonts w:ascii="Arial" w:hAnsi="Arial" w:cs="Arial"/>
                <w:noProof/>
                <w:lang w:val="en-US"/>
              </w:rPr>
              <w:t>2.3.3. Weekly advantages, disadvantages and health outcomes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_Toc216525541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8</w:t>
            </w:r>
            <w:r w:rsidRPr="00D35FAA">
              <w:rPr>
                <w:rFonts w:ascii="Arial" w:hAnsi="Arial" w:cs="Arial"/>
                <w:noProof/>
                <w:webHidden/>
              </w:rPr>
              <w:fldChar w:fldCharType="end"/>
            </w:r>
          </w:hyperlink>
        </w:p>
        <w:p w14:paraId="0B5C839E" w14:textId="4FF228B9" w:rsidR="00D35FAA" w:rsidRPr="00D35FAA" w:rsidRDefault="00D35FAA">
          <w:pPr>
            <w:pStyle w:val="TOC1"/>
            <w:tabs>
              <w:tab w:val="right" w:leader="dot" w:pos="9016"/>
            </w:tabs>
            <w:rPr>
              <w:rFonts w:ascii="Arial" w:eastAsiaTheme="minorEastAsia" w:hAnsi="Arial" w:cs="Arial"/>
              <w:noProof/>
              <w:kern w:val="2"/>
              <w:sz w:val="24"/>
              <w:szCs w:val="24"/>
              <w:lang w:val="en-US"/>
              <w14:ligatures w14:val="standardContextual"/>
            </w:rPr>
          </w:pPr>
          <w:hyperlink w:anchor="_Toc216525542" w:history="1">
            <w:r w:rsidRPr="00D35FAA">
              <w:rPr>
                <w:rStyle w:val="Hyperlink"/>
                <w:rFonts w:ascii="Arial" w:hAnsi="Arial" w:cs="Arial"/>
                <w:noProof/>
              </w:rPr>
              <w:t>3. Critical Analysis of the Leadership Styles Taken in Each Country</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_Toc216525542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9</w:t>
            </w:r>
            <w:r w:rsidRPr="00D35FAA">
              <w:rPr>
                <w:rFonts w:ascii="Arial" w:hAnsi="Arial" w:cs="Arial"/>
                <w:noProof/>
                <w:webHidden/>
              </w:rPr>
              <w:fldChar w:fldCharType="end"/>
            </w:r>
          </w:hyperlink>
        </w:p>
        <w:p w14:paraId="77320C7A" w14:textId="045109CA" w:rsidR="00D35FAA" w:rsidRPr="00D35FAA" w:rsidRDefault="00D35FAA">
          <w:pPr>
            <w:pStyle w:val="TOC2"/>
            <w:tabs>
              <w:tab w:val="right" w:leader="dot" w:pos="9016"/>
            </w:tabs>
            <w:rPr>
              <w:rFonts w:ascii="Arial" w:eastAsiaTheme="minorEastAsia" w:hAnsi="Arial" w:cs="Arial"/>
              <w:noProof/>
              <w:kern w:val="2"/>
              <w:sz w:val="24"/>
              <w:szCs w:val="24"/>
              <w:lang w:val="en-US"/>
              <w14:ligatures w14:val="standardContextual"/>
            </w:rPr>
          </w:pPr>
          <w:hyperlink w:anchor="_Toc216525543" w:history="1">
            <w:r w:rsidRPr="00D35FAA">
              <w:rPr>
                <w:rStyle w:val="Hyperlink"/>
                <w:rFonts w:ascii="Arial" w:hAnsi="Arial" w:cs="Arial"/>
                <w:noProof/>
                <w:lang w:val="en-US"/>
              </w:rPr>
              <w:t>3.1. Leadership Styles in Spain</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_Toc216525543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9</w:t>
            </w:r>
            <w:r w:rsidRPr="00D35FAA">
              <w:rPr>
                <w:rFonts w:ascii="Arial" w:hAnsi="Arial" w:cs="Arial"/>
                <w:noProof/>
                <w:webHidden/>
              </w:rPr>
              <w:fldChar w:fldCharType="end"/>
            </w:r>
          </w:hyperlink>
        </w:p>
        <w:p w14:paraId="56159A7B" w14:textId="32F0B2B2"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4" w:history="1">
            <w:r w:rsidRPr="00D35FAA">
              <w:rPr>
                <w:rStyle w:val="Hyperlink"/>
                <w:rFonts w:ascii="Arial" w:hAnsi="Arial" w:cs="Arial"/>
                <w:noProof/>
                <w:lang w:val="en-US"/>
              </w:rPr>
              <w:t>3.1.1 Initial Situational and Bureaucratic Failure</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_Toc216525544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9</w:t>
            </w:r>
            <w:r w:rsidRPr="00D35FAA">
              <w:rPr>
                <w:rFonts w:ascii="Arial" w:hAnsi="Arial" w:cs="Arial"/>
                <w:noProof/>
                <w:webHidden/>
              </w:rPr>
              <w:fldChar w:fldCharType="end"/>
            </w:r>
          </w:hyperlink>
        </w:p>
        <w:p w14:paraId="15D44BC2" w14:textId="0265E926"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5" w:history="1">
            <w:r w:rsidRPr="00D35FAA">
              <w:rPr>
                <w:rStyle w:val="Hyperlink"/>
                <w:rFonts w:ascii="Arial" w:hAnsi="Arial" w:cs="Arial"/>
                <w:noProof/>
                <w:lang w:val="en-US"/>
              </w:rPr>
              <w:t>3.1.2 Sliding to Crisis and Transactional Leadership</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_Toc216525545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10</w:t>
            </w:r>
            <w:r w:rsidRPr="00D35FAA">
              <w:rPr>
                <w:rFonts w:ascii="Arial" w:hAnsi="Arial" w:cs="Arial"/>
                <w:noProof/>
                <w:webHidden/>
              </w:rPr>
              <w:fldChar w:fldCharType="end"/>
            </w:r>
          </w:hyperlink>
        </w:p>
        <w:p w14:paraId="0C6B1A9C" w14:textId="71473434"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6" w:history="1">
            <w:r w:rsidRPr="00D35FAA">
              <w:rPr>
                <w:rStyle w:val="Hyperlink"/>
                <w:rFonts w:ascii="Arial" w:hAnsi="Arial" w:cs="Arial"/>
                <w:noProof/>
                <w:lang w:val="en-US"/>
              </w:rPr>
              <w:t>3.1.3 Later phase: Transformational and Bureaucratic success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_Toc216525546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10</w:t>
            </w:r>
            <w:r w:rsidRPr="00D35FAA">
              <w:rPr>
                <w:rFonts w:ascii="Arial" w:hAnsi="Arial" w:cs="Arial"/>
                <w:noProof/>
                <w:webHidden/>
              </w:rPr>
              <w:fldChar w:fldCharType="end"/>
            </w:r>
          </w:hyperlink>
        </w:p>
        <w:p w14:paraId="03E890F1" w14:textId="372414C0" w:rsidR="00D35FAA" w:rsidRPr="00D35FAA" w:rsidRDefault="00D35FAA">
          <w:pPr>
            <w:pStyle w:val="TOC2"/>
            <w:tabs>
              <w:tab w:val="right" w:leader="dot" w:pos="9016"/>
            </w:tabs>
            <w:rPr>
              <w:rFonts w:ascii="Arial" w:eastAsiaTheme="minorEastAsia" w:hAnsi="Arial" w:cs="Arial"/>
              <w:noProof/>
              <w:kern w:val="2"/>
              <w:sz w:val="24"/>
              <w:szCs w:val="24"/>
              <w:lang w:val="en-US"/>
              <w14:ligatures w14:val="standardContextual"/>
            </w:rPr>
          </w:pPr>
          <w:hyperlink w:anchor="_Toc216525547" w:history="1">
            <w:r w:rsidRPr="00D35FAA">
              <w:rPr>
                <w:rStyle w:val="Hyperlink"/>
                <w:rFonts w:ascii="Arial" w:hAnsi="Arial" w:cs="Arial"/>
                <w:noProof/>
                <w:lang w:val="en-US"/>
              </w:rPr>
              <w:t>3.2. Leadership styles in South Korea</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_Toc216525547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11</w:t>
            </w:r>
            <w:r w:rsidRPr="00D35FAA">
              <w:rPr>
                <w:rFonts w:ascii="Arial" w:hAnsi="Arial" w:cs="Arial"/>
                <w:noProof/>
                <w:webHidden/>
              </w:rPr>
              <w:fldChar w:fldCharType="end"/>
            </w:r>
          </w:hyperlink>
        </w:p>
        <w:p w14:paraId="0C0D1EDB" w14:textId="4778B203"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8" w:history="1">
            <w:r w:rsidRPr="00D35FAA">
              <w:rPr>
                <w:rStyle w:val="Hyperlink"/>
                <w:rFonts w:ascii="Arial" w:hAnsi="Arial" w:cs="Arial"/>
                <w:noProof/>
                <w:lang w:val="en-US"/>
              </w:rPr>
              <w:t>3.2.1 Transparency and Servant Leadership</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_Toc216525548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12</w:t>
            </w:r>
            <w:r w:rsidRPr="00D35FAA">
              <w:rPr>
                <w:rFonts w:ascii="Arial" w:hAnsi="Arial" w:cs="Arial"/>
                <w:noProof/>
                <w:webHidden/>
              </w:rPr>
              <w:fldChar w:fldCharType="end"/>
            </w:r>
          </w:hyperlink>
        </w:p>
        <w:p w14:paraId="6E657EF6" w14:textId="78FD3678"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49" w:history="1">
            <w:r w:rsidRPr="00D35FAA">
              <w:rPr>
                <w:rStyle w:val="Hyperlink"/>
                <w:rFonts w:ascii="Arial" w:hAnsi="Arial" w:cs="Arial"/>
                <w:noProof/>
                <w:lang w:val="en-US"/>
              </w:rPr>
              <w:t>3.2.2 Bureaucratic and Transactional Performance</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_Toc216525549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12</w:t>
            </w:r>
            <w:r w:rsidRPr="00D35FAA">
              <w:rPr>
                <w:rFonts w:ascii="Arial" w:hAnsi="Arial" w:cs="Arial"/>
                <w:noProof/>
                <w:webHidden/>
              </w:rPr>
              <w:fldChar w:fldCharType="end"/>
            </w:r>
          </w:hyperlink>
        </w:p>
        <w:p w14:paraId="46C4A78A" w14:textId="5F4CAD4B"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50" w:history="1">
            <w:r w:rsidRPr="00D35FAA">
              <w:rPr>
                <w:rStyle w:val="Hyperlink"/>
                <w:rFonts w:ascii="Arial" w:hAnsi="Arial" w:cs="Arial"/>
                <w:noProof/>
                <w:lang w:val="en-US"/>
              </w:rPr>
              <w:t>3.2.3 Lack of Charismatic and Ethical Tension</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_Toc216525550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13</w:t>
            </w:r>
            <w:r w:rsidRPr="00D35FAA">
              <w:rPr>
                <w:rFonts w:ascii="Arial" w:hAnsi="Arial" w:cs="Arial"/>
                <w:noProof/>
                <w:webHidden/>
              </w:rPr>
              <w:fldChar w:fldCharType="end"/>
            </w:r>
          </w:hyperlink>
        </w:p>
        <w:p w14:paraId="015C42DC" w14:textId="03CE02FC" w:rsidR="00D35FAA" w:rsidRPr="00D35FAA" w:rsidRDefault="00D35FAA">
          <w:pPr>
            <w:pStyle w:val="TOC2"/>
            <w:tabs>
              <w:tab w:val="right" w:leader="dot" w:pos="9016"/>
            </w:tabs>
            <w:rPr>
              <w:rFonts w:ascii="Arial" w:eastAsiaTheme="minorEastAsia" w:hAnsi="Arial" w:cs="Arial"/>
              <w:noProof/>
              <w:kern w:val="2"/>
              <w:sz w:val="24"/>
              <w:szCs w:val="24"/>
              <w:lang w:val="en-US"/>
              <w14:ligatures w14:val="standardContextual"/>
            </w:rPr>
          </w:pPr>
          <w:hyperlink w:anchor="_Toc216525551" w:history="1">
            <w:r w:rsidRPr="00D35FAA">
              <w:rPr>
                <w:rStyle w:val="Hyperlink"/>
                <w:rFonts w:ascii="Arial" w:hAnsi="Arial" w:cs="Arial"/>
                <w:noProof/>
                <w:lang w:val="en-US"/>
              </w:rPr>
              <w:t>3.3. Leadership Styles in Canada</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_Toc216525551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13</w:t>
            </w:r>
            <w:r w:rsidRPr="00D35FAA">
              <w:rPr>
                <w:rFonts w:ascii="Arial" w:hAnsi="Arial" w:cs="Arial"/>
                <w:noProof/>
                <w:webHidden/>
              </w:rPr>
              <w:fldChar w:fldCharType="end"/>
            </w:r>
          </w:hyperlink>
        </w:p>
        <w:p w14:paraId="4B7DB0B6" w14:textId="4ED2B75F"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52" w:history="1">
            <w:r w:rsidRPr="00D35FAA">
              <w:rPr>
                <w:rStyle w:val="Hyperlink"/>
                <w:rFonts w:ascii="Arial" w:hAnsi="Arial" w:cs="Arial"/>
                <w:noProof/>
                <w:lang w:val="en-US"/>
              </w:rPr>
              <w:t>3.3.1 Unifying and Transformational Leadership</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_Toc216525552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13</w:t>
            </w:r>
            <w:r w:rsidRPr="00D35FAA">
              <w:rPr>
                <w:rFonts w:ascii="Arial" w:hAnsi="Arial" w:cs="Arial"/>
                <w:noProof/>
                <w:webHidden/>
              </w:rPr>
              <w:fldChar w:fldCharType="end"/>
            </w:r>
          </w:hyperlink>
        </w:p>
        <w:p w14:paraId="2FF11833" w14:textId="62669D82"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53" w:history="1">
            <w:r w:rsidRPr="00D35FAA">
              <w:rPr>
                <w:rStyle w:val="Hyperlink"/>
                <w:rFonts w:ascii="Arial" w:hAnsi="Arial" w:cs="Arial"/>
                <w:noProof/>
                <w:lang w:val="en-US"/>
              </w:rPr>
              <w:t>3.3.2 Bureaucracy and Friction of Transactions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_Toc216525553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14</w:t>
            </w:r>
            <w:r w:rsidRPr="00D35FAA">
              <w:rPr>
                <w:rFonts w:ascii="Arial" w:hAnsi="Arial" w:cs="Arial"/>
                <w:noProof/>
                <w:webHidden/>
              </w:rPr>
              <w:fldChar w:fldCharType="end"/>
            </w:r>
          </w:hyperlink>
        </w:p>
        <w:p w14:paraId="4F3A38EA" w14:textId="225A0690" w:rsidR="00D35FAA" w:rsidRPr="00D35FAA" w:rsidRDefault="00D35FAA">
          <w:pPr>
            <w:pStyle w:val="TOC3"/>
            <w:tabs>
              <w:tab w:val="right" w:leader="dot" w:pos="9016"/>
            </w:tabs>
            <w:rPr>
              <w:rFonts w:ascii="Arial" w:eastAsiaTheme="minorEastAsia" w:hAnsi="Arial" w:cs="Arial"/>
              <w:noProof/>
              <w:kern w:val="2"/>
              <w:sz w:val="24"/>
              <w:szCs w:val="24"/>
              <w:lang w:val="en-US"/>
              <w14:ligatures w14:val="standardContextual"/>
            </w:rPr>
          </w:pPr>
          <w:hyperlink w:anchor="_Toc216525554" w:history="1">
            <w:r w:rsidRPr="00D35FAA">
              <w:rPr>
                <w:rStyle w:val="Hyperlink"/>
                <w:rFonts w:ascii="Arial" w:hAnsi="Arial" w:cs="Arial"/>
                <w:noProof/>
                <w:lang w:val="en-US"/>
              </w:rPr>
              <w:t>3.3.3 Absence of Crisis and Servant Leadership</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_Toc216525554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14</w:t>
            </w:r>
            <w:r w:rsidRPr="00D35FAA">
              <w:rPr>
                <w:rFonts w:ascii="Arial" w:hAnsi="Arial" w:cs="Arial"/>
                <w:noProof/>
                <w:webHidden/>
              </w:rPr>
              <w:fldChar w:fldCharType="end"/>
            </w:r>
          </w:hyperlink>
        </w:p>
        <w:p w14:paraId="07A6416D" w14:textId="06A9FBC2" w:rsidR="00D35FAA" w:rsidRPr="00D35FAA" w:rsidRDefault="00D35FAA">
          <w:pPr>
            <w:pStyle w:val="TOC1"/>
            <w:tabs>
              <w:tab w:val="right" w:leader="dot" w:pos="9016"/>
            </w:tabs>
            <w:rPr>
              <w:rFonts w:ascii="Arial" w:eastAsiaTheme="minorEastAsia" w:hAnsi="Arial" w:cs="Arial"/>
              <w:noProof/>
              <w:kern w:val="2"/>
              <w:sz w:val="24"/>
              <w:szCs w:val="24"/>
              <w:lang w:val="en-US"/>
              <w14:ligatures w14:val="standardContextual"/>
            </w:rPr>
          </w:pPr>
          <w:hyperlink w:anchor="_Toc216525555" w:history="1">
            <w:r w:rsidRPr="00D35FAA">
              <w:rPr>
                <w:rStyle w:val="Hyperlink"/>
                <w:rFonts w:ascii="Arial" w:hAnsi="Arial" w:cs="Arial"/>
                <w:noProof/>
              </w:rPr>
              <w:t>4. Conclusion:</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_Toc216525555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16</w:t>
            </w:r>
            <w:r w:rsidRPr="00D35FAA">
              <w:rPr>
                <w:rFonts w:ascii="Arial" w:hAnsi="Arial" w:cs="Arial"/>
                <w:noProof/>
                <w:webHidden/>
              </w:rPr>
              <w:fldChar w:fldCharType="end"/>
            </w:r>
          </w:hyperlink>
        </w:p>
        <w:p w14:paraId="1028B2F7" w14:textId="366D72F3" w:rsidR="00D35FAA" w:rsidRPr="00D35FAA" w:rsidRDefault="00D35FAA">
          <w:pPr>
            <w:pStyle w:val="TOC1"/>
            <w:tabs>
              <w:tab w:val="right" w:leader="dot" w:pos="9016"/>
            </w:tabs>
            <w:rPr>
              <w:rFonts w:ascii="Arial" w:eastAsiaTheme="minorEastAsia" w:hAnsi="Arial" w:cs="Arial"/>
              <w:noProof/>
              <w:kern w:val="2"/>
              <w:sz w:val="24"/>
              <w:szCs w:val="24"/>
              <w:lang w:val="en-US"/>
              <w14:ligatures w14:val="standardContextual"/>
            </w:rPr>
          </w:pPr>
          <w:hyperlink w:anchor="_Toc216525556" w:history="1">
            <w:r w:rsidRPr="00D35FAA">
              <w:rPr>
                <w:rStyle w:val="Hyperlink"/>
                <w:rFonts w:ascii="Arial" w:hAnsi="Arial" w:cs="Arial"/>
                <w:noProof/>
              </w:rPr>
              <w:t>Reference</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_Toc216525556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17</w:t>
            </w:r>
            <w:r w:rsidRPr="00D35FAA">
              <w:rPr>
                <w:rFonts w:ascii="Arial" w:hAnsi="Arial" w:cs="Arial"/>
                <w:noProof/>
                <w:webHidden/>
              </w:rPr>
              <w:fldChar w:fldCharType="end"/>
            </w:r>
          </w:hyperlink>
        </w:p>
        <w:p w14:paraId="7B6B943C" w14:textId="04666256" w:rsidR="00B8340D" w:rsidRDefault="00B8340D" w:rsidP="00B8340D">
          <w:r w:rsidRPr="00D35FAA">
            <w:rPr>
              <w:rFonts w:ascii="Arial" w:hAnsi="Arial" w:cs="Arial"/>
              <w:b/>
              <w:bCs/>
              <w:noProof/>
            </w:rPr>
            <w:fldChar w:fldCharType="end"/>
          </w:r>
        </w:p>
      </w:sdtContent>
    </w:sdt>
    <w:p w14:paraId="6922B795" w14:textId="77777777" w:rsidR="00B8340D" w:rsidRPr="00D35FAA" w:rsidRDefault="00B8340D" w:rsidP="00B8340D">
      <w:pPr>
        <w:spacing w:after="160" w:line="278" w:lineRule="auto"/>
        <w:jc w:val="center"/>
        <w:rPr>
          <w:rFonts w:ascii="Arial" w:hAnsi="Arial" w:cs="Arial"/>
          <w:b/>
          <w:bCs/>
          <w:sz w:val="24"/>
          <w:u w:val="single"/>
          <w:lang w:val="en-US"/>
        </w:rPr>
      </w:pPr>
      <w:r w:rsidRPr="00D35FAA">
        <w:rPr>
          <w:rFonts w:ascii="Arial" w:hAnsi="Arial" w:cs="Arial"/>
          <w:b/>
          <w:bCs/>
          <w:sz w:val="24"/>
          <w:u w:val="single"/>
          <w:lang w:val="en-US"/>
        </w:rPr>
        <w:lastRenderedPageBreak/>
        <w:t>Contents of Figure</w:t>
      </w:r>
    </w:p>
    <w:p w14:paraId="12BEA6AC" w14:textId="58B4D6F5" w:rsidR="00D35FAA" w:rsidRPr="00D35FAA" w:rsidRDefault="00B8340D">
      <w:pPr>
        <w:pStyle w:val="TableofFigures"/>
        <w:tabs>
          <w:tab w:val="right" w:leader="dot" w:pos="9016"/>
        </w:tabs>
        <w:rPr>
          <w:rFonts w:ascii="Arial" w:eastAsiaTheme="minorEastAsia" w:hAnsi="Arial" w:cs="Arial"/>
          <w:noProof/>
          <w:kern w:val="2"/>
          <w:sz w:val="24"/>
          <w:szCs w:val="24"/>
          <w:lang w:val="en-US"/>
          <w14:ligatures w14:val="standardContextual"/>
        </w:rPr>
      </w:pPr>
      <w:r w:rsidRPr="00D35FAA">
        <w:rPr>
          <w:rFonts w:ascii="Arial" w:hAnsi="Arial" w:cs="Arial"/>
          <w:szCs w:val="20"/>
          <w:lang w:val="en-US"/>
        </w:rPr>
        <w:fldChar w:fldCharType="begin"/>
      </w:r>
      <w:r w:rsidRPr="00D35FAA">
        <w:rPr>
          <w:rFonts w:ascii="Arial" w:hAnsi="Arial" w:cs="Arial"/>
          <w:szCs w:val="20"/>
          <w:lang w:val="en-US"/>
        </w:rPr>
        <w:instrText xml:space="preserve"> TOC \h \z \c "Figure" </w:instrText>
      </w:r>
      <w:r w:rsidRPr="00D35FAA">
        <w:rPr>
          <w:rFonts w:ascii="Arial" w:hAnsi="Arial" w:cs="Arial"/>
          <w:szCs w:val="20"/>
          <w:lang w:val="en-US"/>
        </w:rPr>
        <w:fldChar w:fldCharType="separate"/>
      </w:r>
      <w:hyperlink w:anchor="_Toc216525557" w:history="1">
        <w:r w:rsidR="00D35FAA" w:rsidRPr="00D35FAA">
          <w:rPr>
            <w:rStyle w:val="Hyperlink"/>
            <w:rFonts w:ascii="Arial" w:hAnsi="Arial" w:cs="Arial"/>
            <w:noProof/>
          </w:rPr>
          <w:t>Figure 1: Spain overview</w:t>
        </w:r>
        <w:r w:rsidR="00D35FAA" w:rsidRPr="00D35FAA">
          <w:rPr>
            <w:rFonts w:ascii="Arial" w:hAnsi="Arial" w:cs="Arial"/>
            <w:noProof/>
            <w:webHidden/>
          </w:rPr>
          <w:tab/>
        </w:r>
        <w:r w:rsidR="00D35FAA" w:rsidRPr="00D35FAA">
          <w:rPr>
            <w:rFonts w:ascii="Arial" w:hAnsi="Arial" w:cs="Arial"/>
            <w:noProof/>
            <w:webHidden/>
          </w:rPr>
          <w:fldChar w:fldCharType="begin"/>
        </w:r>
        <w:r w:rsidR="00D35FAA" w:rsidRPr="00D35FAA">
          <w:rPr>
            <w:rFonts w:ascii="Arial" w:hAnsi="Arial" w:cs="Arial"/>
            <w:noProof/>
            <w:webHidden/>
          </w:rPr>
          <w:instrText xml:space="preserve"> PAGEREF _Toc216525557 \h </w:instrText>
        </w:r>
        <w:r w:rsidR="00D35FAA" w:rsidRPr="00D35FAA">
          <w:rPr>
            <w:rFonts w:ascii="Arial" w:hAnsi="Arial" w:cs="Arial"/>
            <w:noProof/>
            <w:webHidden/>
          </w:rPr>
        </w:r>
        <w:r w:rsidR="00D35FAA" w:rsidRPr="00D35FAA">
          <w:rPr>
            <w:rFonts w:ascii="Arial" w:hAnsi="Arial" w:cs="Arial"/>
            <w:noProof/>
            <w:webHidden/>
          </w:rPr>
          <w:fldChar w:fldCharType="separate"/>
        </w:r>
        <w:r w:rsidR="001F1401">
          <w:rPr>
            <w:rFonts w:ascii="Arial" w:hAnsi="Arial" w:cs="Arial"/>
            <w:noProof/>
            <w:webHidden/>
          </w:rPr>
          <w:t>4</w:t>
        </w:r>
        <w:r w:rsidR="00D35FAA" w:rsidRPr="00D35FAA">
          <w:rPr>
            <w:rFonts w:ascii="Arial" w:hAnsi="Arial" w:cs="Arial"/>
            <w:noProof/>
            <w:webHidden/>
          </w:rPr>
          <w:fldChar w:fldCharType="end"/>
        </w:r>
      </w:hyperlink>
    </w:p>
    <w:p w14:paraId="370CDE5D" w14:textId="134D1D66" w:rsidR="00D35FAA" w:rsidRPr="00D35FAA" w:rsidRDefault="00D35FA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525558" w:history="1">
        <w:r w:rsidRPr="00D35FAA">
          <w:rPr>
            <w:rStyle w:val="Hyperlink"/>
            <w:rFonts w:ascii="Arial" w:hAnsi="Arial" w:cs="Arial"/>
            <w:noProof/>
          </w:rPr>
          <w:t>Figure 2: Actors Participating in Collaborative Governance of South Korea in Response to COVID</w:t>
        </w:r>
        <w:r w:rsidRPr="00D35FAA">
          <w:rPr>
            <w:rStyle w:val="Hyperlink"/>
            <w:rFonts w:ascii="Cambria Math" w:hAnsi="Cambria Math" w:cs="Cambria Math"/>
            <w:noProof/>
          </w:rPr>
          <w:t>‐</w:t>
        </w:r>
        <w:r w:rsidRPr="00D35FAA">
          <w:rPr>
            <w:rStyle w:val="Hyperlink"/>
            <w:rFonts w:ascii="Arial" w:hAnsi="Arial" w:cs="Arial"/>
            <w:noProof/>
          </w:rPr>
          <w:t>19</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_Toc216525558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11</w:t>
        </w:r>
        <w:r w:rsidRPr="00D35FAA">
          <w:rPr>
            <w:rFonts w:ascii="Arial" w:hAnsi="Arial" w:cs="Arial"/>
            <w:noProof/>
            <w:webHidden/>
          </w:rPr>
          <w:fldChar w:fldCharType="end"/>
        </w:r>
      </w:hyperlink>
    </w:p>
    <w:p w14:paraId="60947399" w14:textId="48F0AEAC" w:rsidR="00B8340D" w:rsidRPr="00D35FAA" w:rsidRDefault="00B8340D" w:rsidP="00B8340D">
      <w:pPr>
        <w:spacing w:after="160" w:line="278" w:lineRule="auto"/>
        <w:rPr>
          <w:rFonts w:ascii="Arial" w:hAnsi="Arial" w:cs="Arial"/>
          <w:szCs w:val="20"/>
          <w:lang w:val="en-US"/>
        </w:rPr>
      </w:pPr>
      <w:r w:rsidRPr="00D35FAA">
        <w:rPr>
          <w:rFonts w:ascii="Arial" w:hAnsi="Arial" w:cs="Arial"/>
          <w:szCs w:val="20"/>
          <w:lang w:val="en-US"/>
        </w:rPr>
        <w:fldChar w:fldCharType="end"/>
      </w:r>
    </w:p>
    <w:p w14:paraId="78FCFA97" w14:textId="222C9C1C" w:rsidR="00D35FAA" w:rsidRPr="00D35FAA" w:rsidRDefault="00D35FAA" w:rsidP="00D35FAA">
      <w:pPr>
        <w:spacing w:after="160" w:line="278" w:lineRule="auto"/>
        <w:jc w:val="center"/>
        <w:rPr>
          <w:rFonts w:ascii="Arial" w:hAnsi="Arial" w:cs="Arial"/>
          <w:b/>
          <w:bCs/>
          <w:szCs w:val="20"/>
          <w:u w:val="single"/>
          <w:lang w:val="en-US"/>
        </w:rPr>
      </w:pPr>
      <w:r w:rsidRPr="00D35FAA">
        <w:rPr>
          <w:rFonts w:ascii="Arial" w:hAnsi="Arial" w:cs="Arial"/>
          <w:b/>
          <w:bCs/>
          <w:szCs w:val="20"/>
          <w:u w:val="single"/>
          <w:lang w:val="en-US"/>
        </w:rPr>
        <w:t>Contents of Tables</w:t>
      </w:r>
    </w:p>
    <w:p w14:paraId="4A39896B" w14:textId="299BBEFB" w:rsidR="00D35FAA" w:rsidRPr="00D35FAA" w:rsidRDefault="00D35FAA">
      <w:pPr>
        <w:pStyle w:val="TableofFigures"/>
        <w:tabs>
          <w:tab w:val="right" w:leader="dot" w:pos="9016"/>
        </w:tabs>
        <w:rPr>
          <w:rFonts w:ascii="Arial" w:eastAsiaTheme="minorEastAsia" w:hAnsi="Arial" w:cs="Arial"/>
          <w:noProof/>
          <w:kern w:val="2"/>
          <w:sz w:val="24"/>
          <w:szCs w:val="24"/>
          <w:lang w:val="en-US"/>
          <w14:ligatures w14:val="standardContextual"/>
        </w:rPr>
      </w:pPr>
      <w:r w:rsidRPr="00D35FAA">
        <w:rPr>
          <w:rFonts w:ascii="Arial" w:hAnsi="Arial" w:cs="Arial"/>
          <w:szCs w:val="20"/>
          <w:lang w:val="en-US"/>
        </w:rPr>
        <w:fldChar w:fldCharType="begin"/>
      </w:r>
      <w:r w:rsidRPr="00D35FAA">
        <w:rPr>
          <w:rFonts w:ascii="Arial" w:hAnsi="Arial" w:cs="Arial"/>
          <w:szCs w:val="20"/>
          <w:lang w:val="en-US"/>
        </w:rPr>
        <w:instrText xml:space="preserve"> TOC \h \z \c "Table" </w:instrText>
      </w:r>
      <w:r w:rsidRPr="00D35FAA">
        <w:rPr>
          <w:rFonts w:ascii="Arial" w:hAnsi="Arial" w:cs="Arial"/>
          <w:szCs w:val="20"/>
          <w:lang w:val="en-US"/>
        </w:rPr>
        <w:fldChar w:fldCharType="separate"/>
      </w:r>
      <w:hyperlink w:anchor="_Toc216525565" w:history="1">
        <w:r w:rsidRPr="00D35FAA">
          <w:rPr>
            <w:rStyle w:val="Hyperlink"/>
            <w:rFonts w:ascii="Arial" w:hAnsi="Arial" w:cs="Arial"/>
            <w:noProof/>
          </w:rPr>
          <w:t>Table 1: Approaches advantages and disadvantages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_Toc216525565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3</w:t>
        </w:r>
        <w:r w:rsidRPr="00D35FAA">
          <w:rPr>
            <w:rFonts w:ascii="Arial" w:hAnsi="Arial" w:cs="Arial"/>
            <w:noProof/>
            <w:webHidden/>
          </w:rPr>
          <w:fldChar w:fldCharType="end"/>
        </w:r>
      </w:hyperlink>
    </w:p>
    <w:p w14:paraId="1C59A16B" w14:textId="594B2190" w:rsidR="00D35FAA" w:rsidRPr="00D35FAA" w:rsidRDefault="00D35FA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525566" w:history="1">
        <w:r w:rsidRPr="00D35FAA">
          <w:rPr>
            <w:rStyle w:val="Hyperlink"/>
            <w:rFonts w:ascii="Arial" w:hAnsi="Arial" w:cs="Arial"/>
            <w:noProof/>
          </w:rPr>
          <w:t>Table 2: Advantages, Disadvantages, and Health Outcomes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_Toc216525566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6</w:t>
        </w:r>
        <w:r w:rsidRPr="00D35FAA">
          <w:rPr>
            <w:rFonts w:ascii="Arial" w:hAnsi="Arial" w:cs="Arial"/>
            <w:noProof/>
            <w:webHidden/>
          </w:rPr>
          <w:fldChar w:fldCharType="end"/>
        </w:r>
      </w:hyperlink>
    </w:p>
    <w:p w14:paraId="35924DA7" w14:textId="21B32221" w:rsidR="00D35FAA" w:rsidRPr="00D35FAA" w:rsidRDefault="00D35FAA">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525567" w:history="1">
        <w:r w:rsidRPr="00D35FAA">
          <w:rPr>
            <w:rStyle w:val="Hyperlink"/>
            <w:rFonts w:ascii="Arial" w:hAnsi="Arial" w:cs="Arial"/>
            <w:noProof/>
          </w:rPr>
          <w:t>Table 3: Weekly advantages, disadvantages and health outcomes</w:t>
        </w:r>
        <w:r w:rsidRPr="00D35FAA">
          <w:rPr>
            <w:rFonts w:ascii="Arial" w:hAnsi="Arial" w:cs="Arial"/>
            <w:noProof/>
            <w:webHidden/>
          </w:rPr>
          <w:tab/>
        </w:r>
        <w:r w:rsidRPr="00D35FAA">
          <w:rPr>
            <w:rFonts w:ascii="Arial" w:hAnsi="Arial" w:cs="Arial"/>
            <w:noProof/>
            <w:webHidden/>
          </w:rPr>
          <w:fldChar w:fldCharType="begin"/>
        </w:r>
        <w:r w:rsidRPr="00D35FAA">
          <w:rPr>
            <w:rFonts w:ascii="Arial" w:hAnsi="Arial" w:cs="Arial"/>
            <w:noProof/>
            <w:webHidden/>
          </w:rPr>
          <w:instrText xml:space="preserve"> PAGEREF _Toc216525567 \h </w:instrText>
        </w:r>
        <w:r w:rsidRPr="00D35FAA">
          <w:rPr>
            <w:rFonts w:ascii="Arial" w:hAnsi="Arial" w:cs="Arial"/>
            <w:noProof/>
            <w:webHidden/>
          </w:rPr>
        </w:r>
        <w:r w:rsidRPr="00D35FAA">
          <w:rPr>
            <w:rFonts w:ascii="Arial" w:hAnsi="Arial" w:cs="Arial"/>
            <w:noProof/>
            <w:webHidden/>
          </w:rPr>
          <w:fldChar w:fldCharType="separate"/>
        </w:r>
        <w:r w:rsidR="001F1401">
          <w:rPr>
            <w:rFonts w:ascii="Arial" w:hAnsi="Arial" w:cs="Arial"/>
            <w:noProof/>
            <w:webHidden/>
          </w:rPr>
          <w:t>8</w:t>
        </w:r>
        <w:r w:rsidRPr="00D35FAA">
          <w:rPr>
            <w:rFonts w:ascii="Arial" w:hAnsi="Arial" w:cs="Arial"/>
            <w:noProof/>
            <w:webHidden/>
          </w:rPr>
          <w:fldChar w:fldCharType="end"/>
        </w:r>
      </w:hyperlink>
    </w:p>
    <w:p w14:paraId="1D703CD6" w14:textId="48B9D9F5" w:rsidR="00D35FAA" w:rsidRDefault="00D35FAA" w:rsidP="00B8340D">
      <w:pPr>
        <w:spacing w:after="160" w:line="278" w:lineRule="auto"/>
        <w:rPr>
          <w:rFonts w:ascii="Arial" w:hAnsi="Arial" w:cs="Arial"/>
          <w:szCs w:val="20"/>
          <w:lang w:val="en-US"/>
        </w:rPr>
      </w:pPr>
      <w:r w:rsidRPr="00D35FAA">
        <w:rPr>
          <w:rFonts w:ascii="Arial" w:hAnsi="Arial" w:cs="Arial"/>
          <w:szCs w:val="20"/>
          <w:lang w:val="en-US"/>
        </w:rPr>
        <w:fldChar w:fldCharType="end"/>
      </w:r>
    </w:p>
    <w:p w14:paraId="53824DD4" w14:textId="77777777" w:rsidR="00D35FAA" w:rsidRDefault="00D35FAA" w:rsidP="00B8340D">
      <w:pPr>
        <w:spacing w:after="160" w:line="278" w:lineRule="auto"/>
        <w:rPr>
          <w:rFonts w:ascii="Arial" w:hAnsi="Arial" w:cs="Arial"/>
          <w:szCs w:val="20"/>
          <w:lang w:val="en-US"/>
        </w:rPr>
      </w:pPr>
    </w:p>
    <w:p w14:paraId="7F66E1D4" w14:textId="03BB7360" w:rsidR="00D35FAA" w:rsidRPr="00385CC1" w:rsidRDefault="00D35FAA" w:rsidP="00B8340D">
      <w:pPr>
        <w:spacing w:after="160" w:line="278" w:lineRule="auto"/>
        <w:rPr>
          <w:rFonts w:ascii="Arial" w:hAnsi="Arial" w:cs="Arial"/>
          <w:szCs w:val="20"/>
          <w:lang w:val="en-US"/>
        </w:rPr>
        <w:sectPr w:rsidR="00D35FAA" w:rsidRPr="00385CC1" w:rsidSect="00B8340D">
          <w:footerReference w:type="first" r:id="rId10"/>
          <w:pgSz w:w="11906" w:h="16838"/>
          <w:pgMar w:top="1440" w:right="1440" w:bottom="1440" w:left="1440" w:header="720" w:footer="720" w:gutter="0"/>
          <w:pgNumType w:fmt="lowerRoman" w:start="1"/>
          <w:cols w:space="720"/>
          <w:titlePg/>
          <w:docGrid w:linePitch="299"/>
        </w:sectPr>
      </w:pPr>
    </w:p>
    <w:p w14:paraId="28F28657" w14:textId="77777777" w:rsidR="00B8340D" w:rsidRPr="00E831DB" w:rsidRDefault="00B8340D" w:rsidP="00B8340D">
      <w:pPr>
        <w:pStyle w:val="Heading1"/>
      </w:pPr>
      <w:bookmarkStart w:id="2" w:name="_Toc216264187"/>
      <w:bookmarkStart w:id="3" w:name="_Toc216525528"/>
      <w:r w:rsidRPr="00E831DB">
        <w:lastRenderedPageBreak/>
        <w:t>1. Introduction</w:t>
      </w:r>
      <w:bookmarkEnd w:id="2"/>
      <w:bookmarkEnd w:id="3"/>
      <w:r w:rsidRPr="00E831DB">
        <w:t xml:space="preserve"> </w:t>
      </w:r>
    </w:p>
    <w:p w14:paraId="7B18890D" w14:textId="22B08D72" w:rsidR="00B8340D" w:rsidRPr="00442995" w:rsidRDefault="00442995" w:rsidP="00B8340D">
      <w:pPr>
        <w:spacing w:after="160" w:line="360" w:lineRule="auto"/>
        <w:jc w:val="both"/>
        <w:rPr>
          <w:rFonts w:ascii="Arial" w:hAnsi="Arial" w:cs="Arial"/>
          <w:lang w:val="en-US"/>
        </w:rPr>
      </w:pPr>
      <w:r w:rsidRPr="00442995">
        <w:rPr>
          <w:rFonts w:ascii="Arial" w:hAnsi="Arial" w:cs="Arial"/>
          <w:lang w:val="en-US"/>
        </w:rPr>
        <w:t xml:space="preserve">This report is a critical comparative analysis of the response to the COVID-19 pandemic in Spain, South Korea, and Canada, with the emphasis on the basic role of the typology of healthcare systems in the country and leadership strategies. This analysis is </w:t>
      </w:r>
      <w:proofErr w:type="spellStart"/>
      <w:r w:rsidRPr="00442995">
        <w:rPr>
          <w:rFonts w:ascii="Arial" w:hAnsi="Arial" w:cs="Arial"/>
          <w:lang w:val="en-US"/>
        </w:rPr>
        <w:t>organised</w:t>
      </w:r>
      <w:proofErr w:type="spellEnd"/>
      <w:r w:rsidRPr="00442995">
        <w:rPr>
          <w:rFonts w:ascii="Arial" w:hAnsi="Arial" w:cs="Arial"/>
          <w:lang w:val="en-US"/>
        </w:rPr>
        <w:t xml:space="preserve"> in terms of </w:t>
      </w:r>
      <w:proofErr w:type="spellStart"/>
      <w:r w:rsidRPr="00442995">
        <w:rPr>
          <w:rFonts w:ascii="Arial" w:hAnsi="Arial" w:cs="Arial"/>
          <w:lang w:val="en-US"/>
        </w:rPr>
        <w:t>centralisation</w:t>
      </w:r>
      <w:proofErr w:type="spellEnd"/>
      <w:r w:rsidRPr="00442995">
        <w:rPr>
          <w:rFonts w:ascii="Arial" w:hAnsi="Arial" w:cs="Arial"/>
          <w:lang w:val="en-US"/>
        </w:rPr>
        <w:t xml:space="preserve"> and </w:t>
      </w:r>
      <w:proofErr w:type="spellStart"/>
      <w:r w:rsidRPr="00442995">
        <w:rPr>
          <w:rFonts w:ascii="Arial" w:hAnsi="Arial" w:cs="Arial"/>
          <w:lang w:val="en-US"/>
        </w:rPr>
        <w:t>decentralisation</w:t>
      </w:r>
      <w:proofErr w:type="spellEnd"/>
      <w:r w:rsidRPr="00442995">
        <w:rPr>
          <w:rFonts w:ascii="Arial" w:hAnsi="Arial" w:cs="Arial"/>
          <w:lang w:val="en-US"/>
        </w:rPr>
        <w:t xml:space="preserve"> as the main ideas of the locus of the administrative and operational power in a health system. </w:t>
      </w:r>
      <w:proofErr w:type="spellStart"/>
      <w:r w:rsidRPr="00442995">
        <w:rPr>
          <w:rFonts w:ascii="Arial" w:hAnsi="Arial" w:cs="Arial"/>
          <w:lang w:val="en-US"/>
        </w:rPr>
        <w:t>Centralisation</w:t>
      </w:r>
      <w:proofErr w:type="spellEnd"/>
      <w:r w:rsidRPr="00442995">
        <w:rPr>
          <w:rFonts w:ascii="Arial" w:hAnsi="Arial" w:cs="Arial"/>
          <w:lang w:val="en-US"/>
        </w:rPr>
        <w:t xml:space="preserve"> is the process of making decisions at the national level, where it is easy to implement the policy in a short time and in a consistent manner, although </w:t>
      </w:r>
      <w:proofErr w:type="spellStart"/>
      <w:r w:rsidRPr="00442995">
        <w:rPr>
          <w:rFonts w:ascii="Arial" w:hAnsi="Arial" w:cs="Arial"/>
          <w:lang w:val="en-US"/>
        </w:rPr>
        <w:t>decentralisation</w:t>
      </w:r>
      <w:proofErr w:type="spellEnd"/>
      <w:r w:rsidRPr="00442995">
        <w:rPr>
          <w:rFonts w:ascii="Arial" w:hAnsi="Arial" w:cs="Arial"/>
          <w:lang w:val="en-US"/>
        </w:rPr>
        <w:t xml:space="preserve"> entails giving the authority to the regional or provincial level, and the policy can be modified accordingly. The comparison of the models in each of the three jurisdictions, preparedness in South Korea being highly </w:t>
      </w:r>
      <w:proofErr w:type="spellStart"/>
      <w:r w:rsidRPr="00442995">
        <w:rPr>
          <w:rFonts w:ascii="Arial" w:hAnsi="Arial" w:cs="Arial"/>
          <w:lang w:val="en-US"/>
        </w:rPr>
        <w:t>centralised</w:t>
      </w:r>
      <w:proofErr w:type="spellEnd"/>
      <w:r w:rsidRPr="00442995">
        <w:rPr>
          <w:rFonts w:ascii="Arial" w:hAnsi="Arial" w:cs="Arial"/>
          <w:lang w:val="en-US"/>
        </w:rPr>
        <w:t xml:space="preserve">, preparedness in Spain being fragmented, and Canada being a multifaceted federal division, is informative. Moreover, the report discusses the application of different leadership styles, including transformational, transactional, and servant leadership, by the main actors in overcoming these structural limitations and revealing the inalienable importance of leadership in influencing, </w:t>
      </w:r>
      <w:proofErr w:type="spellStart"/>
      <w:r w:rsidRPr="00442995">
        <w:rPr>
          <w:rFonts w:ascii="Arial" w:hAnsi="Arial" w:cs="Arial"/>
          <w:lang w:val="en-US"/>
        </w:rPr>
        <w:t>organising</w:t>
      </w:r>
      <w:proofErr w:type="spellEnd"/>
      <w:r w:rsidRPr="00442995">
        <w:rPr>
          <w:rFonts w:ascii="Arial" w:hAnsi="Arial" w:cs="Arial"/>
          <w:lang w:val="en-US"/>
        </w:rPr>
        <w:t xml:space="preserve">, and </w:t>
      </w:r>
      <w:proofErr w:type="spellStart"/>
      <w:r w:rsidRPr="00442995">
        <w:rPr>
          <w:rFonts w:ascii="Arial" w:hAnsi="Arial" w:cs="Arial"/>
          <w:lang w:val="en-US"/>
        </w:rPr>
        <w:t>mobilising</w:t>
      </w:r>
      <w:proofErr w:type="spellEnd"/>
      <w:r w:rsidRPr="00442995">
        <w:rPr>
          <w:rFonts w:ascii="Arial" w:hAnsi="Arial" w:cs="Arial"/>
          <w:lang w:val="en-US"/>
        </w:rPr>
        <w:t xml:space="preserve"> the two public health systems and the compliance of the society in a global crisis.</w:t>
      </w:r>
      <w:r w:rsidR="00B8340D" w:rsidRPr="00D02FF5">
        <w:rPr>
          <w:rFonts w:ascii="Arial" w:hAnsi="Arial" w:cs="Arial"/>
        </w:rPr>
        <w:t xml:space="preserve"> </w:t>
      </w:r>
      <w:r w:rsidR="00B8340D" w:rsidRPr="00E831DB">
        <w:rPr>
          <w:rFonts w:ascii="Arial" w:hAnsi="Arial" w:cs="Arial"/>
        </w:rPr>
        <w:br w:type="page"/>
      </w:r>
    </w:p>
    <w:p w14:paraId="774EA291" w14:textId="41575F3C" w:rsidR="00B8340D" w:rsidRPr="00E22557" w:rsidRDefault="00A45305" w:rsidP="00B8340D">
      <w:pPr>
        <w:pStyle w:val="Heading1"/>
      </w:pPr>
      <w:bookmarkStart w:id="4" w:name="_Toc216525529"/>
      <w:r w:rsidRPr="00A45305">
        <w:lastRenderedPageBreak/>
        <w:t>2. Critical Analysis of Each Country's Typology and Systems Approach for the COVID-19 Pandemic</w:t>
      </w:r>
      <w:bookmarkEnd w:id="4"/>
    </w:p>
    <w:p w14:paraId="242DD817"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typology of the healthcare system of a country in terms of the level of power </w:t>
      </w:r>
      <w:proofErr w:type="spellStart"/>
      <w:r w:rsidRPr="0071581A">
        <w:rPr>
          <w:rFonts w:ascii="Arial" w:hAnsi="Arial" w:cs="Arial"/>
          <w:lang w:val="en-US"/>
        </w:rPr>
        <w:t>centralisation</w:t>
      </w:r>
      <w:proofErr w:type="spellEnd"/>
      <w:r w:rsidRPr="0071581A">
        <w:rPr>
          <w:rFonts w:ascii="Arial" w:hAnsi="Arial" w:cs="Arial"/>
          <w:lang w:val="en-US"/>
        </w:rPr>
        <w:t xml:space="preserve"> or </w:t>
      </w:r>
      <w:proofErr w:type="spellStart"/>
      <w:r w:rsidRPr="0071581A">
        <w:rPr>
          <w:rFonts w:ascii="Arial" w:hAnsi="Arial" w:cs="Arial"/>
          <w:lang w:val="en-US"/>
        </w:rPr>
        <w:t>decentralisation</w:t>
      </w:r>
      <w:proofErr w:type="spellEnd"/>
      <w:r w:rsidRPr="0071581A">
        <w:rPr>
          <w:rFonts w:ascii="Arial" w:hAnsi="Arial" w:cs="Arial"/>
          <w:lang w:val="en-US"/>
        </w:rPr>
        <w:t xml:space="preserve"> was a characteristic of both agility, coherence, and efficacy of the healthcare system in the face of the COVID-19 pandemic. The different structural models of Spain, South Korea, and Canada had different results in their success in dealing with the crisis. This critical review is a comparison of their system approaches, the strengths and weaknesses of their </w:t>
      </w:r>
      <w:proofErr w:type="spellStart"/>
      <w:r w:rsidRPr="0071581A">
        <w:rPr>
          <w:rFonts w:ascii="Arial" w:hAnsi="Arial" w:cs="Arial"/>
          <w:lang w:val="en-US"/>
        </w:rPr>
        <w:t>centralised</w:t>
      </w:r>
      <w:proofErr w:type="spellEnd"/>
      <w:r w:rsidRPr="0071581A">
        <w:rPr>
          <w:rFonts w:ascii="Arial" w:hAnsi="Arial" w:cs="Arial"/>
          <w:lang w:val="en-US"/>
        </w:rPr>
        <w:t xml:space="preserve"> and </w:t>
      </w:r>
      <w:proofErr w:type="spellStart"/>
      <w:r w:rsidRPr="0071581A">
        <w:rPr>
          <w:rFonts w:ascii="Arial" w:hAnsi="Arial" w:cs="Arial"/>
          <w:lang w:val="en-US"/>
        </w:rPr>
        <w:t>decentralised</w:t>
      </w:r>
      <w:proofErr w:type="spellEnd"/>
      <w:r w:rsidRPr="0071581A">
        <w:rPr>
          <w:rFonts w:ascii="Arial" w:hAnsi="Arial" w:cs="Arial"/>
          <w:lang w:val="en-US"/>
        </w:rPr>
        <w:t xml:space="preserve"> decisions and their subsequent effect on the outcome of the population health.</w:t>
      </w:r>
    </w:p>
    <w:p w14:paraId="0DC7BB0E" w14:textId="186F982B" w:rsidR="0071581A" w:rsidRPr="0071581A" w:rsidRDefault="0071581A" w:rsidP="0071581A">
      <w:pPr>
        <w:pStyle w:val="Heading2"/>
        <w:rPr>
          <w:lang w:val="en-US"/>
        </w:rPr>
      </w:pPr>
      <w:bookmarkStart w:id="5" w:name="_Toc216525530"/>
      <w:r w:rsidRPr="0071581A">
        <w:rPr>
          <w:lang w:val="en-US"/>
        </w:rPr>
        <w:t xml:space="preserve">2.1. Spain: The Proposal of a Highly </w:t>
      </w:r>
      <w:proofErr w:type="spellStart"/>
      <w:r w:rsidRPr="0071581A">
        <w:rPr>
          <w:lang w:val="en-US"/>
        </w:rPr>
        <w:t>Decentralised</w:t>
      </w:r>
      <w:proofErr w:type="spellEnd"/>
      <w:r w:rsidRPr="0071581A">
        <w:rPr>
          <w:lang w:val="en-US"/>
        </w:rPr>
        <w:t xml:space="preserve"> National Health System</w:t>
      </w:r>
      <w:bookmarkEnd w:id="5"/>
    </w:p>
    <w:p w14:paraId="425FD39D" w14:textId="5E491779" w:rsidR="0071581A" w:rsidRPr="0071581A" w:rsidRDefault="0071581A" w:rsidP="0071581A">
      <w:pPr>
        <w:pStyle w:val="Heading3"/>
        <w:rPr>
          <w:lang w:val="en-US"/>
        </w:rPr>
      </w:pPr>
      <w:bookmarkStart w:id="6" w:name="_Toc216525531"/>
      <w:r w:rsidRPr="0071581A">
        <w:rPr>
          <w:lang w:val="en-US"/>
        </w:rPr>
        <w:t>2.1.1. Spanish Healthcare System Typology Outline</w:t>
      </w:r>
      <w:bookmarkEnd w:id="6"/>
    </w:p>
    <w:p w14:paraId="71460B78" w14:textId="11EC349C" w:rsidR="0071581A" w:rsidRPr="0071581A" w:rsidRDefault="0094449F" w:rsidP="0071581A">
      <w:pPr>
        <w:spacing w:before="240" w:line="360" w:lineRule="auto"/>
        <w:jc w:val="both"/>
        <w:rPr>
          <w:rFonts w:ascii="Arial" w:hAnsi="Arial" w:cs="Arial"/>
          <w:lang w:val="en-US"/>
        </w:rPr>
      </w:pPr>
      <w:r w:rsidRPr="0094449F">
        <w:rPr>
          <w:rFonts w:ascii="Arial" w:hAnsi="Arial" w:cs="Arial"/>
          <w:lang w:val="en-US"/>
        </w:rPr>
        <w:t xml:space="preserve">Taxation is the primary source of funding for Spain's National Health System (SNS), which is a universal health care system operated by the Spanish government. As an institution, the SNS is one of the most </w:t>
      </w:r>
      <w:proofErr w:type="spellStart"/>
      <w:r w:rsidRPr="0094449F">
        <w:rPr>
          <w:rFonts w:ascii="Arial" w:hAnsi="Arial" w:cs="Arial"/>
          <w:lang w:val="en-US"/>
        </w:rPr>
        <w:t>decentralised</w:t>
      </w:r>
      <w:proofErr w:type="spellEnd"/>
      <w:r w:rsidRPr="0094449F">
        <w:rPr>
          <w:rFonts w:ascii="Arial" w:hAnsi="Arial" w:cs="Arial"/>
          <w:lang w:val="en-US"/>
        </w:rPr>
        <w:t xml:space="preserve"> systems in Europe; it is also frequently referred to as a State of Autonomies in health (The </w:t>
      </w:r>
      <w:proofErr w:type="spellStart"/>
      <w:r w:rsidRPr="0094449F">
        <w:rPr>
          <w:rFonts w:ascii="Arial" w:hAnsi="Arial" w:cs="Arial"/>
          <w:lang w:val="en-US"/>
        </w:rPr>
        <w:t>pobedina</w:t>
      </w:r>
      <w:proofErr w:type="spellEnd"/>
      <w:r w:rsidRPr="0094449F">
        <w:rPr>
          <w:rFonts w:ascii="Arial" w:hAnsi="Arial" w:cs="Arial"/>
          <w:lang w:val="en-US"/>
        </w:rPr>
        <w:t xml:space="preserve"> SNS, 2025). The sole duties that the federal Ministry of Health is responsible for are regulation, planning, and evaluation. On the other hand, the seventeen Autonomous Communities (AACC) have significant financial and operational control over the public health services and healthcare delivery (The challenging resilience, 2022). This </w:t>
      </w:r>
      <w:proofErr w:type="spellStart"/>
      <w:r w:rsidRPr="0094449F">
        <w:rPr>
          <w:rFonts w:ascii="Arial" w:hAnsi="Arial" w:cs="Arial"/>
          <w:lang w:val="en-US"/>
        </w:rPr>
        <w:t>decentralisation</w:t>
      </w:r>
      <w:proofErr w:type="spellEnd"/>
      <w:r w:rsidRPr="0094449F">
        <w:rPr>
          <w:rFonts w:ascii="Arial" w:hAnsi="Arial" w:cs="Arial"/>
          <w:lang w:val="en-US"/>
        </w:rPr>
        <w:t xml:space="preserve"> of authority, which was completed in 2002, resulted in the establishment of a system that was susceptible to regional variations and breakdown in unity. Historically, this system has been directed towards opportunistic </w:t>
      </w:r>
      <w:proofErr w:type="spellStart"/>
      <w:r w:rsidRPr="0094449F">
        <w:rPr>
          <w:rFonts w:ascii="Arial" w:hAnsi="Arial" w:cs="Arial"/>
          <w:lang w:val="en-US"/>
        </w:rPr>
        <w:t>behaviours</w:t>
      </w:r>
      <w:proofErr w:type="spellEnd"/>
      <w:r w:rsidRPr="0094449F">
        <w:rPr>
          <w:rFonts w:ascii="Arial" w:hAnsi="Arial" w:cs="Arial"/>
          <w:lang w:val="en-US"/>
        </w:rPr>
        <w:t xml:space="preserve"> and the </w:t>
      </w:r>
      <w:proofErr w:type="spellStart"/>
      <w:r w:rsidRPr="0094449F">
        <w:rPr>
          <w:rFonts w:ascii="Arial" w:hAnsi="Arial" w:cs="Arial"/>
          <w:lang w:val="en-US"/>
        </w:rPr>
        <w:t>politicisation</w:t>
      </w:r>
      <w:proofErr w:type="spellEnd"/>
      <w:r w:rsidRPr="0094449F">
        <w:rPr>
          <w:rFonts w:ascii="Arial" w:hAnsi="Arial" w:cs="Arial"/>
          <w:lang w:val="en-US"/>
        </w:rPr>
        <w:t xml:space="preserve"> of health concerns (The tough resilience, 2022).</w:t>
      </w:r>
    </w:p>
    <w:p w14:paraId="2732E7D7" w14:textId="5FC91110" w:rsidR="0071581A" w:rsidRPr="0071581A" w:rsidRDefault="0071581A" w:rsidP="00CB4BC7">
      <w:pPr>
        <w:pStyle w:val="Heading3"/>
        <w:rPr>
          <w:lang w:val="en-US"/>
        </w:rPr>
      </w:pPr>
      <w:bookmarkStart w:id="7" w:name="_Toc216525532"/>
      <w:r w:rsidRPr="0071581A">
        <w:rPr>
          <w:lang w:val="en-US"/>
        </w:rPr>
        <w:t>2.1.2. Analysis of the Systems Approach at the Time of the Pandemic</w:t>
      </w:r>
      <w:bookmarkEnd w:id="7"/>
    </w:p>
    <w:p w14:paraId="66F4F6A6"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early response of Spain towards the pandemic was a melodramatic demonstration of how hardcore </w:t>
      </w:r>
      <w:proofErr w:type="spellStart"/>
      <w:r w:rsidRPr="0071581A">
        <w:rPr>
          <w:rFonts w:ascii="Arial" w:hAnsi="Arial" w:cs="Arial"/>
          <w:lang w:val="en-US"/>
        </w:rPr>
        <w:t>decentralisation</w:t>
      </w:r>
      <w:proofErr w:type="spellEnd"/>
      <w:r w:rsidRPr="0071581A">
        <w:rPr>
          <w:rFonts w:ascii="Arial" w:hAnsi="Arial" w:cs="Arial"/>
          <w:lang w:val="en-US"/>
        </w:rPr>
        <w:t xml:space="preserve"> fails when confronted with a domestic, acute crisis. At first, the AACC was unwilling to take stringent and expensive actions, and the central government was unwilling to exercise its authority (The Limits of Power Concentration, 2023). This resulted in a disjointed and delayed reaction, as the first hard-hit areas, Catalonia and Madrid, adopted their own different and inadequate actions.</w:t>
      </w:r>
    </w:p>
    <w:p w14:paraId="5EA72C73"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reaction of the system was thus defined by the critical transition from </w:t>
      </w:r>
      <w:proofErr w:type="spellStart"/>
      <w:r w:rsidRPr="0071581A">
        <w:rPr>
          <w:rFonts w:ascii="Arial" w:hAnsi="Arial" w:cs="Arial"/>
          <w:lang w:val="en-US"/>
        </w:rPr>
        <w:t>decentralisation</w:t>
      </w:r>
      <w:proofErr w:type="spellEnd"/>
      <w:r w:rsidRPr="0071581A">
        <w:rPr>
          <w:rFonts w:ascii="Arial" w:hAnsi="Arial" w:cs="Arial"/>
          <w:lang w:val="en-US"/>
        </w:rPr>
        <w:t xml:space="preserve"> to transient </w:t>
      </w:r>
      <w:proofErr w:type="spellStart"/>
      <w:r w:rsidRPr="0071581A">
        <w:rPr>
          <w:rFonts w:ascii="Arial" w:hAnsi="Arial" w:cs="Arial"/>
          <w:lang w:val="en-US"/>
        </w:rPr>
        <w:t>centralisation</w:t>
      </w:r>
      <w:proofErr w:type="spellEnd"/>
      <w:r w:rsidRPr="0071581A">
        <w:rPr>
          <w:rFonts w:ascii="Arial" w:hAnsi="Arial" w:cs="Arial"/>
          <w:lang w:val="en-US"/>
        </w:rPr>
        <w:t>:</w:t>
      </w:r>
    </w:p>
    <w:p w14:paraId="4E611211" w14:textId="6EA2389D" w:rsidR="0071581A" w:rsidRPr="00CB4BC7" w:rsidRDefault="0071581A" w:rsidP="00CB4BC7">
      <w:pPr>
        <w:pStyle w:val="ListParagraph"/>
        <w:numPr>
          <w:ilvl w:val="0"/>
          <w:numId w:val="14"/>
        </w:numPr>
        <w:spacing w:before="240" w:line="360" w:lineRule="auto"/>
        <w:jc w:val="both"/>
        <w:rPr>
          <w:rFonts w:ascii="Arial" w:hAnsi="Arial" w:cs="Arial"/>
          <w:lang w:val="en-US"/>
        </w:rPr>
      </w:pPr>
      <w:proofErr w:type="spellStart"/>
      <w:r w:rsidRPr="00CB4BC7">
        <w:rPr>
          <w:rFonts w:ascii="Arial" w:hAnsi="Arial" w:cs="Arial"/>
          <w:b/>
          <w:bCs/>
          <w:lang w:val="en-US"/>
        </w:rPr>
        <w:lastRenderedPageBreak/>
        <w:t>Decentralised</w:t>
      </w:r>
      <w:proofErr w:type="spellEnd"/>
      <w:r w:rsidRPr="00CB4BC7">
        <w:rPr>
          <w:rFonts w:ascii="Arial" w:hAnsi="Arial" w:cs="Arial"/>
          <w:b/>
          <w:bCs/>
          <w:lang w:val="en-US"/>
        </w:rPr>
        <w:t xml:space="preserve"> Approach (First Phase):</w:t>
      </w:r>
      <w:r w:rsidRPr="00CB4BC7">
        <w:rPr>
          <w:rFonts w:ascii="Arial" w:hAnsi="Arial" w:cs="Arial"/>
          <w:lang w:val="en-US"/>
        </w:rPr>
        <w:t xml:space="preserve"> </w:t>
      </w:r>
      <w:r w:rsidR="0078575B" w:rsidRPr="0078575B">
        <w:rPr>
          <w:rFonts w:ascii="Arial" w:hAnsi="Arial" w:cs="Arial"/>
          <w:lang w:val="en-US"/>
        </w:rPr>
        <w:t xml:space="preserve">A lack of coordination on the national level, a delay in the transmission of information, and an absence of uniting messages about health-related concerns were all present from the beginning of the fragmented reaction (Evaluation of Spanish Health System, 2021).  It is because of the lack of </w:t>
      </w:r>
      <w:proofErr w:type="spellStart"/>
      <w:r w:rsidR="0078575B" w:rsidRPr="0078575B">
        <w:rPr>
          <w:rFonts w:ascii="Arial" w:hAnsi="Arial" w:cs="Arial"/>
          <w:lang w:val="en-US"/>
        </w:rPr>
        <w:t>centralisation</w:t>
      </w:r>
      <w:proofErr w:type="spellEnd"/>
      <w:r w:rsidR="0078575B" w:rsidRPr="0078575B">
        <w:rPr>
          <w:rFonts w:ascii="Arial" w:hAnsi="Arial" w:cs="Arial"/>
          <w:lang w:val="en-US"/>
        </w:rPr>
        <w:t xml:space="preserve"> of procurement or the creation of national preparedness procedures by the Ministry of Health that the regions are now in a situation where they are competing with one another for essential resources such as personal protective equipment (PPE) or ventilators. This competition results in disparities in service delivery between the regions that are more prosperous and those that are less prosperous.</w:t>
      </w:r>
    </w:p>
    <w:p w14:paraId="7CFEEB4A" w14:textId="1759AB63" w:rsidR="0071581A" w:rsidRPr="000078B3" w:rsidRDefault="0071581A" w:rsidP="000078B3">
      <w:pPr>
        <w:pStyle w:val="ListParagraph"/>
        <w:numPr>
          <w:ilvl w:val="0"/>
          <w:numId w:val="14"/>
        </w:numPr>
        <w:spacing w:before="240" w:line="360" w:lineRule="auto"/>
        <w:jc w:val="both"/>
        <w:rPr>
          <w:rFonts w:ascii="Arial" w:hAnsi="Arial" w:cs="Arial"/>
          <w:lang w:val="en-US"/>
        </w:rPr>
      </w:pPr>
      <w:proofErr w:type="spellStart"/>
      <w:r w:rsidRPr="00CB4BC7">
        <w:rPr>
          <w:rFonts w:ascii="Arial" w:hAnsi="Arial" w:cs="Arial"/>
          <w:b/>
          <w:bCs/>
          <w:lang w:val="en-US"/>
        </w:rPr>
        <w:t>Centralised</w:t>
      </w:r>
      <w:proofErr w:type="spellEnd"/>
      <w:r w:rsidRPr="00CB4BC7">
        <w:rPr>
          <w:rFonts w:ascii="Arial" w:hAnsi="Arial" w:cs="Arial"/>
          <w:b/>
          <w:bCs/>
          <w:lang w:val="en-US"/>
        </w:rPr>
        <w:t xml:space="preserve"> Approach (State of Alarm):</w:t>
      </w:r>
      <w:r w:rsidRPr="00CB4BC7">
        <w:rPr>
          <w:rFonts w:ascii="Arial" w:hAnsi="Arial" w:cs="Arial"/>
          <w:lang w:val="en-US"/>
        </w:rPr>
        <w:t xml:space="preserve"> </w:t>
      </w:r>
      <w:r w:rsidR="000078B3" w:rsidRPr="000078B3">
        <w:rPr>
          <w:rFonts w:ascii="Arial" w:hAnsi="Arial" w:cs="Arial"/>
          <w:lang w:val="en-US"/>
        </w:rPr>
        <w:t xml:space="preserve">Midway through the month of March in the year 2020, the government issued a State of Alarm (Living with COVID-19, 2020) due to the fact that the infection and mortality rates were among the highest in the world. Because of this verdict, the national government was given temporary authority over all matters pertaining to national security and health policies. This </w:t>
      </w:r>
      <w:proofErr w:type="spellStart"/>
      <w:r w:rsidR="000078B3" w:rsidRPr="000078B3">
        <w:rPr>
          <w:rFonts w:ascii="Arial" w:hAnsi="Arial" w:cs="Arial"/>
          <w:lang w:val="en-US"/>
        </w:rPr>
        <w:t>centralisation</w:t>
      </w:r>
      <w:proofErr w:type="spellEnd"/>
      <w:r w:rsidR="000078B3" w:rsidRPr="000078B3">
        <w:rPr>
          <w:rFonts w:ascii="Arial" w:hAnsi="Arial" w:cs="Arial"/>
          <w:lang w:val="en-US"/>
        </w:rPr>
        <w:t xml:space="preserve"> was a tremendous advantage since the statewide, stringent, uniform lockdown puts an immediate halt to the propagation of the disease to surrounding communities</w:t>
      </w:r>
      <w:r w:rsidRPr="000078B3">
        <w:rPr>
          <w:rFonts w:ascii="Arial" w:hAnsi="Arial" w:cs="Arial"/>
          <w:lang w:val="en-US"/>
        </w:rPr>
        <w:t>.</w:t>
      </w:r>
    </w:p>
    <w:p w14:paraId="5A958345" w14:textId="604925E5" w:rsidR="0071581A" w:rsidRPr="0071581A" w:rsidRDefault="0071581A" w:rsidP="00CB4BC7">
      <w:pPr>
        <w:pStyle w:val="Heading3"/>
        <w:rPr>
          <w:lang w:val="en-US"/>
        </w:rPr>
      </w:pPr>
      <w:bookmarkStart w:id="8" w:name="_Toc216525533"/>
      <w:r w:rsidRPr="0071581A">
        <w:rPr>
          <w:lang w:val="en-US"/>
        </w:rPr>
        <w:t>2.1.3. Benefits, Adverse Effects, and Health Outcomes</w:t>
      </w:r>
      <w:bookmarkEnd w:id="8"/>
    </w:p>
    <w:p w14:paraId="34D9E4FB" w14:textId="77777777" w:rsid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experience demonstrates the negative aspects of the Spanish </w:t>
      </w:r>
      <w:proofErr w:type="spellStart"/>
      <w:r w:rsidRPr="0071581A">
        <w:rPr>
          <w:rFonts w:ascii="Arial" w:hAnsi="Arial" w:cs="Arial"/>
          <w:lang w:val="en-US"/>
        </w:rPr>
        <w:t>decentralised</w:t>
      </w:r>
      <w:proofErr w:type="spellEnd"/>
      <w:r w:rsidRPr="0071581A">
        <w:rPr>
          <w:rFonts w:ascii="Arial" w:hAnsi="Arial" w:cs="Arial"/>
          <w:lang w:val="en-US"/>
        </w:rPr>
        <w:t xml:space="preserve"> </w:t>
      </w:r>
      <w:proofErr w:type="spellStart"/>
      <w:r w:rsidRPr="0071581A">
        <w:rPr>
          <w:rFonts w:ascii="Arial" w:hAnsi="Arial" w:cs="Arial"/>
          <w:lang w:val="en-US"/>
        </w:rPr>
        <w:t>organisation</w:t>
      </w:r>
      <w:proofErr w:type="spellEnd"/>
      <w:r w:rsidRPr="0071581A">
        <w:rPr>
          <w:rFonts w:ascii="Arial" w:hAnsi="Arial" w:cs="Arial"/>
          <w:lang w:val="en-US"/>
        </w:rPr>
        <w:t xml:space="preserve"> as well as the power needed by temporary </w:t>
      </w:r>
      <w:proofErr w:type="spellStart"/>
      <w:r w:rsidRPr="0071581A">
        <w:rPr>
          <w:rFonts w:ascii="Arial" w:hAnsi="Arial" w:cs="Arial"/>
          <w:lang w:val="en-US"/>
        </w:rPr>
        <w:t>centralisation</w:t>
      </w:r>
      <w:proofErr w:type="spellEnd"/>
      <w:r w:rsidRPr="0071581A">
        <w:rPr>
          <w:rFonts w:ascii="Arial" w:hAnsi="Arial" w:cs="Arial"/>
          <w:lang w:val="en-US"/>
        </w:rPr>
        <w:t>.</w:t>
      </w:r>
    </w:p>
    <w:tbl>
      <w:tblPr>
        <w:tblStyle w:val="TableGrid"/>
        <w:tblW w:w="0" w:type="auto"/>
        <w:tblLook w:val="04A0" w:firstRow="1" w:lastRow="0" w:firstColumn="1" w:lastColumn="0" w:noHBand="0" w:noVBand="1"/>
      </w:tblPr>
      <w:tblGrid>
        <w:gridCol w:w="2192"/>
        <w:gridCol w:w="3197"/>
        <w:gridCol w:w="3627"/>
      </w:tblGrid>
      <w:tr w:rsidR="002774FA" w:rsidRPr="002774FA" w14:paraId="35C36596" w14:textId="77777777" w:rsidTr="002774FA">
        <w:tc>
          <w:tcPr>
            <w:tcW w:w="0" w:type="auto"/>
            <w:hideMark/>
          </w:tcPr>
          <w:p w14:paraId="49397AC3" w14:textId="77777777" w:rsidR="002774FA" w:rsidRPr="002774FA" w:rsidRDefault="002774FA" w:rsidP="002774FA">
            <w:pPr>
              <w:spacing w:before="240" w:line="360" w:lineRule="auto"/>
              <w:jc w:val="both"/>
              <w:rPr>
                <w:rFonts w:ascii="Arial" w:hAnsi="Arial" w:cs="Arial"/>
                <w:lang w:val="en-US"/>
              </w:rPr>
            </w:pPr>
            <w:r w:rsidRPr="002774FA">
              <w:rPr>
                <w:rFonts w:ascii="Arial" w:hAnsi="Arial" w:cs="Arial"/>
                <w:b/>
                <w:bCs/>
                <w:lang w:val="en-US"/>
              </w:rPr>
              <w:t>Approach</w:t>
            </w:r>
          </w:p>
        </w:tc>
        <w:tc>
          <w:tcPr>
            <w:tcW w:w="0" w:type="auto"/>
            <w:hideMark/>
          </w:tcPr>
          <w:p w14:paraId="3D2768BA" w14:textId="77777777" w:rsidR="002774FA" w:rsidRPr="002774FA" w:rsidRDefault="002774FA" w:rsidP="002774FA">
            <w:pPr>
              <w:spacing w:before="240" w:line="360" w:lineRule="auto"/>
              <w:jc w:val="both"/>
              <w:rPr>
                <w:rFonts w:ascii="Arial" w:hAnsi="Arial" w:cs="Arial"/>
                <w:lang w:val="en-US"/>
              </w:rPr>
            </w:pPr>
            <w:r w:rsidRPr="002774FA">
              <w:rPr>
                <w:rFonts w:ascii="Arial" w:hAnsi="Arial" w:cs="Arial"/>
                <w:b/>
                <w:bCs/>
                <w:lang w:val="en-US"/>
              </w:rPr>
              <w:t>Advantages</w:t>
            </w:r>
          </w:p>
        </w:tc>
        <w:tc>
          <w:tcPr>
            <w:tcW w:w="0" w:type="auto"/>
            <w:hideMark/>
          </w:tcPr>
          <w:p w14:paraId="2BE971E7" w14:textId="77777777" w:rsidR="002774FA" w:rsidRPr="002774FA" w:rsidRDefault="002774FA" w:rsidP="002774FA">
            <w:pPr>
              <w:spacing w:before="240" w:line="360" w:lineRule="auto"/>
              <w:jc w:val="both"/>
              <w:rPr>
                <w:rFonts w:ascii="Arial" w:hAnsi="Arial" w:cs="Arial"/>
                <w:lang w:val="en-US"/>
              </w:rPr>
            </w:pPr>
            <w:r w:rsidRPr="002774FA">
              <w:rPr>
                <w:rFonts w:ascii="Arial" w:hAnsi="Arial" w:cs="Arial"/>
                <w:b/>
                <w:bCs/>
                <w:lang w:val="en-US"/>
              </w:rPr>
              <w:t>Disadvantages</w:t>
            </w:r>
          </w:p>
        </w:tc>
      </w:tr>
      <w:tr w:rsidR="002774FA" w:rsidRPr="002774FA" w14:paraId="133FC595" w14:textId="77777777" w:rsidTr="002774FA">
        <w:tc>
          <w:tcPr>
            <w:tcW w:w="0" w:type="auto"/>
            <w:hideMark/>
          </w:tcPr>
          <w:p w14:paraId="241D0DF3" w14:textId="77777777" w:rsidR="002774FA" w:rsidRPr="002774FA" w:rsidRDefault="002774FA" w:rsidP="002774FA">
            <w:pPr>
              <w:spacing w:before="240" w:line="360" w:lineRule="auto"/>
              <w:jc w:val="both"/>
              <w:rPr>
                <w:rFonts w:ascii="Arial" w:hAnsi="Arial" w:cs="Arial"/>
                <w:lang w:val="en-US"/>
              </w:rPr>
            </w:pPr>
            <w:proofErr w:type="spellStart"/>
            <w:r w:rsidRPr="002774FA">
              <w:rPr>
                <w:rFonts w:ascii="Arial" w:hAnsi="Arial" w:cs="Arial"/>
                <w:b/>
                <w:bCs/>
                <w:lang w:val="en-US"/>
              </w:rPr>
              <w:t>Decentralisation</w:t>
            </w:r>
            <w:proofErr w:type="spellEnd"/>
            <w:r w:rsidRPr="002774FA">
              <w:rPr>
                <w:rFonts w:ascii="Arial" w:hAnsi="Arial" w:cs="Arial"/>
                <w:b/>
                <w:bCs/>
                <w:lang w:val="en-US"/>
              </w:rPr>
              <w:t xml:space="preserve"> (Pre- and Post-Alarm)</w:t>
            </w:r>
          </w:p>
        </w:tc>
        <w:tc>
          <w:tcPr>
            <w:tcW w:w="0" w:type="auto"/>
            <w:hideMark/>
          </w:tcPr>
          <w:p w14:paraId="09ACF0AF" w14:textId="77777777" w:rsidR="002774FA" w:rsidRPr="002774FA" w:rsidRDefault="002774FA" w:rsidP="002774FA">
            <w:pPr>
              <w:spacing w:before="240" w:line="360" w:lineRule="auto"/>
              <w:jc w:val="both"/>
              <w:rPr>
                <w:rFonts w:ascii="Arial" w:hAnsi="Arial" w:cs="Arial"/>
                <w:lang w:val="en-US"/>
              </w:rPr>
            </w:pPr>
            <w:r w:rsidRPr="002774FA">
              <w:rPr>
                <w:rFonts w:ascii="Arial" w:hAnsi="Arial" w:cs="Arial"/>
                <w:lang w:val="en-US"/>
              </w:rPr>
              <w:t>Allows health policies to be tailored to local epidemiological needs and preferences (The difficult resilience, 2022).</w:t>
            </w:r>
          </w:p>
        </w:tc>
        <w:tc>
          <w:tcPr>
            <w:tcW w:w="0" w:type="auto"/>
            <w:hideMark/>
          </w:tcPr>
          <w:p w14:paraId="4A9A0F0A" w14:textId="77777777" w:rsidR="002774FA" w:rsidRPr="002774FA" w:rsidRDefault="002774FA" w:rsidP="002774FA">
            <w:pPr>
              <w:spacing w:before="240" w:line="360" w:lineRule="auto"/>
              <w:jc w:val="both"/>
              <w:rPr>
                <w:rFonts w:ascii="Arial" w:hAnsi="Arial" w:cs="Arial"/>
                <w:lang w:val="en-US"/>
              </w:rPr>
            </w:pPr>
            <w:r w:rsidRPr="002774FA">
              <w:rPr>
                <w:rFonts w:ascii="Arial" w:hAnsi="Arial" w:cs="Arial"/>
                <w:b/>
                <w:bCs/>
                <w:lang w:val="en-US"/>
              </w:rPr>
              <w:t>Fragmented decision-making</w:t>
            </w:r>
            <w:r w:rsidRPr="002774FA">
              <w:rPr>
                <w:rFonts w:ascii="Arial" w:hAnsi="Arial" w:cs="Arial"/>
                <w:lang w:val="en-US"/>
              </w:rPr>
              <w:t xml:space="preserve"> and lack of national coordination, leading to initial paralysis and failure to act swiftly (Evaluation of Spanish Health System, 2021).</w:t>
            </w:r>
          </w:p>
        </w:tc>
      </w:tr>
      <w:tr w:rsidR="002774FA" w:rsidRPr="002774FA" w14:paraId="44818689" w14:textId="77777777" w:rsidTr="002774FA">
        <w:tc>
          <w:tcPr>
            <w:tcW w:w="0" w:type="auto"/>
            <w:hideMark/>
          </w:tcPr>
          <w:p w14:paraId="108B9B88" w14:textId="77777777" w:rsidR="002774FA" w:rsidRPr="002774FA" w:rsidRDefault="002774FA" w:rsidP="002774FA">
            <w:pPr>
              <w:spacing w:before="240" w:line="360" w:lineRule="auto"/>
              <w:jc w:val="both"/>
              <w:rPr>
                <w:rFonts w:ascii="Arial" w:hAnsi="Arial" w:cs="Arial"/>
                <w:lang w:val="en-US"/>
              </w:rPr>
            </w:pPr>
            <w:proofErr w:type="spellStart"/>
            <w:r w:rsidRPr="002774FA">
              <w:rPr>
                <w:rFonts w:ascii="Arial" w:hAnsi="Arial" w:cs="Arial"/>
                <w:b/>
                <w:bCs/>
                <w:lang w:val="en-US"/>
              </w:rPr>
              <w:t>Centralisation</w:t>
            </w:r>
            <w:proofErr w:type="spellEnd"/>
            <w:r w:rsidRPr="002774FA">
              <w:rPr>
                <w:rFonts w:ascii="Arial" w:hAnsi="Arial" w:cs="Arial"/>
                <w:b/>
                <w:bCs/>
                <w:lang w:val="en-US"/>
              </w:rPr>
              <w:t xml:space="preserve"> (During State of Alarm)</w:t>
            </w:r>
          </w:p>
        </w:tc>
        <w:tc>
          <w:tcPr>
            <w:tcW w:w="0" w:type="auto"/>
            <w:hideMark/>
          </w:tcPr>
          <w:p w14:paraId="56DA5EF0" w14:textId="77777777" w:rsidR="002774FA" w:rsidRPr="002774FA" w:rsidRDefault="002774FA" w:rsidP="002774FA">
            <w:pPr>
              <w:spacing w:before="240" w:line="360" w:lineRule="auto"/>
              <w:jc w:val="both"/>
              <w:rPr>
                <w:rFonts w:ascii="Arial" w:hAnsi="Arial" w:cs="Arial"/>
                <w:lang w:val="en-US"/>
              </w:rPr>
            </w:pPr>
            <w:r w:rsidRPr="002774FA">
              <w:rPr>
                <w:rFonts w:ascii="Arial" w:hAnsi="Arial" w:cs="Arial"/>
                <w:b/>
                <w:bCs/>
                <w:lang w:val="en-US"/>
              </w:rPr>
              <w:t>Rapid, uniform, and decisive action</w:t>
            </w:r>
            <w:r w:rsidRPr="002774FA">
              <w:rPr>
                <w:rFonts w:ascii="Arial" w:hAnsi="Arial" w:cs="Arial"/>
                <w:lang w:val="en-US"/>
              </w:rPr>
              <w:t xml:space="preserve"> (e.g., national lockdown) ensured population-wide compliance, which was crucial for controlling the first wave.</w:t>
            </w:r>
          </w:p>
        </w:tc>
        <w:tc>
          <w:tcPr>
            <w:tcW w:w="0" w:type="auto"/>
            <w:hideMark/>
          </w:tcPr>
          <w:p w14:paraId="1278EF50" w14:textId="77777777" w:rsidR="002774FA" w:rsidRPr="002774FA" w:rsidRDefault="002774FA" w:rsidP="002774FA">
            <w:pPr>
              <w:keepNext/>
              <w:spacing w:before="240" w:line="360" w:lineRule="auto"/>
              <w:jc w:val="both"/>
              <w:rPr>
                <w:rFonts w:ascii="Arial" w:hAnsi="Arial" w:cs="Arial"/>
                <w:lang w:val="en-US"/>
              </w:rPr>
            </w:pPr>
            <w:r w:rsidRPr="002774FA">
              <w:rPr>
                <w:rFonts w:ascii="Arial" w:hAnsi="Arial" w:cs="Arial"/>
                <w:lang w:val="en-US"/>
              </w:rPr>
              <w:t>Loss of regional autonomy and political conflict between the central government and the AACC, undermining long-term trust and cooperation (The Limits of Power Concentration, 2023).</w:t>
            </w:r>
          </w:p>
        </w:tc>
      </w:tr>
    </w:tbl>
    <w:p w14:paraId="2F7ADA27" w14:textId="6E0AE03C" w:rsidR="002774FA" w:rsidRDefault="002774FA">
      <w:pPr>
        <w:pStyle w:val="Caption"/>
      </w:pPr>
      <w:bookmarkStart w:id="9" w:name="_Toc216525565"/>
      <w:r>
        <w:t xml:space="preserve">Table </w:t>
      </w:r>
      <w:r>
        <w:fldChar w:fldCharType="begin"/>
      </w:r>
      <w:r>
        <w:instrText xml:space="preserve"> SEQ Table \* ARABIC </w:instrText>
      </w:r>
      <w:r>
        <w:fldChar w:fldCharType="separate"/>
      </w:r>
      <w:r w:rsidR="00A57571">
        <w:rPr>
          <w:noProof/>
        </w:rPr>
        <w:t>1</w:t>
      </w:r>
      <w:r>
        <w:fldChar w:fldCharType="end"/>
      </w:r>
      <w:r>
        <w:t>: Approaches advantages and di</w:t>
      </w:r>
      <w:r w:rsidR="009E4105">
        <w:t>s</w:t>
      </w:r>
      <w:r>
        <w:t>advantages</w:t>
      </w:r>
      <w:bookmarkEnd w:id="9"/>
    </w:p>
    <w:p w14:paraId="1EFB3281" w14:textId="77777777" w:rsidR="004931F7" w:rsidRDefault="0071581A" w:rsidP="004931F7">
      <w:pPr>
        <w:spacing w:before="240" w:line="360" w:lineRule="auto"/>
        <w:jc w:val="both"/>
        <w:rPr>
          <w:rFonts w:ascii="Arial" w:hAnsi="Arial" w:cs="Arial"/>
          <w:lang w:val="en-US"/>
        </w:rPr>
      </w:pPr>
      <w:r w:rsidRPr="0071581A">
        <w:rPr>
          <w:rFonts w:ascii="Arial" w:hAnsi="Arial" w:cs="Arial"/>
          <w:b/>
          <w:bCs/>
          <w:lang w:val="en-US"/>
        </w:rPr>
        <w:lastRenderedPageBreak/>
        <w:t>Health Results and Problems:</w:t>
      </w:r>
      <w:r w:rsidRPr="0071581A">
        <w:rPr>
          <w:rFonts w:ascii="Arial" w:hAnsi="Arial" w:cs="Arial"/>
          <w:lang w:val="en-US"/>
        </w:rPr>
        <w:t xml:space="preserve"> </w:t>
      </w:r>
      <w:r w:rsidR="004931F7" w:rsidRPr="004931F7">
        <w:rPr>
          <w:rFonts w:ascii="Arial" w:hAnsi="Arial" w:cs="Arial"/>
          <w:lang w:val="en-US"/>
        </w:rPr>
        <w:t xml:space="preserve">Spain was one of the nations that had the highest death and infection rates during the first wave of the pandemic (The Limits of Power Concentration, 2023). The initial sluggish and fragmented method brought to devastating health results. This inability may be traced back to the structural incompetence of the </w:t>
      </w:r>
      <w:proofErr w:type="spellStart"/>
      <w:r w:rsidR="004931F7" w:rsidRPr="004931F7">
        <w:rPr>
          <w:rFonts w:ascii="Arial" w:hAnsi="Arial" w:cs="Arial"/>
          <w:lang w:val="en-US"/>
        </w:rPr>
        <w:t>decentralised</w:t>
      </w:r>
      <w:proofErr w:type="spellEnd"/>
      <w:r w:rsidR="004931F7" w:rsidRPr="004931F7">
        <w:rPr>
          <w:rFonts w:ascii="Arial" w:hAnsi="Arial" w:cs="Arial"/>
          <w:lang w:val="en-US"/>
        </w:rPr>
        <w:t xml:space="preserve"> system that operates during times of peace—namely, its inability to quickly transition to a national crisis management strategy that is coordinated. </w:t>
      </w:r>
    </w:p>
    <w:p w14:paraId="6E39479B" w14:textId="750A1602" w:rsidR="0071581A" w:rsidRDefault="004931F7" w:rsidP="004931F7">
      <w:pPr>
        <w:spacing w:before="240" w:line="360" w:lineRule="auto"/>
        <w:jc w:val="both"/>
        <w:rPr>
          <w:rFonts w:ascii="Arial" w:hAnsi="Arial" w:cs="Arial"/>
          <w:lang w:val="en-US"/>
        </w:rPr>
      </w:pPr>
      <w:r w:rsidRPr="004931F7">
        <w:rPr>
          <w:rFonts w:ascii="Arial" w:hAnsi="Arial" w:cs="Arial"/>
          <w:lang w:val="en-US"/>
        </w:rPr>
        <w:t xml:space="preserve">On the other hand, the following national </w:t>
      </w:r>
      <w:proofErr w:type="spellStart"/>
      <w:r w:rsidRPr="004931F7">
        <w:rPr>
          <w:rFonts w:ascii="Arial" w:hAnsi="Arial" w:cs="Arial"/>
          <w:lang w:val="en-US"/>
        </w:rPr>
        <w:t>immunisation</w:t>
      </w:r>
      <w:proofErr w:type="spellEnd"/>
      <w:r w:rsidRPr="004931F7">
        <w:rPr>
          <w:rFonts w:ascii="Arial" w:hAnsi="Arial" w:cs="Arial"/>
          <w:lang w:val="en-US"/>
        </w:rPr>
        <w:t xml:space="preserve"> campaign against COVID-19, which was far more effective than the previous one, demonstrated the advantages of central planning and logistics (The difficulties of resilience, 2022). As soon as the central government was able to provide some kind of guidance, procurement, and distribution plan, the </w:t>
      </w:r>
      <w:proofErr w:type="spellStart"/>
      <w:r w:rsidRPr="004931F7">
        <w:rPr>
          <w:rFonts w:ascii="Arial" w:hAnsi="Arial" w:cs="Arial"/>
          <w:lang w:val="en-US"/>
        </w:rPr>
        <w:t>decentralised</w:t>
      </w:r>
      <w:proofErr w:type="spellEnd"/>
      <w:r w:rsidRPr="004931F7">
        <w:rPr>
          <w:rFonts w:ascii="Arial" w:hAnsi="Arial" w:cs="Arial"/>
          <w:lang w:val="en-US"/>
        </w:rPr>
        <w:t xml:space="preserve"> regional health services were able to distribute vaccinations in a very efficient manner. They were able to take use of the fact that they were located closer to the people. The challenge, then, was not the effectiveness of the AACC as an </w:t>
      </w:r>
      <w:proofErr w:type="spellStart"/>
      <w:r w:rsidRPr="004931F7">
        <w:rPr>
          <w:rFonts w:ascii="Arial" w:hAnsi="Arial" w:cs="Arial"/>
          <w:lang w:val="en-US"/>
        </w:rPr>
        <w:t>organisation</w:t>
      </w:r>
      <w:proofErr w:type="spellEnd"/>
      <w:r w:rsidRPr="004931F7">
        <w:rPr>
          <w:rFonts w:ascii="Arial" w:hAnsi="Arial" w:cs="Arial"/>
          <w:lang w:val="en-US"/>
        </w:rPr>
        <w:t xml:space="preserve">; rather, it was the level of unity and leadership that existed inside the </w:t>
      </w:r>
      <w:proofErr w:type="spellStart"/>
      <w:r w:rsidRPr="004931F7">
        <w:rPr>
          <w:rFonts w:ascii="Arial" w:hAnsi="Arial" w:cs="Arial"/>
          <w:lang w:val="en-US"/>
        </w:rPr>
        <w:t>centre</w:t>
      </w:r>
      <w:proofErr w:type="spellEnd"/>
      <w:r w:rsidRPr="004931F7">
        <w:rPr>
          <w:rFonts w:ascii="Arial" w:hAnsi="Arial" w:cs="Arial"/>
          <w:lang w:val="en-US"/>
        </w:rPr>
        <w:t xml:space="preserve"> during the first stages.</w:t>
      </w:r>
    </w:p>
    <w:p w14:paraId="528FEB18" w14:textId="77777777" w:rsidR="00F44C7A" w:rsidRDefault="0075651D" w:rsidP="00F44C7A">
      <w:pPr>
        <w:keepNext/>
        <w:spacing w:before="240" w:line="360" w:lineRule="auto"/>
        <w:jc w:val="center"/>
      </w:pPr>
      <w:r>
        <w:rPr>
          <w:noProof/>
        </w:rPr>
        <w:drawing>
          <wp:inline distT="0" distB="0" distL="0" distR="0" wp14:anchorId="5DD322DD" wp14:editId="4933EFFE">
            <wp:extent cx="3702050" cy="2828422"/>
            <wp:effectExtent l="0" t="0" r="0" b="0"/>
            <wp:docPr id="950686151" name="Picture 1" descr="the flag of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lag of Spai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11580" cy="2835703"/>
                    </a:xfrm>
                    <a:prstGeom prst="rect">
                      <a:avLst/>
                    </a:prstGeom>
                    <a:noFill/>
                    <a:ln>
                      <a:noFill/>
                    </a:ln>
                  </pic:spPr>
                </pic:pic>
              </a:graphicData>
            </a:graphic>
          </wp:inline>
        </w:drawing>
      </w:r>
    </w:p>
    <w:p w14:paraId="39C200CD" w14:textId="64D495F6" w:rsidR="0075651D" w:rsidRDefault="00F44C7A" w:rsidP="00F44C7A">
      <w:pPr>
        <w:pStyle w:val="Caption"/>
        <w:jc w:val="center"/>
      </w:pPr>
      <w:bookmarkStart w:id="10" w:name="_Toc216525557"/>
      <w:r>
        <w:t xml:space="preserve">Figure </w:t>
      </w:r>
      <w:r>
        <w:fldChar w:fldCharType="begin"/>
      </w:r>
      <w:r>
        <w:instrText xml:space="preserve"> SEQ Figure \* ARABIC </w:instrText>
      </w:r>
      <w:r>
        <w:fldChar w:fldCharType="separate"/>
      </w:r>
      <w:r w:rsidR="00412FB9">
        <w:rPr>
          <w:noProof/>
        </w:rPr>
        <w:t>1</w:t>
      </w:r>
      <w:r>
        <w:fldChar w:fldCharType="end"/>
      </w:r>
      <w:r>
        <w:t>: Spain overview</w:t>
      </w:r>
      <w:bookmarkEnd w:id="10"/>
    </w:p>
    <w:p w14:paraId="43931977" w14:textId="50861BDA" w:rsidR="00F44C7A" w:rsidRPr="0071581A" w:rsidRDefault="00F44C7A" w:rsidP="000F22E1">
      <w:pPr>
        <w:jc w:val="center"/>
        <w:rPr>
          <w:rFonts w:ascii="Arial" w:hAnsi="Arial" w:cs="Arial"/>
          <w:lang w:val="en-US"/>
        </w:rPr>
      </w:pPr>
      <w:r w:rsidRPr="000F22E1">
        <w:rPr>
          <w:rFonts w:ascii="Arial" w:hAnsi="Arial" w:cs="Arial"/>
          <w:b/>
          <w:bCs/>
          <w:lang w:val="en-US"/>
        </w:rPr>
        <w:t>Source:</w:t>
      </w:r>
      <w:r w:rsidRPr="000F22E1">
        <w:rPr>
          <w:rFonts w:ascii="Arial" w:hAnsi="Arial" w:cs="Arial"/>
          <w:lang w:val="en-US"/>
        </w:rPr>
        <w:t xml:space="preserve"> </w:t>
      </w:r>
      <w:r w:rsidR="000F22E1" w:rsidRPr="000F22E1">
        <w:rPr>
          <w:rFonts w:ascii="Arial" w:hAnsi="Arial" w:cs="Arial"/>
          <w:lang w:val="en-US"/>
        </w:rPr>
        <w:t>Shutterstock</w:t>
      </w:r>
    </w:p>
    <w:p w14:paraId="267CF1CF" w14:textId="5479160C" w:rsidR="0071581A" w:rsidRPr="0071581A" w:rsidRDefault="0071581A" w:rsidP="009E4105">
      <w:pPr>
        <w:pStyle w:val="Heading2"/>
        <w:rPr>
          <w:lang w:val="en-US"/>
        </w:rPr>
      </w:pPr>
      <w:bookmarkStart w:id="11" w:name="_Toc216525534"/>
      <w:r w:rsidRPr="0071581A">
        <w:rPr>
          <w:lang w:val="en-US"/>
        </w:rPr>
        <w:t xml:space="preserve">2.2. South Korea: Stronger with a Prepared, </w:t>
      </w:r>
      <w:proofErr w:type="spellStart"/>
      <w:r w:rsidRPr="0071581A">
        <w:rPr>
          <w:lang w:val="en-US"/>
        </w:rPr>
        <w:t>Centralised</w:t>
      </w:r>
      <w:proofErr w:type="spellEnd"/>
      <w:r w:rsidRPr="0071581A">
        <w:rPr>
          <w:lang w:val="en-US"/>
        </w:rPr>
        <w:t xml:space="preserve"> Public Health Model</w:t>
      </w:r>
      <w:bookmarkEnd w:id="11"/>
    </w:p>
    <w:p w14:paraId="22554647" w14:textId="76451B77" w:rsidR="0071581A" w:rsidRPr="0071581A" w:rsidRDefault="0071581A" w:rsidP="00F41DC0">
      <w:pPr>
        <w:pStyle w:val="Heading3"/>
        <w:rPr>
          <w:lang w:val="en-US"/>
        </w:rPr>
      </w:pPr>
      <w:bookmarkStart w:id="12" w:name="_Toc216525535"/>
      <w:r w:rsidRPr="0071581A">
        <w:rPr>
          <w:lang w:val="en-US"/>
        </w:rPr>
        <w:t>2.2.1. Summary of South Korean Healthcare System Typology</w:t>
      </w:r>
      <w:bookmarkEnd w:id="12"/>
    </w:p>
    <w:p w14:paraId="3C75CE7C" w14:textId="118BDF53" w:rsidR="0071581A" w:rsidRPr="0071581A" w:rsidRDefault="00CA14CE" w:rsidP="0071581A">
      <w:pPr>
        <w:spacing w:before="240" w:line="360" w:lineRule="auto"/>
        <w:jc w:val="both"/>
        <w:rPr>
          <w:rFonts w:ascii="Arial" w:hAnsi="Arial" w:cs="Arial"/>
          <w:lang w:val="en-US"/>
        </w:rPr>
      </w:pPr>
      <w:r w:rsidRPr="00CA14CE">
        <w:rPr>
          <w:rFonts w:ascii="Arial" w:hAnsi="Arial" w:cs="Arial"/>
          <w:lang w:val="en-US"/>
        </w:rPr>
        <w:t xml:space="preserve">South Korea's healthcare system is </w:t>
      </w:r>
      <w:proofErr w:type="spellStart"/>
      <w:r w:rsidRPr="00CA14CE">
        <w:rPr>
          <w:rFonts w:ascii="Arial" w:hAnsi="Arial" w:cs="Arial"/>
          <w:lang w:val="en-US"/>
        </w:rPr>
        <w:t>characterised</w:t>
      </w:r>
      <w:proofErr w:type="spellEnd"/>
      <w:r w:rsidRPr="00CA14CE">
        <w:rPr>
          <w:rFonts w:ascii="Arial" w:hAnsi="Arial" w:cs="Arial"/>
          <w:lang w:val="en-US"/>
        </w:rPr>
        <w:t xml:space="preserve"> by a National Health Insurance (NHI) system that offers universal coverage and is delivered by a mix of public and high-volume </w:t>
      </w:r>
      <w:r w:rsidRPr="00CA14CE">
        <w:rPr>
          <w:rFonts w:ascii="Arial" w:hAnsi="Arial" w:cs="Arial"/>
          <w:lang w:val="en-US"/>
        </w:rPr>
        <w:lastRenderedPageBreak/>
        <w:t xml:space="preserve">providers. This system is the hallmark of South Korea's healthcare system. Most significantly, it features a highly </w:t>
      </w:r>
      <w:proofErr w:type="spellStart"/>
      <w:r w:rsidRPr="00CA14CE">
        <w:rPr>
          <w:rFonts w:ascii="Arial" w:hAnsi="Arial" w:cs="Arial"/>
          <w:lang w:val="en-US"/>
        </w:rPr>
        <w:t>centralised</w:t>
      </w:r>
      <w:proofErr w:type="spellEnd"/>
      <w:r w:rsidRPr="00CA14CE">
        <w:rPr>
          <w:rFonts w:ascii="Arial" w:hAnsi="Arial" w:cs="Arial"/>
          <w:lang w:val="en-US"/>
        </w:rPr>
        <w:t xml:space="preserve"> framework for responding to public health and infectious illnesses, which is controlled by the Korea Disease Control and Prevention Agency (KDCA) (Korea Disease Control and Prevention Agency - </w:t>
      </w:r>
      <w:proofErr w:type="spellStart"/>
      <w:r w:rsidRPr="00CA14CE">
        <w:rPr>
          <w:rFonts w:ascii="Arial" w:hAnsi="Arial" w:cs="Arial"/>
          <w:lang w:val="en-US"/>
        </w:rPr>
        <w:t>Unicef</w:t>
      </w:r>
      <w:proofErr w:type="spellEnd"/>
      <w:r w:rsidRPr="00CA14CE">
        <w:rPr>
          <w:rFonts w:ascii="Arial" w:hAnsi="Arial" w:cs="Arial"/>
          <w:lang w:val="en-US"/>
        </w:rPr>
        <w:t xml:space="preserve">, 2024). This is the most crucial aspect of the system. According to the Effect of the formation in 2025, the KDCA, which has been the successor of the KCDC from the year 2020, has a solid legal foundation and is obliged to conduct both wide monitoring and national response. Following the emergence of MERS in 2015, this </w:t>
      </w:r>
      <w:proofErr w:type="spellStart"/>
      <w:r w:rsidRPr="00CA14CE">
        <w:rPr>
          <w:rFonts w:ascii="Arial" w:hAnsi="Arial" w:cs="Arial"/>
          <w:lang w:val="en-US"/>
        </w:rPr>
        <w:t>organisation</w:t>
      </w:r>
      <w:proofErr w:type="spellEnd"/>
      <w:r w:rsidRPr="00CA14CE">
        <w:rPr>
          <w:rFonts w:ascii="Arial" w:hAnsi="Arial" w:cs="Arial"/>
          <w:lang w:val="en-US"/>
        </w:rPr>
        <w:t xml:space="preserve"> underwent a significant amount of restructuring and was strengthened.</w:t>
      </w:r>
    </w:p>
    <w:p w14:paraId="0E7F49D6" w14:textId="30EB96C4" w:rsidR="0071581A" w:rsidRPr="0071581A" w:rsidRDefault="0071581A" w:rsidP="001A5CA3">
      <w:pPr>
        <w:pStyle w:val="Heading3"/>
        <w:rPr>
          <w:lang w:val="en-US"/>
        </w:rPr>
      </w:pPr>
      <w:bookmarkStart w:id="13" w:name="_Toc216525536"/>
      <w:r w:rsidRPr="0071581A">
        <w:rPr>
          <w:lang w:val="en-US"/>
        </w:rPr>
        <w:t>2.2.2. The Systems Approach Critical Analysis in the Pandemic</w:t>
      </w:r>
      <w:bookmarkEnd w:id="13"/>
    </w:p>
    <w:p w14:paraId="4440419A"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reaction of South Korea was acclaimed on the global level because of its swiftness, efficiency and ability to prevent severe, economically crippling national lockdowns (COVID-19 Responses of South Korea, 2021). This effectiveness was directly connected to its </w:t>
      </w:r>
      <w:proofErr w:type="spellStart"/>
      <w:r w:rsidRPr="0071581A">
        <w:rPr>
          <w:rFonts w:ascii="Arial" w:hAnsi="Arial" w:cs="Arial"/>
          <w:lang w:val="en-US"/>
        </w:rPr>
        <w:t>centralised</w:t>
      </w:r>
      <w:proofErr w:type="spellEnd"/>
      <w:r w:rsidRPr="0071581A">
        <w:rPr>
          <w:rFonts w:ascii="Arial" w:hAnsi="Arial" w:cs="Arial"/>
          <w:lang w:val="en-US"/>
        </w:rPr>
        <w:t xml:space="preserve"> model of governance of its public health that incorporated both the approach of the whole-of-government and the whole-of-society (Toward better pandemic governance, 2024).</w:t>
      </w:r>
    </w:p>
    <w:p w14:paraId="702186E3"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system approach was </w:t>
      </w:r>
      <w:proofErr w:type="spellStart"/>
      <w:r w:rsidRPr="0071581A">
        <w:rPr>
          <w:rFonts w:ascii="Arial" w:hAnsi="Arial" w:cs="Arial"/>
          <w:lang w:val="en-US"/>
        </w:rPr>
        <w:t>characterised</w:t>
      </w:r>
      <w:proofErr w:type="spellEnd"/>
      <w:r w:rsidRPr="0071581A">
        <w:rPr>
          <w:rFonts w:ascii="Arial" w:hAnsi="Arial" w:cs="Arial"/>
          <w:lang w:val="en-US"/>
        </w:rPr>
        <w:t xml:space="preserve"> by the great </w:t>
      </w:r>
      <w:proofErr w:type="spellStart"/>
      <w:r w:rsidRPr="0071581A">
        <w:rPr>
          <w:rFonts w:ascii="Arial" w:hAnsi="Arial" w:cs="Arial"/>
          <w:lang w:val="en-US"/>
        </w:rPr>
        <w:t>centralisation</w:t>
      </w:r>
      <w:proofErr w:type="spellEnd"/>
      <w:r w:rsidRPr="0071581A">
        <w:rPr>
          <w:rFonts w:ascii="Arial" w:hAnsi="Arial" w:cs="Arial"/>
          <w:lang w:val="en-US"/>
        </w:rPr>
        <w:t xml:space="preserve"> in the </w:t>
      </w:r>
      <w:proofErr w:type="spellStart"/>
      <w:r w:rsidRPr="0071581A">
        <w:rPr>
          <w:rFonts w:ascii="Arial" w:hAnsi="Arial" w:cs="Arial"/>
          <w:lang w:val="en-US"/>
        </w:rPr>
        <w:t>organisation</w:t>
      </w:r>
      <w:proofErr w:type="spellEnd"/>
      <w:r w:rsidRPr="0071581A">
        <w:rPr>
          <w:rFonts w:ascii="Arial" w:hAnsi="Arial" w:cs="Arial"/>
          <w:lang w:val="en-US"/>
        </w:rPr>
        <w:t xml:space="preserve"> of plans and their implementation:</w:t>
      </w:r>
    </w:p>
    <w:p w14:paraId="5140996A" w14:textId="77777777" w:rsidR="0071581A" w:rsidRPr="001A5CA3" w:rsidRDefault="0071581A" w:rsidP="001A5CA3">
      <w:pPr>
        <w:pStyle w:val="ListParagraph"/>
        <w:numPr>
          <w:ilvl w:val="0"/>
          <w:numId w:val="15"/>
        </w:numPr>
        <w:spacing w:before="240" w:line="360" w:lineRule="auto"/>
        <w:jc w:val="both"/>
        <w:rPr>
          <w:rFonts w:ascii="Arial" w:hAnsi="Arial" w:cs="Arial"/>
          <w:lang w:val="en-US"/>
        </w:rPr>
      </w:pPr>
      <w:proofErr w:type="spellStart"/>
      <w:r w:rsidRPr="001A5CA3">
        <w:rPr>
          <w:rFonts w:ascii="Arial" w:hAnsi="Arial" w:cs="Arial"/>
          <w:b/>
          <w:bCs/>
          <w:lang w:val="en-US"/>
        </w:rPr>
        <w:t>Centralised</w:t>
      </w:r>
      <w:proofErr w:type="spellEnd"/>
      <w:r w:rsidRPr="001A5CA3">
        <w:rPr>
          <w:rFonts w:ascii="Arial" w:hAnsi="Arial" w:cs="Arial"/>
          <w:b/>
          <w:bCs/>
          <w:lang w:val="en-US"/>
        </w:rPr>
        <w:t xml:space="preserve"> (The 3T Strategy):</w:t>
      </w:r>
      <w:r w:rsidRPr="001A5CA3">
        <w:rPr>
          <w:rFonts w:ascii="Arial" w:hAnsi="Arial" w:cs="Arial"/>
          <w:lang w:val="en-US"/>
        </w:rPr>
        <w:t xml:space="preserve"> KDCA, which was led directly by the government (including Prime Minister Chung Sye-</w:t>
      </w:r>
      <w:proofErr w:type="spellStart"/>
      <w:r w:rsidRPr="001A5CA3">
        <w:rPr>
          <w:rFonts w:ascii="Arial" w:hAnsi="Arial" w:cs="Arial"/>
          <w:lang w:val="en-US"/>
        </w:rPr>
        <w:t>kyun</w:t>
      </w:r>
      <w:proofErr w:type="spellEnd"/>
      <w:r w:rsidRPr="001A5CA3">
        <w:rPr>
          <w:rFonts w:ascii="Arial" w:hAnsi="Arial" w:cs="Arial"/>
          <w:lang w:val="en-US"/>
        </w:rPr>
        <w:t xml:space="preserve">), could also </w:t>
      </w:r>
      <w:proofErr w:type="spellStart"/>
      <w:r w:rsidRPr="001A5CA3">
        <w:rPr>
          <w:rFonts w:ascii="Arial" w:hAnsi="Arial" w:cs="Arial"/>
          <w:lang w:val="en-US"/>
        </w:rPr>
        <w:t>operationalise</w:t>
      </w:r>
      <w:proofErr w:type="spellEnd"/>
      <w:r w:rsidRPr="001A5CA3">
        <w:rPr>
          <w:rFonts w:ascii="Arial" w:hAnsi="Arial" w:cs="Arial"/>
          <w:lang w:val="en-US"/>
        </w:rPr>
        <w:t xml:space="preserve"> the so-called 3T strategy: Test, Trace, and Treat instantly (The Power of Collaborative Governance, 2020). These </w:t>
      </w:r>
      <w:proofErr w:type="spellStart"/>
      <w:r w:rsidRPr="001A5CA3">
        <w:rPr>
          <w:rFonts w:ascii="Arial" w:hAnsi="Arial" w:cs="Arial"/>
          <w:lang w:val="en-US"/>
        </w:rPr>
        <w:t>centralised</w:t>
      </w:r>
      <w:proofErr w:type="spellEnd"/>
      <w:r w:rsidRPr="001A5CA3">
        <w:rPr>
          <w:rFonts w:ascii="Arial" w:hAnsi="Arial" w:cs="Arial"/>
          <w:lang w:val="en-US"/>
        </w:rPr>
        <w:t xml:space="preserve"> powers were used to require fast test design and set up mobile testing stations (e.g., drive-throughs) and impose digital surveillance to perform full contact tracing, which relied on the telecommunications and credit card data (The response by South Korea, 2022).</w:t>
      </w:r>
    </w:p>
    <w:p w14:paraId="364A6787" w14:textId="77777777" w:rsidR="0071581A" w:rsidRPr="001A5CA3" w:rsidRDefault="0071581A" w:rsidP="001A5CA3">
      <w:pPr>
        <w:pStyle w:val="ListParagraph"/>
        <w:numPr>
          <w:ilvl w:val="0"/>
          <w:numId w:val="15"/>
        </w:numPr>
        <w:spacing w:before="240" w:line="360" w:lineRule="auto"/>
        <w:jc w:val="both"/>
        <w:rPr>
          <w:rFonts w:ascii="Arial" w:hAnsi="Arial" w:cs="Arial"/>
          <w:lang w:val="en-US"/>
        </w:rPr>
      </w:pPr>
      <w:r w:rsidRPr="001A5CA3">
        <w:rPr>
          <w:rFonts w:ascii="Arial" w:hAnsi="Arial" w:cs="Arial"/>
          <w:b/>
          <w:bCs/>
          <w:lang w:val="en-US"/>
        </w:rPr>
        <w:t>Collaborative/</w:t>
      </w:r>
      <w:proofErr w:type="spellStart"/>
      <w:r w:rsidRPr="001A5CA3">
        <w:rPr>
          <w:rFonts w:ascii="Arial" w:hAnsi="Arial" w:cs="Arial"/>
          <w:b/>
          <w:bCs/>
          <w:lang w:val="en-US"/>
        </w:rPr>
        <w:t>Decentralised</w:t>
      </w:r>
      <w:proofErr w:type="spellEnd"/>
      <w:r w:rsidRPr="001A5CA3">
        <w:rPr>
          <w:rFonts w:ascii="Arial" w:hAnsi="Arial" w:cs="Arial"/>
          <w:b/>
          <w:bCs/>
          <w:lang w:val="en-US"/>
        </w:rPr>
        <w:t xml:space="preserve"> Implementation:</w:t>
      </w:r>
      <w:r w:rsidRPr="001A5CA3">
        <w:rPr>
          <w:rFonts w:ascii="Arial" w:hAnsi="Arial" w:cs="Arial"/>
          <w:lang w:val="en-US"/>
        </w:rPr>
        <w:t xml:space="preserve"> The development of the core strategy was </w:t>
      </w:r>
      <w:proofErr w:type="spellStart"/>
      <w:r w:rsidRPr="001A5CA3">
        <w:rPr>
          <w:rFonts w:ascii="Arial" w:hAnsi="Arial" w:cs="Arial"/>
          <w:lang w:val="en-US"/>
        </w:rPr>
        <w:t>centralised</w:t>
      </w:r>
      <w:proofErr w:type="spellEnd"/>
      <w:r w:rsidRPr="001A5CA3">
        <w:rPr>
          <w:rFonts w:ascii="Arial" w:hAnsi="Arial" w:cs="Arial"/>
          <w:lang w:val="en-US"/>
        </w:rPr>
        <w:t xml:space="preserve">, but the implementation was based on a hybrid form of governance (COVID-19 Responses of South Korea, 2021). </w:t>
      </w:r>
      <w:proofErr w:type="spellStart"/>
      <w:r w:rsidRPr="001A5CA3">
        <w:rPr>
          <w:rFonts w:ascii="Arial" w:hAnsi="Arial" w:cs="Arial"/>
          <w:lang w:val="en-US"/>
        </w:rPr>
        <w:t>Decentralised</w:t>
      </w:r>
      <w:proofErr w:type="spellEnd"/>
      <w:r w:rsidRPr="001A5CA3">
        <w:rPr>
          <w:rFonts w:ascii="Arial" w:hAnsi="Arial" w:cs="Arial"/>
          <w:lang w:val="en-US"/>
        </w:rPr>
        <w:t xml:space="preserve"> factors consisted of the strong cooperation with the local authorities, the work of the local laboratories (to test masses), and the active civil society (The Collaboration Dynamics, 2024). This system of collaboration, however, worked under the visible, single command and visibility of the central KDCA.</w:t>
      </w:r>
    </w:p>
    <w:p w14:paraId="5F726EB9" w14:textId="71359E51" w:rsidR="0071581A" w:rsidRPr="0071581A" w:rsidRDefault="0071581A" w:rsidP="00BD1E2E">
      <w:pPr>
        <w:pStyle w:val="Heading3"/>
        <w:rPr>
          <w:lang w:val="en-US"/>
        </w:rPr>
      </w:pPr>
      <w:bookmarkStart w:id="14" w:name="_Toc216525537"/>
      <w:r w:rsidRPr="0071581A">
        <w:rPr>
          <w:lang w:val="en-US"/>
        </w:rPr>
        <w:t xml:space="preserve">2.2.3. </w:t>
      </w:r>
      <w:r w:rsidR="00BD1E2E" w:rsidRPr="00BD1E2E">
        <w:rPr>
          <w:lang w:val="en-US"/>
        </w:rPr>
        <w:t>Advantages, Disadvantages, and Health Outcomes</w:t>
      </w:r>
      <w:bookmarkEnd w:id="14"/>
    </w:p>
    <w:p w14:paraId="440E9064" w14:textId="77777777" w:rsid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South Korean example </w:t>
      </w:r>
      <w:proofErr w:type="spellStart"/>
      <w:r w:rsidRPr="0071581A">
        <w:rPr>
          <w:rFonts w:ascii="Arial" w:hAnsi="Arial" w:cs="Arial"/>
          <w:lang w:val="en-US"/>
        </w:rPr>
        <w:t>emphasises</w:t>
      </w:r>
      <w:proofErr w:type="spellEnd"/>
      <w:r w:rsidRPr="0071581A">
        <w:rPr>
          <w:rFonts w:ascii="Arial" w:hAnsi="Arial" w:cs="Arial"/>
          <w:lang w:val="en-US"/>
        </w:rPr>
        <w:t xml:space="preserve"> the immense advantages of being prepared and having a strong and </w:t>
      </w:r>
      <w:proofErr w:type="spellStart"/>
      <w:r w:rsidRPr="0071581A">
        <w:rPr>
          <w:rFonts w:ascii="Arial" w:hAnsi="Arial" w:cs="Arial"/>
          <w:lang w:val="en-US"/>
        </w:rPr>
        <w:t>centralised</w:t>
      </w:r>
      <w:proofErr w:type="spellEnd"/>
      <w:r w:rsidRPr="0071581A">
        <w:rPr>
          <w:rFonts w:ascii="Arial" w:hAnsi="Arial" w:cs="Arial"/>
          <w:lang w:val="en-US"/>
        </w:rPr>
        <w:t xml:space="preserve"> public health authority.</w:t>
      </w:r>
    </w:p>
    <w:tbl>
      <w:tblPr>
        <w:tblStyle w:val="TableGrid"/>
        <w:tblW w:w="0" w:type="auto"/>
        <w:tblLook w:val="04A0" w:firstRow="1" w:lastRow="0" w:firstColumn="1" w:lastColumn="0" w:noHBand="0" w:noVBand="1"/>
      </w:tblPr>
      <w:tblGrid>
        <w:gridCol w:w="2098"/>
        <w:gridCol w:w="3752"/>
        <w:gridCol w:w="3166"/>
      </w:tblGrid>
      <w:tr w:rsidR="009B72DE" w:rsidRPr="009B72DE" w14:paraId="308E8408" w14:textId="77777777" w:rsidTr="009B72DE">
        <w:tc>
          <w:tcPr>
            <w:tcW w:w="0" w:type="auto"/>
            <w:hideMark/>
          </w:tcPr>
          <w:p w14:paraId="4C2EB0C2" w14:textId="77777777" w:rsidR="009B72DE" w:rsidRPr="009B72DE" w:rsidRDefault="009B72DE" w:rsidP="009B72DE">
            <w:pPr>
              <w:spacing w:before="240" w:line="360" w:lineRule="auto"/>
              <w:jc w:val="both"/>
              <w:rPr>
                <w:rFonts w:ascii="Arial" w:hAnsi="Arial" w:cs="Arial"/>
                <w:lang w:val="en-US"/>
              </w:rPr>
            </w:pPr>
            <w:r w:rsidRPr="009B72DE">
              <w:rPr>
                <w:rFonts w:ascii="Arial" w:hAnsi="Arial" w:cs="Arial"/>
                <w:b/>
                <w:bCs/>
                <w:lang w:val="en-US"/>
              </w:rPr>
              <w:lastRenderedPageBreak/>
              <w:t>Approach</w:t>
            </w:r>
          </w:p>
        </w:tc>
        <w:tc>
          <w:tcPr>
            <w:tcW w:w="0" w:type="auto"/>
            <w:hideMark/>
          </w:tcPr>
          <w:p w14:paraId="363FD7D2" w14:textId="77777777" w:rsidR="009B72DE" w:rsidRPr="009B72DE" w:rsidRDefault="009B72DE" w:rsidP="009B72DE">
            <w:pPr>
              <w:spacing w:before="240" w:line="360" w:lineRule="auto"/>
              <w:jc w:val="both"/>
              <w:rPr>
                <w:rFonts w:ascii="Arial" w:hAnsi="Arial" w:cs="Arial"/>
                <w:lang w:val="en-US"/>
              </w:rPr>
            </w:pPr>
            <w:r w:rsidRPr="009B72DE">
              <w:rPr>
                <w:rFonts w:ascii="Arial" w:hAnsi="Arial" w:cs="Arial"/>
                <w:b/>
                <w:bCs/>
                <w:lang w:val="en-US"/>
              </w:rPr>
              <w:t>Advantages</w:t>
            </w:r>
          </w:p>
        </w:tc>
        <w:tc>
          <w:tcPr>
            <w:tcW w:w="0" w:type="auto"/>
            <w:hideMark/>
          </w:tcPr>
          <w:p w14:paraId="4A4768DB" w14:textId="77777777" w:rsidR="009B72DE" w:rsidRPr="009B72DE" w:rsidRDefault="009B72DE" w:rsidP="009B72DE">
            <w:pPr>
              <w:spacing w:before="240" w:line="360" w:lineRule="auto"/>
              <w:jc w:val="both"/>
              <w:rPr>
                <w:rFonts w:ascii="Arial" w:hAnsi="Arial" w:cs="Arial"/>
                <w:lang w:val="en-US"/>
              </w:rPr>
            </w:pPr>
            <w:r w:rsidRPr="009B72DE">
              <w:rPr>
                <w:rFonts w:ascii="Arial" w:hAnsi="Arial" w:cs="Arial"/>
                <w:b/>
                <w:bCs/>
                <w:lang w:val="en-US"/>
              </w:rPr>
              <w:t>Disadvantages</w:t>
            </w:r>
          </w:p>
        </w:tc>
      </w:tr>
      <w:tr w:rsidR="009B72DE" w:rsidRPr="009B72DE" w14:paraId="044952E4" w14:textId="77777777" w:rsidTr="009B72DE">
        <w:tc>
          <w:tcPr>
            <w:tcW w:w="0" w:type="auto"/>
            <w:hideMark/>
          </w:tcPr>
          <w:p w14:paraId="666C0504" w14:textId="77777777" w:rsidR="009B72DE" w:rsidRPr="009B72DE" w:rsidRDefault="009B72DE" w:rsidP="009B72DE">
            <w:pPr>
              <w:spacing w:before="240" w:line="360" w:lineRule="auto"/>
              <w:jc w:val="both"/>
              <w:rPr>
                <w:rFonts w:ascii="Arial" w:hAnsi="Arial" w:cs="Arial"/>
                <w:lang w:val="en-US"/>
              </w:rPr>
            </w:pPr>
            <w:proofErr w:type="spellStart"/>
            <w:r w:rsidRPr="009B72DE">
              <w:rPr>
                <w:rFonts w:ascii="Arial" w:hAnsi="Arial" w:cs="Arial"/>
                <w:b/>
                <w:bCs/>
                <w:lang w:val="en-US"/>
              </w:rPr>
              <w:t>Centralisation</w:t>
            </w:r>
            <w:proofErr w:type="spellEnd"/>
            <w:r w:rsidRPr="009B72DE">
              <w:rPr>
                <w:rFonts w:ascii="Arial" w:hAnsi="Arial" w:cs="Arial"/>
                <w:b/>
                <w:bCs/>
                <w:lang w:val="en-US"/>
              </w:rPr>
              <w:t xml:space="preserve"> (KDCA)</w:t>
            </w:r>
          </w:p>
        </w:tc>
        <w:tc>
          <w:tcPr>
            <w:tcW w:w="0" w:type="auto"/>
            <w:hideMark/>
          </w:tcPr>
          <w:p w14:paraId="590949B0" w14:textId="77777777" w:rsidR="009B72DE" w:rsidRPr="009B72DE" w:rsidRDefault="009B72DE" w:rsidP="009B72DE">
            <w:pPr>
              <w:spacing w:before="240" w:line="360" w:lineRule="auto"/>
              <w:jc w:val="both"/>
              <w:rPr>
                <w:rFonts w:ascii="Arial" w:hAnsi="Arial" w:cs="Arial"/>
                <w:lang w:val="en-US"/>
              </w:rPr>
            </w:pPr>
            <w:r w:rsidRPr="009B72DE">
              <w:rPr>
                <w:rFonts w:ascii="Arial" w:hAnsi="Arial" w:cs="Arial"/>
                <w:b/>
                <w:bCs/>
                <w:lang w:val="en-US"/>
              </w:rPr>
              <w:t>Swift, uniform, and decisive national action</w:t>
            </w:r>
            <w:r w:rsidRPr="009B72DE">
              <w:rPr>
                <w:rFonts w:ascii="Arial" w:hAnsi="Arial" w:cs="Arial"/>
                <w:lang w:val="en-US"/>
              </w:rPr>
              <w:t xml:space="preserve"> based on established protocols and legal frameworks, avoiding inter-regional disputes (Effect of the establishment, 2025). </w:t>
            </w:r>
            <w:r w:rsidRPr="009B72DE">
              <w:rPr>
                <w:rFonts w:ascii="Arial" w:hAnsi="Arial" w:cs="Arial"/>
                <w:b/>
                <w:bCs/>
                <w:lang w:val="en-US"/>
              </w:rPr>
              <w:t>Effective mobilization</w:t>
            </w:r>
            <w:r w:rsidRPr="009B72DE">
              <w:rPr>
                <w:rFonts w:ascii="Arial" w:hAnsi="Arial" w:cs="Arial"/>
                <w:lang w:val="en-US"/>
              </w:rPr>
              <w:t xml:space="preserve"> of national resources and technological capacity (The response by South Korea, 2022).</w:t>
            </w:r>
          </w:p>
        </w:tc>
        <w:tc>
          <w:tcPr>
            <w:tcW w:w="0" w:type="auto"/>
            <w:hideMark/>
          </w:tcPr>
          <w:p w14:paraId="545CB99B" w14:textId="77777777" w:rsidR="009B72DE" w:rsidRPr="009B72DE" w:rsidRDefault="009B72DE" w:rsidP="009B72DE">
            <w:pPr>
              <w:spacing w:before="240" w:line="360" w:lineRule="auto"/>
              <w:jc w:val="both"/>
              <w:rPr>
                <w:rFonts w:ascii="Arial" w:hAnsi="Arial" w:cs="Arial"/>
                <w:lang w:val="en-US"/>
              </w:rPr>
            </w:pPr>
            <w:r w:rsidRPr="009B72DE">
              <w:rPr>
                <w:rFonts w:ascii="Arial" w:hAnsi="Arial" w:cs="Arial"/>
                <w:b/>
                <w:bCs/>
                <w:lang w:val="en-US"/>
              </w:rPr>
              <w:t>Ethical concerns</w:t>
            </w:r>
            <w:r w:rsidRPr="009B72DE">
              <w:rPr>
                <w:rFonts w:ascii="Arial" w:hAnsi="Arial" w:cs="Arial"/>
                <w:lang w:val="en-US"/>
              </w:rPr>
              <w:t xml:space="preserve"> regarding digital surveillance and privacy, as contact tracing methods were highly intrusive, although legal changes had facilitated this (The response by South Korea, 2022).</w:t>
            </w:r>
          </w:p>
        </w:tc>
      </w:tr>
      <w:tr w:rsidR="009B72DE" w:rsidRPr="009B72DE" w14:paraId="4204AEB1" w14:textId="77777777" w:rsidTr="009B72DE">
        <w:tc>
          <w:tcPr>
            <w:tcW w:w="0" w:type="auto"/>
            <w:hideMark/>
          </w:tcPr>
          <w:p w14:paraId="0BFDB7AB" w14:textId="77777777" w:rsidR="009B72DE" w:rsidRPr="009B72DE" w:rsidRDefault="009B72DE" w:rsidP="009B72DE">
            <w:pPr>
              <w:spacing w:before="240" w:line="360" w:lineRule="auto"/>
              <w:jc w:val="both"/>
              <w:rPr>
                <w:rFonts w:ascii="Arial" w:hAnsi="Arial" w:cs="Arial"/>
                <w:lang w:val="en-US"/>
              </w:rPr>
            </w:pPr>
            <w:proofErr w:type="spellStart"/>
            <w:r w:rsidRPr="009B72DE">
              <w:rPr>
                <w:rFonts w:ascii="Arial" w:hAnsi="Arial" w:cs="Arial"/>
                <w:b/>
                <w:bCs/>
                <w:lang w:val="en-US"/>
              </w:rPr>
              <w:t>Decentralised</w:t>
            </w:r>
            <w:proofErr w:type="spellEnd"/>
            <w:r w:rsidRPr="009B72DE">
              <w:rPr>
                <w:rFonts w:ascii="Arial" w:hAnsi="Arial" w:cs="Arial"/>
                <w:b/>
                <w:bCs/>
                <w:lang w:val="en-US"/>
              </w:rPr>
              <w:t xml:space="preserve"> Implementation (Collaboration)</w:t>
            </w:r>
          </w:p>
        </w:tc>
        <w:tc>
          <w:tcPr>
            <w:tcW w:w="0" w:type="auto"/>
            <w:hideMark/>
          </w:tcPr>
          <w:p w14:paraId="1F7BCF80" w14:textId="77777777" w:rsidR="009B72DE" w:rsidRPr="009B72DE" w:rsidRDefault="009B72DE" w:rsidP="009B72DE">
            <w:pPr>
              <w:spacing w:before="240" w:line="360" w:lineRule="auto"/>
              <w:jc w:val="both"/>
              <w:rPr>
                <w:rFonts w:ascii="Arial" w:hAnsi="Arial" w:cs="Arial"/>
                <w:lang w:val="en-US"/>
              </w:rPr>
            </w:pPr>
            <w:r w:rsidRPr="009B72DE">
              <w:rPr>
                <w:rFonts w:ascii="Arial" w:hAnsi="Arial" w:cs="Arial"/>
                <w:lang w:val="en-US"/>
              </w:rPr>
              <w:t xml:space="preserve">High degree of public trust and cooperation facilitated by the government's commitment to </w:t>
            </w:r>
            <w:r w:rsidRPr="009B72DE">
              <w:rPr>
                <w:rFonts w:ascii="Arial" w:hAnsi="Arial" w:cs="Arial"/>
                <w:b/>
                <w:bCs/>
                <w:lang w:val="en-US"/>
              </w:rPr>
              <w:t>transparency</w:t>
            </w:r>
            <w:r w:rsidRPr="009B72DE">
              <w:rPr>
                <w:rFonts w:ascii="Arial" w:hAnsi="Arial" w:cs="Arial"/>
                <w:lang w:val="en-US"/>
              </w:rPr>
              <w:t xml:space="preserve"> (The Power of Collaborative Governance, 2020).</w:t>
            </w:r>
          </w:p>
        </w:tc>
        <w:tc>
          <w:tcPr>
            <w:tcW w:w="0" w:type="auto"/>
            <w:hideMark/>
          </w:tcPr>
          <w:p w14:paraId="6BD413B3" w14:textId="77777777" w:rsidR="009B72DE" w:rsidRPr="009B72DE" w:rsidRDefault="009B72DE" w:rsidP="009B72DE">
            <w:pPr>
              <w:keepNext/>
              <w:spacing w:before="240" w:line="360" w:lineRule="auto"/>
              <w:jc w:val="both"/>
              <w:rPr>
                <w:rFonts w:ascii="Arial" w:hAnsi="Arial" w:cs="Arial"/>
                <w:lang w:val="en-US"/>
              </w:rPr>
            </w:pPr>
            <w:r w:rsidRPr="009B72DE">
              <w:rPr>
                <w:rFonts w:ascii="Arial" w:hAnsi="Arial" w:cs="Arial"/>
                <w:lang w:val="en-US"/>
              </w:rPr>
              <w:t xml:space="preserve">Potential for privacy infringements, though </w:t>
            </w:r>
            <w:proofErr w:type="spellStart"/>
            <w:r w:rsidRPr="009B72DE">
              <w:rPr>
                <w:rFonts w:ascii="Arial" w:hAnsi="Arial" w:cs="Arial"/>
                <w:lang w:val="en-US"/>
              </w:rPr>
              <w:t>minimised</w:t>
            </w:r>
            <w:proofErr w:type="spellEnd"/>
            <w:r w:rsidRPr="009B72DE">
              <w:rPr>
                <w:rFonts w:ascii="Arial" w:hAnsi="Arial" w:cs="Arial"/>
                <w:lang w:val="en-US"/>
              </w:rPr>
              <w:t xml:space="preserve"> by clear communication on the necessity of measures (Toward better pandemic governance, 2024).</w:t>
            </w:r>
          </w:p>
        </w:tc>
      </w:tr>
    </w:tbl>
    <w:p w14:paraId="6C48D7F0" w14:textId="6801B27E" w:rsidR="00BD1E2E" w:rsidRPr="0071581A" w:rsidRDefault="009B72DE" w:rsidP="009B72DE">
      <w:pPr>
        <w:pStyle w:val="Caption"/>
        <w:rPr>
          <w:rFonts w:ascii="Arial" w:hAnsi="Arial" w:cs="Arial"/>
          <w:lang w:val="en-US"/>
        </w:rPr>
      </w:pPr>
      <w:bookmarkStart w:id="15" w:name="_Toc216525566"/>
      <w:r>
        <w:t xml:space="preserve">Table </w:t>
      </w:r>
      <w:r>
        <w:fldChar w:fldCharType="begin"/>
      </w:r>
      <w:r>
        <w:instrText xml:space="preserve"> SEQ Table \* ARABIC </w:instrText>
      </w:r>
      <w:r>
        <w:fldChar w:fldCharType="separate"/>
      </w:r>
      <w:r w:rsidR="00A57571">
        <w:rPr>
          <w:noProof/>
        </w:rPr>
        <w:t>2</w:t>
      </w:r>
      <w:r>
        <w:fldChar w:fldCharType="end"/>
      </w:r>
      <w:r>
        <w:t xml:space="preserve">: </w:t>
      </w:r>
      <w:r w:rsidRPr="00C235F7">
        <w:t>Advantages, Disadvantages, and Health Outcomes</w:t>
      </w:r>
      <w:bookmarkEnd w:id="15"/>
    </w:p>
    <w:p w14:paraId="74C16119" w14:textId="22FEB762" w:rsidR="008A21BA" w:rsidRPr="008A21BA" w:rsidRDefault="0071581A" w:rsidP="008A21BA">
      <w:pPr>
        <w:spacing w:before="240" w:line="360" w:lineRule="auto"/>
        <w:jc w:val="both"/>
        <w:rPr>
          <w:rFonts w:ascii="Arial" w:hAnsi="Arial" w:cs="Arial"/>
          <w:lang w:val="en-US"/>
        </w:rPr>
      </w:pPr>
      <w:r w:rsidRPr="0071581A">
        <w:rPr>
          <w:rFonts w:ascii="Arial" w:hAnsi="Arial" w:cs="Arial"/>
          <w:b/>
          <w:bCs/>
          <w:lang w:val="en-US"/>
        </w:rPr>
        <w:t>Health Results and Problems:</w:t>
      </w:r>
      <w:r w:rsidRPr="0071581A">
        <w:rPr>
          <w:rFonts w:ascii="Arial" w:hAnsi="Arial" w:cs="Arial"/>
          <w:lang w:val="en-US"/>
        </w:rPr>
        <w:t xml:space="preserve"> </w:t>
      </w:r>
      <w:r w:rsidR="008A21BA" w:rsidRPr="008A21BA">
        <w:rPr>
          <w:rFonts w:ascii="Arial" w:hAnsi="Arial" w:cs="Arial"/>
          <w:lang w:val="en-US"/>
        </w:rPr>
        <w:t xml:space="preserve">In the early months of the outbreak, South Korea had one of the lowest case-fatality rates among wealthy nations. This was due to the fact that the country was able to flatten the curve without resorting to extensive lockdowns that were devastating (The reaction as reported by South Korea, 2022). Due to the fact that the KDCA was able to work with </w:t>
      </w:r>
      <w:proofErr w:type="spellStart"/>
      <w:r w:rsidR="008A21BA" w:rsidRPr="008A21BA">
        <w:rPr>
          <w:rFonts w:ascii="Arial" w:hAnsi="Arial" w:cs="Arial"/>
          <w:lang w:val="en-US"/>
        </w:rPr>
        <w:t>centralised</w:t>
      </w:r>
      <w:proofErr w:type="spellEnd"/>
      <w:r w:rsidR="008A21BA" w:rsidRPr="008A21BA">
        <w:rPr>
          <w:rFonts w:ascii="Arial" w:hAnsi="Arial" w:cs="Arial"/>
          <w:lang w:val="en-US"/>
        </w:rPr>
        <w:t xml:space="preserve"> authority, the positive health outcome was achieved. This was due to the fact that the KDCA was able to conduct immediate, comprehensive, and equitable data collection and tracing across the entire population. However, the most significant issue is still the long-term trade-off that must be made between the protection of public health and the privacy of individuals. This is something that must be done in any system that is driven by technology and is highly </w:t>
      </w:r>
      <w:proofErr w:type="spellStart"/>
      <w:r w:rsidR="008A21BA" w:rsidRPr="008A21BA">
        <w:rPr>
          <w:rFonts w:ascii="Arial" w:hAnsi="Arial" w:cs="Arial"/>
          <w:lang w:val="en-US"/>
        </w:rPr>
        <w:t>centralised</w:t>
      </w:r>
      <w:proofErr w:type="spellEnd"/>
      <w:r w:rsidR="008A21BA" w:rsidRPr="008A21BA">
        <w:rPr>
          <w:rFonts w:ascii="Arial" w:hAnsi="Arial" w:cs="Arial"/>
          <w:lang w:val="en-US"/>
        </w:rPr>
        <w:t>.</w:t>
      </w:r>
    </w:p>
    <w:p w14:paraId="33548C95" w14:textId="22FEB762" w:rsidR="0071581A" w:rsidRPr="0071581A" w:rsidRDefault="0071581A" w:rsidP="009B72DE">
      <w:pPr>
        <w:pStyle w:val="Heading2"/>
        <w:rPr>
          <w:lang w:val="en-US"/>
        </w:rPr>
      </w:pPr>
      <w:bookmarkStart w:id="16" w:name="_Toc216525538"/>
      <w:r w:rsidRPr="0071581A">
        <w:rPr>
          <w:lang w:val="en-US"/>
        </w:rPr>
        <w:lastRenderedPageBreak/>
        <w:t xml:space="preserve">2.3. Canada: The Systemic Tension of a Highly </w:t>
      </w:r>
      <w:proofErr w:type="spellStart"/>
      <w:r w:rsidRPr="0071581A">
        <w:rPr>
          <w:lang w:val="en-US"/>
        </w:rPr>
        <w:t>Decentralised</w:t>
      </w:r>
      <w:proofErr w:type="spellEnd"/>
      <w:r w:rsidRPr="0071581A">
        <w:rPr>
          <w:lang w:val="en-US"/>
        </w:rPr>
        <w:t xml:space="preserve"> Federation</w:t>
      </w:r>
      <w:bookmarkEnd w:id="16"/>
    </w:p>
    <w:p w14:paraId="4DA1FCC8" w14:textId="713321D7" w:rsidR="0071581A" w:rsidRPr="0071581A" w:rsidRDefault="0071581A" w:rsidP="009B72DE">
      <w:pPr>
        <w:pStyle w:val="Heading3"/>
        <w:rPr>
          <w:lang w:val="en-US"/>
        </w:rPr>
      </w:pPr>
      <w:bookmarkStart w:id="17" w:name="_Toc216525539"/>
      <w:r w:rsidRPr="0071581A">
        <w:rPr>
          <w:lang w:val="en-US"/>
        </w:rPr>
        <w:t>2.3.1. Summary of the Typology of the Canadian Healthcare System</w:t>
      </w:r>
      <w:bookmarkEnd w:id="17"/>
    </w:p>
    <w:p w14:paraId="5A6B5787" w14:textId="6BADBD19" w:rsidR="0071581A" w:rsidRPr="0071581A" w:rsidRDefault="007A3BFA" w:rsidP="0071581A">
      <w:pPr>
        <w:spacing w:before="240" w:line="360" w:lineRule="auto"/>
        <w:jc w:val="both"/>
        <w:rPr>
          <w:rFonts w:ascii="Arial" w:hAnsi="Arial" w:cs="Arial"/>
          <w:lang w:val="en-US"/>
        </w:rPr>
      </w:pPr>
      <w:r w:rsidRPr="007A3BFA">
        <w:rPr>
          <w:rFonts w:ascii="Arial" w:hAnsi="Arial" w:cs="Arial"/>
          <w:lang w:val="en-US"/>
        </w:rPr>
        <w:t xml:space="preserve">In spite of the fact that it is a universal system that is supported by public funds, the administration of healthcare in Canada is extremely </w:t>
      </w:r>
      <w:proofErr w:type="spellStart"/>
      <w:r w:rsidRPr="007A3BFA">
        <w:rPr>
          <w:rFonts w:ascii="Arial" w:hAnsi="Arial" w:cs="Arial"/>
          <w:lang w:val="en-US"/>
        </w:rPr>
        <w:t>decentralised</w:t>
      </w:r>
      <w:proofErr w:type="spellEnd"/>
      <w:r w:rsidRPr="007A3BFA">
        <w:rPr>
          <w:rFonts w:ascii="Arial" w:hAnsi="Arial" w:cs="Arial"/>
          <w:lang w:val="en-US"/>
        </w:rPr>
        <w:t>. According to Canada's first answer from 2020, the thirteen provincial and territory (P/T) governments are the primary suppliers of healthcare in the country. Through the Canada Health Act, the federal government (Health Canada and the Public Health Agency of Canada – PHAC) is able to establish general principles at the country level. Additionally, the federal government is able to offer transfers of funds; however, it does not have direct operational oversight of the hospital or other provincial mandates to enforce public health. According to "Strengthening Health Care in Canada," 2022, this framework is the root reason of the ongoing disagreement between different areas of authority.</w:t>
      </w:r>
    </w:p>
    <w:p w14:paraId="6309ABD6" w14:textId="0D0FDB68" w:rsidR="0071581A" w:rsidRPr="0071581A" w:rsidRDefault="0071581A" w:rsidP="009B72DE">
      <w:pPr>
        <w:pStyle w:val="Heading3"/>
        <w:rPr>
          <w:lang w:val="en-US"/>
        </w:rPr>
      </w:pPr>
      <w:bookmarkStart w:id="18" w:name="_Toc216525540"/>
      <w:r w:rsidRPr="0071581A">
        <w:rPr>
          <w:lang w:val="en-US"/>
        </w:rPr>
        <w:t>2.3.2. The Systems Approach Analysis of the Pandemic Critically</w:t>
      </w:r>
      <w:bookmarkEnd w:id="18"/>
    </w:p>
    <w:p w14:paraId="051209C3"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COVID-19 response in Canada was a constant act of co-governance and negotiations with varying priorities between the </w:t>
      </w:r>
      <w:proofErr w:type="spellStart"/>
      <w:r w:rsidRPr="0071581A">
        <w:rPr>
          <w:rFonts w:ascii="Arial" w:hAnsi="Arial" w:cs="Arial"/>
          <w:lang w:val="en-US"/>
        </w:rPr>
        <w:t>decentralised</w:t>
      </w:r>
      <w:proofErr w:type="spellEnd"/>
      <w:r w:rsidRPr="0071581A">
        <w:rPr>
          <w:rFonts w:ascii="Arial" w:hAnsi="Arial" w:cs="Arial"/>
          <w:lang w:val="en-US"/>
        </w:rPr>
        <w:t xml:space="preserve"> (P/T) and central (federal) governments with varying priorities.</w:t>
      </w:r>
    </w:p>
    <w:p w14:paraId="200D293A" w14:textId="77777777" w:rsidR="0071581A" w:rsidRP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The strategy shows the inertia of the </w:t>
      </w:r>
      <w:proofErr w:type="spellStart"/>
      <w:r w:rsidRPr="0071581A">
        <w:rPr>
          <w:rFonts w:ascii="Arial" w:hAnsi="Arial" w:cs="Arial"/>
          <w:lang w:val="en-US"/>
        </w:rPr>
        <w:t>decentralisation</w:t>
      </w:r>
      <w:proofErr w:type="spellEnd"/>
      <w:r w:rsidRPr="0071581A">
        <w:rPr>
          <w:rFonts w:ascii="Arial" w:hAnsi="Arial" w:cs="Arial"/>
          <w:lang w:val="en-US"/>
        </w:rPr>
        <w:t xml:space="preserve"> and the necessity of the intervention of the federal:</w:t>
      </w:r>
    </w:p>
    <w:p w14:paraId="33F35011" w14:textId="77777777" w:rsidR="0071581A" w:rsidRPr="00166EAE" w:rsidRDefault="0071581A" w:rsidP="00166EAE">
      <w:pPr>
        <w:pStyle w:val="ListParagraph"/>
        <w:numPr>
          <w:ilvl w:val="0"/>
          <w:numId w:val="16"/>
        </w:numPr>
        <w:spacing w:before="240" w:line="360" w:lineRule="auto"/>
        <w:jc w:val="both"/>
        <w:rPr>
          <w:rFonts w:ascii="Arial" w:hAnsi="Arial" w:cs="Arial"/>
          <w:lang w:val="en-US"/>
        </w:rPr>
      </w:pPr>
      <w:proofErr w:type="spellStart"/>
      <w:r w:rsidRPr="00166EAE">
        <w:rPr>
          <w:rFonts w:ascii="Arial" w:hAnsi="Arial" w:cs="Arial"/>
          <w:b/>
          <w:bCs/>
          <w:lang w:val="en-US"/>
        </w:rPr>
        <w:t>Decentralised</w:t>
      </w:r>
      <w:proofErr w:type="spellEnd"/>
      <w:r w:rsidRPr="00166EAE">
        <w:rPr>
          <w:rFonts w:ascii="Arial" w:hAnsi="Arial" w:cs="Arial"/>
          <w:b/>
          <w:bCs/>
          <w:lang w:val="en-US"/>
        </w:rPr>
        <w:t xml:space="preserve"> Approach (Provincial Mandates):</w:t>
      </w:r>
      <w:r w:rsidRPr="00166EAE">
        <w:rPr>
          <w:rFonts w:ascii="Arial" w:hAnsi="Arial" w:cs="Arial"/>
          <w:lang w:val="en-US"/>
        </w:rPr>
        <w:t xml:space="preserve"> The most important functions of public health, such as lockdowns, school closures, mask orders, and contact tracing, were made and implemented at the provincial level. This created a disjointed response (Canada's first response, 2020). As an illustration, the limitations across provinces were highly differentiated, resulting in border-related problems and disorienting the communication messages, which might have been one of the factors that contributed to the disparity in community effects (Measuring What Counts, 2025). The natural </w:t>
      </w:r>
      <w:proofErr w:type="spellStart"/>
      <w:r w:rsidRPr="00166EAE">
        <w:rPr>
          <w:rFonts w:ascii="Arial" w:hAnsi="Arial" w:cs="Arial"/>
          <w:lang w:val="en-US"/>
        </w:rPr>
        <w:t>decentralisation</w:t>
      </w:r>
      <w:proofErr w:type="spellEnd"/>
      <w:r w:rsidRPr="00166EAE">
        <w:rPr>
          <w:rFonts w:ascii="Arial" w:hAnsi="Arial" w:cs="Arial"/>
          <w:lang w:val="en-US"/>
        </w:rPr>
        <w:t xml:space="preserve"> intensified historical inequalities, including the over-representation of the </w:t>
      </w:r>
      <w:proofErr w:type="spellStart"/>
      <w:r w:rsidRPr="00166EAE">
        <w:rPr>
          <w:rFonts w:ascii="Arial" w:hAnsi="Arial" w:cs="Arial"/>
          <w:lang w:val="en-US"/>
        </w:rPr>
        <w:t>racialised</w:t>
      </w:r>
      <w:proofErr w:type="spellEnd"/>
      <w:r w:rsidRPr="00166EAE">
        <w:rPr>
          <w:rFonts w:ascii="Arial" w:hAnsi="Arial" w:cs="Arial"/>
          <w:lang w:val="en-US"/>
        </w:rPr>
        <w:t xml:space="preserve"> groups and the low-income groups in the effects of the virus (Strengthening health care in Canada, 2022).</w:t>
      </w:r>
    </w:p>
    <w:p w14:paraId="18536648" w14:textId="6CAF7A13" w:rsidR="0071581A" w:rsidRPr="00166EAE" w:rsidRDefault="0071581A" w:rsidP="00166EAE">
      <w:pPr>
        <w:pStyle w:val="ListParagraph"/>
        <w:numPr>
          <w:ilvl w:val="0"/>
          <w:numId w:val="16"/>
        </w:numPr>
        <w:spacing w:before="240" w:line="360" w:lineRule="auto"/>
        <w:jc w:val="both"/>
        <w:rPr>
          <w:rFonts w:ascii="Arial" w:hAnsi="Arial" w:cs="Arial"/>
          <w:lang w:val="en-US"/>
        </w:rPr>
      </w:pPr>
      <w:proofErr w:type="spellStart"/>
      <w:r w:rsidRPr="00166EAE">
        <w:rPr>
          <w:rFonts w:ascii="Arial" w:hAnsi="Arial" w:cs="Arial"/>
          <w:b/>
          <w:bCs/>
          <w:lang w:val="en-US"/>
        </w:rPr>
        <w:t>Centralised</w:t>
      </w:r>
      <w:proofErr w:type="spellEnd"/>
      <w:r w:rsidRPr="00166EAE">
        <w:rPr>
          <w:rFonts w:ascii="Arial" w:hAnsi="Arial" w:cs="Arial"/>
          <w:b/>
          <w:bCs/>
          <w:lang w:val="en-US"/>
        </w:rPr>
        <w:t xml:space="preserve"> Approach (Federal Intervention):</w:t>
      </w:r>
      <w:r w:rsidRPr="00166EAE">
        <w:rPr>
          <w:rFonts w:ascii="Arial" w:hAnsi="Arial" w:cs="Arial"/>
          <w:lang w:val="en-US"/>
        </w:rPr>
        <w:t xml:space="preserve"> The federal government, with the leader of Prime Minister Justin Trudeau, mainly applied the </w:t>
      </w:r>
      <w:proofErr w:type="spellStart"/>
      <w:r w:rsidRPr="00166EAE">
        <w:rPr>
          <w:rFonts w:ascii="Arial" w:hAnsi="Arial" w:cs="Arial"/>
          <w:lang w:val="en-US"/>
        </w:rPr>
        <w:t>centralised</w:t>
      </w:r>
      <w:proofErr w:type="spellEnd"/>
      <w:r w:rsidRPr="00166EAE">
        <w:rPr>
          <w:rFonts w:ascii="Arial" w:hAnsi="Arial" w:cs="Arial"/>
          <w:lang w:val="en-US"/>
        </w:rPr>
        <w:t xml:space="preserve"> power in the spheres of national jurisdiction: border control, financial aid provided to citizens and companies, and, most importantly, the acquisition of vaccines and PPE (Canada First </w:t>
      </w:r>
      <w:r w:rsidRPr="00166EAE">
        <w:rPr>
          <w:rFonts w:ascii="Arial" w:hAnsi="Arial" w:cs="Arial"/>
          <w:lang w:val="en-US"/>
        </w:rPr>
        <w:lastRenderedPageBreak/>
        <w:t xml:space="preserve">Response, 2020). Although this national procurement </w:t>
      </w:r>
      <w:r w:rsidR="00166EAE" w:rsidRPr="00166EAE">
        <w:rPr>
          <w:rFonts w:ascii="Arial" w:hAnsi="Arial" w:cs="Arial"/>
          <w:lang w:val="en-US"/>
        </w:rPr>
        <w:t>plans</w:t>
      </w:r>
      <w:r w:rsidRPr="00166EAE">
        <w:rPr>
          <w:rFonts w:ascii="Arial" w:hAnsi="Arial" w:cs="Arial"/>
          <w:lang w:val="en-US"/>
        </w:rPr>
        <w:t xml:space="preserve"> faced criticism of being </w:t>
      </w:r>
      <w:proofErr w:type="spellStart"/>
      <w:r w:rsidRPr="00166EAE">
        <w:rPr>
          <w:rFonts w:ascii="Arial" w:hAnsi="Arial" w:cs="Arial"/>
          <w:lang w:val="en-US"/>
        </w:rPr>
        <w:t>categorised</w:t>
      </w:r>
      <w:proofErr w:type="spellEnd"/>
      <w:r w:rsidRPr="00166EAE">
        <w:rPr>
          <w:rFonts w:ascii="Arial" w:hAnsi="Arial" w:cs="Arial"/>
          <w:lang w:val="en-US"/>
        </w:rPr>
        <w:t xml:space="preserve"> as a slow one in the first place, it guaranteed the eventual fair access to vaccines in all provinces and territories, which is a major benefit of central buying power (Canada's initial response, 2020).</w:t>
      </w:r>
    </w:p>
    <w:p w14:paraId="5287A448" w14:textId="33642EA9" w:rsidR="0071581A" w:rsidRPr="0071581A" w:rsidRDefault="0071581A" w:rsidP="00166EAE">
      <w:pPr>
        <w:pStyle w:val="Heading3"/>
        <w:rPr>
          <w:lang w:val="en-US"/>
        </w:rPr>
      </w:pPr>
      <w:bookmarkStart w:id="19" w:name="_Toc216525541"/>
      <w:r w:rsidRPr="0071581A">
        <w:rPr>
          <w:lang w:val="en-US"/>
        </w:rPr>
        <w:t>2.3.3. Weekly advantages, disadvantages and health outcomes</w:t>
      </w:r>
      <w:bookmarkEnd w:id="19"/>
    </w:p>
    <w:p w14:paraId="38B64CFA" w14:textId="77777777" w:rsidR="0071581A" w:rsidRDefault="0071581A" w:rsidP="0071581A">
      <w:pPr>
        <w:spacing w:before="240" w:line="360" w:lineRule="auto"/>
        <w:jc w:val="both"/>
        <w:rPr>
          <w:rFonts w:ascii="Arial" w:hAnsi="Arial" w:cs="Arial"/>
          <w:lang w:val="en-US"/>
        </w:rPr>
      </w:pPr>
      <w:r w:rsidRPr="0071581A">
        <w:rPr>
          <w:rFonts w:ascii="Arial" w:hAnsi="Arial" w:cs="Arial"/>
          <w:lang w:val="en-US"/>
        </w:rPr>
        <w:t xml:space="preserve">Canadian reaction was </w:t>
      </w:r>
      <w:proofErr w:type="spellStart"/>
      <w:r w:rsidRPr="0071581A">
        <w:rPr>
          <w:rFonts w:ascii="Arial" w:hAnsi="Arial" w:cs="Arial"/>
          <w:lang w:val="en-US"/>
        </w:rPr>
        <w:t>characterised</w:t>
      </w:r>
      <w:proofErr w:type="spellEnd"/>
      <w:r w:rsidRPr="0071581A">
        <w:rPr>
          <w:rFonts w:ascii="Arial" w:hAnsi="Arial" w:cs="Arial"/>
          <w:lang w:val="en-US"/>
        </w:rPr>
        <w:t xml:space="preserve"> by the </w:t>
      </w:r>
      <w:proofErr w:type="spellStart"/>
      <w:r w:rsidRPr="0071581A">
        <w:rPr>
          <w:rFonts w:ascii="Arial" w:hAnsi="Arial" w:cs="Arial"/>
          <w:lang w:val="en-US"/>
        </w:rPr>
        <w:t>organisational</w:t>
      </w:r>
      <w:proofErr w:type="spellEnd"/>
      <w:r w:rsidRPr="0071581A">
        <w:rPr>
          <w:rFonts w:ascii="Arial" w:hAnsi="Arial" w:cs="Arial"/>
          <w:lang w:val="en-US"/>
        </w:rPr>
        <w:t xml:space="preserve"> necessity to </w:t>
      </w:r>
      <w:proofErr w:type="spellStart"/>
      <w:r w:rsidRPr="0071581A">
        <w:rPr>
          <w:rFonts w:ascii="Arial" w:hAnsi="Arial" w:cs="Arial"/>
          <w:lang w:val="en-US"/>
        </w:rPr>
        <w:t>organise</w:t>
      </w:r>
      <w:proofErr w:type="spellEnd"/>
      <w:r w:rsidRPr="0071581A">
        <w:rPr>
          <w:rFonts w:ascii="Arial" w:hAnsi="Arial" w:cs="Arial"/>
          <w:lang w:val="en-US"/>
        </w:rPr>
        <w:t xml:space="preserve"> federal-provincial coordination, which was a big challenge.</w:t>
      </w:r>
    </w:p>
    <w:tbl>
      <w:tblPr>
        <w:tblStyle w:val="TableGrid"/>
        <w:tblW w:w="0" w:type="auto"/>
        <w:tblLook w:val="04A0" w:firstRow="1" w:lastRow="0" w:firstColumn="1" w:lastColumn="0" w:noHBand="0" w:noVBand="1"/>
      </w:tblPr>
      <w:tblGrid>
        <w:gridCol w:w="2777"/>
        <w:gridCol w:w="2946"/>
        <w:gridCol w:w="3293"/>
      </w:tblGrid>
      <w:tr w:rsidR="00A57571" w:rsidRPr="00A57571" w14:paraId="1050BF2A" w14:textId="77777777" w:rsidTr="00A57571">
        <w:tc>
          <w:tcPr>
            <w:tcW w:w="0" w:type="auto"/>
            <w:hideMark/>
          </w:tcPr>
          <w:p w14:paraId="5A549645" w14:textId="77777777" w:rsidR="00A57571" w:rsidRPr="00A57571" w:rsidRDefault="00A57571" w:rsidP="00A57571">
            <w:pPr>
              <w:spacing w:before="240" w:line="360" w:lineRule="auto"/>
              <w:jc w:val="both"/>
              <w:rPr>
                <w:rFonts w:ascii="Arial" w:hAnsi="Arial" w:cs="Arial"/>
                <w:lang w:val="en-US"/>
              </w:rPr>
            </w:pPr>
            <w:r w:rsidRPr="00A57571">
              <w:rPr>
                <w:rFonts w:ascii="Arial" w:hAnsi="Arial" w:cs="Arial"/>
                <w:b/>
                <w:bCs/>
                <w:lang w:val="en-US"/>
              </w:rPr>
              <w:t>Approach</w:t>
            </w:r>
          </w:p>
        </w:tc>
        <w:tc>
          <w:tcPr>
            <w:tcW w:w="0" w:type="auto"/>
            <w:hideMark/>
          </w:tcPr>
          <w:p w14:paraId="7A15BF50" w14:textId="77777777" w:rsidR="00A57571" w:rsidRPr="00A57571" w:rsidRDefault="00A57571" w:rsidP="00A57571">
            <w:pPr>
              <w:spacing w:before="240" w:line="360" w:lineRule="auto"/>
              <w:jc w:val="both"/>
              <w:rPr>
                <w:rFonts w:ascii="Arial" w:hAnsi="Arial" w:cs="Arial"/>
                <w:lang w:val="en-US"/>
              </w:rPr>
            </w:pPr>
            <w:r w:rsidRPr="00A57571">
              <w:rPr>
                <w:rFonts w:ascii="Arial" w:hAnsi="Arial" w:cs="Arial"/>
                <w:b/>
                <w:bCs/>
                <w:lang w:val="en-US"/>
              </w:rPr>
              <w:t>Advantages</w:t>
            </w:r>
          </w:p>
        </w:tc>
        <w:tc>
          <w:tcPr>
            <w:tcW w:w="0" w:type="auto"/>
            <w:hideMark/>
          </w:tcPr>
          <w:p w14:paraId="2F594FA2" w14:textId="77777777" w:rsidR="00A57571" w:rsidRPr="00A57571" w:rsidRDefault="00A57571" w:rsidP="00A57571">
            <w:pPr>
              <w:spacing w:before="240" w:line="360" w:lineRule="auto"/>
              <w:jc w:val="both"/>
              <w:rPr>
                <w:rFonts w:ascii="Arial" w:hAnsi="Arial" w:cs="Arial"/>
                <w:lang w:val="en-US"/>
              </w:rPr>
            </w:pPr>
            <w:r w:rsidRPr="00A57571">
              <w:rPr>
                <w:rFonts w:ascii="Arial" w:hAnsi="Arial" w:cs="Arial"/>
                <w:b/>
                <w:bCs/>
                <w:lang w:val="en-US"/>
              </w:rPr>
              <w:t>Disadvantages</w:t>
            </w:r>
          </w:p>
        </w:tc>
      </w:tr>
      <w:tr w:rsidR="00A57571" w:rsidRPr="00A57571" w14:paraId="45F6D619" w14:textId="77777777" w:rsidTr="00A57571">
        <w:tc>
          <w:tcPr>
            <w:tcW w:w="0" w:type="auto"/>
            <w:hideMark/>
          </w:tcPr>
          <w:p w14:paraId="04C26269" w14:textId="77777777" w:rsidR="00A57571" w:rsidRPr="00A57571" w:rsidRDefault="00A57571" w:rsidP="00A57571">
            <w:pPr>
              <w:spacing w:before="240" w:line="360" w:lineRule="auto"/>
              <w:jc w:val="both"/>
              <w:rPr>
                <w:rFonts w:ascii="Arial" w:hAnsi="Arial" w:cs="Arial"/>
                <w:lang w:val="en-US"/>
              </w:rPr>
            </w:pPr>
            <w:proofErr w:type="spellStart"/>
            <w:r w:rsidRPr="00A57571">
              <w:rPr>
                <w:rFonts w:ascii="Arial" w:hAnsi="Arial" w:cs="Arial"/>
                <w:b/>
                <w:bCs/>
                <w:lang w:val="en-US"/>
              </w:rPr>
              <w:t>Decentralisation</w:t>
            </w:r>
            <w:proofErr w:type="spellEnd"/>
            <w:r w:rsidRPr="00A57571">
              <w:rPr>
                <w:rFonts w:ascii="Arial" w:hAnsi="Arial" w:cs="Arial"/>
                <w:b/>
                <w:bCs/>
                <w:lang w:val="en-US"/>
              </w:rPr>
              <w:t xml:space="preserve"> (P/T Autonomy)</w:t>
            </w:r>
          </w:p>
        </w:tc>
        <w:tc>
          <w:tcPr>
            <w:tcW w:w="0" w:type="auto"/>
            <w:hideMark/>
          </w:tcPr>
          <w:p w14:paraId="304619CE" w14:textId="77777777" w:rsidR="00A57571" w:rsidRPr="00A57571" w:rsidRDefault="00A57571" w:rsidP="00A57571">
            <w:pPr>
              <w:spacing w:before="240" w:line="360" w:lineRule="auto"/>
              <w:jc w:val="both"/>
              <w:rPr>
                <w:rFonts w:ascii="Arial" w:hAnsi="Arial" w:cs="Arial"/>
                <w:lang w:val="en-US"/>
              </w:rPr>
            </w:pPr>
            <w:r w:rsidRPr="00A57571">
              <w:rPr>
                <w:rFonts w:ascii="Arial" w:hAnsi="Arial" w:cs="Arial"/>
                <w:lang w:val="en-US"/>
              </w:rPr>
              <w:t>Public health measures could be tailored to the specific needs of diverse regions (e.g., varying population density, remote communities).</w:t>
            </w:r>
          </w:p>
        </w:tc>
        <w:tc>
          <w:tcPr>
            <w:tcW w:w="0" w:type="auto"/>
            <w:hideMark/>
          </w:tcPr>
          <w:p w14:paraId="0C58CE81" w14:textId="77777777" w:rsidR="00A57571" w:rsidRPr="00A57571" w:rsidRDefault="00A57571" w:rsidP="00A57571">
            <w:pPr>
              <w:spacing w:before="240" w:line="360" w:lineRule="auto"/>
              <w:jc w:val="both"/>
              <w:rPr>
                <w:rFonts w:ascii="Arial" w:hAnsi="Arial" w:cs="Arial"/>
                <w:lang w:val="en-US"/>
              </w:rPr>
            </w:pPr>
            <w:r w:rsidRPr="00A57571">
              <w:rPr>
                <w:rFonts w:ascii="Arial" w:hAnsi="Arial" w:cs="Arial"/>
                <w:b/>
                <w:bCs/>
                <w:lang w:val="en-US"/>
              </w:rPr>
              <w:t>Lack of unified national strategy</w:t>
            </w:r>
            <w:r w:rsidRPr="00A57571">
              <w:rPr>
                <w:rFonts w:ascii="Arial" w:hAnsi="Arial" w:cs="Arial"/>
                <w:lang w:val="en-US"/>
              </w:rPr>
              <w:t xml:space="preserve"> resulted in a patchwork of responses and varied health outcomes between provinces, causing delays in data sharing and policy adoption (Canada's initial response, 2020).</w:t>
            </w:r>
          </w:p>
        </w:tc>
      </w:tr>
      <w:tr w:rsidR="00A57571" w:rsidRPr="00A57571" w14:paraId="57984A22" w14:textId="77777777" w:rsidTr="00A57571">
        <w:tc>
          <w:tcPr>
            <w:tcW w:w="0" w:type="auto"/>
            <w:hideMark/>
          </w:tcPr>
          <w:p w14:paraId="29804F81" w14:textId="77777777" w:rsidR="00A57571" w:rsidRPr="00A57571" w:rsidRDefault="00A57571" w:rsidP="00A57571">
            <w:pPr>
              <w:spacing w:before="240" w:line="360" w:lineRule="auto"/>
              <w:jc w:val="both"/>
              <w:rPr>
                <w:rFonts w:ascii="Arial" w:hAnsi="Arial" w:cs="Arial"/>
                <w:lang w:val="en-US"/>
              </w:rPr>
            </w:pPr>
            <w:proofErr w:type="spellStart"/>
            <w:r w:rsidRPr="00A57571">
              <w:rPr>
                <w:rFonts w:ascii="Arial" w:hAnsi="Arial" w:cs="Arial"/>
                <w:b/>
                <w:bCs/>
                <w:lang w:val="en-US"/>
              </w:rPr>
              <w:t>Centralisation</w:t>
            </w:r>
            <w:proofErr w:type="spellEnd"/>
            <w:r w:rsidRPr="00A57571">
              <w:rPr>
                <w:rFonts w:ascii="Arial" w:hAnsi="Arial" w:cs="Arial"/>
                <w:b/>
                <w:bCs/>
                <w:lang w:val="en-US"/>
              </w:rPr>
              <w:t xml:space="preserve"> (Federal Procurement/Funding)</w:t>
            </w:r>
          </w:p>
        </w:tc>
        <w:tc>
          <w:tcPr>
            <w:tcW w:w="0" w:type="auto"/>
            <w:hideMark/>
          </w:tcPr>
          <w:p w14:paraId="3A76DA36" w14:textId="77777777" w:rsidR="00A57571" w:rsidRPr="00A57571" w:rsidRDefault="00A57571" w:rsidP="00A57571">
            <w:pPr>
              <w:spacing w:before="240" w:line="360" w:lineRule="auto"/>
              <w:jc w:val="both"/>
              <w:rPr>
                <w:rFonts w:ascii="Arial" w:hAnsi="Arial" w:cs="Arial"/>
                <w:lang w:val="en-US"/>
              </w:rPr>
            </w:pPr>
            <w:r w:rsidRPr="00A57571">
              <w:rPr>
                <w:rFonts w:ascii="Arial" w:hAnsi="Arial" w:cs="Arial"/>
                <w:lang w:val="en-US"/>
              </w:rPr>
              <w:t xml:space="preserve">Ensured a strong financial safety net and, most importantly, </w:t>
            </w:r>
            <w:r w:rsidRPr="00A57571">
              <w:rPr>
                <w:rFonts w:ascii="Arial" w:hAnsi="Arial" w:cs="Arial"/>
                <w:b/>
                <w:bCs/>
                <w:lang w:val="en-US"/>
              </w:rPr>
              <w:t>equitable national access</w:t>
            </w:r>
            <w:r w:rsidRPr="00A57571">
              <w:rPr>
                <w:rFonts w:ascii="Arial" w:hAnsi="Arial" w:cs="Arial"/>
                <w:lang w:val="en-US"/>
              </w:rPr>
              <w:t xml:space="preserve"> to vaccines, mitigating inter-provincial resource competition (Working Together to Thrive, 2025).</w:t>
            </w:r>
          </w:p>
        </w:tc>
        <w:tc>
          <w:tcPr>
            <w:tcW w:w="0" w:type="auto"/>
            <w:hideMark/>
          </w:tcPr>
          <w:p w14:paraId="7C9E14FE" w14:textId="77777777" w:rsidR="00A57571" w:rsidRPr="00A57571" w:rsidRDefault="00A57571" w:rsidP="00A57571">
            <w:pPr>
              <w:keepNext/>
              <w:spacing w:before="240" w:line="360" w:lineRule="auto"/>
              <w:jc w:val="both"/>
              <w:rPr>
                <w:rFonts w:ascii="Arial" w:hAnsi="Arial" w:cs="Arial"/>
                <w:lang w:val="en-US"/>
              </w:rPr>
            </w:pPr>
            <w:r w:rsidRPr="00A57571">
              <w:rPr>
                <w:rFonts w:ascii="Arial" w:hAnsi="Arial" w:cs="Arial"/>
                <w:lang w:val="en-US"/>
              </w:rPr>
              <w:t>Federal intervention required complex political negotiation, slowing the initial response and creating a perception of confusion over authority (Canada's initial response, 2020).</w:t>
            </w:r>
          </w:p>
        </w:tc>
      </w:tr>
    </w:tbl>
    <w:p w14:paraId="3AE3C320" w14:textId="0B00773F" w:rsidR="00166EAE" w:rsidRPr="0071581A" w:rsidRDefault="00A57571" w:rsidP="00A57571">
      <w:pPr>
        <w:pStyle w:val="Caption"/>
        <w:rPr>
          <w:rFonts w:ascii="Arial" w:hAnsi="Arial" w:cs="Arial"/>
          <w:lang w:val="en-US"/>
        </w:rPr>
      </w:pPr>
      <w:bookmarkStart w:id="20" w:name="_Toc216525567"/>
      <w:r>
        <w:t xml:space="preserve">Table </w:t>
      </w:r>
      <w:r>
        <w:fldChar w:fldCharType="begin"/>
      </w:r>
      <w:r>
        <w:instrText xml:space="preserve"> SEQ Table \* ARABIC </w:instrText>
      </w:r>
      <w:r>
        <w:fldChar w:fldCharType="separate"/>
      </w:r>
      <w:r>
        <w:rPr>
          <w:noProof/>
        </w:rPr>
        <w:t>3</w:t>
      </w:r>
      <w:r>
        <w:fldChar w:fldCharType="end"/>
      </w:r>
      <w:r>
        <w:t xml:space="preserve">: </w:t>
      </w:r>
      <w:r w:rsidRPr="001035CA">
        <w:t>Weekly advantages, disadvantages and health outcomes</w:t>
      </w:r>
      <w:bookmarkEnd w:id="20"/>
    </w:p>
    <w:p w14:paraId="7D4876F4" w14:textId="0EE04B7E" w:rsidR="00FD3599" w:rsidRDefault="0071581A" w:rsidP="00952CDF">
      <w:pPr>
        <w:spacing w:before="240" w:line="360" w:lineRule="auto"/>
        <w:jc w:val="both"/>
        <w:rPr>
          <w:rFonts w:ascii="Arial" w:eastAsiaTheme="majorEastAsia" w:hAnsi="Arial" w:cstheme="majorBidi"/>
          <w:b/>
          <w:color w:val="000000" w:themeColor="text1"/>
          <w:sz w:val="32"/>
          <w:szCs w:val="40"/>
        </w:rPr>
      </w:pPr>
      <w:r w:rsidRPr="0071581A">
        <w:rPr>
          <w:rFonts w:ascii="Arial" w:hAnsi="Arial" w:cs="Arial"/>
          <w:b/>
          <w:bCs/>
          <w:lang w:val="en-US"/>
        </w:rPr>
        <w:t>Health Outcomes and Challenges:</w:t>
      </w:r>
      <w:r w:rsidRPr="0071581A">
        <w:rPr>
          <w:rFonts w:ascii="Arial" w:hAnsi="Arial" w:cs="Arial"/>
          <w:lang w:val="en-US"/>
        </w:rPr>
        <w:t xml:space="preserve"> The general morbidity and mortality in Canada during the first wave were relatively low in comparison with other countries of the same size and wealth (Canada initial response, 2020). The power of the universal healthcare system and the strength of the federal fiscal support were the factors that supported this outcome. The system, however, was </w:t>
      </w:r>
      <w:proofErr w:type="spellStart"/>
      <w:r w:rsidRPr="0071581A">
        <w:rPr>
          <w:rFonts w:ascii="Arial" w:hAnsi="Arial" w:cs="Arial"/>
          <w:lang w:val="en-US"/>
        </w:rPr>
        <w:t>decentralised</w:t>
      </w:r>
      <w:proofErr w:type="spellEnd"/>
      <w:r w:rsidRPr="0071581A">
        <w:rPr>
          <w:rFonts w:ascii="Arial" w:hAnsi="Arial" w:cs="Arial"/>
          <w:lang w:val="en-US"/>
        </w:rPr>
        <w:t xml:space="preserve">, which revealed and exaggerated the underlying structural injustices, including the excessive weight on long-term care residents and disproportionate </w:t>
      </w:r>
      <w:r w:rsidRPr="0071581A">
        <w:rPr>
          <w:rFonts w:ascii="Arial" w:hAnsi="Arial" w:cs="Arial"/>
          <w:lang w:val="en-US"/>
        </w:rPr>
        <w:lastRenderedPageBreak/>
        <w:t xml:space="preserve">weight on particular </w:t>
      </w:r>
      <w:proofErr w:type="spellStart"/>
      <w:r w:rsidRPr="0071581A">
        <w:rPr>
          <w:rFonts w:ascii="Arial" w:hAnsi="Arial" w:cs="Arial"/>
          <w:lang w:val="en-US"/>
        </w:rPr>
        <w:t>racialised</w:t>
      </w:r>
      <w:proofErr w:type="spellEnd"/>
      <w:r w:rsidRPr="0071581A">
        <w:rPr>
          <w:rFonts w:ascii="Arial" w:hAnsi="Arial" w:cs="Arial"/>
          <w:lang w:val="en-US"/>
        </w:rPr>
        <w:t xml:space="preserve"> groups (Measuring What Counts, 2025). The most important problem was the tension in reaching a national policy on public health. As long as the functional command is in the possession of thirteen autonomous jurisdictions, the federal power must acquire an integrative, and not merely commanding, style of leadership.</w:t>
      </w:r>
      <w:bookmarkStart w:id="21" w:name="_Toc216264201"/>
    </w:p>
    <w:p w14:paraId="511E0032" w14:textId="7C1DA1BD" w:rsidR="00B8340D" w:rsidRPr="00E22557" w:rsidRDefault="00AB0945" w:rsidP="00B8340D">
      <w:pPr>
        <w:pStyle w:val="Heading1"/>
      </w:pPr>
      <w:bookmarkStart w:id="22" w:name="_Toc216525542"/>
      <w:bookmarkEnd w:id="21"/>
      <w:r w:rsidRPr="00AB0945">
        <w:t>3. Critical Analysis of the Leadership Styles Taken in Each Country</w:t>
      </w:r>
      <w:bookmarkEnd w:id="22"/>
    </w:p>
    <w:p w14:paraId="1E2EE69E" w14:textId="4F32A9F4" w:rsidR="00D44CBB" w:rsidRPr="00D44CBB" w:rsidRDefault="00952CDF" w:rsidP="00D44CBB">
      <w:pPr>
        <w:spacing w:before="240" w:line="360" w:lineRule="auto"/>
        <w:jc w:val="both"/>
        <w:rPr>
          <w:rFonts w:ascii="Arial" w:hAnsi="Arial" w:cs="Arial"/>
          <w:bCs/>
          <w:lang w:val="en-US"/>
        </w:rPr>
      </w:pPr>
      <w:r w:rsidRPr="00952CDF">
        <w:rPr>
          <w:rFonts w:ascii="Arial" w:hAnsi="Arial" w:cs="Arial"/>
          <w:bCs/>
          <w:lang w:val="en-US"/>
        </w:rPr>
        <w:t>Not only did the structure of the health care system of a particular nation play a key role in determining how well it performed during the exceptional global health crisis that was caused by the COVID-19 pandemic, but it also had a considerable impact on the policies that were implemented by the directing elements. In this section, a critical examination of the various approaches taken by the three most influential persons in the administrations of Spain, South Korea, and Canada is presented. The study is based on important theories of leadership, including transformational, transactional, servant, charismatic, situational, and bureaucratic models. The debate will concentrate on the advantages and disadvantages of different medical approaches, taking into consideration the political and health care systems that are in place in each nation.</w:t>
      </w:r>
    </w:p>
    <w:p w14:paraId="0851F852" w14:textId="77777777" w:rsidR="00D44CBB" w:rsidRPr="00D44CBB" w:rsidRDefault="00D44CBB" w:rsidP="00CF3AFE">
      <w:pPr>
        <w:pStyle w:val="Heading2"/>
        <w:rPr>
          <w:lang w:val="en-US"/>
        </w:rPr>
      </w:pPr>
      <w:bookmarkStart w:id="23" w:name="_Toc216525543"/>
      <w:r w:rsidRPr="00D44CBB">
        <w:rPr>
          <w:lang w:val="en-US"/>
        </w:rPr>
        <w:t>3.1. Leadership Styles in Spain</w:t>
      </w:r>
      <w:bookmarkEnd w:id="23"/>
    </w:p>
    <w:p w14:paraId="4BB008C0" w14:textId="48951C8C" w:rsidR="00D44CBB" w:rsidRPr="00D44CBB" w:rsidRDefault="003C64E0" w:rsidP="00D44CBB">
      <w:pPr>
        <w:spacing w:before="240" w:line="360" w:lineRule="auto"/>
        <w:jc w:val="both"/>
        <w:rPr>
          <w:rFonts w:ascii="Arial" w:hAnsi="Arial" w:cs="Arial"/>
          <w:bCs/>
          <w:lang w:val="en-US"/>
        </w:rPr>
      </w:pPr>
      <w:r w:rsidRPr="003C64E0">
        <w:rPr>
          <w:rFonts w:ascii="Arial" w:hAnsi="Arial" w:cs="Arial"/>
          <w:bCs/>
          <w:lang w:val="en-US"/>
        </w:rPr>
        <w:t xml:space="preserve">The response of the Spanish government to the pandemic, which was largely directed by the executive branch (President Pedro Sánchez) and implemented by the Ministry of Health (first, Salvador Illa), demonstrated a complex and shifting pattern of leadership styles. These styles were </w:t>
      </w:r>
      <w:proofErr w:type="spellStart"/>
      <w:r w:rsidRPr="003C64E0">
        <w:rPr>
          <w:rFonts w:ascii="Arial" w:hAnsi="Arial" w:cs="Arial"/>
          <w:bCs/>
          <w:lang w:val="en-US"/>
        </w:rPr>
        <w:t>characterised</w:t>
      </w:r>
      <w:proofErr w:type="spellEnd"/>
      <w:r w:rsidRPr="003C64E0">
        <w:rPr>
          <w:rFonts w:ascii="Arial" w:hAnsi="Arial" w:cs="Arial"/>
          <w:bCs/>
          <w:lang w:val="en-US"/>
        </w:rPr>
        <w:t xml:space="preserve"> by a progression from an initial denial of the risk to crisis-based </w:t>
      </w:r>
      <w:proofErr w:type="spellStart"/>
      <w:r w:rsidRPr="003C64E0">
        <w:rPr>
          <w:rFonts w:ascii="Arial" w:hAnsi="Arial" w:cs="Arial"/>
          <w:bCs/>
          <w:lang w:val="en-US"/>
        </w:rPr>
        <w:t>centralisation</w:t>
      </w:r>
      <w:proofErr w:type="spellEnd"/>
      <w:r w:rsidRPr="003C64E0">
        <w:rPr>
          <w:rFonts w:ascii="Arial" w:hAnsi="Arial" w:cs="Arial"/>
          <w:bCs/>
          <w:lang w:val="en-US"/>
        </w:rPr>
        <w:t xml:space="preserve"> and, finally, to the implementation of proper administration. The </w:t>
      </w:r>
      <w:proofErr w:type="spellStart"/>
      <w:r w:rsidRPr="003C64E0">
        <w:rPr>
          <w:rFonts w:ascii="Arial" w:hAnsi="Arial" w:cs="Arial"/>
          <w:bCs/>
          <w:lang w:val="en-US"/>
        </w:rPr>
        <w:t>decentralisation</w:t>
      </w:r>
      <w:proofErr w:type="spellEnd"/>
      <w:r w:rsidRPr="003C64E0">
        <w:rPr>
          <w:rFonts w:ascii="Arial" w:hAnsi="Arial" w:cs="Arial"/>
          <w:bCs/>
          <w:lang w:val="en-US"/>
        </w:rPr>
        <w:t xml:space="preserve"> of the Spanish health system was an intrinsic feature, which meant that in order for the leadership to be successful, they needed to not only set a policy but also overcome deep structural friction (The tough resilience, 2022)</w:t>
      </w:r>
      <w:r w:rsidR="00D44CBB" w:rsidRPr="00D44CBB">
        <w:rPr>
          <w:rFonts w:ascii="Arial" w:hAnsi="Arial" w:cs="Arial"/>
          <w:bCs/>
          <w:lang w:val="en-US"/>
        </w:rPr>
        <w:t>.</w:t>
      </w:r>
    </w:p>
    <w:p w14:paraId="3B4C98F9" w14:textId="414C4175" w:rsidR="00D44CBB" w:rsidRPr="00D44CBB" w:rsidRDefault="002E37E6" w:rsidP="002E37E6">
      <w:pPr>
        <w:pStyle w:val="Heading3"/>
        <w:rPr>
          <w:lang w:val="en-US"/>
        </w:rPr>
      </w:pPr>
      <w:bookmarkStart w:id="24" w:name="_Toc216525544"/>
      <w:r>
        <w:rPr>
          <w:lang w:val="en-US"/>
        </w:rPr>
        <w:t>3.1.1 Initial</w:t>
      </w:r>
      <w:r w:rsidR="00D44CBB" w:rsidRPr="00D44CBB">
        <w:rPr>
          <w:lang w:val="en-US"/>
        </w:rPr>
        <w:t xml:space="preserve"> Situational and Bureaucratic Failure</w:t>
      </w:r>
      <w:bookmarkEnd w:id="24"/>
    </w:p>
    <w:p w14:paraId="04955F87"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 xml:space="preserve">During the crisis period of the first week of January and February, 2020, the leadership exhibited the elements of an unsuccessful situational leadership style. The statement on January 30th by the Minister of Health, Salvador Illa, that the system was ready to address the situation and that the government was not going to downplay anything implied that the current bureaucratic and </w:t>
      </w:r>
      <w:proofErr w:type="spellStart"/>
      <w:r w:rsidRPr="00D44CBB">
        <w:rPr>
          <w:rFonts w:ascii="Arial" w:hAnsi="Arial" w:cs="Arial"/>
          <w:bCs/>
          <w:lang w:val="en-US"/>
        </w:rPr>
        <w:t>decentralised</w:t>
      </w:r>
      <w:proofErr w:type="spellEnd"/>
      <w:r w:rsidRPr="00D44CBB">
        <w:rPr>
          <w:rFonts w:ascii="Arial" w:hAnsi="Arial" w:cs="Arial"/>
          <w:bCs/>
          <w:lang w:val="en-US"/>
        </w:rPr>
        <w:t xml:space="preserve"> health system was adequate to meet the emerging threat (Evaluation of Spanish Health System, 2021).</w:t>
      </w:r>
    </w:p>
    <w:p w14:paraId="717E7410" w14:textId="6314BE76" w:rsidR="00D44CBB" w:rsidRPr="008B54C2" w:rsidRDefault="008B54C2" w:rsidP="008B54C2">
      <w:pPr>
        <w:pStyle w:val="ListParagraph"/>
        <w:numPr>
          <w:ilvl w:val="0"/>
          <w:numId w:val="17"/>
        </w:numPr>
        <w:spacing w:before="240" w:line="360" w:lineRule="auto"/>
        <w:jc w:val="both"/>
        <w:rPr>
          <w:rFonts w:ascii="Arial" w:hAnsi="Arial" w:cs="Arial"/>
          <w:bCs/>
          <w:lang w:val="en-US"/>
        </w:rPr>
      </w:pPr>
      <w:r w:rsidRPr="008B54C2">
        <w:rPr>
          <w:rFonts w:ascii="Arial" w:hAnsi="Arial" w:cs="Arial"/>
          <w:b/>
        </w:rPr>
        <w:lastRenderedPageBreak/>
        <w:t>Disadvantage</w:t>
      </w:r>
      <w:r w:rsidR="00D44CBB" w:rsidRPr="008B54C2">
        <w:rPr>
          <w:rFonts w:ascii="Arial" w:hAnsi="Arial" w:cs="Arial"/>
          <w:b/>
          <w:lang w:val="en-US"/>
        </w:rPr>
        <w:t>:</w:t>
      </w:r>
      <w:r w:rsidR="00D44CBB" w:rsidRPr="008B54C2">
        <w:rPr>
          <w:rFonts w:ascii="Arial" w:hAnsi="Arial" w:cs="Arial"/>
          <w:bCs/>
          <w:lang w:val="en-US"/>
        </w:rPr>
        <w:t xml:space="preserve"> </w:t>
      </w:r>
      <w:r w:rsidRPr="008B54C2">
        <w:rPr>
          <w:rFonts w:ascii="Arial" w:hAnsi="Arial" w:cs="Arial"/>
          <w:bCs/>
          <w:lang w:val="en-US"/>
        </w:rPr>
        <w:t>T</w:t>
      </w:r>
      <w:r w:rsidR="00D44CBB" w:rsidRPr="008B54C2">
        <w:rPr>
          <w:rFonts w:ascii="Arial" w:hAnsi="Arial" w:cs="Arial"/>
          <w:bCs/>
          <w:lang w:val="en-US"/>
        </w:rPr>
        <w:t>his has been a critical misinterpretation of the situation, one of the main failures of situational leadership: the failure to diagnose the environment appropriately and choose the right style of command. This is because the bureaucratic leadership approach, based on compliance with all possible procedures and requiring international classification of the threat, resulted in a delayed and slow, but fatal, response, and the criticism of being too little too late was received (The Limits of Power Concentration, 2023). This lag played a direct role in making Spain one of the most compromised nations in Europe as regards the first wave. The challenge to leave normal bureaucratic processes and turn to crisis management reflected a clear shortage of the required charismatic or transformational vision.</w:t>
      </w:r>
    </w:p>
    <w:p w14:paraId="1B378898" w14:textId="4C9C36DB" w:rsidR="00D44CBB" w:rsidRPr="00D44CBB" w:rsidRDefault="00D9599D" w:rsidP="00D9599D">
      <w:pPr>
        <w:pStyle w:val="Heading3"/>
        <w:rPr>
          <w:lang w:val="en-US"/>
        </w:rPr>
      </w:pPr>
      <w:bookmarkStart w:id="25" w:name="_Toc216525545"/>
      <w:r>
        <w:rPr>
          <w:lang w:val="en-US"/>
        </w:rPr>
        <w:t xml:space="preserve">3.1.2 </w:t>
      </w:r>
      <w:r w:rsidR="00D44CBB" w:rsidRPr="00D44CBB">
        <w:rPr>
          <w:lang w:val="en-US"/>
        </w:rPr>
        <w:t>Sliding to Crisis and Transactional Leadership</w:t>
      </w:r>
      <w:bookmarkEnd w:id="25"/>
    </w:p>
    <w:p w14:paraId="3C7FEF95"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 xml:space="preserve">When the number of cases skyrocketed, the leadership turned on its head and invoked the State of Alarm in March 2020. This action was an almost direct transition to a very authoritarian and transactional leadership style. It </w:t>
      </w:r>
      <w:proofErr w:type="spellStart"/>
      <w:r w:rsidRPr="00D44CBB">
        <w:rPr>
          <w:rFonts w:ascii="Arial" w:hAnsi="Arial" w:cs="Arial"/>
          <w:bCs/>
          <w:lang w:val="en-US"/>
        </w:rPr>
        <w:t>centralised</w:t>
      </w:r>
      <w:proofErr w:type="spellEnd"/>
      <w:r w:rsidRPr="00D44CBB">
        <w:rPr>
          <w:rFonts w:ascii="Arial" w:hAnsi="Arial" w:cs="Arial"/>
          <w:bCs/>
          <w:lang w:val="en-US"/>
        </w:rPr>
        <w:t xml:space="preserve"> the control over all the public health and security forces in the central government temporarily, which implemented one of the most restrictive national lockdowns in the world (Living with COVID-19, 2020).</w:t>
      </w:r>
    </w:p>
    <w:p w14:paraId="13170218" w14:textId="6F2688CD" w:rsidR="00D44CBB" w:rsidRPr="00D9599D" w:rsidRDefault="00D9599D" w:rsidP="00C55FC5">
      <w:pPr>
        <w:pStyle w:val="ListParagraph"/>
        <w:numPr>
          <w:ilvl w:val="0"/>
          <w:numId w:val="19"/>
        </w:numPr>
        <w:spacing w:before="240" w:line="360" w:lineRule="auto"/>
        <w:jc w:val="both"/>
        <w:rPr>
          <w:rFonts w:ascii="Arial" w:hAnsi="Arial" w:cs="Arial"/>
          <w:bCs/>
          <w:lang w:val="en-US"/>
        </w:rPr>
      </w:pPr>
      <w:r w:rsidRPr="00D9599D">
        <w:rPr>
          <w:rFonts w:ascii="Arial" w:hAnsi="Arial" w:cs="Arial"/>
          <w:b/>
          <w:lang w:val="en-US"/>
        </w:rPr>
        <w:t>Advantage</w:t>
      </w:r>
      <w:r w:rsidR="00D44CBB" w:rsidRPr="00D9599D">
        <w:rPr>
          <w:rFonts w:ascii="Arial" w:hAnsi="Arial" w:cs="Arial"/>
          <w:b/>
          <w:lang w:val="en-US"/>
        </w:rPr>
        <w:t>:</w:t>
      </w:r>
      <w:r w:rsidR="00D44CBB" w:rsidRPr="00D9599D">
        <w:rPr>
          <w:rFonts w:ascii="Arial" w:hAnsi="Arial" w:cs="Arial"/>
          <w:bCs/>
          <w:lang w:val="en-US"/>
        </w:rPr>
        <w:t xml:space="preserve"> This was a critical transactional strategy that was needed to achieve instant compliance and stop transmission. It operated in terms of clear exchange: the citizens had to comply with some rigid rules (the transaction) to experience the advantage of public safety. The </w:t>
      </w:r>
      <w:proofErr w:type="spellStart"/>
      <w:r w:rsidR="00D44CBB" w:rsidRPr="00D9599D">
        <w:rPr>
          <w:rFonts w:ascii="Arial" w:hAnsi="Arial" w:cs="Arial"/>
          <w:bCs/>
          <w:lang w:val="en-US"/>
        </w:rPr>
        <w:t>centralisation</w:t>
      </w:r>
      <w:proofErr w:type="spellEnd"/>
      <w:r w:rsidR="00D44CBB" w:rsidRPr="00D9599D">
        <w:rPr>
          <w:rFonts w:ascii="Arial" w:hAnsi="Arial" w:cs="Arial"/>
          <w:bCs/>
          <w:lang w:val="en-US"/>
        </w:rPr>
        <w:t xml:space="preserve"> ensured clarity and uniformity, and the political friction, which was present in the </w:t>
      </w:r>
      <w:proofErr w:type="spellStart"/>
      <w:r w:rsidR="00D44CBB" w:rsidRPr="00D9599D">
        <w:rPr>
          <w:rFonts w:ascii="Arial" w:hAnsi="Arial" w:cs="Arial"/>
          <w:bCs/>
          <w:lang w:val="en-US"/>
        </w:rPr>
        <w:t>decentralised</w:t>
      </w:r>
      <w:proofErr w:type="spellEnd"/>
      <w:r w:rsidR="00D44CBB" w:rsidRPr="00D9599D">
        <w:rPr>
          <w:rFonts w:ascii="Arial" w:hAnsi="Arial" w:cs="Arial"/>
          <w:bCs/>
          <w:lang w:val="en-US"/>
        </w:rPr>
        <w:t xml:space="preserve"> system, was eliminated. The benefit was the speed of the flattening of the epidemiological curve.</w:t>
      </w:r>
    </w:p>
    <w:p w14:paraId="74B819D3" w14:textId="58777323" w:rsidR="00D44CBB" w:rsidRPr="00D9599D" w:rsidRDefault="00D9599D" w:rsidP="00C55FC5">
      <w:pPr>
        <w:pStyle w:val="ListParagraph"/>
        <w:numPr>
          <w:ilvl w:val="0"/>
          <w:numId w:val="19"/>
        </w:numPr>
        <w:spacing w:before="240" w:line="360" w:lineRule="auto"/>
        <w:jc w:val="both"/>
        <w:rPr>
          <w:rFonts w:ascii="Arial" w:hAnsi="Arial" w:cs="Arial"/>
          <w:bCs/>
          <w:lang w:val="en-US"/>
        </w:rPr>
      </w:pPr>
      <w:r w:rsidRPr="00D9599D">
        <w:rPr>
          <w:rFonts w:ascii="Arial" w:hAnsi="Arial" w:cs="Arial"/>
          <w:b/>
        </w:rPr>
        <w:t>Disadvantage</w:t>
      </w:r>
      <w:r w:rsidR="00D44CBB" w:rsidRPr="00D9599D">
        <w:rPr>
          <w:rFonts w:ascii="Arial" w:hAnsi="Arial" w:cs="Arial"/>
          <w:b/>
          <w:lang w:val="en-US"/>
        </w:rPr>
        <w:t>:</w:t>
      </w:r>
      <w:r w:rsidR="00D44CBB" w:rsidRPr="00D9599D">
        <w:rPr>
          <w:rFonts w:ascii="Arial" w:hAnsi="Arial" w:cs="Arial"/>
          <w:bCs/>
          <w:lang w:val="en-US"/>
        </w:rPr>
        <w:t xml:space="preserve"> The political and territorial conflict caused by the heavy-handedness was immense. Local leaders were not in </w:t>
      </w:r>
      <w:proofErr w:type="spellStart"/>
      <w:r w:rsidR="00D44CBB" w:rsidRPr="00D9599D">
        <w:rPr>
          <w:rFonts w:ascii="Arial" w:hAnsi="Arial" w:cs="Arial"/>
          <w:bCs/>
          <w:lang w:val="en-US"/>
        </w:rPr>
        <w:t>favour</w:t>
      </w:r>
      <w:proofErr w:type="spellEnd"/>
      <w:r w:rsidR="00D44CBB" w:rsidRPr="00D9599D">
        <w:rPr>
          <w:rFonts w:ascii="Arial" w:hAnsi="Arial" w:cs="Arial"/>
          <w:bCs/>
          <w:lang w:val="en-US"/>
        </w:rPr>
        <w:t xml:space="preserve"> of the fact that they became deprived of their autonomy, and the central intervention was considered anti-democratic (The Limits of Power Concentration, 2023). Moreover, the first crisis needed a transactional style of command and control, but the crisis never had the long-term motivating factors of transformational leadership, and thus, compliance was challenging after the crisis threat had disappeared.</w:t>
      </w:r>
    </w:p>
    <w:p w14:paraId="55C39BF4" w14:textId="7D000E47" w:rsidR="00D44CBB" w:rsidRPr="00D44CBB" w:rsidRDefault="001027BA" w:rsidP="001027BA">
      <w:pPr>
        <w:pStyle w:val="Heading3"/>
        <w:rPr>
          <w:lang w:val="en-US"/>
        </w:rPr>
      </w:pPr>
      <w:bookmarkStart w:id="26" w:name="_Toc216525546"/>
      <w:r>
        <w:rPr>
          <w:lang w:val="en-US"/>
        </w:rPr>
        <w:t>3.1.3 Later</w:t>
      </w:r>
      <w:r w:rsidR="00D44CBB" w:rsidRPr="00D44CBB">
        <w:rPr>
          <w:lang w:val="en-US"/>
        </w:rPr>
        <w:t xml:space="preserve"> phase: </w:t>
      </w:r>
      <w:r>
        <w:rPr>
          <w:lang w:val="en-US"/>
        </w:rPr>
        <w:t>T</w:t>
      </w:r>
      <w:r w:rsidR="00D44CBB" w:rsidRPr="00D44CBB">
        <w:rPr>
          <w:lang w:val="en-US"/>
        </w:rPr>
        <w:t xml:space="preserve">ransformational and </w:t>
      </w:r>
      <w:r>
        <w:rPr>
          <w:lang w:val="en-US"/>
        </w:rPr>
        <w:t>B</w:t>
      </w:r>
      <w:r w:rsidR="00D44CBB" w:rsidRPr="00D44CBB">
        <w:rPr>
          <w:lang w:val="en-US"/>
        </w:rPr>
        <w:t>ureaucratic success</w:t>
      </w:r>
      <w:bookmarkEnd w:id="26"/>
    </w:p>
    <w:p w14:paraId="4C42B37C"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 xml:space="preserve">The case of Spain is a dramatic improvement in terms of the national COVID-19 vaccination campaign. In this case, the management adopted a very effective combination of transformational vision and effective bureaucratic (administrative) implementation (The Difficult Resilience, 2022). The government positioned the vaccination exercise as a national, </w:t>
      </w:r>
      <w:r w:rsidRPr="00D44CBB">
        <w:rPr>
          <w:rFonts w:ascii="Arial" w:hAnsi="Arial" w:cs="Arial"/>
          <w:bCs/>
          <w:lang w:val="en-US"/>
        </w:rPr>
        <w:lastRenderedPageBreak/>
        <w:t>cohesive goal (a transformational element) and subsequently used the already highly functional regional health bureaucracy (the bureaucratic element) to deliver the vaccines (The Spanish health system, 2025).</w:t>
      </w:r>
    </w:p>
    <w:p w14:paraId="35EC7FB4" w14:textId="0E89FEF5" w:rsidR="00D44CBB" w:rsidRPr="00C55FC5" w:rsidRDefault="000A6CC1" w:rsidP="00C55FC5">
      <w:pPr>
        <w:pStyle w:val="ListParagraph"/>
        <w:numPr>
          <w:ilvl w:val="0"/>
          <w:numId w:val="20"/>
        </w:numPr>
        <w:spacing w:before="240" w:line="360" w:lineRule="auto"/>
        <w:jc w:val="both"/>
        <w:rPr>
          <w:rFonts w:ascii="Arial" w:hAnsi="Arial" w:cs="Arial"/>
          <w:bCs/>
          <w:lang w:val="en-US"/>
        </w:rPr>
      </w:pPr>
      <w:r w:rsidRPr="00C55FC5">
        <w:rPr>
          <w:rFonts w:ascii="Arial" w:hAnsi="Arial" w:cs="Arial"/>
          <w:b/>
          <w:lang w:val="en-US"/>
        </w:rPr>
        <w:t>Advantage:</w:t>
      </w:r>
      <w:r w:rsidR="00D44CBB" w:rsidRPr="00C55FC5">
        <w:rPr>
          <w:rFonts w:ascii="Arial" w:hAnsi="Arial" w:cs="Arial"/>
          <w:bCs/>
          <w:lang w:val="en-US"/>
        </w:rPr>
        <w:t xml:space="preserve"> This hybrid system used the central government as the power to source and distribute resources using its transactional power and the </w:t>
      </w:r>
      <w:proofErr w:type="spellStart"/>
      <w:r w:rsidR="00D44CBB" w:rsidRPr="00C55FC5">
        <w:rPr>
          <w:rFonts w:ascii="Arial" w:hAnsi="Arial" w:cs="Arial"/>
          <w:bCs/>
          <w:lang w:val="en-US"/>
        </w:rPr>
        <w:t>decentralised</w:t>
      </w:r>
      <w:proofErr w:type="spellEnd"/>
      <w:r w:rsidR="00D44CBB" w:rsidRPr="00C55FC5">
        <w:rPr>
          <w:rFonts w:ascii="Arial" w:hAnsi="Arial" w:cs="Arial"/>
          <w:bCs/>
          <w:lang w:val="en-US"/>
        </w:rPr>
        <w:t xml:space="preserve"> system with its operational close proximity to the people to deliver there. High public uptake and trust were achieved with the aid of the transformational framing, which made Spain a European vaccination leader (Evaluation of Spanish Health System, 2021).</w:t>
      </w:r>
    </w:p>
    <w:p w14:paraId="4CEBE632" w14:textId="4D462A4F" w:rsidR="00D44CBB" w:rsidRPr="00C55FC5" w:rsidRDefault="000A6CC1" w:rsidP="00C55FC5">
      <w:pPr>
        <w:pStyle w:val="ListParagraph"/>
        <w:numPr>
          <w:ilvl w:val="0"/>
          <w:numId w:val="20"/>
        </w:numPr>
        <w:spacing w:before="240" w:line="360" w:lineRule="auto"/>
        <w:jc w:val="both"/>
        <w:rPr>
          <w:rFonts w:ascii="Arial" w:hAnsi="Arial" w:cs="Arial"/>
          <w:bCs/>
          <w:lang w:val="en-US"/>
        </w:rPr>
      </w:pPr>
      <w:r w:rsidRPr="00C55FC5">
        <w:rPr>
          <w:rFonts w:ascii="Arial" w:hAnsi="Arial" w:cs="Arial"/>
          <w:b/>
        </w:rPr>
        <w:t>Disadvantage</w:t>
      </w:r>
      <w:r w:rsidR="00D44CBB" w:rsidRPr="00C55FC5">
        <w:rPr>
          <w:rFonts w:ascii="Arial" w:hAnsi="Arial" w:cs="Arial"/>
          <w:b/>
          <w:lang w:val="en-US"/>
        </w:rPr>
        <w:t>:</w:t>
      </w:r>
      <w:r w:rsidR="00D44CBB" w:rsidRPr="00C55FC5">
        <w:rPr>
          <w:rFonts w:ascii="Arial" w:hAnsi="Arial" w:cs="Arial"/>
          <w:bCs/>
          <w:lang w:val="en-US"/>
        </w:rPr>
        <w:t xml:space="preserve"> The fatal flaw of the Spanish leadership was that they failed to be effective leaders of the system of </w:t>
      </w:r>
      <w:proofErr w:type="spellStart"/>
      <w:r w:rsidR="00D44CBB" w:rsidRPr="00C55FC5">
        <w:rPr>
          <w:rFonts w:ascii="Arial" w:hAnsi="Arial" w:cs="Arial"/>
          <w:bCs/>
          <w:lang w:val="en-US"/>
        </w:rPr>
        <w:t>decentralisation</w:t>
      </w:r>
      <w:proofErr w:type="spellEnd"/>
      <w:r w:rsidR="00D44CBB" w:rsidRPr="00C55FC5">
        <w:rPr>
          <w:rFonts w:ascii="Arial" w:hAnsi="Arial" w:cs="Arial"/>
          <w:bCs/>
          <w:lang w:val="en-US"/>
        </w:rPr>
        <w:t xml:space="preserve"> that existed within the Spanish leadership structure. The emergency was a constitutional one (State of Alarm) that had to induce a </w:t>
      </w:r>
      <w:proofErr w:type="spellStart"/>
      <w:r w:rsidR="00D44CBB" w:rsidRPr="00C55FC5">
        <w:rPr>
          <w:rFonts w:ascii="Arial" w:hAnsi="Arial" w:cs="Arial"/>
          <w:bCs/>
          <w:lang w:val="en-US"/>
        </w:rPr>
        <w:t>centralisation</w:t>
      </w:r>
      <w:proofErr w:type="spellEnd"/>
      <w:r w:rsidR="00D44CBB" w:rsidRPr="00C55FC5">
        <w:rPr>
          <w:rFonts w:ascii="Arial" w:hAnsi="Arial" w:cs="Arial"/>
          <w:bCs/>
          <w:lang w:val="en-US"/>
        </w:rPr>
        <w:t xml:space="preserve">. The leadership did not implement the relationship to collaborative or to the servant leadership ahead of the autonomous communities that would have resulted in a coherent early reaction without having to take the extreme </w:t>
      </w:r>
      <w:proofErr w:type="spellStart"/>
      <w:r w:rsidR="00D44CBB" w:rsidRPr="00C55FC5">
        <w:rPr>
          <w:rFonts w:ascii="Arial" w:hAnsi="Arial" w:cs="Arial"/>
          <w:bCs/>
          <w:lang w:val="en-US"/>
        </w:rPr>
        <w:t>centralisation</w:t>
      </w:r>
      <w:proofErr w:type="spellEnd"/>
      <w:r w:rsidR="00D44CBB" w:rsidRPr="00C55FC5">
        <w:rPr>
          <w:rFonts w:ascii="Arial" w:hAnsi="Arial" w:cs="Arial"/>
          <w:bCs/>
          <w:lang w:val="en-US"/>
        </w:rPr>
        <w:t xml:space="preserve"> approach (The Limits of Power Concentration, 2023).</w:t>
      </w:r>
    </w:p>
    <w:p w14:paraId="10EAE2C9" w14:textId="44F84E05" w:rsidR="00D44CBB" w:rsidRPr="00D44CBB" w:rsidRDefault="00D44CBB" w:rsidP="00C55FC5">
      <w:pPr>
        <w:pStyle w:val="Heading2"/>
        <w:rPr>
          <w:lang w:val="en-US"/>
        </w:rPr>
      </w:pPr>
      <w:bookmarkStart w:id="27" w:name="_Toc216525547"/>
      <w:r w:rsidRPr="00D44CBB">
        <w:rPr>
          <w:lang w:val="en-US"/>
        </w:rPr>
        <w:t>3.2. Leadership styles in South Korea</w:t>
      </w:r>
      <w:bookmarkEnd w:id="27"/>
    </w:p>
    <w:p w14:paraId="1E0AEB99" w14:textId="77777777" w:rsidR="00D44CBB" w:rsidRDefault="00D44CBB" w:rsidP="00D44CBB">
      <w:pPr>
        <w:spacing w:before="240" w:line="360" w:lineRule="auto"/>
        <w:jc w:val="both"/>
        <w:rPr>
          <w:rFonts w:ascii="Arial" w:hAnsi="Arial" w:cs="Arial"/>
          <w:bCs/>
          <w:lang w:val="en-US"/>
        </w:rPr>
      </w:pPr>
      <w:r w:rsidRPr="00D44CBB">
        <w:rPr>
          <w:rFonts w:ascii="Arial" w:hAnsi="Arial" w:cs="Arial"/>
          <w:bCs/>
          <w:lang w:val="en-US"/>
        </w:rPr>
        <w:t>Led by the leadership of South Korea, especially their Prime Minister Chung Sye-</w:t>
      </w:r>
      <w:proofErr w:type="spellStart"/>
      <w:r w:rsidRPr="00D44CBB">
        <w:rPr>
          <w:rFonts w:ascii="Arial" w:hAnsi="Arial" w:cs="Arial"/>
          <w:bCs/>
          <w:lang w:val="en-US"/>
        </w:rPr>
        <w:t>kyun</w:t>
      </w:r>
      <w:proofErr w:type="spellEnd"/>
      <w:r w:rsidRPr="00D44CBB">
        <w:rPr>
          <w:rFonts w:ascii="Arial" w:hAnsi="Arial" w:cs="Arial"/>
          <w:bCs/>
          <w:lang w:val="en-US"/>
        </w:rPr>
        <w:t xml:space="preserve">, and under the supervision of the most professional KDCA, they provided the best and most renowned pandemic response in the world. This achievement was founded on the culture of readiness that already existed and a unique mix of the servant, bureaucratic, and transactional leadership styles, which took advantage of the </w:t>
      </w:r>
      <w:proofErr w:type="spellStart"/>
      <w:r w:rsidRPr="00D44CBB">
        <w:rPr>
          <w:rFonts w:ascii="Arial" w:hAnsi="Arial" w:cs="Arial"/>
          <w:bCs/>
          <w:lang w:val="en-US"/>
        </w:rPr>
        <w:t>centralisation</w:t>
      </w:r>
      <w:proofErr w:type="spellEnd"/>
      <w:r w:rsidRPr="00D44CBB">
        <w:rPr>
          <w:rFonts w:ascii="Arial" w:hAnsi="Arial" w:cs="Arial"/>
          <w:bCs/>
          <w:lang w:val="en-US"/>
        </w:rPr>
        <w:t xml:space="preserve"> of the country in terms of public health authority (Effect of the establishment, 2025).</w:t>
      </w:r>
    </w:p>
    <w:p w14:paraId="02CAECE1" w14:textId="77777777" w:rsidR="00412FB9" w:rsidRDefault="00632819" w:rsidP="00412FB9">
      <w:pPr>
        <w:keepNext/>
        <w:spacing w:before="240" w:line="360" w:lineRule="auto"/>
        <w:jc w:val="center"/>
      </w:pPr>
      <w:r>
        <w:rPr>
          <w:noProof/>
          <w14:ligatures w14:val="standardContextual"/>
        </w:rPr>
        <w:drawing>
          <wp:inline distT="0" distB="0" distL="0" distR="0" wp14:anchorId="02F177CC" wp14:editId="596E0B35">
            <wp:extent cx="3130550" cy="2336987"/>
            <wp:effectExtent l="0" t="0" r="0" b="6350"/>
            <wp:docPr id="212712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25260" name=""/>
                    <pic:cNvPicPr/>
                  </pic:nvPicPr>
                  <pic:blipFill>
                    <a:blip r:embed="rId12"/>
                    <a:stretch>
                      <a:fillRect/>
                    </a:stretch>
                  </pic:blipFill>
                  <pic:spPr>
                    <a:xfrm>
                      <a:off x="0" y="0"/>
                      <a:ext cx="3136128" cy="2341151"/>
                    </a:xfrm>
                    <a:prstGeom prst="rect">
                      <a:avLst/>
                    </a:prstGeom>
                  </pic:spPr>
                </pic:pic>
              </a:graphicData>
            </a:graphic>
          </wp:inline>
        </w:drawing>
      </w:r>
    </w:p>
    <w:p w14:paraId="51E5C785" w14:textId="603BDFE1" w:rsidR="00BE404A" w:rsidRDefault="00412FB9" w:rsidP="00412FB9">
      <w:pPr>
        <w:pStyle w:val="Caption"/>
        <w:jc w:val="center"/>
      </w:pPr>
      <w:bookmarkStart w:id="28" w:name="_Toc216525558"/>
      <w:r>
        <w:t xml:space="preserve">Figure </w:t>
      </w:r>
      <w:r>
        <w:fldChar w:fldCharType="begin"/>
      </w:r>
      <w:r>
        <w:instrText xml:space="preserve"> SEQ Figure \* ARABIC </w:instrText>
      </w:r>
      <w:r>
        <w:fldChar w:fldCharType="separate"/>
      </w:r>
      <w:r>
        <w:rPr>
          <w:noProof/>
        </w:rPr>
        <w:t>2</w:t>
      </w:r>
      <w:r>
        <w:fldChar w:fldCharType="end"/>
      </w:r>
      <w:r>
        <w:t xml:space="preserve">: </w:t>
      </w:r>
      <w:r w:rsidRPr="0077252B">
        <w:t>Actors Participating in Collaborative Governance of South Korea in Response to COVID‐19</w:t>
      </w:r>
      <w:bookmarkEnd w:id="28"/>
    </w:p>
    <w:p w14:paraId="092A3894" w14:textId="59B36611" w:rsidR="00412FB9" w:rsidRPr="00D44CBB" w:rsidRDefault="00412FB9" w:rsidP="00265132">
      <w:pPr>
        <w:jc w:val="center"/>
        <w:rPr>
          <w:rFonts w:ascii="Arial" w:hAnsi="Arial" w:cs="Arial"/>
          <w:lang w:val="en-US"/>
        </w:rPr>
      </w:pPr>
      <w:r w:rsidRPr="00265132">
        <w:rPr>
          <w:rFonts w:ascii="Arial" w:hAnsi="Arial" w:cs="Arial"/>
          <w:lang w:val="en-US"/>
        </w:rPr>
        <w:t xml:space="preserve">Source: </w:t>
      </w:r>
      <w:hyperlink r:id="rId13" w:history="1">
        <w:proofErr w:type="spellStart"/>
        <w:r w:rsidR="00265132" w:rsidRPr="00265132">
          <w:rPr>
            <w:rStyle w:val="Hyperlink"/>
            <w:rFonts w:ascii="Arial" w:hAnsi="Arial" w:cs="Arial"/>
            <w:lang w:val="en-US"/>
          </w:rPr>
          <w:t>ncbi</w:t>
        </w:r>
        <w:proofErr w:type="spellEnd"/>
      </w:hyperlink>
    </w:p>
    <w:p w14:paraId="23FD175D" w14:textId="3EF4FD4B" w:rsidR="00D44CBB" w:rsidRPr="00D44CBB" w:rsidRDefault="00211396" w:rsidP="00211396">
      <w:pPr>
        <w:pStyle w:val="Heading3"/>
        <w:rPr>
          <w:lang w:val="en-US"/>
        </w:rPr>
      </w:pPr>
      <w:bookmarkStart w:id="29" w:name="_Toc216525548"/>
      <w:r>
        <w:rPr>
          <w:lang w:val="en-US"/>
        </w:rPr>
        <w:lastRenderedPageBreak/>
        <w:t xml:space="preserve">3.2.1 </w:t>
      </w:r>
      <w:r w:rsidR="00D44CBB" w:rsidRPr="00D44CBB">
        <w:rPr>
          <w:lang w:val="en-US"/>
        </w:rPr>
        <w:t>Transparency and Servant Leadership</w:t>
      </w:r>
      <w:bookmarkEnd w:id="29"/>
    </w:p>
    <w:p w14:paraId="3F7608E7"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Chung Sye-</w:t>
      </w:r>
      <w:proofErr w:type="spellStart"/>
      <w:r w:rsidRPr="00D44CBB">
        <w:rPr>
          <w:rFonts w:ascii="Arial" w:hAnsi="Arial" w:cs="Arial"/>
          <w:bCs/>
          <w:lang w:val="en-US"/>
        </w:rPr>
        <w:t>kyun</w:t>
      </w:r>
      <w:proofErr w:type="spellEnd"/>
      <w:r w:rsidRPr="00D44CBB">
        <w:rPr>
          <w:rFonts w:ascii="Arial" w:hAnsi="Arial" w:cs="Arial"/>
          <w:bCs/>
          <w:lang w:val="en-US"/>
        </w:rPr>
        <w:t>, the Prime Minister, specifically highlighted the importance of transparency, respectfulness, and permissiveness, which are some of the main principles of Servant Leadership (The Power of Collaborative Governance, 2020).</w:t>
      </w:r>
    </w:p>
    <w:p w14:paraId="2E404FA6" w14:textId="0E16962F" w:rsidR="00D44CBB" w:rsidRPr="00211396" w:rsidRDefault="00211396" w:rsidP="00211396">
      <w:pPr>
        <w:pStyle w:val="ListParagraph"/>
        <w:numPr>
          <w:ilvl w:val="0"/>
          <w:numId w:val="21"/>
        </w:numPr>
        <w:spacing w:before="240" w:line="360" w:lineRule="auto"/>
        <w:jc w:val="both"/>
        <w:rPr>
          <w:rFonts w:ascii="Arial" w:hAnsi="Arial" w:cs="Arial"/>
          <w:bCs/>
          <w:lang w:val="en-US"/>
        </w:rPr>
      </w:pPr>
      <w:r w:rsidRPr="00211396">
        <w:rPr>
          <w:rFonts w:ascii="Arial" w:hAnsi="Arial" w:cs="Arial"/>
          <w:b/>
          <w:lang w:val="en-US"/>
        </w:rPr>
        <w:t>Advantage:</w:t>
      </w:r>
      <w:r w:rsidR="00D44CBB" w:rsidRPr="00211396">
        <w:rPr>
          <w:rFonts w:ascii="Arial" w:hAnsi="Arial" w:cs="Arial"/>
          <w:bCs/>
          <w:lang w:val="en-US"/>
        </w:rPr>
        <w:t xml:space="preserve"> Servant leadership puts more focus on the welfare and needs of the people and society. The leadership managed to establish high public trust and compliance by transparently and instantly making information, reasons, and processes known, which is essential to the high-compliance options such as mass testing and digital tracing (The response by South Korea, 2022). Trust-based strategy eradicated the necessity of harsh, stressful lockdowns. The leadership presented the answer as a social effort which enabled the citizens to feel respected and empowered to combat the virus (COVID-19 Responses of South Korea, 2021). This cooperative form </w:t>
      </w:r>
      <w:proofErr w:type="spellStart"/>
      <w:r w:rsidR="00D44CBB" w:rsidRPr="00211396">
        <w:rPr>
          <w:rFonts w:ascii="Arial" w:hAnsi="Arial" w:cs="Arial"/>
          <w:bCs/>
          <w:lang w:val="en-US"/>
        </w:rPr>
        <w:t>minimised</w:t>
      </w:r>
      <w:proofErr w:type="spellEnd"/>
      <w:r w:rsidR="00D44CBB" w:rsidRPr="00211396">
        <w:rPr>
          <w:rFonts w:ascii="Arial" w:hAnsi="Arial" w:cs="Arial"/>
          <w:bCs/>
          <w:lang w:val="en-US"/>
        </w:rPr>
        <w:t xml:space="preserve"> societal and political opposition, which is very common with the Western societies, which are more individualistic.</w:t>
      </w:r>
    </w:p>
    <w:p w14:paraId="743C62F3" w14:textId="7780D703" w:rsidR="00D44CBB" w:rsidRPr="00D44CBB" w:rsidRDefault="005615AA" w:rsidP="005615AA">
      <w:pPr>
        <w:pStyle w:val="Heading3"/>
        <w:rPr>
          <w:lang w:val="en-US"/>
        </w:rPr>
      </w:pPr>
      <w:bookmarkStart w:id="30" w:name="_Toc216525549"/>
      <w:r>
        <w:rPr>
          <w:lang w:val="en-US"/>
        </w:rPr>
        <w:t xml:space="preserve">3.2.2 </w:t>
      </w:r>
      <w:r w:rsidR="00D44CBB" w:rsidRPr="00D44CBB">
        <w:rPr>
          <w:lang w:val="en-US"/>
        </w:rPr>
        <w:t>Bureaucratic and Transactional Performance</w:t>
      </w:r>
      <w:bookmarkEnd w:id="30"/>
    </w:p>
    <w:p w14:paraId="4BAD07B4" w14:textId="1840452F"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 xml:space="preserve">The speed and compulsory application of the so-called </w:t>
      </w:r>
      <w:r w:rsidR="00592047">
        <w:rPr>
          <w:rFonts w:ascii="Arial" w:hAnsi="Arial" w:cs="Arial"/>
          <w:bCs/>
          <w:lang w:val="en-US"/>
        </w:rPr>
        <w:t>“</w:t>
      </w:r>
      <w:r w:rsidRPr="00D44CBB">
        <w:rPr>
          <w:rFonts w:ascii="Arial" w:hAnsi="Arial" w:cs="Arial"/>
          <w:bCs/>
          <w:lang w:val="en-US"/>
        </w:rPr>
        <w:t>3T</w:t>
      </w:r>
      <w:r w:rsidR="00592047">
        <w:rPr>
          <w:rFonts w:ascii="Arial" w:hAnsi="Arial" w:cs="Arial"/>
          <w:bCs/>
          <w:lang w:val="en-US"/>
        </w:rPr>
        <w:t>”</w:t>
      </w:r>
      <w:r w:rsidRPr="00D44CBB">
        <w:rPr>
          <w:rFonts w:ascii="Arial" w:hAnsi="Arial" w:cs="Arial"/>
          <w:bCs/>
          <w:lang w:val="en-US"/>
        </w:rPr>
        <w:t xml:space="preserve"> strategy (Test, Trace, Treat) could be </w:t>
      </w:r>
      <w:proofErr w:type="spellStart"/>
      <w:r w:rsidRPr="00D44CBB">
        <w:rPr>
          <w:rFonts w:ascii="Arial" w:hAnsi="Arial" w:cs="Arial"/>
          <w:bCs/>
          <w:lang w:val="en-US"/>
        </w:rPr>
        <w:t>realised</w:t>
      </w:r>
      <w:proofErr w:type="spellEnd"/>
      <w:r w:rsidRPr="00D44CBB">
        <w:rPr>
          <w:rFonts w:ascii="Arial" w:hAnsi="Arial" w:cs="Arial"/>
          <w:bCs/>
          <w:lang w:val="en-US"/>
        </w:rPr>
        <w:t xml:space="preserve"> due to the effective use of the bureaucratic power rate of the KDCA, which was supported by law following the outbreak of MERS. This performance is closely consistent with transactional leadership.</w:t>
      </w:r>
    </w:p>
    <w:p w14:paraId="480D4EF2" w14:textId="6EE36A77" w:rsidR="00D44CBB" w:rsidRPr="008E4800" w:rsidRDefault="005615AA" w:rsidP="008E4800">
      <w:pPr>
        <w:pStyle w:val="ListParagraph"/>
        <w:numPr>
          <w:ilvl w:val="0"/>
          <w:numId w:val="22"/>
        </w:numPr>
        <w:spacing w:before="240" w:line="360" w:lineRule="auto"/>
        <w:jc w:val="both"/>
        <w:rPr>
          <w:rFonts w:ascii="Arial" w:hAnsi="Arial" w:cs="Arial"/>
          <w:bCs/>
          <w:lang w:val="en-US"/>
        </w:rPr>
      </w:pPr>
      <w:r w:rsidRPr="008E4800">
        <w:rPr>
          <w:rFonts w:ascii="Arial" w:hAnsi="Arial" w:cs="Arial"/>
          <w:b/>
          <w:lang w:val="en-US"/>
        </w:rPr>
        <w:t>Advantage:</w:t>
      </w:r>
      <w:r w:rsidR="00D44CBB" w:rsidRPr="008E4800">
        <w:rPr>
          <w:rFonts w:ascii="Arial" w:hAnsi="Arial" w:cs="Arial"/>
          <w:bCs/>
          <w:lang w:val="en-US"/>
        </w:rPr>
        <w:t xml:space="preserve"> Transactional leadership operates based on specific objectives, supervision and established rewards/punishment. The strong communication of health-related procedures, the compulsory use of electronic aids to trace, and the immediate isolation were all transactional to the extent that citizens have done the necessary thing (made the location data available and isolated) and in exchange gained safety quickly and a working economy (Toward better pandemic governance, 2024). The KDCA had a bureaucratic efficiency, which saw to it that these complex protocols were adopted at a uniform and relatively quick pace all over the country without any political friction and regional differences, as was witnessed in the </w:t>
      </w:r>
      <w:proofErr w:type="spellStart"/>
      <w:r w:rsidR="00D44CBB" w:rsidRPr="008E4800">
        <w:rPr>
          <w:rFonts w:ascii="Arial" w:hAnsi="Arial" w:cs="Arial"/>
          <w:bCs/>
          <w:lang w:val="en-US"/>
        </w:rPr>
        <w:t>decentralised</w:t>
      </w:r>
      <w:proofErr w:type="spellEnd"/>
      <w:r w:rsidR="00D44CBB" w:rsidRPr="008E4800">
        <w:rPr>
          <w:rFonts w:ascii="Arial" w:hAnsi="Arial" w:cs="Arial"/>
          <w:bCs/>
          <w:lang w:val="en-US"/>
        </w:rPr>
        <w:t xml:space="preserve"> countries. The system was </w:t>
      </w:r>
      <w:proofErr w:type="spellStart"/>
      <w:r w:rsidR="00D44CBB" w:rsidRPr="008E4800">
        <w:rPr>
          <w:rFonts w:ascii="Arial" w:hAnsi="Arial" w:cs="Arial"/>
          <w:bCs/>
          <w:lang w:val="en-US"/>
        </w:rPr>
        <w:t>centralised</w:t>
      </w:r>
      <w:proofErr w:type="spellEnd"/>
      <w:r w:rsidR="00D44CBB" w:rsidRPr="008E4800">
        <w:rPr>
          <w:rFonts w:ascii="Arial" w:hAnsi="Arial" w:cs="Arial"/>
          <w:bCs/>
          <w:lang w:val="en-US"/>
        </w:rPr>
        <w:t>, leading to the effectiveness of the transactional leadership.</w:t>
      </w:r>
    </w:p>
    <w:p w14:paraId="419A697D" w14:textId="1E7E7C54" w:rsidR="00D44CBB" w:rsidRPr="00D44CBB" w:rsidRDefault="003C679A" w:rsidP="003C679A">
      <w:pPr>
        <w:pStyle w:val="Heading3"/>
        <w:rPr>
          <w:lang w:val="en-US"/>
        </w:rPr>
      </w:pPr>
      <w:bookmarkStart w:id="31" w:name="_Toc216525550"/>
      <w:r>
        <w:rPr>
          <w:lang w:val="en-US"/>
        </w:rPr>
        <w:lastRenderedPageBreak/>
        <w:t>3.2.3 Lack</w:t>
      </w:r>
      <w:r w:rsidR="00D44CBB" w:rsidRPr="00D44CBB">
        <w:rPr>
          <w:lang w:val="en-US"/>
        </w:rPr>
        <w:t xml:space="preserve"> of Charismatic and Ethical Tension</w:t>
      </w:r>
      <w:bookmarkEnd w:id="31"/>
    </w:p>
    <w:p w14:paraId="5BCDB680"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The South Korean model had been quite successful without the necessity of a great figure in the charismatic leadership. It was about the system and the approach rather than the cult of personality.</w:t>
      </w:r>
    </w:p>
    <w:p w14:paraId="7DDF4162" w14:textId="5786C616" w:rsidR="00D44CBB" w:rsidRPr="003C679A" w:rsidRDefault="003C679A" w:rsidP="003C679A">
      <w:pPr>
        <w:pStyle w:val="ListParagraph"/>
        <w:numPr>
          <w:ilvl w:val="0"/>
          <w:numId w:val="23"/>
        </w:numPr>
        <w:spacing w:before="240" w:line="360" w:lineRule="auto"/>
        <w:jc w:val="both"/>
        <w:rPr>
          <w:rFonts w:ascii="Arial" w:hAnsi="Arial" w:cs="Arial"/>
          <w:bCs/>
          <w:lang w:val="en-US"/>
        </w:rPr>
      </w:pPr>
      <w:r w:rsidRPr="003C679A">
        <w:rPr>
          <w:rFonts w:ascii="Arial" w:hAnsi="Arial" w:cs="Arial"/>
          <w:b/>
          <w:lang w:val="en-US"/>
        </w:rPr>
        <w:t>Advantage:</w:t>
      </w:r>
      <w:r w:rsidR="00D44CBB" w:rsidRPr="003C679A">
        <w:rPr>
          <w:rFonts w:ascii="Arial" w:hAnsi="Arial" w:cs="Arial"/>
          <w:bCs/>
          <w:lang w:val="en-US"/>
        </w:rPr>
        <w:t xml:space="preserve"> This bureaucratic </w:t>
      </w:r>
      <w:proofErr w:type="spellStart"/>
      <w:r w:rsidR="00D44CBB" w:rsidRPr="003C679A">
        <w:rPr>
          <w:rFonts w:ascii="Arial" w:hAnsi="Arial" w:cs="Arial"/>
          <w:bCs/>
          <w:lang w:val="en-US"/>
        </w:rPr>
        <w:t>centre</w:t>
      </w:r>
      <w:proofErr w:type="spellEnd"/>
      <w:r w:rsidR="00D44CBB" w:rsidRPr="003C679A">
        <w:rPr>
          <w:rFonts w:ascii="Arial" w:hAnsi="Arial" w:cs="Arial"/>
          <w:bCs/>
          <w:lang w:val="en-US"/>
        </w:rPr>
        <w:t xml:space="preserve"> of interest made sure that the response was scientific, </w:t>
      </w:r>
      <w:proofErr w:type="spellStart"/>
      <w:r w:rsidR="00D44CBB" w:rsidRPr="003C679A">
        <w:rPr>
          <w:rFonts w:ascii="Arial" w:hAnsi="Arial" w:cs="Arial"/>
          <w:bCs/>
          <w:lang w:val="en-US"/>
        </w:rPr>
        <w:t>organised</w:t>
      </w:r>
      <w:proofErr w:type="spellEnd"/>
      <w:r w:rsidR="00D44CBB" w:rsidRPr="003C679A">
        <w:rPr>
          <w:rFonts w:ascii="Arial" w:hAnsi="Arial" w:cs="Arial"/>
          <w:bCs/>
          <w:lang w:val="en-US"/>
        </w:rPr>
        <w:t>, and sustainable, as opposed to being guided by the emotions of one leader (the response by South Korea, 2022).</w:t>
      </w:r>
    </w:p>
    <w:p w14:paraId="78DC5A96" w14:textId="3F4D6593" w:rsidR="00D44CBB" w:rsidRPr="000D598F" w:rsidRDefault="003C679A" w:rsidP="000D598F">
      <w:pPr>
        <w:pStyle w:val="ListParagraph"/>
        <w:numPr>
          <w:ilvl w:val="0"/>
          <w:numId w:val="23"/>
        </w:numPr>
        <w:spacing w:before="240" w:line="360" w:lineRule="auto"/>
        <w:jc w:val="both"/>
        <w:rPr>
          <w:rFonts w:ascii="Arial" w:hAnsi="Arial" w:cs="Arial"/>
          <w:bCs/>
          <w:lang w:val="en-US"/>
        </w:rPr>
      </w:pPr>
      <w:r w:rsidRPr="003C679A">
        <w:rPr>
          <w:rFonts w:ascii="Arial" w:hAnsi="Arial" w:cs="Arial"/>
          <w:b/>
        </w:rPr>
        <w:t>Disadvantage</w:t>
      </w:r>
      <w:r w:rsidR="00D44CBB" w:rsidRPr="003C679A">
        <w:rPr>
          <w:rFonts w:ascii="Arial" w:hAnsi="Arial" w:cs="Arial"/>
          <w:b/>
          <w:lang w:val="en-US"/>
        </w:rPr>
        <w:t>:</w:t>
      </w:r>
      <w:r w:rsidR="00D44CBB" w:rsidRPr="003C679A">
        <w:rPr>
          <w:rFonts w:ascii="Arial" w:hAnsi="Arial" w:cs="Arial"/>
          <w:bCs/>
          <w:lang w:val="en-US"/>
        </w:rPr>
        <w:t xml:space="preserve"> </w:t>
      </w:r>
      <w:r w:rsidR="000D598F" w:rsidRPr="000D598F">
        <w:rPr>
          <w:rFonts w:ascii="Arial" w:hAnsi="Arial" w:cs="Arial"/>
          <w:bCs/>
          <w:lang w:val="en-US"/>
        </w:rPr>
        <w:t xml:space="preserve">Due to the use of high-tech monitoring and obligatory isolation, this strategy was successful; but it also brought up a great deal of ethical conflict and privacy concerns (The Collaboration Dynamics, 2024). When the leadership used its transactional power to coerce the public into doing activities that may potentially violate their personal liberties, they were subjected to criticism. The prospect of the long-term </w:t>
      </w:r>
      <w:proofErr w:type="spellStart"/>
      <w:r w:rsidR="000D598F" w:rsidRPr="000D598F">
        <w:rPr>
          <w:rFonts w:ascii="Arial" w:hAnsi="Arial" w:cs="Arial"/>
          <w:bCs/>
          <w:lang w:val="en-US"/>
        </w:rPr>
        <w:t>normalisation</w:t>
      </w:r>
      <w:proofErr w:type="spellEnd"/>
      <w:r w:rsidR="000D598F" w:rsidRPr="000D598F">
        <w:rPr>
          <w:rFonts w:ascii="Arial" w:hAnsi="Arial" w:cs="Arial"/>
          <w:bCs/>
          <w:lang w:val="en-US"/>
        </w:rPr>
        <w:t xml:space="preserve"> of such invasive powers of bureaucracy is still a disadvantage of this </w:t>
      </w:r>
      <w:proofErr w:type="spellStart"/>
      <w:r w:rsidR="000D598F" w:rsidRPr="000D598F">
        <w:rPr>
          <w:rFonts w:ascii="Arial" w:hAnsi="Arial" w:cs="Arial"/>
          <w:bCs/>
          <w:lang w:val="en-US"/>
        </w:rPr>
        <w:t>centralised</w:t>
      </w:r>
      <w:proofErr w:type="spellEnd"/>
      <w:r w:rsidR="000D598F" w:rsidRPr="000D598F">
        <w:rPr>
          <w:rFonts w:ascii="Arial" w:hAnsi="Arial" w:cs="Arial"/>
          <w:bCs/>
          <w:lang w:val="en-US"/>
        </w:rPr>
        <w:t xml:space="preserve"> approach, despite the fact that the leadership considered them to be a requirement</w:t>
      </w:r>
      <w:r w:rsidR="00D44CBB" w:rsidRPr="000D598F">
        <w:rPr>
          <w:rFonts w:ascii="Arial" w:hAnsi="Arial" w:cs="Arial"/>
          <w:bCs/>
          <w:lang w:val="en-US"/>
        </w:rPr>
        <w:t>.</w:t>
      </w:r>
    </w:p>
    <w:p w14:paraId="388C34CA" w14:textId="77777777" w:rsidR="00D44CBB" w:rsidRPr="00D44CBB" w:rsidRDefault="00D44CBB" w:rsidP="00A55D4D">
      <w:pPr>
        <w:pStyle w:val="Heading2"/>
        <w:rPr>
          <w:lang w:val="en-US"/>
        </w:rPr>
      </w:pPr>
      <w:bookmarkStart w:id="32" w:name="_Toc216525551"/>
      <w:r w:rsidRPr="00D44CBB">
        <w:rPr>
          <w:lang w:val="en-US"/>
        </w:rPr>
        <w:t>3.3. Leadership Styles in Canada</w:t>
      </w:r>
      <w:bookmarkEnd w:id="32"/>
    </w:p>
    <w:p w14:paraId="75D1EC71"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 xml:space="preserve">The reaction of Canada was dictated by its extremely </w:t>
      </w:r>
      <w:proofErr w:type="spellStart"/>
      <w:r w:rsidRPr="00D44CBB">
        <w:rPr>
          <w:rFonts w:ascii="Arial" w:hAnsi="Arial" w:cs="Arial"/>
          <w:bCs/>
          <w:lang w:val="en-US"/>
        </w:rPr>
        <w:t>decentralised</w:t>
      </w:r>
      <w:proofErr w:type="spellEnd"/>
      <w:r w:rsidRPr="00D44CBB">
        <w:rPr>
          <w:rFonts w:ascii="Arial" w:hAnsi="Arial" w:cs="Arial"/>
          <w:bCs/>
          <w:lang w:val="en-US"/>
        </w:rPr>
        <w:t xml:space="preserve"> federal system, in which the federal government (Prime Minister Justin Trudeau) and the 13 provincial/territorial (P/T) governments were collaborative. This relationship required a unifying leadership style by Trudeau, which was transformational and collaborative but continuously undermined by the constraints of the situational leadership and bureaucratic tensions (Canada's initial response, 2020).</w:t>
      </w:r>
    </w:p>
    <w:p w14:paraId="11689AB2" w14:textId="1C18770E" w:rsidR="00D44CBB" w:rsidRPr="00D44CBB" w:rsidRDefault="00A55D4D" w:rsidP="00A55D4D">
      <w:pPr>
        <w:pStyle w:val="Heading3"/>
        <w:rPr>
          <w:lang w:val="en-US"/>
        </w:rPr>
      </w:pPr>
      <w:bookmarkStart w:id="33" w:name="_Toc216525552"/>
      <w:r>
        <w:rPr>
          <w:lang w:val="en-US"/>
        </w:rPr>
        <w:t xml:space="preserve">3.3.1 </w:t>
      </w:r>
      <w:r w:rsidR="00D44CBB" w:rsidRPr="00D44CBB">
        <w:rPr>
          <w:lang w:val="en-US"/>
        </w:rPr>
        <w:t>Unifying and Transformational Leadership</w:t>
      </w:r>
      <w:bookmarkEnd w:id="33"/>
    </w:p>
    <w:p w14:paraId="75036B03"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Trudeau was forced to employ the transformational leadership style. As the P/T had autonomy over health, he could not just give the transactional commands. His main task was to convince, unify, and coordinate the provincial leaders for a purpose of national interest (Strengthening health care in Canada, 2022).</w:t>
      </w:r>
    </w:p>
    <w:p w14:paraId="1F2D55D1" w14:textId="0E9428D6" w:rsidR="00D44CBB" w:rsidRPr="002777D6" w:rsidRDefault="00A55D4D" w:rsidP="002777D6">
      <w:pPr>
        <w:pStyle w:val="ListParagraph"/>
        <w:numPr>
          <w:ilvl w:val="0"/>
          <w:numId w:val="24"/>
        </w:numPr>
        <w:spacing w:before="240" w:line="360" w:lineRule="auto"/>
        <w:jc w:val="both"/>
        <w:rPr>
          <w:rFonts w:ascii="Arial" w:hAnsi="Arial" w:cs="Arial"/>
          <w:bCs/>
          <w:lang w:val="en-US"/>
        </w:rPr>
      </w:pPr>
      <w:r w:rsidRPr="0018351C">
        <w:rPr>
          <w:rFonts w:ascii="Arial" w:hAnsi="Arial" w:cs="Arial"/>
          <w:b/>
          <w:lang w:val="en-US"/>
        </w:rPr>
        <w:t>Advantage:</w:t>
      </w:r>
      <w:r w:rsidR="00D44CBB" w:rsidRPr="0018351C">
        <w:rPr>
          <w:rFonts w:ascii="Arial" w:hAnsi="Arial" w:cs="Arial"/>
          <w:bCs/>
          <w:lang w:val="en-US"/>
        </w:rPr>
        <w:t xml:space="preserve"> </w:t>
      </w:r>
      <w:r w:rsidR="002777D6" w:rsidRPr="002777D6">
        <w:rPr>
          <w:rFonts w:ascii="Arial" w:hAnsi="Arial" w:cs="Arial"/>
          <w:bCs/>
          <w:lang w:val="en-US"/>
        </w:rPr>
        <w:t xml:space="preserve">The transformational framework, which </w:t>
      </w:r>
      <w:proofErr w:type="spellStart"/>
      <w:r w:rsidR="002777D6" w:rsidRPr="002777D6">
        <w:rPr>
          <w:rFonts w:ascii="Arial" w:hAnsi="Arial" w:cs="Arial"/>
          <w:bCs/>
          <w:lang w:val="en-US"/>
        </w:rPr>
        <w:t>centred</w:t>
      </w:r>
      <w:proofErr w:type="spellEnd"/>
      <w:r w:rsidR="002777D6" w:rsidRPr="002777D6">
        <w:rPr>
          <w:rFonts w:ascii="Arial" w:hAnsi="Arial" w:cs="Arial"/>
          <w:bCs/>
          <w:lang w:val="en-US"/>
        </w:rPr>
        <w:t xml:space="preserve"> on ensuring the safety of Canadians, building on the financial strength of the federal government, and selling the national unity (Working Together to Thrive, 2025), was an essential component in gaining the support of the provincial governments. The competitive attitude that had marked the early phase of personal protective equipment (PPE) per area was defeated by using this approach to negotiate agreements based on common ground and to aid </w:t>
      </w:r>
      <w:r w:rsidR="002777D6" w:rsidRPr="002777D6">
        <w:rPr>
          <w:rFonts w:ascii="Arial" w:hAnsi="Arial" w:cs="Arial"/>
          <w:bCs/>
          <w:lang w:val="en-US"/>
        </w:rPr>
        <w:lastRenderedPageBreak/>
        <w:t xml:space="preserve">in the most successful </w:t>
      </w:r>
      <w:proofErr w:type="spellStart"/>
      <w:r w:rsidR="002777D6" w:rsidRPr="002777D6">
        <w:rPr>
          <w:rFonts w:ascii="Arial" w:hAnsi="Arial" w:cs="Arial"/>
          <w:bCs/>
          <w:lang w:val="en-US"/>
        </w:rPr>
        <w:t>centralised</w:t>
      </w:r>
      <w:proofErr w:type="spellEnd"/>
      <w:r w:rsidR="002777D6" w:rsidRPr="002777D6">
        <w:rPr>
          <w:rFonts w:ascii="Arial" w:hAnsi="Arial" w:cs="Arial"/>
          <w:bCs/>
          <w:lang w:val="en-US"/>
        </w:rPr>
        <w:t xml:space="preserve"> procurement of vaccinations from a </w:t>
      </w:r>
      <w:proofErr w:type="spellStart"/>
      <w:r w:rsidR="002777D6" w:rsidRPr="002777D6">
        <w:rPr>
          <w:rFonts w:ascii="Arial" w:hAnsi="Arial" w:cs="Arial"/>
          <w:bCs/>
          <w:lang w:val="en-US"/>
        </w:rPr>
        <w:t>centralised</w:t>
      </w:r>
      <w:proofErr w:type="spellEnd"/>
      <w:r w:rsidR="002777D6" w:rsidRPr="002777D6">
        <w:rPr>
          <w:rFonts w:ascii="Arial" w:hAnsi="Arial" w:cs="Arial"/>
          <w:bCs/>
          <w:lang w:val="en-US"/>
        </w:rPr>
        <w:t xml:space="preserve"> location. It is a benefit of transformational leadership because the focus is not on conformity in the near term but rather on the long-term goals of the nation. This is an advantage</w:t>
      </w:r>
      <w:r w:rsidR="00D44CBB" w:rsidRPr="002777D6">
        <w:rPr>
          <w:rFonts w:ascii="Arial" w:hAnsi="Arial" w:cs="Arial"/>
          <w:bCs/>
          <w:lang w:val="en-US"/>
        </w:rPr>
        <w:t>.</w:t>
      </w:r>
    </w:p>
    <w:p w14:paraId="2941F2FE" w14:textId="4A8845F7" w:rsidR="00D44CBB" w:rsidRPr="00FE2AB9" w:rsidRDefault="00A55D4D" w:rsidP="00FE2AB9">
      <w:pPr>
        <w:pStyle w:val="ListParagraph"/>
        <w:numPr>
          <w:ilvl w:val="0"/>
          <w:numId w:val="24"/>
        </w:numPr>
        <w:spacing w:before="240" w:line="360" w:lineRule="auto"/>
        <w:jc w:val="both"/>
        <w:rPr>
          <w:rFonts w:ascii="Arial" w:hAnsi="Arial" w:cs="Arial"/>
          <w:bCs/>
          <w:lang w:val="en-US"/>
        </w:rPr>
      </w:pPr>
      <w:r w:rsidRPr="0018351C">
        <w:rPr>
          <w:rFonts w:ascii="Arial" w:hAnsi="Arial" w:cs="Arial"/>
          <w:b/>
        </w:rPr>
        <w:t>Disadvantage</w:t>
      </w:r>
      <w:r w:rsidR="00D44CBB" w:rsidRPr="0018351C">
        <w:rPr>
          <w:rFonts w:ascii="Arial" w:hAnsi="Arial" w:cs="Arial"/>
          <w:b/>
          <w:lang w:val="en-US"/>
        </w:rPr>
        <w:t>:</w:t>
      </w:r>
      <w:r w:rsidR="00D44CBB" w:rsidRPr="0018351C">
        <w:rPr>
          <w:rFonts w:ascii="Arial" w:hAnsi="Arial" w:cs="Arial"/>
          <w:bCs/>
          <w:lang w:val="en-US"/>
        </w:rPr>
        <w:t xml:space="preserve"> </w:t>
      </w:r>
      <w:r w:rsidR="00FE2AB9" w:rsidRPr="00FE2AB9">
        <w:rPr>
          <w:rFonts w:ascii="Arial" w:hAnsi="Arial" w:cs="Arial"/>
          <w:bCs/>
          <w:lang w:val="en-US"/>
        </w:rPr>
        <w:t>The nature of this unifying structure is such that it is slow at times of crisis. Failures of effective situational leadership during a crisis include massive delays in taking concerted action, policy differences across provinces (for example, different strategies for school reopening), and a lack of clear and consistent national public health communication. These all occurred as a result of the need to negotiate across both the federal and provincial levels. In the year 2020, Canada's first reaction</w:t>
      </w:r>
      <w:r w:rsidR="00D44CBB" w:rsidRPr="00FE2AB9">
        <w:rPr>
          <w:rFonts w:ascii="Arial" w:hAnsi="Arial" w:cs="Arial"/>
          <w:bCs/>
          <w:lang w:val="en-US"/>
        </w:rPr>
        <w:t>.</w:t>
      </w:r>
    </w:p>
    <w:p w14:paraId="6213B95C" w14:textId="196B7F9C" w:rsidR="00D44CBB" w:rsidRPr="00D44CBB" w:rsidRDefault="00BC4B51" w:rsidP="00BC4B51">
      <w:pPr>
        <w:pStyle w:val="Heading3"/>
        <w:rPr>
          <w:lang w:val="en-US"/>
        </w:rPr>
      </w:pPr>
      <w:bookmarkStart w:id="34" w:name="_Toc216525553"/>
      <w:r>
        <w:rPr>
          <w:lang w:val="en-US"/>
        </w:rPr>
        <w:t xml:space="preserve">3.3.2 </w:t>
      </w:r>
      <w:r w:rsidR="00D44CBB" w:rsidRPr="00D44CBB">
        <w:rPr>
          <w:lang w:val="en-US"/>
        </w:rPr>
        <w:t>Bureaucracy and Friction of Transactions</w:t>
      </w:r>
      <w:bookmarkEnd w:id="34"/>
    </w:p>
    <w:p w14:paraId="29BAFC61"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The reaction of Canada was hampered by bureaucracy and transactional differences between the federal and provincial governments. Even though the federal government used transactional approaches (e.g., offering huge financial resources in return for provincial collaboration in the funding systems), the general system was also impeded by bureaucratic silos (Measuring What Counts, 2025).</w:t>
      </w:r>
    </w:p>
    <w:p w14:paraId="0570D5AE" w14:textId="3305094B" w:rsidR="00D44CBB" w:rsidRPr="00406AB4" w:rsidRDefault="00DD69A6" w:rsidP="00406AB4">
      <w:pPr>
        <w:pStyle w:val="ListParagraph"/>
        <w:numPr>
          <w:ilvl w:val="0"/>
          <w:numId w:val="25"/>
        </w:numPr>
        <w:spacing w:before="240" w:line="360" w:lineRule="auto"/>
        <w:jc w:val="both"/>
        <w:rPr>
          <w:rFonts w:ascii="Arial" w:hAnsi="Arial" w:cs="Arial"/>
          <w:bCs/>
          <w:lang w:val="en-US"/>
        </w:rPr>
      </w:pPr>
      <w:r w:rsidRPr="00C954AF">
        <w:rPr>
          <w:rFonts w:ascii="Arial" w:hAnsi="Arial" w:cs="Arial"/>
          <w:b/>
        </w:rPr>
        <w:t>Disadvantage</w:t>
      </w:r>
      <w:r w:rsidR="00D44CBB" w:rsidRPr="00C954AF">
        <w:rPr>
          <w:rFonts w:ascii="Arial" w:hAnsi="Arial" w:cs="Arial"/>
          <w:b/>
          <w:lang w:val="en-US"/>
        </w:rPr>
        <w:t>:</w:t>
      </w:r>
      <w:r w:rsidR="00D44CBB" w:rsidRPr="00C954AF">
        <w:rPr>
          <w:rFonts w:ascii="Arial" w:hAnsi="Arial" w:cs="Arial"/>
          <w:bCs/>
          <w:lang w:val="en-US"/>
        </w:rPr>
        <w:t xml:space="preserve"> </w:t>
      </w:r>
      <w:r w:rsidR="00406AB4" w:rsidRPr="00406AB4">
        <w:rPr>
          <w:rFonts w:ascii="Arial" w:hAnsi="Arial" w:cs="Arial"/>
          <w:bCs/>
          <w:lang w:val="en-US"/>
        </w:rPr>
        <w:t xml:space="preserve">What are the boundaries of the bureaucracy and jurisdiction? Who is responsible for providing long-term care? Who buys the personal protective equipment?) led to catastrophic failures in sectors like as long-term care, where different levels of government were in charge of different aspects of the system (Canada's response to COVID-19, 2020). The first problem, which was a transactional failure, was that the first contract discussions and first administrative processes were delayed. This was due to the fact that there were no pre-existing bureaucratic mechanisms to </w:t>
      </w:r>
      <w:proofErr w:type="spellStart"/>
      <w:r w:rsidR="00406AB4" w:rsidRPr="00406AB4">
        <w:rPr>
          <w:rFonts w:ascii="Arial" w:hAnsi="Arial" w:cs="Arial"/>
          <w:bCs/>
          <w:lang w:val="en-US"/>
        </w:rPr>
        <w:t>centralise</w:t>
      </w:r>
      <w:proofErr w:type="spellEnd"/>
      <w:r w:rsidR="00406AB4" w:rsidRPr="00406AB4">
        <w:rPr>
          <w:rFonts w:ascii="Arial" w:hAnsi="Arial" w:cs="Arial"/>
          <w:bCs/>
          <w:lang w:val="en-US"/>
        </w:rPr>
        <w:t xml:space="preserve"> health procurement. This was a by-product of the </w:t>
      </w:r>
      <w:proofErr w:type="spellStart"/>
      <w:r w:rsidR="00406AB4" w:rsidRPr="00406AB4">
        <w:rPr>
          <w:rFonts w:ascii="Arial" w:hAnsi="Arial" w:cs="Arial"/>
          <w:bCs/>
          <w:lang w:val="en-US"/>
        </w:rPr>
        <w:t>decentralised</w:t>
      </w:r>
      <w:proofErr w:type="spellEnd"/>
      <w:r w:rsidR="00406AB4" w:rsidRPr="00406AB4">
        <w:rPr>
          <w:rFonts w:ascii="Arial" w:hAnsi="Arial" w:cs="Arial"/>
          <w:bCs/>
          <w:lang w:val="en-US"/>
        </w:rPr>
        <w:t xml:space="preserve"> peacetime system that the nation had in place</w:t>
      </w:r>
      <w:r w:rsidR="00D44CBB" w:rsidRPr="00406AB4">
        <w:rPr>
          <w:rFonts w:ascii="Arial" w:hAnsi="Arial" w:cs="Arial"/>
          <w:bCs/>
          <w:lang w:val="en-US"/>
        </w:rPr>
        <w:t>.</w:t>
      </w:r>
    </w:p>
    <w:p w14:paraId="54C22FC7" w14:textId="35C93F31" w:rsidR="00D44CBB" w:rsidRPr="00D44CBB" w:rsidRDefault="00595334" w:rsidP="00906388">
      <w:pPr>
        <w:pStyle w:val="Heading3"/>
        <w:rPr>
          <w:lang w:val="en-US"/>
        </w:rPr>
      </w:pPr>
      <w:bookmarkStart w:id="35" w:name="_Toc216525554"/>
      <w:r>
        <w:rPr>
          <w:lang w:val="en-US"/>
        </w:rPr>
        <w:t>3.3.3 Absence</w:t>
      </w:r>
      <w:r w:rsidR="00D44CBB" w:rsidRPr="00D44CBB">
        <w:rPr>
          <w:lang w:val="en-US"/>
        </w:rPr>
        <w:t xml:space="preserve"> of Crisis and Servant Leadership</w:t>
      </w:r>
      <w:bookmarkEnd w:id="35"/>
    </w:p>
    <w:p w14:paraId="38AFCEA5" w14:textId="77777777" w:rsidR="00D44CBB" w:rsidRPr="00D44CBB" w:rsidRDefault="00D44CBB" w:rsidP="00D44CBB">
      <w:pPr>
        <w:spacing w:before="240" w:line="360" w:lineRule="auto"/>
        <w:jc w:val="both"/>
        <w:rPr>
          <w:rFonts w:ascii="Arial" w:hAnsi="Arial" w:cs="Arial"/>
          <w:bCs/>
          <w:lang w:val="en-US"/>
        </w:rPr>
      </w:pPr>
      <w:r w:rsidRPr="00D44CBB">
        <w:rPr>
          <w:rFonts w:ascii="Arial" w:hAnsi="Arial" w:cs="Arial"/>
          <w:bCs/>
          <w:lang w:val="en-US"/>
        </w:rPr>
        <w:t xml:space="preserve">Although the leadership of Trudeau was uniting, it was at times </w:t>
      </w:r>
      <w:proofErr w:type="spellStart"/>
      <w:r w:rsidRPr="00D44CBB">
        <w:rPr>
          <w:rFonts w:ascii="Arial" w:hAnsi="Arial" w:cs="Arial"/>
          <w:bCs/>
          <w:lang w:val="en-US"/>
        </w:rPr>
        <w:t>criticised</w:t>
      </w:r>
      <w:proofErr w:type="spellEnd"/>
      <w:r w:rsidRPr="00D44CBB">
        <w:rPr>
          <w:rFonts w:ascii="Arial" w:hAnsi="Arial" w:cs="Arial"/>
          <w:bCs/>
          <w:lang w:val="en-US"/>
        </w:rPr>
        <w:t xml:space="preserve"> for lacking the charismatic decisiveness of cutting through the red tape of bureaucracy in a very short time, particularly at the initial stages of the crisis.</w:t>
      </w:r>
    </w:p>
    <w:p w14:paraId="3E9AF1AE" w14:textId="60B2680E" w:rsidR="00B8340D" w:rsidRPr="00906388" w:rsidRDefault="00906388" w:rsidP="00906388">
      <w:pPr>
        <w:pStyle w:val="ListParagraph"/>
        <w:numPr>
          <w:ilvl w:val="0"/>
          <w:numId w:val="26"/>
        </w:numPr>
        <w:spacing w:before="240" w:line="360" w:lineRule="auto"/>
        <w:jc w:val="both"/>
        <w:rPr>
          <w:rFonts w:ascii="Arial" w:hAnsi="Arial" w:cs="Arial"/>
          <w:bCs/>
          <w:lang w:val="en-US"/>
        </w:rPr>
      </w:pPr>
      <w:r w:rsidRPr="00906388">
        <w:rPr>
          <w:rFonts w:ascii="Arial" w:hAnsi="Arial" w:cs="Arial"/>
          <w:b/>
        </w:rPr>
        <w:t>Disadvantage</w:t>
      </w:r>
      <w:r w:rsidR="00D44CBB" w:rsidRPr="00906388">
        <w:rPr>
          <w:rFonts w:ascii="Arial" w:hAnsi="Arial" w:cs="Arial"/>
          <w:b/>
          <w:lang w:val="en-US"/>
        </w:rPr>
        <w:t>:</w:t>
      </w:r>
      <w:r w:rsidR="00D44CBB" w:rsidRPr="00906388">
        <w:rPr>
          <w:rFonts w:ascii="Arial" w:hAnsi="Arial" w:cs="Arial"/>
          <w:bCs/>
          <w:lang w:val="en-US"/>
        </w:rPr>
        <w:t xml:space="preserve"> The adherence to the current </w:t>
      </w:r>
      <w:proofErr w:type="spellStart"/>
      <w:r w:rsidR="00D44CBB" w:rsidRPr="00906388">
        <w:rPr>
          <w:rFonts w:ascii="Arial" w:hAnsi="Arial" w:cs="Arial"/>
          <w:bCs/>
          <w:lang w:val="en-US"/>
        </w:rPr>
        <w:t>decentralised</w:t>
      </w:r>
      <w:proofErr w:type="spellEnd"/>
      <w:r w:rsidR="00D44CBB" w:rsidRPr="00906388">
        <w:rPr>
          <w:rFonts w:ascii="Arial" w:hAnsi="Arial" w:cs="Arial"/>
          <w:bCs/>
          <w:lang w:val="en-US"/>
        </w:rPr>
        <w:t xml:space="preserve"> system allowed the leadership to not implement the principles of servant leadership to the fullest and deliver equal results to every citizen. </w:t>
      </w:r>
      <w:proofErr w:type="spellStart"/>
      <w:r w:rsidR="00D44CBB" w:rsidRPr="00906388">
        <w:rPr>
          <w:rFonts w:ascii="Arial" w:hAnsi="Arial" w:cs="Arial"/>
          <w:bCs/>
          <w:lang w:val="en-US"/>
        </w:rPr>
        <w:t>Decentralisation</w:t>
      </w:r>
      <w:proofErr w:type="spellEnd"/>
      <w:r w:rsidR="00D44CBB" w:rsidRPr="00906388">
        <w:rPr>
          <w:rFonts w:ascii="Arial" w:hAnsi="Arial" w:cs="Arial"/>
          <w:bCs/>
          <w:lang w:val="en-US"/>
        </w:rPr>
        <w:t xml:space="preserve"> increased the systematic injustices (Measuring What Counts, 2025). The constitutional realities restricted the </w:t>
      </w:r>
      <w:r w:rsidR="00D44CBB" w:rsidRPr="00906388">
        <w:rPr>
          <w:rFonts w:ascii="Arial" w:hAnsi="Arial" w:cs="Arial"/>
          <w:bCs/>
          <w:lang w:val="en-US"/>
        </w:rPr>
        <w:lastRenderedPageBreak/>
        <w:t>leadership style, such that the government frequently had to remain in a reactive position, funding an issue after it had been detected, instead of actively directing the issue, which in a truly servant and situational model would have been expected (Strengthening health care in Canada, 2022). These difficulties were institutional and reduced the efficiency of even the most cohesive type of leadership.</w:t>
      </w:r>
    </w:p>
    <w:p w14:paraId="59366B37" w14:textId="77777777" w:rsidR="00B8340D" w:rsidRPr="00E22557" w:rsidRDefault="00B8340D" w:rsidP="00B8340D">
      <w:pPr>
        <w:spacing w:after="160" w:line="278" w:lineRule="auto"/>
        <w:rPr>
          <w:rFonts w:ascii="Arial" w:hAnsi="Arial" w:cs="Arial"/>
          <w:bCs/>
        </w:rPr>
      </w:pPr>
      <w:r w:rsidRPr="00E22557">
        <w:rPr>
          <w:rFonts w:ascii="Arial" w:hAnsi="Arial" w:cs="Arial"/>
          <w:bCs/>
        </w:rPr>
        <w:br w:type="page"/>
      </w:r>
    </w:p>
    <w:p w14:paraId="17BBF001" w14:textId="77777777" w:rsidR="00B8340D" w:rsidRPr="00E22557" w:rsidRDefault="00B8340D" w:rsidP="00B8340D">
      <w:pPr>
        <w:pStyle w:val="Heading1"/>
      </w:pPr>
      <w:bookmarkStart w:id="36" w:name="_Toc216264214"/>
      <w:bookmarkStart w:id="37" w:name="_Toc216525555"/>
      <w:r w:rsidRPr="00E22557">
        <w:lastRenderedPageBreak/>
        <w:t>4. Conclusion:</w:t>
      </w:r>
      <w:bookmarkEnd w:id="36"/>
      <w:bookmarkEnd w:id="37"/>
    </w:p>
    <w:p w14:paraId="1FF313BB" w14:textId="3636A2E8" w:rsidR="00B8340D" w:rsidRPr="00B85FBF" w:rsidRDefault="00B85FBF" w:rsidP="00B8340D">
      <w:pPr>
        <w:spacing w:before="240" w:line="360" w:lineRule="auto"/>
        <w:jc w:val="both"/>
        <w:rPr>
          <w:rFonts w:ascii="Arial" w:hAnsi="Arial" w:cs="Arial"/>
          <w:lang w:val="en-US"/>
        </w:rPr>
      </w:pPr>
      <w:r w:rsidRPr="00B85FBF">
        <w:rPr>
          <w:rFonts w:ascii="Arial" w:hAnsi="Arial" w:cs="Arial"/>
          <w:lang w:val="en-US"/>
        </w:rPr>
        <w:t xml:space="preserve">The comparative study of South Korea, Canada, and Spain has shown that the effectiveness of the response of the country to the COVID-19 pandemic was a direct result of the interactions between the typology of the healthcare system of the country and those leadership patterns that were in place. The failure that happened to Spain was a result of the </w:t>
      </w:r>
      <w:proofErr w:type="spellStart"/>
      <w:r w:rsidRPr="00B85FBF">
        <w:rPr>
          <w:rFonts w:ascii="Arial" w:hAnsi="Arial" w:cs="Arial"/>
          <w:lang w:val="en-US"/>
        </w:rPr>
        <w:t>paralysing</w:t>
      </w:r>
      <w:proofErr w:type="spellEnd"/>
      <w:r w:rsidRPr="00B85FBF">
        <w:rPr>
          <w:rFonts w:ascii="Arial" w:hAnsi="Arial" w:cs="Arial"/>
          <w:lang w:val="en-US"/>
        </w:rPr>
        <w:t xml:space="preserve"> structural </w:t>
      </w:r>
      <w:proofErr w:type="spellStart"/>
      <w:r w:rsidRPr="00B85FBF">
        <w:rPr>
          <w:rFonts w:ascii="Arial" w:hAnsi="Arial" w:cs="Arial"/>
          <w:lang w:val="en-US"/>
        </w:rPr>
        <w:t>decentralisation</w:t>
      </w:r>
      <w:proofErr w:type="spellEnd"/>
      <w:r w:rsidRPr="00B85FBF">
        <w:rPr>
          <w:rFonts w:ascii="Arial" w:hAnsi="Arial" w:cs="Arial"/>
          <w:lang w:val="en-US"/>
        </w:rPr>
        <w:t xml:space="preserve">, which could only be surmounted when leaders resorted to a transactional and, consequently, transformational style to </w:t>
      </w:r>
      <w:proofErr w:type="spellStart"/>
      <w:r w:rsidRPr="00B85FBF">
        <w:rPr>
          <w:rFonts w:ascii="Arial" w:hAnsi="Arial" w:cs="Arial"/>
          <w:lang w:val="en-US"/>
        </w:rPr>
        <w:t>centralise</w:t>
      </w:r>
      <w:proofErr w:type="spellEnd"/>
      <w:r w:rsidRPr="00B85FBF">
        <w:rPr>
          <w:rFonts w:ascii="Arial" w:hAnsi="Arial" w:cs="Arial"/>
          <w:lang w:val="en-US"/>
        </w:rPr>
        <w:t xml:space="preserve"> power temporarily and implement a successful vaccination campaign. In contrast, the successful and quick containment in South Korea originated because of an already structured and deeply </w:t>
      </w:r>
      <w:proofErr w:type="spellStart"/>
      <w:r w:rsidRPr="00B85FBF">
        <w:rPr>
          <w:rFonts w:ascii="Arial" w:hAnsi="Arial" w:cs="Arial"/>
          <w:lang w:val="en-US"/>
        </w:rPr>
        <w:t>centralised</w:t>
      </w:r>
      <w:proofErr w:type="spellEnd"/>
      <w:r w:rsidRPr="00B85FBF">
        <w:rPr>
          <w:rFonts w:ascii="Arial" w:hAnsi="Arial" w:cs="Arial"/>
          <w:lang w:val="en-US"/>
        </w:rPr>
        <w:t xml:space="preserve"> bureaucratic model, within which servant and transactional leadership established a large trust and obedience amongst people. In the meantime, the chronic tension could be attributed to the highly </w:t>
      </w:r>
      <w:proofErr w:type="spellStart"/>
      <w:r w:rsidRPr="00B85FBF">
        <w:rPr>
          <w:rFonts w:ascii="Arial" w:hAnsi="Arial" w:cs="Arial"/>
          <w:lang w:val="en-US"/>
        </w:rPr>
        <w:t>decentralised</w:t>
      </w:r>
      <w:proofErr w:type="spellEnd"/>
      <w:r w:rsidRPr="00B85FBF">
        <w:rPr>
          <w:rFonts w:ascii="Arial" w:hAnsi="Arial" w:cs="Arial"/>
          <w:lang w:val="en-US"/>
        </w:rPr>
        <w:t xml:space="preserve"> federation of Canada, which obligates the federal leadership to pursue a slow, transformational and collaborative style of leading, which, though integrating the country, did not stop its proper fracture and inequity. Finally, the pandemic demonstrated that structural preparedness (</w:t>
      </w:r>
      <w:proofErr w:type="spellStart"/>
      <w:r w:rsidRPr="00B85FBF">
        <w:rPr>
          <w:rFonts w:ascii="Arial" w:hAnsi="Arial" w:cs="Arial"/>
          <w:lang w:val="en-US"/>
        </w:rPr>
        <w:t>centralisation</w:t>
      </w:r>
      <w:proofErr w:type="spellEnd"/>
      <w:r w:rsidRPr="00B85FBF">
        <w:rPr>
          <w:rFonts w:ascii="Arial" w:hAnsi="Arial" w:cs="Arial"/>
          <w:lang w:val="en-US"/>
        </w:rPr>
        <w:t>) enabled swift, decisive leadership (transactional/bureaucratic), whereas structural resistance (</w:t>
      </w:r>
      <w:proofErr w:type="spellStart"/>
      <w:r w:rsidRPr="00B85FBF">
        <w:rPr>
          <w:rFonts w:ascii="Arial" w:hAnsi="Arial" w:cs="Arial"/>
          <w:lang w:val="en-US"/>
        </w:rPr>
        <w:t>decentralisation</w:t>
      </w:r>
      <w:proofErr w:type="spellEnd"/>
      <w:r w:rsidRPr="00B85FBF">
        <w:rPr>
          <w:rFonts w:ascii="Arial" w:hAnsi="Arial" w:cs="Arial"/>
          <w:lang w:val="en-US"/>
        </w:rPr>
        <w:t>) necessitated highly challenging unifying leadership (transformational) to enable a coordinated national response</w:t>
      </w:r>
      <w:r w:rsidR="00B8340D" w:rsidRPr="00E22557">
        <w:rPr>
          <w:rFonts w:ascii="Arial" w:hAnsi="Arial" w:cs="Arial"/>
        </w:rPr>
        <w:t>.</w:t>
      </w:r>
      <w:r w:rsidR="00B8340D" w:rsidRPr="00E22557">
        <w:rPr>
          <w:rFonts w:ascii="Arial" w:hAnsi="Arial" w:cs="Arial"/>
        </w:rPr>
        <w:br w:type="page"/>
      </w:r>
    </w:p>
    <w:p w14:paraId="4B48BDB5" w14:textId="77777777" w:rsidR="00B8340D" w:rsidRPr="00E22557" w:rsidRDefault="00B8340D" w:rsidP="00B8340D">
      <w:pPr>
        <w:pStyle w:val="Heading1"/>
      </w:pPr>
      <w:bookmarkStart w:id="38" w:name="_Toc216264215"/>
      <w:bookmarkStart w:id="39" w:name="_Toc216525556"/>
      <w:r w:rsidRPr="00A6144D">
        <w:lastRenderedPageBreak/>
        <w:t>Reference</w:t>
      </w:r>
      <w:bookmarkEnd w:id="38"/>
      <w:bookmarkEnd w:id="39"/>
    </w:p>
    <w:p w14:paraId="7BB70409" w14:textId="6D881EEF" w:rsidR="00A87978" w:rsidRPr="00A87978" w:rsidRDefault="00A87978" w:rsidP="00936FAE">
      <w:pPr>
        <w:pStyle w:val="NormalWeb"/>
        <w:spacing w:line="360" w:lineRule="auto"/>
        <w:rPr>
          <w:rFonts w:ascii="Arial" w:hAnsi="Arial" w:cs="Arial"/>
          <w:lang w:val="en-US"/>
        </w:rPr>
      </w:pPr>
      <w:r w:rsidRPr="00A87978">
        <w:rPr>
          <w:rFonts w:ascii="Arial" w:hAnsi="Arial" w:cs="Arial"/>
          <w:lang w:val="en-US"/>
        </w:rPr>
        <w:t xml:space="preserve">Evaluation of Spanish Health System (2021) </w:t>
      </w:r>
      <w:r w:rsidRPr="00A87978">
        <w:rPr>
          <w:rFonts w:ascii="Arial" w:hAnsi="Arial" w:cs="Arial"/>
          <w:i/>
          <w:iCs/>
          <w:lang w:val="en-US"/>
        </w:rPr>
        <w:t>Evaluation of Spanish Health System during the COVID-19 Pandemic: Accountability and Wellbeing Results</w:t>
      </w:r>
      <w:r w:rsidRPr="00A87978">
        <w:rPr>
          <w:rFonts w:ascii="Arial" w:hAnsi="Arial" w:cs="Arial"/>
          <w:lang w:val="en-US"/>
        </w:rPr>
        <w:t xml:space="preserve">. Available at: </w:t>
      </w:r>
      <w:hyperlink r:id="rId14" w:tgtFrame="_blank" w:history="1">
        <w:r w:rsidRPr="00A87978">
          <w:rPr>
            <w:rStyle w:val="Hyperlink"/>
            <w:rFonts w:ascii="Arial" w:hAnsi="Arial" w:cs="Arial"/>
            <w:lang w:val="en-US"/>
          </w:rPr>
          <w:t>https://www.researchgate.net/publication/356868353_Evaluation_of_Spanish_Health_System_during_the_COVID-19_Pandemic_Accountability_and_Wellbeing_Results</w:t>
        </w:r>
      </w:hyperlink>
      <w:r w:rsidRPr="00A87978">
        <w:rPr>
          <w:rFonts w:ascii="Arial" w:hAnsi="Arial" w:cs="Arial"/>
          <w:lang w:val="en-US"/>
        </w:rPr>
        <w:t xml:space="preserve"> (Accessed: 13 December 2025).</w:t>
      </w:r>
    </w:p>
    <w:p w14:paraId="3722C083" w14:textId="1A17B7A1" w:rsidR="00A87978" w:rsidRPr="00A87978" w:rsidRDefault="00A87978" w:rsidP="00936FAE">
      <w:pPr>
        <w:pStyle w:val="NormalWeb"/>
        <w:spacing w:line="360" w:lineRule="auto"/>
        <w:rPr>
          <w:rFonts w:ascii="Arial" w:hAnsi="Arial" w:cs="Arial"/>
          <w:lang w:val="en-US"/>
        </w:rPr>
      </w:pPr>
      <w:r w:rsidRPr="00A87978">
        <w:rPr>
          <w:rFonts w:ascii="Arial" w:hAnsi="Arial" w:cs="Arial"/>
          <w:lang w:val="en-US"/>
        </w:rPr>
        <w:t xml:space="preserve">Living with COVID-19 (2020) </w:t>
      </w:r>
      <w:r w:rsidRPr="00A87978">
        <w:rPr>
          <w:rFonts w:ascii="Arial" w:hAnsi="Arial" w:cs="Arial"/>
          <w:i/>
          <w:iCs/>
          <w:lang w:val="en-US"/>
        </w:rPr>
        <w:t>Living with COVID-19: The thinking behind Spain's lockdown exit plan</w:t>
      </w:r>
      <w:r w:rsidRPr="00A87978">
        <w:rPr>
          <w:rFonts w:ascii="Arial" w:hAnsi="Arial" w:cs="Arial"/>
          <w:lang w:val="en-US"/>
        </w:rPr>
        <w:t xml:space="preserve">. Available at: </w:t>
      </w:r>
      <w:hyperlink r:id="rId15" w:tgtFrame="_blank" w:history="1">
        <w:r w:rsidRPr="00A87978">
          <w:rPr>
            <w:rStyle w:val="Hyperlink"/>
            <w:rFonts w:ascii="Arial" w:hAnsi="Arial" w:cs="Arial"/>
            <w:lang w:val="en-US"/>
          </w:rPr>
          <w:t>https://www.realinstitutoelcano.org/en/commentaries/living-with-covid-19-the-thinking-behind-spains-lockdown-exit-plan/</w:t>
        </w:r>
      </w:hyperlink>
      <w:r w:rsidRPr="00A87978">
        <w:rPr>
          <w:rFonts w:ascii="Arial" w:hAnsi="Arial" w:cs="Arial"/>
          <w:lang w:val="en-US"/>
        </w:rPr>
        <w:t xml:space="preserve"> (Accessed: 13 December 2025).</w:t>
      </w:r>
    </w:p>
    <w:p w14:paraId="4B402327" w14:textId="1AEC5842" w:rsidR="00A87978" w:rsidRPr="00A87978" w:rsidRDefault="00A87978" w:rsidP="00936FAE">
      <w:pPr>
        <w:pStyle w:val="NormalWeb"/>
        <w:spacing w:line="360" w:lineRule="auto"/>
        <w:rPr>
          <w:rFonts w:ascii="Arial" w:hAnsi="Arial" w:cs="Arial"/>
          <w:lang w:val="en-US"/>
        </w:rPr>
      </w:pPr>
      <w:r w:rsidRPr="00A87978">
        <w:rPr>
          <w:rFonts w:ascii="Arial" w:hAnsi="Arial" w:cs="Arial"/>
          <w:lang w:val="en-US"/>
        </w:rPr>
        <w:t xml:space="preserve">The difficult resilience (2022) </w:t>
      </w:r>
      <w:r w:rsidRPr="00A87978">
        <w:rPr>
          <w:rFonts w:ascii="Arial" w:hAnsi="Arial" w:cs="Arial"/>
          <w:i/>
          <w:iCs/>
          <w:lang w:val="en-US"/>
        </w:rPr>
        <w:t>The difficult resilience of the Spanish national health system in the XXI century: decentralization, austerity, and pandemics</w:t>
      </w:r>
      <w:r w:rsidRPr="00A87978">
        <w:rPr>
          <w:rFonts w:ascii="Arial" w:hAnsi="Arial" w:cs="Arial"/>
          <w:lang w:val="en-US"/>
        </w:rPr>
        <w:t xml:space="preserve">. Available at: </w:t>
      </w:r>
      <w:hyperlink r:id="rId16" w:tgtFrame="_blank" w:history="1">
        <w:r w:rsidRPr="00A87978">
          <w:rPr>
            <w:rStyle w:val="Hyperlink"/>
            <w:rFonts w:ascii="Arial" w:hAnsi="Arial" w:cs="Arial"/>
            <w:lang w:val="en-US"/>
          </w:rPr>
          <w:t>https://www.elsevier.es/en-revista-journal-healthcare-quality-research-257-articulo-the-difficult-resilience-spanish-national-S260364792200032X</w:t>
        </w:r>
      </w:hyperlink>
      <w:r w:rsidRPr="00A87978">
        <w:rPr>
          <w:rFonts w:ascii="Arial" w:hAnsi="Arial" w:cs="Arial"/>
          <w:lang w:val="en-US"/>
        </w:rPr>
        <w:t xml:space="preserve"> (Accessed: 13 December 2025).</w:t>
      </w:r>
    </w:p>
    <w:p w14:paraId="76916688" w14:textId="78029B5D" w:rsidR="00A87978" w:rsidRPr="00A87978" w:rsidRDefault="00A87978" w:rsidP="00936FAE">
      <w:pPr>
        <w:pStyle w:val="NormalWeb"/>
        <w:spacing w:line="360" w:lineRule="auto"/>
        <w:rPr>
          <w:rFonts w:ascii="Arial" w:hAnsi="Arial" w:cs="Arial"/>
          <w:lang w:val="en-US"/>
        </w:rPr>
      </w:pPr>
      <w:r w:rsidRPr="00A87978">
        <w:rPr>
          <w:rFonts w:ascii="Arial" w:hAnsi="Arial" w:cs="Arial"/>
          <w:lang w:val="en-US"/>
        </w:rPr>
        <w:t xml:space="preserve">The Limits of Power Concentration (2023) </w:t>
      </w:r>
      <w:r w:rsidRPr="00A87978">
        <w:rPr>
          <w:rFonts w:ascii="Arial" w:hAnsi="Arial" w:cs="Arial"/>
          <w:i/>
          <w:iCs/>
          <w:lang w:val="en-US"/>
        </w:rPr>
        <w:t>The Limits of Power Concentration in Centralized Public Health Systems: Lessons from the Spanish COVID-19 Response</w:t>
      </w:r>
      <w:r w:rsidRPr="00A87978">
        <w:rPr>
          <w:rFonts w:ascii="Arial" w:hAnsi="Arial" w:cs="Arial"/>
          <w:lang w:val="en-US"/>
        </w:rPr>
        <w:t xml:space="preserve">. Available at: </w:t>
      </w:r>
      <w:hyperlink r:id="rId17" w:tgtFrame="_blank" w:history="1">
        <w:r w:rsidRPr="00A87978">
          <w:rPr>
            <w:rStyle w:val="Hyperlink"/>
            <w:rFonts w:ascii="Arial" w:hAnsi="Arial" w:cs="Arial"/>
            <w:lang w:val="en-US"/>
          </w:rPr>
          <w:t>https://www.researchgate.net/publication/356868353_Evaluation_of_Spanish_Health_System_during_the_COVID-19_Pandemic_Accountability_and_Wellbeing_Results</w:t>
        </w:r>
      </w:hyperlink>
      <w:r w:rsidRPr="00A87978">
        <w:rPr>
          <w:rFonts w:ascii="Arial" w:hAnsi="Arial" w:cs="Arial"/>
          <w:lang w:val="en-US"/>
        </w:rPr>
        <w:t xml:space="preserve"> (Accessed: 13 December 2025).</w:t>
      </w:r>
    </w:p>
    <w:p w14:paraId="431767AB" w14:textId="170F3241" w:rsidR="00A87978" w:rsidRPr="00A87978" w:rsidRDefault="00A87978" w:rsidP="00936FAE">
      <w:pPr>
        <w:pStyle w:val="NormalWeb"/>
        <w:spacing w:line="360" w:lineRule="auto"/>
        <w:rPr>
          <w:rFonts w:ascii="Arial" w:hAnsi="Arial" w:cs="Arial"/>
          <w:lang w:val="en-US"/>
        </w:rPr>
      </w:pPr>
      <w:r w:rsidRPr="00A87978">
        <w:rPr>
          <w:rFonts w:ascii="Arial" w:hAnsi="Arial" w:cs="Arial"/>
          <w:lang w:val="en-US"/>
        </w:rPr>
        <w:t xml:space="preserve">The Spanish health system (2025) </w:t>
      </w:r>
      <w:r w:rsidRPr="00A87978">
        <w:rPr>
          <w:rFonts w:ascii="Arial" w:hAnsi="Arial" w:cs="Arial"/>
          <w:i/>
          <w:iCs/>
          <w:lang w:val="en-US"/>
        </w:rPr>
        <w:t>Health at a Glance 2025: Spain</w:t>
      </w:r>
      <w:r w:rsidRPr="00A87978">
        <w:rPr>
          <w:rFonts w:ascii="Arial" w:hAnsi="Arial" w:cs="Arial"/>
          <w:lang w:val="en-US"/>
        </w:rPr>
        <w:t xml:space="preserve">. Available at: </w:t>
      </w:r>
      <w:hyperlink r:id="rId18" w:tgtFrame="_blank" w:history="1">
        <w:r w:rsidRPr="00A87978">
          <w:rPr>
            <w:rStyle w:val="Hyperlink"/>
            <w:rFonts w:ascii="Arial" w:hAnsi="Arial" w:cs="Arial"/>
            <w:lang w:val="en-US"/>
          </w:rPr>
          <w:t>https://www.oecd.org/en/publications/health-at-a-glance-2025_15a55280-en/spain_d37fc9b6-en.html</w:t>
        </w:r>
      </w:hyperlink>
      <w:r w:rsidRPr="00A87978">
        <w:rPr>
          <w:rFonts w:ascii="Arial" w:hAnsi="Arial" w:cs="Arial"/>
          <w:lang w:val="en-US"/>
        </w:rPr>
        <w:t xml:space="preserve"> (Accessed: 13 December 2025).</w:t>
      </w:r>
    </w:p>
    <w:p w14:paraId="00AAE646" w14:textId="3D0797A5"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COVID-19 Responses of South Korea (2021) </w:t>
      </w:r>
      <w:r w:rsidRPr="003A304B">
        <w:rPr>
          <w:rFonts w:ascii="Arial" w:hAnsi="Arial" w:cs="Arial"/>
          <w:i/>
          <w:iCs/>
          <w:lang w:val="en-US"/>
        </w:rPr>
        <w:t>COVID-19 Responses of South Korea as Hybrids of Governance Modes</w:t>
      </w:r>
      <w:r w:rsidRPr="003A304B">
        <w:rPr>
          <w:rFonts w:ascii="Arial" w:hAnsi="Arial" w:cs="Arial"/>
          <w:lang w:val="en-US"/>
        </w:rPr>
        <w:t xml:space="preserve">. Available at: </w:t>
      </w:r>
      <w:hyperlink r:id="rId19" w:tgtFrame="_blank" w:history="1">
        <w:r w:rsidRPr="003A304B">
          <w:rPr>
            <w:rStyle w:val="Hyperlink"/>
            <w:rFonts w:ascii="Arial" w:hAnsi="Arial" w:cs="Arial"/>
            <w:lang w:val="en-US"/>
          </w:rPr>
          <w:t>https://www.frontiersin.org/journals/public-health/articles/10.3389/fpubh.2021.654945/full</w:t>
        </w:r>
      </w:hyperlink>
      <w:r w:rsidRPr="003A304B">
        <w:rPr>
          <w:rFonts w:ascii="Arial" w:hAnsi="Arial" w:cs="Arial"/>
          <w:lang w:val="en-US"/>
        </w:rPr>
        <w:t xml:space="preserve"> (Accessed: 13 December 2025).</w:t>
      </w:r>
    </w:p>
    <w:p w14:paraId="3750BDC8" w14:textId="675158F9"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lastRenderedPageBreak/>
        <w:t xml:space="preserve">Effect of the establishment (2025) </w:t>
      </w:r>
      <w:r w:rsidRPr="003A304B">
        <w:rPr>
          <w:rFonts w:ascii="Arial" w:hAnsi="Arial" w:cs="Arial"/>
          <w:i/>
          <w:iCs/>
          <w:lang w:val="en-US"/>
        </w:rPr>
        <w:t>Effect of the establishment of the Korea Centers for Disease Control and Prevention/Korea Disease Control and Prevention Agency from the perspective of global health security</w:t>
      </w:r>
      <w:r w:rsidRPr="003A304B">
        <w:rPr>
          <w:rFonts w:ascii="Arial" w:hAnsi="Arial" w:cs="Arial"/>
          <w:lang w:val="en-US"/>
        </w:rPr>
        <w:t xml:space="preserve">. Available at: </w:t>
      </w:r>
      <w:hyperlink r:id="rId20" w:tgtFrame="_blank" w:history="1">
        <w:r w:rsidRPr="003A304B">
          <w:rPr>
            <w:rStyle w:val="Hyperlink"/>
            <w:rFonts w:ascii="Arial" w:hAnsi="Arial" w:cs="Arial"/>
            <w:lang w:val="en-US"/>
          </w:rPr>
          <w:t>https://www.jstage.jst.co.jp/article/ghm/advpub/0/advpub_2025.01015/_article/-char/en</w:t>
        </w:r>
      </w:hyperlink>
      <w:r w:rsidRPr="003A304B">
        <w:rPr>
          <w:rFonts w:ascii="Arial" w:hAnsi="Arial" w:cs="Arial"/>
          <w:lang w:val="en-US"/>
        </w:rPr>
        <w:t xml:space="preserve"> (Accessed: 13 December 2025).</w:t>
      </w:r>
    </w:p>
    <w:p w14:paraId="2F8D7DE5" w14:textId="36CF45F6"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Korea Disease Control and Prevention Agency - </w:t>
      </w:r>
      <w:proofErr w:type="spellStart"/>
      <w:r w:rsidRPr="003A304B">
        <w:rPr>
          <w:rFonts w:ascii="Arial" w:hAnsi="Arial" w:cs="Arial"/>
          <w:lang w:val="en-US"/>
        </w:rPr>
        <w:t>Unicef</w:t>
      </w:r>
      <w:proofErr w:type="spellEnd"/>
      <w:r w:rsidRPr="003A304B">
        <w:rPr>
          <w:rFonts w:ascii="Arial" w:hAnsi="Arial" w:cs="Arial"/>
          <w:lang w:val="en-US"/>
        </w:rPr>
        <w:t xml:space="preserve"> (2024) </w:t>
      </w:r>
      <w:r w:rsidRPr="003A304B">
        <w:rPr>
          <w:rFonts w:ascii="Arial" w:hAnsi="Arial" w:cs="Arial"/>
          <w:i/>
          <w:iCs/>
          <w:lang w:val="en-US"/>
        </w:rPr>
        <w:t>UNICEF DP Republic of Korea - Annual Report 2024</w:t>
      </w:r>
      <w:r w:rsidRPr="003A304B">
        <w:rPr>
          <w:rFonts w:ascii="Arial" w:hAnsi="Arial" w:cs="Arial"/>
          <w:lang w:val="en-US"/>
        </w:rPr>
        <w:t xml:space="preserve">. Available at: </w:t>
      </w:r>
      <w:hyperlink r:id="rId21" w:tgtFrame="_blank" w:history="1">
        <w:r w:rsidRPr="003A304B">
          <w:rPr>
            <w:rStyle w:val="Hyperlink"/>
            <w:rFonts w:ascii="Arial" w:hAnsi="Arial" w:cs="Arial"/>
            <w:lang w:val="en-US"/>
          </w:rPr>
          <w:t>https://open.unicef.org/download-pdf?country-name=DP%20Republic%20of%20Korea&amp;year=2024</w:t>
        </w:r>
      </w:hyperlink>
      <w:r w:rsidRPr="003A304B">
        <w:rPr>
          <w:rFonts w:ascii="Arial" w:hAnsi="Arial" w:cs="Arial"/>
          <w:lang w:val="en-US"/>
        </w:rPr>
        <w:t xml:space="preserve"> (Accessed: 13 December 2025).</w:t>
      </w:r>
    </w:p>
    <w:p w14:paraId="62239022" w14:textId="48BBD1B9"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The Collaboration Dynamics (2024) </w:t>
      </w:r>
      <w:r w:rsidRPr="003A304B">
        <w:rPr>
          <w:rFonts w:ascii="Arial" w:hAnsi="Arial" w:cs="Arial"/>
          <w:i/>
          <w:iCs/>
          <w:lang w:val="en-US"/>
        </w:rPr>
        <w:t>Pandemic Governance in South Korea: The Collaboration Dynamics of Government and Civil Society During COVID-19 in South Korea</w:t>
      </w:r>
      <w:r w:rsidRPr="003A304B">
        <w:rPr>
          <w:rFonts w:ascii="Arial" w:hAnsi="Arial" w:cs="Arial"/>
          <w:lang w:val="en-US"/>
        </w:rPr>
        <w:t xml:space="preserve">. Available at: </w:t>
      </w:r>
      <w:hyperlink r:id="rId22" w:tgtFrame="_blank" w:history="1">
        <w:r w:rsidRPr="003A304B">
          <w:rPr>
            <w:rStyle w:val="Hyperlink"/>
            <w:rFonts w:ascii="Arial" w:hAnsi="Arial" w:cs="Arial"/>
            <w:lang w:val="en-US"/>
          </w:rPr>
          <w:t>https://www.icnl.org/post/report/pandemic-governance-in-south-korea</w:t>
        </w:r>
      </w:hyperlink>
      <w:r w:rsidRPr="003A304B">
        <w:rPr>
          <w:rFonts w:ascii="Arial" w:hAnsi="Arial" w:cs="Arial"/>
          <w:lang w:val="en-US"/>
        </w:rPr>
        <w:t xml:space="preserve"> (Accessed: 13 December 2025).</w:t>
      </w:r>
    </w:p>
    <w:p w14:paraId="095D4F4F" w14:textId="68697A80"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The Power of Collaborative Governance (2020) </w:t>
      </w:r>
      <w:r w:rsidRPr="003A304B">
        <w:rPr>
          <w:rFonts w:ascii="Arial" w:hAnsi="Arial" w:cs="Arial"/>
          <w:i/>
          <w:iCs/>
          <w:lang w:val="en-US"/>
        </w:rPr>
        <w:t>The Power of Collaborative Governance: The Case of South Korea Responding to COVID</w:t>
      </w:r>
      <w:r w:rsidRPr="003A304B">
        <w:rPr>
          <w:rFonts w:ascii="Cambria Math" w:hAnsi="Cambria Math" w:cs="Cambria Math"/>
          <w:i/>
          <w:iCs/>
          <w:lang w:val="en-US"/>
        </w:rPr>
        <w:t>‐</w:t>
      </w:r>
      <w:r w:rsidRPr="003A304B">
        <w:rPr>
          <w:rFonts w:ascii="Arial" w:hAnsi="Arial" w:cs="Arial"/>
          <w:i/>
          <w:iCs/>
          <w:lang w:val="en-US"/>
        </w:rPr>
        <w:t>19 Pandemic</w:t>
      </w:r>
      <w:r w:rsidRPr="003A304B">
        <w:rPr>
          <w:rFonts w:ascii="Arial" w:hAnsi="Arial" w:cs="Arial"/>
          <w:lang w:val="en-US"/>
        </w:rPr>
        <w:t xml:space="preserve">. Available at: </w:t>
      </w:r>
      <w:hyperlink r:id="rId23" w:tgtFrame="_blank" w:history="1">
        <w:r w:rsidRPr="003A304B">
          <w:rPr>
            <w:rStyle w:val="Hyperlink"/>
            <w:rFonts w:ascii="Arial" w:hAnsi="Arial" w:cs="Arial"/>
            <w:lang w:val="en-US"/>
          </w:rPr>
          <w:t>https://pmc.ncbi.nlm.nih.gov/articles/PMC7753378/</w:t>
        </w:r>
      </w:hyperlink>
      <w:r w:rsidRPr="003A304B">
        <w:rPr>
          <w:rFonts w:ascii="Arial" w:hAnsi="Arial" w:cs="Arial"/>
          <w:lang w:val="en-US"/>
        </w:rPr>
        <w:t xml:space="preserve"> (Accessed: 13 December 2025).</w:t>
      </w:r>
    </w:p>
    <w:p w14:paraId="5BB82CD7" w14:textId="318D679A"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The response by South Korea (2022) </w:t>
      </w:r>
      <w:r w:rsidRPr="003A304B">
        <w:rPr>
          <w:rFonts w:ascii="Arial" w:hAnsi="Arial" w:cs="Arial"/>
          <w:i/>
          <w:iCs/>
          <w:lang w:val="en-US"/>
        </w:rPr>
        <w:t>Understanding South Korea's Response to the COVID-19 Outbreak: A Real-Time Analysis</w:t>
      </w:r>
      <w:r w:rsidRPr="003A304B">
        <w:rPr>
          <w:rFonts w:ascii="Arial" w:hAnsi="Arial" w:cs="Arial"/>
          <w:lang w:val="en-US"/>
        </w:rPr>
        <w:t xml:space="preserve">. Available at: </w:t>
      </w:r>
      <w:hyperlink r:id="rId24" w:tgtFrame="_blank" w:history="1">
        <w:r w:rsidRPr="003A304B">
          <w:rPr>
            <w:rStyle w:val="Hyperlink"/>
            <w:rFonts w:ascii="Arial" w:hAnsi="Arial" w:cs="Arial"/>
            <w:lang w:val="en-US"/>
          </w:rPr>
          <w:t>https://www.researchgate.net/publication/347802114_Understanding_South_Korea's_Response_to_the_COVID-19_Outbreak_A_Real-Time_Analysis</w:t>
        </w:r>
      </w:hyperlink>
      <w:r w:rsidRPr="003A304B">
        <w:rPr>
          <w:rFonts w:ascii="Arial" w:hAnsi="Arial" w:cs="Arial"/>
          <w:lang w:val="en-US"/>
        </w:rPr>
        <w:t xml:space="preserve"> (Accessed: 13 December 2025).</w:t>
      </w:r>
    </w:p>
    <w:p w14:paraId="439D1536" w14:textId="18CC5664"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Toward better pandemic governance (2024) </w:t>
      </w:r>
      <w:r w:rsidRPr="003A304B">
        <w:rPr>
          <w:rFonts w:ascii="Arial" w:hAnsi="Arial" w:cs="Arial"/>
          <w:i/>
          <w:iCs/>
          <w:lang w:val="en-US"/>
        </w:rPr>
        <w:t>Think Piece on the Republic of Korea's Efforts in Anti-Corruption and Good Governance through Digitalization</w:t>
      </w:r>
      <w:r w:rsidRPr="003A304B">
        <w:rPr>
          <w:rFonts w:ascii="Arial" w:hAnsi="Arial" w:cs="Arial"/>
          <w:lang w:val="en-US"/>
        </w:rPr>
        <w:t xml:space="preserve">. Available at: </w:t>
      </w:r>
      <w:hyperlink r:id="rId25" w:tgtFrame="_blank" w:history="1">
        <w:r w:rsidRPr="003A304B">
          <w:rPr>
            <w:rStyle w:val="Hyperlink"/>
            <w:rFonts w:ascii="Arial" w:hAnsi="Arial" w:cs="Arial"/>
            <w:lang w:val="en-US"/>
          </w:rPr>
          <w:t>https://www.undp.org/sites/g/files/zskgke326/files/2025-01/undp-seoul-thinkpiece-rok-anti-corruption-good-governance-through-digitalization-2024.pdf</w:t>
        </w:r>
      </w:hyperlink>
      <w:r w:rsidRPr="003A304B">
        <w:rPr>
          <w:rFonts w:ascii="Arial" w:hAnsi="Arial" w:cs="Arial"/>
          <w:lang w:val="en-US"/>
        </w:rPr>
        <w:t xml:space="preserve"> (Accessed: 13 December 2025).</w:t>
      </w:r>
    </w:p>
    <w:p w14:paraId="69ABA16E" w14:textId="721AECD4"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Canada's initial response (2020) </w:t>
      </w:r>
      <w:r w:rsidRPr="003A304B">
        <w:rPr>
          <w:rFonts w:ascii="Arial" w:hAnsi="Arial" w:cs="Arial"/>
          <w:i/>
          <w:iCs/>
          <w:lang w:val="en-US"/>
        </w:rPr>
        <w:t>Canada's initial response to the COVID-19 pandemic</w:t>
      </w:r>
      <w:r w:rsidRPr="003A304B">
        <w:rPr>
          <w:rFonts w:ascii="Arial" w:hAnsi="Arial" w:cs="Arial"/>
          <w:lang w:val="en-US"/>
        </w:rPr>
        <w:t xml:space="preserve">. Available at: </w:t>
      </w:r>
      <w:hyperlink r:id="rId26" w:tgtFrame="_blank" w:history="1">
        <w:r w:rsidRPr="003A304B">
          <w:rPr>
            <w:rStyle w:val="Hyperlink"/>
            <w:rFonts w:ascii="Arial" w:hAnsi="Arial" w:cs="Arial"/>
            <w:lang w:val="en-US"/>
          </w:rPr>
          <w:t>https://www.cpha.ca/sites/default/files/uploads/policy/positionstatements/2021-02-covid-19-initial-review-e.pdf</w:t>
        </w:r>
      </w:hyperlink>
      <w:r w:rsidRPr="003A304B">
        <w:rPr>
          <w:rFonts w:ascii="Arial" w:hAnsi="Arial" w:cs="Arial"/>
          <w:lang w:val="en-US"/>
        </w:rPr>
        <w:t xml:space="preserve"> (Accessed: 13 December 2025).</w:t>
      </w:r>
    </w:p>
    <w:p w14:paraId="785CDAE4" w14:textId="0DFC6B31" w:rsidR="003A304B" w:rsidRPr="003A304B" w:rsidRDefault="003A304B" w:rsidP="00936FAE">
      <w:pPr>
        <w:pStyle w:val="NormalWeb"/>
        <w:spacing w:line="360" w:lineRule="auto"/>
        <w:rPr>
          <w:rFonts w:ascii="Arial" w:hAnsi="Arial" w:cs="Arial"/>
          <w:lang w:val="en-US"/>
        </w:rPr>
      </w:pPr>
      <w:r w:rsidRPr="003A304B">
        <w:rPr>
          <w:rFonts w:ascii="Arial" w:hAnsi="Arial" w:cs="Arial"/>
          <w:lang w:val="en-US"/>
        </w:rPr>
        <w:t xml:space="preserve">Measuring What Counts (2025) </w:t>
      </w:r>
      <w:r w:rsidRPr="003A304B">
        <w:rPr>
          <w:rFonts w:ascii="Arial" w:hAnsi="Arial" w:cs="Arial"/>
          <w:i/>
          <w:iCs/>
          <w:lang w:val="en-US"/>
        </w:rPr>
        <w:t>Measuring What Counts: Equity Prompts for Public Health Preparedness and Resilience</w:t>
      </w:r>
      <w:r w:rsidRPr="003A304B">
        <w:rPr>
          <w:rFonts w:ascii="Arial" w:hAnsi="Arial" w:cs="Arial"/>
          <w:lang w:val="en-US"/>
        </w:rPr>
        <w:t xml:space="preserve">. Available at: </w:t>
      </w:r>
      <w:hyperlink r:id="rId27" w:tgtFrame="_blank" w:history="1">
        <w:r w:rsidRPr="003A304B">
          <w:rPr>
            <w:rStyle w:val="Hyperlink"/>
            <w:rFonts w:ascii="Arial" w:hAnsi="Arial" w:cs="Arial"/>
            <w:lang w:val="en-US"/>
          </w:rPr>
          <w:t>https://nccid.ca/publications/measuring-what-counts-equity-prompts-for-public-health-preparedness-and-resilience/</w:t>
        </w:r>
      </w:hyperlink>
      <w:r w:rsidRPr="003A304B">
        <w:rPr>
          <w:rFonts w:ascii="Arial" w:hAnsi="Arial" w:cs="Arial"/>
          <w:lang w:val="en-US"/>
        </w:rPr>
        <w:t xml:space="preserve"> (Accessed: 13 December 2025).</w:t>
      </w:r>
    </w:p>
    <w:p w14:paraId="17118BEB" w14:textId="77777777" w:rsidR="00936FAE" w:rsidRPr="00936FAE" w:rsidRDefault="00936FAE" w:rsidP="00936FAE">
      <w:pPr>
        <w:pStyle w:val="NormalWeb"/>
        <w:spacing w:line="360" w:lineRule="auto"/>
        <w:rPr>
          <w:rFonts w:ascii="Arial" w:hAnsi="Arial" w:cs="Arial"/>
          <w:lang w:val="en-US"/>
        </w:rPr>
      </w:pPr>
      <w:r w:rsidRPr="00936FAE">
        <w:rPr>
          <w:rFonts w:ascii="Arial" w:hAnsi="Arial" w:cs="Arial"/>
          <w:lang w:val="en-US"/>
        </w:rPr>
        <w:t xml:space="preserve">Effect of the establishment (2025) </w:t>
      </w:r>
      <w:r w:rsidRPr="00936FAE">
        <w:rPr>
          <w:rFonts w:ascii="Arial" w:hAnsi="Arial" w:cs="Arial"/>
          <w:i/>
          <w:iCs/>
          <w:lang w:val="en-US"/>
        </w:rPr>
        <w:t>Effect of the establishment of the Korea Centers for Disease Control and Prevention/Korea Disease Control and Prevention Agency from the perspective of global health security</w:t>
      </w:r>
      <w:r w:rsidRPr="00936FAE">
        <w:rPr>
          <w:rFonts w:ascii="Arial" w:hAnsi="Arial" w:cs="Arial"/>
          <w:lang w:val="en-US"/>
        </w:rPr>
        <w:t xml:space="preserve">. Available at: </w:t>
      </w:r>
      <w:hyperlink r:id="rId28" w:tgtFrame="_blank" w:history="1">
        <w:r w:rsidRPr="00936FAE">
          <w:rPr>
            <w:rStyle w:val="Hyperlink"/>
            <w:rFonts w:ascii="Arial" w:hAnsi="Arial" w:cs="Arial"/>
            <w:lang w:val="en-US"/>
          </w:rPr>
          <w:t>https://www.jstage.jst.go.jp/article/ghm/advpub/0/advpub</w:t>
        </w:r>
      </w:hyperlink>
      <w:r w:rsidRPr="00936FAE">
        <w:rPr>
          <w:rFonts w:ascii="Arial" w:hAnsi="Arial" w:cs="Arial"/>
          <w:lang w:val="en-US"/>
        </w:rPr>
        <w:t>_2025.01015/_article/-char/en (Accessed: 13 December 2025).</w:t>
      </w:r>
    </w:p>
    <w:p w14:paraId="45AB35AE" w14:textId="77777777" w:rsidR="00936FAE" w:rsidRPr="00936FAE" w:rsidRDefault="00936FAE" w:rsidP="00936FAE">
      <w:pPr>
        <w:pStyle w:val="NormalWeb"/>
        <w:spacing w:line="360" w:lineRule="auto"/>
        <w:rPr>
          <w:rFonts w:ascii="Arial" w:hAnsi="Arial" w:cs="Arial"/>
          <w:lang w:val="en-US"/>
        </w:rPr>
      </w:pPr>
      <w:r w:rsidRPr="00936FAE">
        <w:rPr>
          <w:rFonts w:ascii="Arial" w:hAnsi="Arial" w:cs="Arial"/>
          <w:lang w:val="en-US"/>
        </w:rPr>
        <w:t xml:space="preserve">Strengthening health care in Canada (2022) </w:t>
      </w:r>
      <w:r w:rsidRPr="00936FAE">
        <w:rPr>
          <w:rFonts w:ascii="Arial" w:hAnsi="Arial" w:cs="Arial"/>
          <w:i/>
          <w:iCs/>
          <w:lang w:val="en-US"/>
        </w:rPr>
        <w:t>Strengthening health care in Canada post-COVID-19 pandemic</w:t>
      </w:r>
      <w:r w:rsidRPr="00936FAE">
        <w:rPr>
          <w:rFonts w:ascii="Arial" w:hAnsi="Arial" w:cs="Arial"/>
          <w:lang w:val="en-US"/>
        </w:rPr>
        <w:t xml:space="preserve">. Available at: </w:t>
      </w:r>
      <w:hyperlink r:id="rId29" w:tgtFrame="_blank" w:history="1">
        <w:r w:rsidRPr="00936FAE">
          <w:rPr>
            <w:rStyle w:val="Hyperlink"/>
            <w:rFonts w:ascii="Arial" w:hAnsi="Arial" w:cs="Arial"/>
            <w:lang w:val="en-US"/>
          </w:rPr>
          <w:t>https://www.semanticscholar.org/paper/Strengthening-health-care-in-Canada-post-COVID-19-Rabeneck-McCabe/548ddb5da5ded17314108f7280e0f1c4bc06f6b6</w:t>
        </w:r>
      </w:hyperlink>
      <w:r w:rsidRPr="00936FAE">
        <w:rPr>
          <w:rFonts w:ascii="Arial" w:hAnsi="Arial" w:cs="Arial"/>
          <w:lang w:val="en-US"/>
        </w:rPr>
        <w:t xml:space="preserve"> (Accessed: 13 December 2025).</w:t>
      </w:r>
    </w:p>
    <w:p w14:paraId="54372043" w14:textId="77777777" w:rsidR="00936FAE" w:rsidRPr="00936FAE" w:rsidRDefault="00936FAE" w:rsidP="00936FAE">
      <w:pPr>
        <w:pStyle w:val="NormalWeb"/>
        <w:spacing w:line="360" w:lineRule="auto"/>
        <w:rPr>
          <w:rFonts w:ascii="Arial" w:hAnsi="Arial" w:cs="Arial"/>
          <w:lang w:val="en-US"/>
        </w:rPr>
      </w:pPr>
      <w:r w:rsidRPr="00936FAE">
        <w:rPr>
          <w:rFonts w:ascii="Arial" w:hAnsi="Arial" w:cs="Arial"/>
          <w:lang w:val="en-US"/>
        </w:rPr>
        <w:t xml:space="preserve">Working Together to Thrive (2025) </w:t>
      </w:r>
      <w:r w:rsidRPr="00936FAE">
        <w:rPr>
          <w:rFonts w:ascii="Arial" w:hAnsi="Arial" w:cs="Arial"/>
          <w:i/>
          <w:iCs/>
          <w:lang w:val="en-US"/>
        </w:rPr>
        <w:t>Chief Public Health Officer of Canada's Report on the State of Public Health in Canada 2025: Working Together to Thrive: Well-Being and Public Health</w:t>
      </w:r>
      <w:r w:rsidRPr="00936FAE">
        <w:rPr>
          <w:rFonts w:ascii="Arial" w:hAnsi="Arial" w:cs="Arial"/>
          <w:lang w:val="en-US"/>
        </w:rPr>
        <w:t xml:space="preserve">. Available at: </w:t>
      </w:r>
      <w:hyperlink r:id="rId30" w:tgtFrame="_blank" w:history="1">
        <w:r w:rsidRPr="00936FAE">
          <w:rPr>
            <w:rStyle w:val="Hyperlink"/>
            <w:rFonts w:ascii="Arial" w:hAnsi="Arial" w:cs="Arial"/>
            <w:lang w:val="en-US"/>
          </w:rPr>
          <w:t>https://www.canada.ca/en/public-health/corporate/publications/chief-public-health-officer-reports-state-public-health-canada/working-together-thrive-well-being-public-health-2025.html</w:t>
        </w:r>
      </w:hyperlink>
      <w:r w:rsidRPr="00936FAE">
        <w:rPr>
          <w:rFonts w:ascii="Arial" w:hAnsi="Arial" w:cs="Arial"/>
          <w:lang w:val="en-US"/>
        </w:rPr>
        <w:t xml:space="preserve"> (Accessed: 13 December 2025).</w:t>
      </w:r>
    </w:p>
    <w:p w14:paraId="682017C3" w14:textId="77777777" w:rsidR="00212ED5" w:rsidRDefault="00212ED5" w:rsidP="00936FAE">
      <w:pPr>
        <w:pStyle w:val="NormalWeb"/>
        <w:spacing w:line="360" w:lineRule="auto"/>
      </w:pPr>
    </w:p>
    <w:sectPr w:rsidR="00212ED5" w:rsidSect="00B8340D">
      <w:headerReference w:type="default" r:id="rId31"/>
      <w:footerReference w:type="default" r:id="rId3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32D6B" w14:textId="77777777" w:rsidR="00CA3173" w:rsidRDefault="00CA3173">
      <w:pPr>
        <w:spacing w:after="0" w:line="240" w:lineRule="auto"/>
      </w:pPr>
      <w:r>
        <w:separator/>
      </w:r>
    </w:p>
  </w:endnote>
  <w:endnote w:type="continuationSeparator" w:id="0">
    <w:p w14:paraId="7658E863" w14:textId="77777777" w:rsidR="00CA3173" w:rsidRDefault="00CA3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8F0EE" w14:textId="77777777" w:rsidR="00B8340D" w:rsidRDefault="00B8340D">
    <w:pPr>
      <w:pStyle w:val="Footer"/>
      <w:jc w:val="center"/>
    </w:pPr>
  </w:p>
  <w:p w14:paraId="2C6FB9D9" w14:textId="77777777" w:rsidR="00B8340D" w:rsidRDefault="00B83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5215848"/>
      <w:docPartObj>
        <w:docPartGallery w:val="Page Numbers (Bottom of Page)"/>
        <w:docPartUnique/>
      </w:docPartObj>
    </w:sdtPr>
    <w:sdtEndPr>
      <w:rPr>
        <w:noProof/>
      </w:rPr>
    </w:sdtEndPr>
    <w:sdtContent>
      <w:p w14:paraId="1873923E" w14:textId="77777777" w:rsidR="00B8340D" w:rsidRDefault="00B834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E181C" w14:textId="77777777" w:rsidR="00B8340D" w:rsidRDefault="00B834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25C5B709" w14:textId="77777777" w:rsidR="00B8340D" w:rsidRDefault="00B8340D">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2D0B8DE4" w14:textId="77777777" w:rsidR="00B8340D" w:rsidRDefault="00B83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1023B" w14:textId="77777777" w:rsidR="00CA3173" w:rsidRDefault="00CA3173">
      <w:pPr>
        <w:spacing w:after="0" w:line="240" w:lineRule="auto"/>
      </w:pPr>
      <w:r>
        <w:separator/>
      </w:r>
    </w:p>
  </w:footnote>
  <w:footnote w:type="continuationSeparator" w:id="0">
    <w:p w14:paraId="0F43599D" w14:textId="77777777" w:rsidR="00CA3173" w:rsidRDefault="00CA31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3C35F" w14:textId="77777777" w:rsidR="00B8340D" w:rsidRDefault="00B83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11B9"/>
    <w:multiLevelType w:val="hybridMultilevel"/>
    <w:tmpl w:val="3F782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10669D"/>
    <w:multiLevelType w:val="hybridMultilevel"/>
    <w:tmpl w:val="B0148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567455"/>
    <w:multiLevelType w:val="hybridMultilevel"/>
    <w:tmpl w:val="40E87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7E61A0"/>
    <w:multiLevelType w:val="hybridMultilevel"/>
    <w:tmpl w:val="22F6A5D6"/>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855171"/>
    <w:multiLevelType w:val="hybridMultilevel"/>
    <w:tmpl w:val="4CCCA9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300F83"/>
    <w:multiLevelType w:val="hybridMultilevel"/>
    <w:tmpl w:val="69D80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154E0C"/>
    <w:multiLevelType w:val="hybridMultilevel"/>
    <w:tmpl w:val="F4CA8AC2"/>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890B06"/>
    <w:multiLevelType w:val="hybridMultilevel"/>
    <w:tmpl w:val="87C888D0"/>
    <w:lvl w:ilvl="0" w:tplc="DCD0D9EC">
      <w:start w:val="1"/>
      <w:numFmt w:val="lowerLetter"/>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B6A4A45"/>
    <w:multiLevelType w:val="multilevel"/>
    <w:tmpl w:val="EC42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537323"/>
    <w:multiLevelType w:val="hybridMultilevel"/>
    <w:tmpl w:val="2A989436"/>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0C4669"/>
    <w:multiLevelType w:val="hybridMultilevel"/>
    <w:tmpl w:val="BB7E7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BE170A"/>
    <w:multiLevelType w:val="hybridMultilevel"/>
    <w:tmpl w:val="7FFEC6B2"/>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592F40"/>
    <w:multiLevelType w:val="hybridMultilevel"/>
    <w:tmpl w:val="5E345300"/>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22E2FEF"/>
    <w:multiLevelType w:val="multilevel"/>
    <w:tmpl w:val="4556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7A7BC5"/>
    <w:multiLevelType w:val="hybridMultilevel"/>
    <w:tmpl w:val="F59C0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935472"/>
    <w:multiLevelType w:val="hybridMultilevel"/>
    <w:tmpl w:val="DC7E4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F82173"/>
    <w:multiLevelType w:val="hybridMultilevel"/>
    <w:tmpl w:val="AD2E61E2"/>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7B443E"/>
    <w:multiLevelType w:val="hybridMultilevel"/>
    <w:tmpl w:val="7D6295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A15C99"/>
    <w:multiLevelType w:val="hybridMultilevel"/>
    <w:tmpl w:val="2C1C8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E14ACE"/>
    <w:multiLevelType w:val="hybridMultilevel"/>
    <w:tmpl w:val="17045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7FB779C"/>
    <w:multiLevelType w:val="hybridMultilevel"/>
    <w:tmpl w:val="FDAEA748"/>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CEA5244"/>
    <w:multiLevelType w:val="hybridMultilevel"/>
    <w:tmpl w:val="9F88B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130EE8"/>
    <w:multiLevelType w:val="hybridMultilevel"/>
    <w:tmpl w:val="49ACCA2E"/>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24700D1"/>
    <w:multiLevelType w:val="hybridMultilevel"/>
    <w:tmpl w:val="91782A72"/>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82073A0"/>
    <w:multiLevelType w:val="hybridMultilevel"/>
    <w:tmpl w:val="105AC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AD11AE1"/>
    <w:multiLevelType w:val="hybridMultilevel"/>
    <w:tmpl w:val="C43CC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B4E4CA3"/>
    <w:multiLevelType w:val="hybridMultilevel"/>
    <w:tmpl w:val="E5AEF22C"/>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FA97EA0"/>
    <w:multiLevelType w:val="multilevel"/>
    <w:tmpl w:val="45B6C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754055"/>
    <w:multiLevelType w:val="hybridMultilevel"/>
    <w:tmpl w:val="73723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3863212"/>
    <w:multiLevelType w:val="hybridMultilevel"/>
    <w:tmpl w:val="56624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503950"/>
    <w:multiLevelType w:val="hybridMultilevel"/>
    <w:tmpl w:val="DF08F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9561486">
    <w:abstractNumId w:val="19"/>
  </w:num>
  <w:num w:numId="2" w16cid:durableId="832255355">
    <w:abstractNumId w:val="30"/>
  </w:num>
  <w:num w:numId="3" w16cid:durableId="993071905">
    <w:abstractNumId w:val="1"/>
  </w:num>
  <w:num w:numId="4" w16cid:durableId="6908405">
    <w:abstractNumId w:val="2"/>
  </w:num>
  <w:num w:numId="5" w16cid:durableId="638075119">
    <w:abstractNumId w:val="18"/>
  </w:num>
  <w:num w:numId="6" w16cid:durableId="1265191483">
    <w:abstractNumId w:val="0"/>
  </w:num>
  <w:num w:numId="7" w16cid:durableId="2109344817">
    <w:abstractNumId w:val="28"/>
  </w:num>
  <w:num w:numId="8" w16cid:durableId="1797138154">
    <w:abstractNumId w:val="5"/>
  </w:num>
  <w:num w:numId="9" w16cid:durableId="763696708">
    <w:abstractNumId w:val="24"/>
  </w:num>
  <w:num w:numId="10" w16cid:durableId="108745779">
    <w:abstractNumId w:val="25"/>
  </w:num>
  <w:num w:numId="11" w16cid:durableId="990711573">
    <w:abstractNumId w:val="21"/>
  </w:num>
  <w:num w:numId="12" w16cid:durableId="2136174701">
    <w:abstractNumId w:val="14"/>
  </w:num>
  <w:num w:numId="13" w16cid:durableId="973366757">
    <w:abstractNumId w:val="15"/>
  </w:num>
  <w:num w:numId="14" w16cid:durableId="1704283717">
    <w:abstractNumId w:val="23"/>
  </w:num>
  <w:num w:numId="15" w16cid:durableId="1963078103">
    <w:abstractNumId w:val="10"/>
  </w:num>
  <w:num w:numId="16" w16cid:durableId="29916805">
    <w:abstractNumId w:val="3"/>
  </w:num>
  <w:num w:numId="17" w16cid:durableId="1460567784">
    <w:abstractNumId w:val="26"/>
  </w:num>
  <w:num w:numId="18" w16cid:durableId="1036738936">
    <w:abstractNumId w:val="29"/>
  </w:num>
  <w:num w:numId="19" w16cid:durableId="582957287">
    <w:abstractNumId w:val="7"/>
  </w:num>
  <w:num w:numId="20" w16cid:durableId="458883826">
    <w:abstractNumId w:val="6"/>
  </w:num>
  <w:num w:numId="21" w16cid:durableId="1499273271">
    <w:abstractNumId w:val="9"/>
  </w:num>
  <w:num w:numId="22" w16cid:durableId="37169605">
    <w:abstractNumId w:val="12"/>
  </w:num>
  <w:num w:numId="23" w16cid:durableId="875433047">
    <w:abstractNumId w:val="22"/>
  </w:num>
  <w:num w:numId="24" w16cid:durableId="1882010232">
    <w:abstractNumId w:val="20"/>
  </w:num>
  <w:num w:numId="25" w16cid:durableId="652756180">
    <w:abstractNumId w:val="16"/>
  </w:num>
  <w:num w:numId="26" w16cid:durableId="1590652059">
    <w:abstractNumId w:val="11"/>
  </w:num>
  <w:num w:numId="27" w16cid:durableId="478108018">
    <w:abstractNumId w:val="27"/>
  </w:num>
  <w:num w:numId="28" w16cid:durableId="458497450">
    <w:abstractNumId w:val="8"/>
  </w:num>
  <w:num w:numId="29" w16cid:durableId="1526095122">
    <w:abstractNumId w:val="13"/>
  </w:num>
  <w:num w:numId="30" w16cid:durableId="1244488444">
    <w:abstractNumId w:val="4"/>
  </w:num>
  <w:num w:numId="31" w16cid:durableId="6799679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89D"/>
    <w:rsid w:val="000078B3"/>
    <w:rsid w:val="00055C74"/>
    <w:rsid w:val="000A6CC1"/>
    <w:rsid w:val="000D598F"/>
    <w:rsid w:val="000F22E1"/>
    <w:rsid w:val="001027BA"/>
    <w:rsid w:val="00166EAE"/>
    <w:rsid w:val="0018351C"/>
    <w:rsid w:val="001A5CA3"/>
    <w:rsid w:val="001D5EF2"/>
    <w:rsid w:val="001F1401"/>
    <w:rsid w:val="00211396"/>
    <w:rsid w:val="00212ED5"/>
    <w:rsid w:val="00262B8F"/>
    <w:rsid w:val="00265132"/>
    <w:rsid w:val="002774FA"/>
    <w:rsid w:val="002777D6"/>
    <w:rsid w:val="0029574C"/>
    <w:rsid w:val="002E37E6"/>
    <w:rsid w:val="00361E3B"/>
    <w:rsid w:val="003A304B"/>
    <w:rsid w:val="003C589D"/>
    <w:rsid w:val="003C64E0"/>
    <w:rsid w:val="003C679A"/>
    <w:rsid w:val="00406AB4"/>
    <w:rsid w:val="00412FB9"/>
    <w:rsid w:val="00442995"/>
    <w:rsid w:val="004741FC"/>
    <w:rsid w:val="004931F7"/>
    <w:rsid w:val="00560536"/>
    <w:rsid w:val="005615AA"/>
    <w:rsid w:val="00592047"/>
    <w:rsid w:val="00595334"/>
    <w:rsid w:val="00632819"/>
    <w:rsid w:val="0066132C"/>
    <w:rsid w:val="0071581A"/>
    <w:rsid w:val="0075651D"/>
    <w:rsid w:val="0078575B"/>
    <w:rsid w:val="007A3BFA"/>
    <w:rsid w:val="00892C97"/>
    <w:rsid w:val="00895432"/>
    <w:rsid w:val="008A21BA"/>
    <w:rsid w:val="008B54C2"/>
    <w:rsid w:val="008E4800"/>
    <w:rsid w:val="00906388"/>
    <w:rsid w:val="00936FAE"/>
    <w:rsid w:val="0094449F"/>
    <w:rsid w:val="00950AAC"/>
    <w:rsid w:val="00952CDF"/>
    <w:rsid w:val="0097291F"/>
    <w:rsid w:val="009B72DE"/>
    <w:rsid w:val="009E4105"/>
    <w:rsid w:val="00A45305"/>
    <w:rsid w:val="00A55D4D"/>
    <w:rsid w:val="00A57571"/>
    <w:rsid w:val="00A7047A"/>
    <w:rsid w:val="00A87978"/>
    <w:rsid w:val="00AB0945"/>
    <w:rsid w:val="00AC24F6"/>
    <w:rsid w:val="00B8340D"/>
    <w:rsid w:val="00B85FBF"/>
    <w:rsid w:val="00BC4B51"/>
    <w:rsid w:val="00BD1E2E"/>
    <w:rsid w:val="00BE404A"/>
    <w:rsid w:val="00C55FC5"/>
    <w:rsid w:val="00C954AF"/>
    <w:rsid w:val="00C95F86"/>
    <w:rsid w:val="00CA14CE"/>
    <w:rsid w:val="00CA3173"/>
    <w:rsid w:val="00CB4BC7"/>
    <w:rsid w:val="00CC638C"/>
    <w:rsid w:val="00CF3AFE"/>
    <w:rsid w:val="00D35FAA"/>
    <w:rsid w:val="00D44CBB"/>
    <w:rsid w:val="00D75BA4"/>
    <w:rsid w:val="00D9599D"/>
    <w:rsid w:val="00DA2B6F"/>
    <w:rsid w:val="00DD69A6"/>
    <w:rsid w:val="00E9427E"/>
    <w:rsid w:val="00EA5E02"/>
    <w:rsid w:val="00F41DC0"/>
    <w:rsid w:val="00F44C7A"/>
    <w:rsid w:val="00F612C9"/>
    <w:rsid w:val="00FD3599"/>
    <w:rsid w:val="00FE2721"/>
    <w:rsid w:val="00FE2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7807"/>
  <w15:chartTrackingRefBased/>
  <w15:docId w15:val="{5479155F-E0DB-4422-8E04-42F84B318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40D"/>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B8340D"/>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612C9"/>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892C97"/>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3C58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58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58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8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8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8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40D"/>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612C9"/>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892C97"/>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3C58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58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58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8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8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89D"/>
    <w:rPr>
      <w:rFonts w:eastAsiaTheme="majorEastAsia" w:cstheme="majorBidi"/>
      <w:color w:val="272727" w:themeColor="text1" w:themeTint="D8"/>
    </w:rPr>
  </w:style>
  <w:style w:type="paragraph" w:styleId="Title">
    <w:name w:val="Title"/>
    <w:basedOn w:val="Normal"/>
    <w:next w:val="Normal"/>
    <w:link w:val="TitleChar"/>
    <w:uiPriority w:val="10"/>
    <w:qFormat/>
    <w:rsid w:val="003C58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8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8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8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89D"/>
    <w:pPr>
      <w:spacing w:before="160"/>
      <w:jc w:val="center"/>
    </w:pPr>
    <w:rPr>
      <w:i/>
      <w:iCs/>
      <w:color w:val="404040" w:themeColor="text1" w:themeTint="BF"/>
    </w:rPr>
  </w:style>
  <w:style w:type="character" w:customStyle="1" w:styleId="QuoteChar">
    <w:name w:val="Quote Char"/>
    <w:basedOn w:val="DefaultParagraphFont"/>
    <w:link w:val="Quote"/>
    <w:uiPriority w:val="29"/>
    <w:rsid w:val="003C589D"/>
    <w:rPr>
      <w:i/>
      <w:iCs/>
      <w:color w:val="404040" w:themeColor="text1" w:themeTint="BF"/>
    </w:rPr>
  </w:style>
  <w:style w:type="paragraph" w:styleId="ListParagraph">
    <w:name w:val="List Paragraph"/>
    <w:basedOn w:val="Normal"/>
    <w:uiPriority w:val="34"/>
    <w:qFormat/>
    <w:rsid w:val="003C589D"/>
    <w:pPr>
      <w:ind w:left="720"/>
      <w:contextualSpacing/>
    </w:pPr>
  </w:style>
  <w:style w:type="character" w:styleId="IntenseEmphasis">
    <w:name w:val="Intense Emphasis"/>
    <w:basedOn w:val="DefaultParagraphFont"/>
    <w:uiPriority w:val="21"/>
    <w:qFormat/>
    <w:rsid w:val="003C589D"/>
    <w:rPr>
      <w:i/>
      <w:iCs/>
      <w:color w:val="2F5496" w:themeColor="accent1" w:themeShade="BF"/>
    </w:rPr>
  </w:style>
  <w:style w:type="paragraph" w:styleId="IntenseQuote">
    <w:name w:val="Intense Quote"/>
    <w:basedOn w:val="Normal"/>
    <w:next w:val="Normal"/>
    <w:link w:val="IntenseQuoteChar"/>
    <w:uiPriority w:val="30"/>
    <w:qFormat/>
    <w:rsid w:val="003C58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589D"/>
    <w:rPr>
      <w:i/>
      <w:iCs/>
      <w:color w:val="2F5496" w:themeColor="accent1" w:themeShade="BF"/>
    </w:rPr>
  </w:style>
  <w:style w:type="character" w:styleId="IntenseReference">
    <w:name w:val="Intense Reference"/>
    <w:basedOn w:val="DefaultParagraphFont"/>
    <w:uiPriority w:val="32"/>
    <w:qFormat/>
    <w:rsid w:val="003C589D"/>
    <w:rPr>
      <w:b/>
      <w:bCs/>
      <w:smallCaps/>
      <w:color w:val="2F5496" w:themeColor="accent1" w:themeShade="BF"/>
      <w:spacing w:val="5"/>
    </w:rPr>
  </w:style>
  <w:style w:type="paragraph" w:styleId="NormalWeb">
    <w:name w:val="Normal (Web)"/>
    <w:basedOn w:val="Normal"/>
    <w:uiPriority w:val="99"/>
    <w:unhideWhenUsed/>
    <w:rsid w:val="00B834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83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40D"/>
    <w:rPr>
      <w:kern w:val="0"/>
      <w:sz w:val="22"/>
      <w:szCs w:val="22"/>
      <w:lang w:val="en-GB"/>
      <w14:ligatures w14:val="none"/>
    </w:rPr>
  </w:style>
  <w:style w:type="paragraph" w:styleId="TOCHeading">
    <w:name w:val="TOC Heading"/>
    <w:basedOn w:val="Heading1"/>
    <w:next w:val="Normal"/>
    <w:uiPriority w:val="39"/>
    <w:unhideWhenUsed/>
    <w:qFormat/>
    <w:rsid w:val="00B8340D"/>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B8340D"/>
    <w:pPr>
      <w:spacing w:after="100"/>
    </w:pPr>
  </w:style>
  <w:style w:type="character" w:styleId="Hyperlink">
    <w:name w:val="Hyperlink"/>
    <w:basedOn w:val="DefaultParagraphFont"/>
    <w:uiPriority w:val="99"/>
    <w:unhideWhenUsed/>
    <w:rsid w:val="00B8340D"/>
    <w:rPr>
      <w:color w:val="0563C1" w:themeColor="hyperlink"/>
      <w:u w:val="single"/>
    </w:rPr>
  </w:style>
  <w:style w:type="paragraph" w:styleId="TOC2">
    <w:name w:val="toc 2"/>
    <w:basedOn w:val="Normal"/>
    <w:next w:val="Normal"/>
    <w:autoRedefine/>
    <w:uiPriority w:val="39"/>
    <w:unhideWhenUsed/>
    <w:rsid w:val="00B8340D"/>
    <w:pPr>
      <w:spacing w:after="100"/>
      <w:ind w:left="220"/>
    </w:pPr>
  </w:style>
  <w:style w:type="paragraph" w:styleId="Caption">
    <w:name w:val="caption"/>
    <w:basedOn w:val="Normal"/>
    <w:next w:val="Normal"/>
    <w:uiPriority w:val="35"/>
    <w:unhideWhenUsed/>
    <w:qFormat/>
    <w:rsid w:val="00B8340D"/>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B8340D"/>
    <w:pPr>
      <w:spacing w:after="0"/>
    </w:pPr>
  </w:style>
  <w:style w:type="paragraph" w:styleId="TOC3">
    <w:name w:val="toc 3"/>
    <w:basedOn w:val="Normal"/>
    <w:next w:val="Normal"/>
    <w:autoRedefine/>
    <w:uiPriority w:val="39"/>
    <w:unhideWhenUsed/>
    <w:rsid w:val="00B8340D"/>
    <w:pPr>
      <w:spacing w:after="100"/>
      <w:ind w:left="440"/>
    </w:pPr>
  </w:style>
  <w:style w:type="paragraph" w:styleId="Header">
    <w:name w:val="header"/>
    <w:basedOn w:val="Normal"/>
    <w:link w:val="HeaderChar"/>
    <w:uiPriority w:val="99"/>
    <w:unhideWhenUsed/>
    <w:rsid w:val="00B834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340D"/>
    <w:rPr>
      <w:kern w:val="0"/>
      <w:sz w:val="22"/>
      <w:szCs w:val="22"/>
      <w:lang w:val="en-GB"/>
      <w14:ligatures w14:val="none"/>
    </w:rPr>
  </w:style>
  <w:style w:type="table" w:styleId="TableGrid">
    <w:name w:val="Table Grid"/>
    <w:basedOn w:val="TableNormal"/>
    <w:uiPriority w:val="39"/>
    <w:rsid w:val="00277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651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7753378/" TargetMode="External"/><Relationship Id="rId18" Type="http://schemas.openxmlformats.org/officeDocument/2006/relationships/hyperlink" Target="https://www.oecd.org/en/publications/health-at-a-glance-2025_15a55280-en/spain_d37fc9b6-en.html" TargetMode="External"/><Relationship Id="rId26" Type="http://schemas.openxmlformats.org/officeDocument/2006/relationships/hyperlink" Target="https://www.cpha.ca/sites/default/files/uploads/policy/positionstatements/2021-02-covid-19-initial-review-e.pdf" TargetMode="External"/><Relationship Id="rId3" Type="http://schemas.openxmlformats.org/officeDocument/2006/relationships/settings" Target="settings.xml"/><Relationship Id="rId21" Type="http://schemas.openxmlformats.org/officeDocument/2006/relationships/hyperlink" Target="https://open.unicef.org/download-pdf?country-name=DP%20Republic%20of%20Korea&amp;year=2024"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researchgate.net/publication/356868353_Evaluation_of_Spanish_Health_System_during_the_COVID-19_Pandemic_Accountability_and_Wellbeing_Results" TargetMode="External"/><Relationship Id="rId25" Type="http://schemas.openxmlformats.org/officeDocument/2006/relationships/hyperlink" Target="https://www.undp.org/sites/g/files/zskgke326/files/2025-01/undp-seoul-thinkpiece-rok-anti-corruption-good-governance-through-digitalization-2024.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lsevier.es/en-revista-journal-healthcare-quality-research-257-articulo-the-difficult-resilience-spanish-national-S260364792200032X" TargetMode="External"/><Relationship Id="rId20" Type="http://schemas.openxmlformats.org/officeDocument/2006/relationships/hyperlink" Target="https://www.google.com/search?q=https://www.jstage.jst.co.jp/article/ghm/advpub/0/advpub_2025.01015/_article/-char/en" TargetMode="External"/><Relationship Id="rId29" Type="http://schemas.openxmlformats.org/officeDocument/2006/relationships/hyperlink" Target="https://www.semanticscholar.org/paper/Strengthening-health-care-in-Canada-post-COVID-19-Rabeneck-McCabe/548ddb5da5ded17314108f7280e0f1c4bc06f6b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researchgate.net/publication/347802114_Understanding_South_Korea's_Response_to_the_COVID-19_Outbreak_A_Real-Time_Analysis"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realinstitutoelcano.org/en/commentaries/living-with-covid-19-the-thinking-behind-spains-lockdown-exit-plan/" TargetMode="External"/><Relationship Id="rId23" Type="http://schemas.openxmlformats.org/officeDocument/2006/relationships/hyperlink" Target="https://pmc.ncbi.nlm.nih.gov/articles/PMC7753378/" TargetMode="External"/><Relationship Id="rId28" Type="http://schemas.openxmlformats.org/officeDocument/2006/relationships/hyperlink" Target="https://www.google.com/search?q=https://www.jstage.jst.go.jp/article/ghm/advpub/0/advpub" TargetMode="External"/><Relationship Id="rId10" Type="http://schemas.openxmlformats.org/officeDocument/2006/relationships/footer" Target="footer2.xml"/><Relationship Id="rId19" Type="http://schemas.openxmlformats.org/officeDocument/2006/relationships/hyperlink" Target="https://www.frontiersin.org/journals/public-health/articles/10.3389/fpubh.2021.654945/full"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researchgate.net/publication/356868353_Evaluation_of_Spanish_Health_System_during_the_COVID-19_Pandemic_Accountability_and_Wellbeing_Results" TargetMode="External"/><Relationship Id="rId22" Type="http://schemas.openxmlformats.org/officeDocument/2006/relationships/hyperlink" Target="https://www.icnl.org/post/report/pandemic-governance-in-south-korea" TargetMode="External"/><Relationship Id="rId27" Type="http://schemas.openxmlformats.org/officeDocument/2006/relationships/hyperlink" Target="https://nccid.ca/publications/measuring-what-counts-equity-prompts-for-public-health-preparedness-and-resilience/" TargetMode="External"/><Relationship Id="rId30" Type="http://schemas.openxmlformats.org/officeDocument/2006/relationships/hyperlink" Target="https://www.canada.ca/en/public-health/corporate/publications/chief-public-health-officer-reports-state-public-health-canada/working-together-thrive-well-being-public-health-2025.html" TargetMode="Externa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23</Pages>
  <Words>6931</Words>
  <Characters>39512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Tarikul Islam</dc:creator>
  <cp:keywords/>
  <dc:description/>
  <cp:lastModifiedBy>Tarikul Islam</cp:lastModifiedBy>
  <cp:revision>2</cp:revision>
  <dcterms:created xsi:type="dcterms:W3CDTF">2025-12-15T12:16:00Z</dcterms:created>
  <dcterms:modified xsi:type="dcterms:W3CDTF">2025-12-15T12:16:00Z</dcterms:modified>
</cp:coreProperties>
</file>