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265A5F" w14:textId="77777777" w:rsidR="00DE7F6B" w:rsidRDefault="00DE7F6B" w:rsidP="00392709">
      <w:pPr>
        <w:rPr>
          <w:b/>
          <w:sz w:val="44"/>
        </w:rPr>
      </w:pPr>
    </w:p>
    <w:p w14:paraId="7365E798" w14:textId="77777777" w:rsidR="007903C6" w:rsidRDefault="000B5F39" w:rsidP="00DE7F6B">
      <w:pPr>
        <w:jc w:val="center"/>
        <w:rPr>
          <w:b/>
          <w:sz w:val="44"/>
        </w:rPr>
      </w:pPr>
      <w:r w:rsidRPr="00DE7F6B">
        <w:rPr>
          <w:b/>
          <w:sz w:val="44"/>
        </w:rPr>
        <w:t>International Financial Management</w:t>
      </w:r>
    </w:p>
    <w:p w14:paraId="4378416C" w14:textId="602E898B" w:rsidR="00392709" w:rsidRDefault="00392709" w:rsidP="00392709">
      <w:pPr>
        <w:tabs>
          <w:tab w:val="left" w:pos="3612"/>
        </w:tabs>
        <w:spacing w:line="259" w:lineRule="auto"/>
        <w:jc w:val="center"/>
        <w:rPr>
          <w:b/>
          <w:sz w:val="32"/>
          <w:szCs w:val="16"/>
        </w:rPr>
      </w:pPr>
      <w:r w:rsidRPr="00392709">
        <w:rPr>
          <w:b/>
          <w:sz w:val="32"/>
          <w:szCs w:val="16"/>
        </w:rPr>
        <w:t>LCBB6002</w:t>
      </w:r>
    </w:p>
    <w:p w14:paraId="101456AC" w14:textId="77777777" w:rsidR="00392709" w:rsidRDefault="00392709" w:rsidP="00392709">
      <w:pPr>
        <w:tabs>
          <w:tab w:val="left" w:pos="3612"/>
        </w:tabs>
        <w:spacing w:line="259" w:lineRule="auto"/>
        <w:jc w:val="center"/>
        <w:rPr>
          <w:b/>
          <w:sz w:val="32"/>
          <w:szCs w:val="16"/>
        </w:rPr>
      </w:pPr>
    </w:p>
    <w:p w14:paraId="2691064A" w14:textId="77777777" w:rsidR="00392709" w:rsidRDefault="00392709" w:rsidP="00392709">
      <w:pPr>
        <w:pStyle w:val="Normal1"/>
        <w:jc w:val="center"/>
        <w:rPr>
          <w:b/>
          <w:sz w:val="32"/>
          <w:szCs w:val="32"/>
        </w:rPr>
      </w:pPr>
      <w:r>
        <w:rPr>
          <w:b/>
          <w:sz w:val="32"/>
          <w:szCs w:val="32"/>
        </w:rPr>
        <w:t>Assessment 1</w:t>
      </w:r>
    </w:p>
    <w:p w14:paraId="24AB0D1E" w14:textId="77777777" w:rsidR="00392709" w:rsidRPr="00F83F4D" w:rsidRDefault="00392709" w:rsidP="00392709">
      <w:pPr>
        <w:pStyle w:val="Normal1"/>
        <w:jc w:val="center"/>
        <w:rPr>
          <w:b/>
          <w:sz w:val="28"/>
          <w:szCs w:val="28"/>
        </w:rPr>
      </w:pPr>
      <w:r w:rsidRPr="00F83F4D">
        <w:rPr>
          <w:b/>
          <w:sz w:val="28"/>
          <w:szCs w:val="28"/>
        </w:rPr>
        <w:t>Student name : IOANA RAIRA MOSU</w:t>
      </w:r>
    </w:p>
    <w:p w14:paraId="5122EF45" w14:textId="77777777" w:rsidR="00392709" w:rsidRPr="00F83F4D" w:rsidRDefault="00392709" w:rsidP="00392709">
      <w:pPr>
        <w:pStyle w:val="Normal1"/>
        <w:jc w:val="center"/>
        <w:rPr>
          <w:b/>
          <w:sz w:val="28"/>
          <w:szCs w:val="28"/>
        </w:rPr>
      </w:pPr>
      <w:r w:rsidRPr="00F83F4D">
        <w:rPr>
          <w:b/>
          <w:sz w:val="28"/>
          <w:szCs w:val="28"/>
        </w:rPr>
        <w:t>Student ID : 2019296</w:t>
      </w:r>
    </w:p>
    <w:p w14:paraId="7BE7A66A" w14:textId="5D314A9F" w:rsidR="00392709" w:rsidRDefault="00392709" w:rsidP="00392709">
      <w:pPr>
        <w:tabs>
          <w:tab w:val="left" w:pos="3612"/>
        </w:tabs>
        <w:spacing w:line="259" w:lineRule="auto"/>
        <w:jc w:val="center"/>
        <w:rPr>
          <w:b/>
          <w:sz w:val="44"/>
        </w:rPr>
      </w:pPr>
      <w:r w:rsidRPr="00F83F4D">
        <w:rPr>
          <w:b/>
          <w:sz w:val="28"/>
          <w:szCs w:val="28"/>
        </w:rPr>
        <w:t xml:space="preserve">Lecturer name : </w:t>
      </w:r>
      <w:r>
        <w:rPr>
          <w:b/>
          <w:sz w:val="28"/>
          <w:szCs w:val="28"/>
        </w:rPr>
        <w:t>ZAINAB ATTA</w:t>
      </w:r>
    </w:p>
    <w:p w14:paraId="2772A071" w14:textId="053AFFE9" w:rsidR="007903C6" w:rsidRDefault="000B5F39" w:rsidP="00392709">
      <w:pPr>
        <w:tabs>
          <w:tab w:val="left" w:pos="3612"/>
        </w:tabs>
        <w:spacing w:line="259" w:lineRule="auto"/>
        <w:jc w:val="left"/>
        <w:rPr>
          <w:b/>
          <w:sz w:val="44"/>
        </w:rPr>
      </w:pPr>
      <w:r w:rsidRPr="00392709">
        <w:rPr>
          <w:sz w:val="44"/>
        </w:rPr>
        <w:br w:type="page"/>
      </w:r>
      <w:r w:rsidR="00392709">
        <w:rPr>
          <w:b/>
          <w:sz w:val="44"/>
        </w:rPr>
        <w:lastRenderedPageBreak/>
        <w:tab/>
      </w:r>
    </w:p>
    <w:p w14:paraId="7381CA04" w14:textId="77777777" w:rsidR="007903C6" w:rsidRDefault="000B5F39" w:rsidP="007903C6">
      <w:pPr>
        <w:jc w:val="center"/>
        <w:rPr>
          <w:b/>
        </w:rPr>
      </w:pPr>
      <w:r w:rsidRPr="007903C6">
        <w:rPr>
          <w:b/>
        </w:rPr>
        <w:t>Executive Summary</w:t>
      </w:r>
    </w:p>
    <w:p w14:paraId="552FF9C8" w14:textId="77777777" w:rsidR="007903C6" w:rsidRDefault="000B5F39" w:rsidP="00B77A88">
      <w:r w:rsidRPr="00B77A88">
        <w:t>The below-bestowed context has defined the ground of International financial management in</w:t>
      </w:r>
      <w:r>
        <w:t xml:space="preserve"> </w:t>
      </w:r>
      <w:r w:rsidRPr="00B77A88">
        <w:t>the context of Next Plc. First, the policy of dividend dist</w:t>
      </w:r>
      <w:r>
        <w:t xml:space="preserve">ribution has been evaluated and assessed in </w:t>
      </w:r>
      <w:r w:rsidRPr="00B77A88">
        <w:t xml:space="preserve">relation to Next Plc. In addition, the theory of </w:t>
      </w:r>
      <w:r>
        <w:t xml:space="preserve">market hypothesis has also been highlighted in </w:t>
      </w:r>
      <w:r w:rsidRPr="00B77A88">
        <w:t>relation to Next plc. In the last portion of the study, ce</w:t>
      </w:r>
      <w:r>
        <w:t xml:space="preserve">rtain techniques of </w:t>
      </w:r>
      <w:r w:rsidRPr="00B77A88">
        <w:t>appraising projects have been narrated in the context of thi</w:t>
      </w:r>
      <w:r>
        <w:t xml:space="preserve">s aforementioned multi-national </w:t>
      </w:r>
      <w:r w:rsidRPr="00B77A88">
        <w:t>company.</w:t>
      </w:r>
      <w:r>
        <w:br w:type="page"/>
      </w:r>
    </w:p>
    <w:sdt>
      <w:sdtPr>
        <w:rPr>
          <w:rFonts w:ascii="Times New Roman" w:eastAsiaTheme="minorHAnsi" w:hAnsi="Times New Roman" w:cstheme="minorBidi"/>
          <w:color w:val="000000" w:themeColor="text1"/>
          <w:sz w:val="24"/>
          <w:szCs w:val="22"/>
          <w:lang w:val="en-GB"/>
        </w:rPr>
        <w:id w:val="-615215907"/>
        <w:docPartObj>
          <w:docPartGallery w:val="Table of Contents"/>
          <w:docPartUnique/>
        </w:docPartObj>
      </w:sdtPr>
      <w:sdtEndPr>
        <w:rPr>
          <w:b/>
          <w:bCs/>
          <w:noProof/>
        </w:rPr>
      </w:sdtEndPr>
      <w:sdtContent>
        <w:p w14:paraId="2C8E5116" w14:textId="77777777" w:rsidR="007351A2" w:rsidRDefault="007351A2">
          <w:pPr>
            <w:pStyle w:val="TOCHeading"/>
          </w:pPr>
          <w:r>
            <w:t>Table of Contents</w:t>
          </w:r>
        </w:p>
        <w:p w14:paraId="6AC99441" w14:textId="77777777" w:rsidR="007351A2" w:rsidRDefault="007351A2">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132384164" w:history="1">
            <w:r w:rsidRPr="00FE6C4B">
              <w:rPr>
                <w:rStyle w:val="Hyperlink"/>
                <w:noProof/>
              </w:rPr>
              <w:t>Introduction</w:t>
            </w:r>
            <w:r>
              <w:rPr>
                <w:noProof/>
                <w:webHidden/>
              </w:rPr>
              <w:tab/>
            </w:r>
            <w:r>
              <w:rPr>
                <w:noProof/>
                <w:webHidden/>
              </w:rPr>
              <w:fldChar w:fldCharType="begin"/>
            </w:r>
            <w:r>
              <w:rPr>
                <w:noProof/>
                <w:webHidden/>
              </w:rPr>
              <w:instrText xml:space="preserve"> PAGEREF _Toc132384164 \h </w:instrText>
            </w:r>
            <w:r>
              <w:rPr>
                <w:noProof/>
                <w:webHidden/>
              </w:rPr>
            </w:r>
            <w:r>
              <w:rPr>
                <w:noProof/>
                <w:webHidden/>
              </w:rPr>
              <w:fldChar w:fldCharType="separate"/>
            </w:r>
            <w:r>
              <w:rPr>
                <w:noProof/>
                <w:webHidden/>
              </w:rPr>
              <w:t>4</w:t>
            </w:r>
            <w:r>
              <w:rPr>
                <w:noProof/>
                <w:webHidden/>
              </w:rPr>
              <w:fldChar w:fldCharType="end"/>
            </w:r>
          </w:hyperlink>
        </w:p>
        <w:p w14:paraId="52496498" w14:textId="77777777" w:rsidR="007351A2" w:rsidRDefault="00000000">
          <w:pPr>
            <w:pStyle w:val="TOC1"/>
            <w:tabs>
              <w:tab w:val="right" w:leader="dot" w:pos="9350"/>
            </w:tabs>
            <w:rPr>
              <w:noProof/>
            </w:rPr>
          </w:pPr>
          <w:hyperlink w:anchor="_Toc132384165" w:history="1">
            <w:r w:rsidR="007351A2" w:rsidRPr="00FE6C4B">
              <w:rPr>
                <w:rStyle w:val="Hyperlink"/>
                <w:noProof/>
              </w:rPr>
              <w:t>Highlighting the background of the Next Plc along with the significance of IFM for the organisation</w:t>
            </w:r>
            <w:r w:rsidR="007351A2">
              <w:rPr>
                <w:noProof/>
                <w:webHidden/>
              </w:rPr>
              <w:tab/>
            </w:r>
            <w:r w:rsidR="007351A2">
              <w:rPr>
                <w:noProof/>
                <w:webHidden/>
              </w:rPr>
              <w:fldChar w:fldCharType="begin"/>
            </w:r>
            <w:r w:rsidR="007351A2">
              <w:rPr>
                <w:noProof/>
                <w:webHidden/>
              </w:rPr>
              <w:instrText xml:space="preserve"> PAGEREF _Toc132384165 \h </w:instrText>
            </w:r>
            <w:r w:rsidR="007351A2">
              <w:rPr>
                <w:noProof/>
                <w:webHidden/>
              </w:rPr>
            </w:r>
            <w:r w:rsidR="007351A2">
              <w:rPr>
                <w:noProof/>
                <w:webHidden/>
              </w:rPr>
              <w:fldChar w:fldCharType="separate"/>
            </w:r>
            <w:r w:rsidR="007351A2">
              <w:rPr>
                <w:noProof/>
                <w:webHidden/>
              </w:rPr>
              <w:t>5</w:t>
            </w:r>
            <w:r w:rsidR="007351A2">
              <w:rPr>
                <w:noProof/>
                <w:webHidden/>
              </w:rPr>
              <w:fldChar w:fldCharType="end"/>
            </w:r>
          </w:hyperlink>
        </w:p>
        <w:p w14:paraId="64A4F31C" w14:textId="77777777" w:rsidR="007351A2" w:rsidRDefault="00000000">
          <w:pPr>
            <w:pStyle w:val="TOC1"/>
            <w:tabs>
              <w:tab w:val="right" w:leader="dot" w:pos="9350"/>
            </w:tabs>
            <w:rPr>
              <w:noProof/>
            </w:rPr>
          </w:pPr>
          <w:hyperlink w:anchor="_Toc132384166" w:history="1">
            <w:r w:rsidR="007351A2" w:rsidRPr="00FE6C4B">
              <w:rPr>
                <w:rStyle w:val="Hyperlink"/>
                <w:noProof/>
              </w:rPr>
              <w:t>Illustrating the meaning of dividend policy and stating Next Plc's policy of the dividend payout</w:t>
            </w:r>
            <w:r w:rsidR="007351A2">
              <w:rPr>
                <w:noProof/>
                <w:webHidden/>
              </w:rPr>
              <w:tab/>
            </w:r>
            <w:r w:rsidR="007351A2">
              <w:rPr>
                <w:noProof/>
                <w:webHidden/>
              </w:rPr>
              <w:fldChar w:fldCharType="begin"/>
            </w:r>
            <w:r w:rsidR="007351A2">
              <w:rPr>
                <w:noProof/>
                <w:webHidden/>
              </w:rPr>
              <w:instrText xml:space="preserve"> PAGEREF _Toc132384166 \h </w:instrText>
            </w:r>
            <w:r w:rsidR="007351A2">
              <w:rPr>
                <w:noProof/>
                <w:webHidden/>
              </w:rPr>
            </w:r>
            <w:r w:rsidR="007351A2">
              <w:rPr>
                <w:noProof/>
                <w:webHidden/>
              </w:rPr>
              <w:fldChar w:fldCharType="separate"/>
            </w:r>
            <w:r w:rsidR="007351A2">
              <w:rPr>
                <w:noProof/>
                <w:webHidden/>
              </w:rPr>
              <w:t>8</w:t>
            </w:r>
            <w:r w:rsidR="007351A2">
              <w:rPr>
                <w:noProof/>
                <w:webHidden/>
              </w:rPr>
              <w:fldChar w:fldCharType="end"/>
            </w:r>
          </w:hyperlink>
        </w:p>
        <w:p w14:paraId="270F557C" w14:textId="77777777" w:rsidR="007351A2" w:rsidRDefault="00000000">
          <w:pPr>
            <w:pStyle w:val="TOC1"/>
            <w:tabs>
              <w:tab w:val="right" w:leader="dot" w:pos="9350"/>
            </w:tabs>
            <w:rPr>
              <w:noProof/>
            </w:rPr>
          </w:pPr>
          <w:hyperlink w:anchor="_Toc132384167" w:history="1">
            <w:r w:rsidR="007351A2" w:rsidRPr="00FE6C4B">
              <w:rPr>
                <w:rStyle w:val="Hyperlink"/>
                <w:noProof/>
              </w:rPr>
              <w:t>Elucidating the theory of efficient market hypothesis in context with the Next Plc.</w:t>
            </w:r>
            <w:r w:rsidR="007351A2">
              <w:rPr>
                <w:noProof/>
                <w:webHidden/>
              </w:rPr>
              <w:tab/>
            </w:r>
            <w:r w:rsidR="007351A2">
              <w:rPr>
                <w:noProof/>
                <w:webHidden/>
              </w:rPr>
              <w:fldChar w:fldCharType="begin"/>
            </w:r>
            <w:r w:rsidR="007351A2">
              <w:rPr>
                <w:noProof/>
                <w:webHidden/>
              </w:rPr>
              <w:instrText xml:space="preserve"> PAGEREF _Toc132384167 \h </w:instrText>
            </w:r>
            <w:r w:rsidR="007351A2">
              <w:rPr>
                <w:noProof/>
                <w:webHidden/>
              </w:rPr>
            </w:r>
            <w:r w:rsidR="007351A2">
              <w:rPr>
                <w:noProof/>
                <w:webHidden/>
              </w:rPr>
              <w:fldChar w:fldCharType="separate"/>
            </w:r>
            <w:r w:rsidR="007351A2">
              <w:rPr>
                <w:noProof/>
                <w:webHidden/>
              </w:rPr>
              <w:t>10</w:t>
            </w:r>
            <w:r w:rsidR="007351A2">
              <w:rPr>
                <w:noProof/>
                <w:webHidden/>
              </w:rPr>
              <w:fldChar w:fldCharType="end"/>
            </w:r>
          </w:hyperlink>
        </w:p>
        <w:p w14:paraId="124F477F" w14:textId="77777777" w:rsidR="007351A2" w:rsidRDefault="00000000">
          <w:pPr>
            <w:pStyle w:val="TOC1"/>
            <w:tabs>
              <w:tab w:val="right" w:leader="dot" w:pos="9350"/>
            </w:tabs>
            <w:rPr>
              <w:noProof/>
            </w:rPr>
          </w:pPr>
          <w:hyperlink w:anchor="_Toc132384168" w:history="1">
            <w:r w:rsidR="007351A2" w:rsidRPr="00FE6C4B">
              <w:rPr>
                <w:rStyle w:val="Hyperlink"/>
                <w:noProof/>
              </w:rPr>
              <w:t>Portraying the approaches of Next Plc for evaluating the respective projects</w:t>
            </w:r>
            <w:r w:rsidR="007351A2">
              <w:rPr>
                <w:noProof/>
                <w:webHidden/>
              </w:rPr>
              <w:tab/>
            </w:r>
            <w:r w:rsidR="007351A2">
              <w:rPr>
                <w:noProof/>
                <w:webHidden/>
              </w:rPr>
              <w:fldChar w:fldCharType="begin"/>
            </w:r>
            <w:r w:rsidR="007351A2">
              <w:rPr>
                <w:noProof/>
                <w:webHidden/>
              </w:rPr>
              <w:instrText xml:space="preserve"> PAGEREF _Toc132384168 \h </w:instrText>
            </w:r>
            <w:r w:rsidR="007351A2">
              <w:rPr>
                <w:noProof/>
                <w:webHidden/>
              </w:rPr>
            </w:r>
            <w:r w:rsidR="007351A2">
              <w:rPr>
                <w:noProof/>
                <w:webHidden/>
              </w:rPr>
              <w:fldChar w:fldCharType="separate"/>
            </w:r>
            <w:r w:rsidR="007351A2">
              <w:rPr>
                <w:noProof/>
                <w:webHidden/>
              </w:rPr>
              <w:t>11</w:t>
            </w:r>
            <w:r w:rsidR="007351A2">
              <w:rPr>
                <w:noProof/>
                <w:webHidden/>
              </w:rPr>
              <w:fldChar w:fldCharType="end"/>
            </w:r>
          </w:hyperlink>
        </w:p>
        <w:p w14:paraId="067697A0" w14:textId="77777777" w:rsidR="007351A2" w:rsidRDefault="00000000">
          <w:pPr>
            <w:pStyle w:val="TOC1"/>
            <w:tabs>
              <w:tab w:val="right" w:leader="dot" w:pos="9350"/>
            </w:tabs>
            <w:rPr>
              <w:noProof/>
            </w:rPr>
          </w:pPr>
          <w:hyperlink w:anchor="_Toc132384169" w:history="1">
            <w:r w:rsidR="007351A2" w:rsidRPr="00FE6C4B">
              <w:rPr>
                <w:rStyle w:val="Hyperlink"/>
                <w:noProof/>
              </w:rPr>
              <w:t>Conclusion</w:t>
            </w:r>
            <w:r w:rsidR="007351A2">
              <w:rPr>
                <w:noProof/>
                <w:webHidden/>
              </w:rPr>
              <w:tab/>
            </w:r>
            <w:r w:rsidR="007351A2">
              <w:rPr>
                <w:noProof/>
                <w:webHidden/>
              </w:rPr>
              <w:fldChar w:fldCharType="begin"/>
            </w:r>
            <w:r w:rsidR="007351A2">
              <w:rPr>
                <w:noProof/>
                <w:webHidden/>
              </w:rPr>
              <w:instrText xml:space="preserve"> PAGEREF _Toc132384169 \h </w:instrText>
            </w:r>
            <w:r w:rsidR="007351A2">
              <w:rPr>
                <w:noProof/>
                <w:webHidden/>
              </w:rPr>
            </w:r>
            <w:r w:rsidR="007351A2">
              <w:rPr>
                <w:noProof/>
                <w:webHidden/>
              </w:rPr>
              <w:fldChar w:fldCharType="separate"/>
            </w:r>
            <w:r w:rsidR="007351A2">
              <w:rPr>
                <w:noProof/>
                <w:webHidden/>
              </w:rPr>
              <w:t>12</w:t>
            </w:r>
            <w:r w:rsidR="007351A2">
              <w:rPr>
                <w:noProof/>
                <w:webHidden/>
              </w:rPr>
              <w:fldChar w:fldCharType="end"/>
            </w:r>
          </w:hyperlink>
        </w:p>
        <w:p w14:paraId="0EA3895A" w14:textId="77777777" w:rsidR="007351A2" w:rsidRDefault="00000000">
          <w:pPr>
            <w:pStyle w:val="TOC1"/>
            <w:tabs>
              <w:tab w:val="right" w:leader="dot" w:pos="9350"/>
            </w:tabs>
            <w:rPr>
              <w:noProof/>
            </w:rPr>
          </w:pPr>
          <w:hyperlink w:anchor="_Toc132384170" w:history="1">
            <w:r w:rsidR="007351A2" w:rsidRPr="00FE6C4B">
              <w:rPr>
                <w:rStyle w:val="Hyperlink"/>
                <w:noProof/>
              </w:rPr>
              <w:t>References</w:t>
            </w:r>
            <w:r w:rsidR="007351A2">
              <w:rPr>
                <w:noProof/>
                <w:webHidden/>
              </w:rPr>
              <w:tab/>
            </w:r>
            <w:r w:rsidR="007351A2">
              <w:rPr>
                <w:noProof/>
                <w:webHidden/>
              </w:rPr>
              <w:fldChar w:fldCharType="begin"/>
            </w:r>
            <w:r w:rsidR="007351A2">
              <w:rPr>
                <w:noProof/>
                <w:webHidden/>
              </w:rPr>
              <w:instrText xml:space="preserve"> PAGEREF _Toc132384170 \h </w:instrText>
            </w:r>
            <w:r w:rsidR="007351A2">
              <w:rPr>
                <w:noProof/>
                <w:webHidden/>
              </w:rPr>
            </w:r>
            <w:r w:rsidR="007351A2">
              <w:rPr>
                <w:noProof/>
                <w:webHidden/>
              </w:rPr>
              <w:fldChar w:fldCharType="separate"/>
            </w:r>
            <w:r w:rsidR="007351A2">
              <w:rPr>
                <w:noProof/>
                <w:webHidden/>
              </w:rPr>
              <w:t>13</w:t>
            </w:r>
            <w:r w:rsidR="007351A2">
              <w:rPr>
                <w:noProof/>
                <w:webHidden/>
              </w:rPr>
              <w:fldChar w:fldCharType="end"/>
            </w:r>
          </w:hyperlink>
        </w:p>
        <w:p w14:paraId="32D90C53" w14:textId="77777777" w:rsidR="007351A2" w:rsidRDefault="007351A2">
          <w:r>
            <w:rPr>
              <w:b/>
              <w:bCs/>
              <w:noProof/>
            </w:rPr>
            <w:fldChar w:fldCharType="end"/>
          </w:r>
        </w:p>
      </w:sdtContent>
    </w:sdt>
    <w:p w14:paraId="4BBAA2B2" w14:textId="77777777" w:rsidR="007351A2" w:rsidRDefault="007351A2">
      <w:pPr>
        <w:spacing w:line="259" w:lineRule="auto"/>
        <w:jc w:val="left"/>
        <w:rPr>
          <w:rFonts w:eastAsiaTheme="majorEastAsia" w:cstheme="majorBidi"/>
          <w:b/>
          <w:sz w:val="28"/>
          <w:szCs w:val="32"/>
          <w:lang w:val="en-US"/>
        </w:rPr>
      </w:pPr>
      <w:r>
        <w:br w:type="page"/>
      </w:r>
    </w:p>
    <w:p w14:paraId="520058A3" w14:textId="77777777" w:rsidR="007D10B1" w:rsidRDefault="000B5F39" w:rsidP="007903C6">
      <w:pPr>
        <w:pStyle w:val="Heading1"/>
      </w:pPr>
      <w:bookmarkStart w:id="0" w:name="_Toc132384164"/>
      <w:r>
        <w:lastRenderedPageBreak/>
        <w:t>Introduction</w:t>
      </w:r>
      <w:bookmarkEnd w:id="0"/>
    </w:p>
    <w:p w14:paraId="7255341D" w14:textId="77777777" w:rsidR="00DC5181" w:rsidRDefault="000B5F39" w:rsidP="00DC5181">
      <w:r>
        <w:t>Maintaining a business on an international level is very complex and challenging as the business need to consider various factors. The company needs to maintain an effective dividend distribution policy to ensure they have a good relationship with its stakeholders. Appraisal methods for the project also have an impact on business performance. This report will explore Next plc, a well-known MNC and explore all the essential aspects of business management. It will assess the importance of financial management on an international scale along with its implications on Next plc. The report focuses on dividend distribution policy and its impact on the business's relationship with its stakeholders. It will also identify the dividend policy followed by Next plc and how it affects its performance. The report will also focus on the efficient market hypothesis in the context of Next plc. Various methods of project appraisal utilised by Next plc are also showcased in the report.</w:t>
      </w:r>
    </w:p>
    <w:p w14:paraId="49BD20A4" w14:textId="77777777" w:rsidR="00DC5181" w:rsidRPr="00DC5181" w:rsidRDefault="00DC5181" w:rsidP="00DC5181">
      <w:pPr>
        <w:rPr>
          <w:lang w:val="en-US"/>
        </w:rPr>
      </w:pPr>
    </w:p>
    <w:p w14:paraId="779A00D3" w14:textId="77777777" w:rsidR="007D10B1" w:rsidRDefault="000B5F39">
      <w:pPr>
        <w:spacing w:line="259" w:lineRule="auto"/>
        <w:jc w:val="left"/>
        <w:rPr>
          <w:rFonts w:eastAsiaTheme="majorEastAsia" w:cstheme="majorBidi"/>
          <w:b/>
          <w:sz w:val="28"/>
          <w:szCs w:val="32"/>
          <w:lang w:val="en-US"/>
        </w:rPr>
      </w:pPr>
      <w:r>
        <w:br w:type="page"/>
      </w:r>
    </w:p>
    <w:p w14:paraId="6A1EA944" w14:textId="77777777" w:rsidR="00CC6A9E" w:rsidRDefault="000B5F39" w:rsidP="007903C6">
      <w:pPr>
        <w:pStyle w:val="Heading1"/>
      </w:pPr>
      <w:bookmarkStart w:id="1" w:name="_Toc132384165"/>
      <w:r>
        <w:lastRenderedPageBreak/>
        <w:t>Highlighting the background of the Next Plc along with the significance of IFM for the organisation</w:t>
      </w:r>
      <w:bookmarkEnd w:id="1"/>
    </w:p>
    <w:p w14:paraId="35509768" w14:textId="77777777" w:rsidR="00E45E65" w:rsidRDefault="000B5F39" w:rsidP="00305E18">
      <w:pPr>
        <w:rPr>
          <w:b/>
          <w:i/>
          <w:u w:val="single"/>
        </w:rPr>
      </w:pPr>
      <w:r w:rsidRPr="001E2ED7">
        <w:rPr>
          <w:b/>
          <w:i/>
          <w:u w:val="single"/>
        </w:rPr>
        <w:t>Background of the Next Plc.</w:t>
      </w:r>
    </w:p>
    <w:p w14:paraId="6FCD345D" w14:textId="77777777" w:rsidR="008A11F1" w:rsidRDefault="000B5F39" w:rsidP="00694A84">
      <w:r>
        <w:t xml:space="preserve">The Next Plc. is considered the biggest multinational brand of clothing, also the retailer of several products for the home </w:t>
      </w:r>
      <w:r w:rsidR="00F669BB">
        <w:t>and also deals in footwear. The company is one of the public limited entities having their headquarters in (Enderby)</w:t>
      </w:r>
      <w:r w:rsidR="00DF6044">
        <w:t xml:space="preserve"> England. </w:t>
      </w:r>
      <w:r w:rsidR="007855EA">
        <w:t xml:space="preserve">They are having in all about 700 stores </w:t>
      </w:r>
      <w:r w:rsidR="00DA1CD3">
        <w:t xml:space="preserve">serving </w:t>
      </w:r>
      <w:r w:rsidR="007855EA">
        <w:t>in the United Kingdom, Europe, the Middle East and Asia.</w:t>
      </w:r>
      <w:r w:rsidR="00DA1CD3">
        <w:t xml:space="preserve"> The brand was founded by Joseph Hepworth in the year 1864.</w:t>
      </w:r>
      <w:r w:rsidR="000030B9">
        <w:t xml:space="preserve"> The company is having annual revenues of about </w:t>
      </w:r>
      <w:r w:rsidR="000030B9">
        <w:rPr>
          <w:rFonts w:cs="Times New Roman"/>
        </w:rPr>
        <w:t>£</w:t>
      </w:r>
      <w:r w:rsidR="000030B9">
        <w:t xml:space="preserve">4652.9 </w:t>
      </w:r>
      <w:r>
        <w:t>million</w:t>
      </w:r>
      <w:r w:rsidR="000030B9">
        <w:t xml:space="preserve"> in the year 2022</w:t>
      </w:r>
      <w:sdt>
        <w:sdtPr>
          <w:id w:val="-1347550365"/>
          <w:citation/>
        </w:sdtPr>
        <w:sdtContent>
          <w:r w:rsidR="000030B9">
            <w:fldChar w:fldCharType="begin"/>
          </w:r>
          <w:r w:rsidR="000030B9">
            <w:rPr>
              <w:lang w:val="en-US"/>
            </w:rPr>
            <w:instrText xml:space="preserve"> CITATION PSm22 \l 1033 </w:instrText>
          </w:r>
          <w:r w:rsidR="000030B9">
            <w:fldChar w:fldCharType="separate"/>
          </w:r>
          <w:r w:rsidR="000030B9">
            <w:rPr>
              <w:noProof/>
              <w:lang w:val="en-US"/>
            </w:rPr>
            <w:t xml:space="preserve"> </w:t>
          </w:r>
          <w:r w:rsidR="000030B9" w:rsidRPr="000030B9">
            <w:rPr>
              <w:noProof/>
              <w:lang w:val="en-US"/>
            </w:rPr>
            <w:t>(Smith, 2022)</w:t>
          </w:r>
          <w:r w:rsidR="000030B9">
            <w:fldChar w:fldCharType="end"/>
          </w:r>
        </w:sdtContent>
      </w:sdt>
      <w:r w:rsidR="000030B9">
        <w:t>.</w:t>
      </w:r>
      <w:r w:rsidR="001C74B6">
        <w:t xml:space="preserve"> The entity is a retailer of multichannel, selling their fashion commodities in several physical locations as well as with the help of online websites and does promotion with the help of social as well as print media.</w:t>
      </w:r>
      <w:r w:rsidR="001C2281">
        <w:t xml:space="preserve"> Next Plc is having about 43,040 employees serving their organisation. The business is informed with the objective to provide the best quality of their products which are </w:t>
      </w:r>
      <w:r w:rsidR="00540F48">
        <w:t xml:space="preserve">to be sourced very responsibly </w:t>
      </w:r>
      <w:r w:rsidR="001C2281">
        <w:t>and to be priced at a very reasonable rate</w:t>
      </w:r>
      <w:sdt>
        <w:sdtPr>
          <w:id w:val="1276288927"/>
          <w:citation/>
        </w:sdtPr>
        <w:sdtContent>
          <w:r w:rsidR="00DA66AC">
            <w:fldChar w:fldCharType="begin"/>
          </w:r>
          <w:r w:rsidR="00DA66AC">
            <w:rPr>
              <w:lang w:val="en-US"/>
            </w:rPr>
            <w:instrText xml:space="preserve"> CITATION nex231 \l 1033 </w:instrText>
          </w:r>
          <w:r w:rsidR="00DA66AC">
            <w:fldChar w:fldCharType="separate"/>
          </w:r>
          <w:r w:rsidR="00DA66AC">
            <w:rPr>
              <w:noProof/>
              <w:lang w:val="en-US"/>
            </w:rPr>
            <w:t xml:space="preserve"> </w:t>
          </w:r>
          <w:r w:rsidR="00DA66AC" w:rsidRPr="00DA66AC">
            <w:rPr>
              <w:noProof/>
              <w:lang w:val="en-US"/>
            </w:rPr>
            <w:t>(next plc, 2023)</w:t>
          </w:r>
          <w:r w:rsidR="00DA66AC">
            <w:fldChar w:fldCharType="end"/>
          </w:r>
        </w:sdtContent>
      </w:sdt>
      <w:r w:rsidR="001C2281">
        <w:t>. The entity is also adhering to the issues of social, and environmental affecting the business under corporate so</w:t>
      </w:r>
      <w:r w:rsidR="00540F48">
        <w:t>cial responsibility.</w:t>
      </w:r>
    </w:p>
    <w:p w14:paraId="2E5ECDD8" w14:textId="77777777" w:rsidR="008A11F1" w:rsidRDefault="000B5F39" w:rsidP="008A11F1">
      <w:pPr>
        <w:jc w:val="center"/>
      </w:pPr>
      <w:r w:rsidRPr="008A11F1">
        <w:rPr>
          <w:noProof/>
          <w:lang w:val="en-US"/>
        </w:rPr>
        <w:lastRenderedPageBreak/>
        <w:drawing>
          <wp:anchor distT="0" distB="0" distL="114300" distR="114300" simplePos="0" relativeHeight="251658240" behindDoc="1" locked="0" layoutInCell="1" allowOverlap="1" wp14:anchorId="59172A09" wp14:editId="68B4825E">
            <wp:simplePos x="0" y="0"/>
            <wp:positionH relativeFrom="column">
              <wp:posOffset>678180</wp:posOffset>
            </wp:positionH>
            <wp:positionV relativeFrom="paragraph">
              <wp:posOffset>76200</wp:posOffset>
            </wp:positionV>
            <wp:extent cx="4541520" cy="2928213"/>
            <wp:effectExtent l="76200" t="76200" r="125730" b="139065"/>
            <wp:wrapTight wrapText="bothSides">
              <wp:wrapPolygon edited="0">
                <wp:start x="-181" y="-562"/>
                <wp:lineTo x="-362" y="-422"/>
                <wp:lineTo x="-362" y="21923"/>
                <wp:lineTo x="-181" y="22485"/>
                <wp:lineTo x="21926" y="22485"/>
                <wp:lineTo x="22107" y="22064"/>
                <wp:lineTo x="22107" y="1827"/>
                <wp:lineTo x="21926" y="-281"/>
                <wp:lineTo x="21926" y="-562"/>
                <wp:lineTo x="-181" y="-562"/>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4541520" cy="29282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060BAD44" w14:textId="77777777" w:rsidR="001E7405" w:rsidRDefault="001E7405" w:rsidP="008A11F1">
      <w:pPr>
        <w:jc w:val="center"/>
        <w:rPr>
          <w:b/>
        </w:rPr>
      </w:pPr>
    </w:p>
    <w:p w14:paraId="0902BC5C" w14:textId="77777777" w:rsidR="001E7405" w:rsidRDefault="001E7405" w:rsidP="008A11F1">
      <w:pPr>
        <w:jc w:val="center"/>
        <w:rPr>
          <w:b/>
        </w:rPr>
      </w:pPr>
    </w:p>
    <w:p w14:paraId="4900C0CE" w14:textId="77777777" w:rsidR="001E7405" w:rsidRDefault="001E7405" w:rsidP="008A11F1">
      <w:pPr>
        <w:jc w:val="center"/>
        <w:rPr>
          <w:b/>
        </w:rPr>
      </w:pPr>
    </w:p>
    <w:p w14:paraId="3CF17F32" w14:textId="77777777" w:rsidR="001E7405" w:rsidRDefault="001E7405" w:rsidP="008A11F1">
      <w:pPr>
        <w:jc w:val="center"/>
        <w:rPr>
          <w:b/>
        </w:rPr>
      </w:pPr>
    </w:p>
    <w:p w14:paraId="17A96B45" w14:textId="77777777" w:rsidR="001E7405" w:rsidRDefault="001E7405" w:rsidP="008A11F1">
      <w:pPr>
        <w:jc w:val="center"/>
        <w:rPr>
          <w:b/>
        </w:rPr>
      </w:pPr>
    </w:p>
    <w:p w14:paraId="59850231" w14:textId="77777777" w:rsidR="001E7405" w:rsidRDefault="001E7405" w:rsidP="008A11F1">
      <w:pPr>
        <w:jc w:val="center"/>
        <w:rPr>
          <w:b/>
        </w:rPr>
      </w:pPr>
    </w:p>
    <w:p w14:paraId="5EB2009E" w14:textId="77777777" w:rsidR="008A11F1" w:rsidRDefault="000B5F39" w:rsidP="008A11F1">
      <w:pPr>
        <w:jc w:val="center"/>
        <w:rPr>
          <w:b/>
        </w:rPr>
      </w:pPr>
      <w:r w:rsidRPr="008A11F1">
        <w:rPr>
          <w:b/>
        </w:rPr>
        <w:t>Figure 1: Sales of the Next Plc</w:t>
      </w:r>
    </w:p>
    <w:p w14:paraId="6DCEA009" w14:textId="77777777" w:rsidR="008A11F1" w:rsidRDefault="000B5F39" w:rsidP="008A11F1">
      <w:pPr>
        <w:jc w:val="center"/>
        <w:rPr>
          <w:b/>
        </w:rPr>
      </w:pPr>
      <w:r>
        <w:rPr>
          <w:b/>
        </w:rPr>
        <w:t>Source:</w:t>
      </w:r>
      <w:sdt>
        <w:sdtPr>
          <w:rPr>
            <w:b/>
          </w:rPr>
          <w:id w:val="-1414400363"/>
          <w:citation/>
        </w:sdtPr>
        <w:sdtContent>
          <w:r w:rsidRPr="008A11F1">
            <w:rPr>
              <w:b/>
            </w:rPr>
            <w:fldChar w:fldCharType="begin"/>
          </w:r>
          <w:r w:rsidRPr="008A11F1">
            <w:rPr>
              <w:b/>
              <w:lang w:val="en-US"/>
            </w:rPr>
            <w:instrText xml:space="preserve"> CITATION PSm22 \l 1033 </w:instrText>
          </w:r>
          <w:r w:rsidRPr="008A11F1">
            <w:rPr>
              <w:b/>
            </w:rPr>
            <w:fldChar w:fldCharType="separate"/>
          </w:r>
          <w:r w:rsidRPr="008A11F1">
            <w:rPr>
              <w:b/>
              <w:noProof/>
              <w:lang w:val="en-US"/>
            </w:rPr>
            <w:t xml:space="preserve"> (Smith, 2022)</w:t>
          </w:r>
          <w:r w:rsidRPr="008A11F1">
            <w:rPr>
              <w:b/>
            </w:rPr>
            <w:fldChar w:fldCharType="end"/>
          </w:r>
        </w:sdtContent>
      </w:sdt>
    </w:p>
    <w:p w14:paraId="2ADE7607" w14:textId="77777777" w:rsidR="001E7405" w:rsidRDefault="000B5F39" w:rsidP="001E7405">
      <w:pPr>
        <w:rPr>
          <w:b/>
          <w:i/>
          <w:u w:val="single"/>
        </w:rPr>
      </w:pPr>
      <w:r w:rsidRPr="001A6F75">
        <w:rPr>
          <w:b/>
          <w:i/>
          <w:u w:val="single"/>
        </w:rPr>
        <w:t>Significance of the International Finance Management for the Company</w:t>
      </w:r>
    </w:p>
    <w:p w14:paraId="3362AEA7" w14:textId="77777777" w:rsidR="0068578F" w:rsidRDefault="000B5F39" w:rsidP="0068578F">
      <w:r>
        <w:t>IFM is also expressed as international finance which is associated with the macroeconomic association between two countries and their financial transactions</w:t>
      </w:r>
      <w:r w:rsidR="00871CF7">
        <w:t xml:space="preserve"> (</w:t>
      </w:r>
      <w:r w:rsidR="00871CF7" w:rsidRPr="00B847F8">
        <w:rPr>
          <w:lang w:val="en-US"/>
        </w:rPr>
        <w:t>Ro</w:t>
      </w:r>
      <w:r w:rsidR="00871CF7">
        <w:rPr>
          <w:lang w:val="en-US"/>
        </w:rPr>
        <w:t xml:space="preserve">ssi and </w:t>
      </w:r>
      <w:proofErr w:type="spellStart"/>
      <w:r w:rsidR="00871CF7">
        <w:rPr>
          <w:lang w:val="en-US"/>
        </w:rPr>
        <w:t>Gunardi</w:t>
      </w:r>
      <w:proofErr w:type="spellEnd"/>
      <w:r w:rsidR="00871CF7">
        <w:rPr>
          <w:lang w:val="en-US"/>
        </w:rPr>
        <w:t>, 2018)</w:t>
      </w:r>
      <w:r>
        <w:t>.</w:t>
      </w:r>
      <w:r w:rsidR="00C51F0C">
        <w:t xml:space="preserve"> These dealings can be related to the inflation rate, exchange rates, FDI and so on.</w:t>
      </w:r>
      <w:r w:rsidR="003930A8">
        <w:t xml:space="preserve"> Next Plc will greatly benefit as due to globalisation international finance has become very beneficial as the daily transactions between the two nations are increasing rapidly</w:t>
      </w:r>
      <w:sdt>
        <w:sdtPr>
          <w:id w:val="-1257890233"/>
          <w:citation/>
        </w:sdtPr>
        <w:sdtContent>
          <w:r w:rsidR="002F202F">
            <w:fldChar w:fldCharType="begin"/>
          </w:r>
          <w:r w:rsidR="002F202F">
            <w:rPr>
              <w:lang w:val="en-US"/>
            </w:rPr>
            <w:instrText xml:space="preserve"> CITATION Gan22 \l 1033 </w:instrText>
          </w:r>
          <w:r w:rsidR="002F202F">
            <w:fldChar w:fldCharType="separate"/>
          </w:r>
          <w:r w:rsidR="002F202F">
            <w:rPr>
              <w:noProof/>
              <w:lang w:val="en-US"/>
            </w:rPr>
            <w:t xml:space="preserve"> </w:t>
          </w:r>
          <w:r w:rsidR="002F202F" w:rsidRPr="002F202F">
            <w:rPr>
              <w:noProof/>
              <w:lang w:val="en-US"/>
            </w:rPr>
            <w:t>(Macmillan, 2022)</w:t>
          </w:r>
          <w:r w:rsidR="002F202F">
            <w:fldChar w:fldCharType="end"/>
          </w:r>
        </w:sdtContent>
      </w:sdt>
      <w:r w:rsidR="003930A8">
        <w:t>.</w:t>
      </w:r>
      <w:r w:rsidR="00794FB0">
        <w:t xml:space="preserve"> The company can manage the concerned capital of the </w:t>
      </w:r>
      <w:r w:rsidR="002608C2">
        <w:t>firm</w:t>
      </w:r>
      <w:r w:rsidR="00794FB0">
        <w:t xml:space="preserve"> and raise a good amount of finances internationally.</w:t>
      </w:r>
      <w:r w:rsidR="00920438">
        <w:t xml:space="preserve"> There is the involvement of different currencies as well as many more opportunities that are involved in managing the capital and enhancing the financial situation of the business.</w:t>
      </w:r>
    </w:p>
    <w:p w14:paraId="6BD31AC7" w14:textId="77777777" w:rsidR="007113DA" w:rsidRDefault="000B5F39" w:rsidP="0068578F">
      <w:r w:rsidRPr="007113DA">
        <w:rPr>
          <w:noProof/>
          <w:lang w:val="en-US"/>
        </w:rPr>
        <w:lastRenderedPageBreak/>
        <w:drawing>
          <wp:anchor distT="0" distB="0" distL="114300" distR="114300" simplePos="0" relativeHeight="251659264" behindDoc="1" locked="0" layoutInCell="1" allowOverlap="1" wp14:anchorId="6FFA4DF3" wp14:editId="708D6281">
            <wp:simplePos x="0" y="0"/>
            <wp:positionH relativeFrom="margin">
              <wp:align>center</wp:align>
            </wp:positionH>
            <wp:positionV relativeFrom="paragraph">
              <wp:posOffset>10795</wp:posOffset>
            </wp:positionV>
            <wp:extent cx="4646930" cy="2535555"/>
            <wp:effectExtent l="76200" t="76200" r="134620" b="131445"/>
            <wp:wrapTight wrapText="bothSides">
              <wp:wrapPolygon edited="0">
                <wp:start x="-177" y="-649"/>
                <wp:lineTo x="-354" y="-487"/>
                <wp:lineTo x="-354" y="21908"/>
                <wp:lineTo x="-177" y="22557"/>
                <wp:lineTo x="21960" y="22557"/>
                <wp:lineTo x="22137" y="20448"/>
                <wp:lineTo x="22137" y="2110"/>
                <wp:lineTo x="21960" y="-325"/>
                <wp:lineTo x="21960" y="-649"/>
                <wp:lineTo x="-177" y="-649"/>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cstate="print">
                      <a:extLst>
                        <a:ext uri="{28A0092B-C50C-407E-A947-70E740481C1C}">
                          <a14:useLocalDpi xmlns:a14="http://schemas.microsoft.com/office/drawing/2010/main" val="0"/>
                        </a:ext>
                      </a:extLst>
                    </a:blip>
                    <a:srcRect l="10641" t="1433" r="8589"/>
                    <a:stretch>
                      <a:fillRect/>
                    </a:stretch>
                  </pic:blipFill>
                  <pic:spPr bwMode="auto">
                    <a:xfrm>
                      <a:off x="0" y="0"/>
                      <a:ext cx="4646930" cy="25355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CB72388" w14:textId="77777777" w:rsidR="008F5396" w:rsidRPr="001A6F75" w:rsidRDefault="008F5396" w:rsidP="008F5396"/>
    <w:p w14:paraId="38DAC6CA" w14:textId="77777777" w:rsidR="001E7405" w:rsidRDefault="001E7405" w:rsidP="008A11F1">
      <w:pPr>
        <w:jc w:val="center"/>
        <w:rPr>
          <w:b/>
        </w:rPr>
      </w:pPr>
    </w:p>
    <w:p w14:paraId="3C08F791" w14:textId="77777777" w:rsidR="001E7405" w:rsidRDefault="001E7405" w:rsidP="008A11F1">
      <w:pPr>
        <w:jc w:val="center"/>
        <w:rPr>
          <w:b/>
        </w:rPr>
      </w:pPr>
    </w:p>
    <w:p w14:paraId="3F0E5AC1" w14:textId="77777777" w:rsidR="001E7405" w:rsidRDefault="001E7405" w:rsidP="008A11F1">
      <w:pPr>
        <w:jc w:val="center"/>
        <w:rPr>
          <w:b/>
        </w:rPr>
      </w:pPr>
    </w:p>
    <w:p w14:paraId="24BC793A" w14:textId="77777777" w:rsidR="007113DA" w:rsidRDefault="007113DA" w:rsidP="00397740">
      <w:pPr>
        <w:rPr>
          <w:b/>
        </w:rPr>
      </w:pPr>
    </w:p>
    <w:p w14:paraId="6D837B1D" w14:textId="77777777" w:rsidR="00397740" w:rsidRDefault="00397740" w:rsidP="00397740"/>
    <w:p w14:paraId="6816E797" w14:textId="77777777" w:rsidR="007113DA" w:rsidRDefault="000B5F39" w:rsidP="007113DA">
      <w:pPr>
        <w:jc w:val="center"/>
        <w:rPr>
          <w:b/>
        </w:rPr>
      </w:pPr>
      <w:r>
        <w:rPr>
          <w:b/>
        </w:rPr>
        <w:t>Figure 2: Scope of International Finance</w:t>
      </w:r>
    </w:p>
    <w:p w14:paraId="51BF86F6" w14:textId="77777777" w:rsidR="007113DA" w:rsidRDefault="000B5F39" w:rsidP="007113DA">
      <w:pPr>
        <w:jc w:val="center"/>
        <w:rPr>
          <w:b/>
        </w:rPr>
      </w:pPr>
      <w:r>
        <w:rPr>
          <w:b/>
        </w:rPr>
        <w:t>Source: (Created by the learner)</w:t>
      </w:r>
    </w:p>
    <w:p w14:paraId="3BA975EA" w14:textId="77777777" w:rsidR="00A436B9" w:rsidRDefault="00A436B9" w:rsidP="00A436B9">
      <w:pPr>
        <w:rPr>
          <w:b/>
        </w:rPr>
      </w:pPr>
    </w:p>
    <w:p w14:paraId="6F1D7715" w14:textId="77777777" w:rsidR="00811C54" w:rsidRDefault="000B5F39">
      <w:pPr>
        <w:spacing w:line="259" w:lineRule="auto"/>
        <w:jc w:val="left"/>
        <w:rPr>
          <w:b/>
        </w:rPr>
      </w:pPr>
      <w:r>
        <w:rPr>
          <w:b/>
        </w:rPr>
        <w:br w:type="page"/>
      </w:r>
    </w:p>
    <w:p w14:paraId="586E621B" w14:textId="77777777" w:rsidR="00A436B9" w:rsidRDefault="000B5F39" w:rsidP="00811C54">
      <w:pPr>
        <w:pStyle w:val="Heading1"/>
      </w:pPr>
      <w:bookmarkStart w:id="2" w:name="_Toc132384166"/>
      <w:r>
        <w:lastRenderedPageBreak/>
        <w:t>Illustrating the meaning of dividend policy and stating Next Plc's policy of the dividend payout</w:t>
      </w:r>
      <w:bookmarkEnd w:id="2"/>
    </w:p>
    <w:p w14:paraId="1DB67ADB" w14:textId="77777777" w:rsidR="006E46B7" w:rsidRPr="006E46B7" w:rsidRDefault="000B5F39" w:rsidP="006E46B7">
      <w:pPr>
        <w:rPr>
          <w:b/>
          <w:i/>
          <w:u w:val="single"/>
          <w:lang w:val="en-US"/>
        </w:rPr>
      </w:pPr>
      <w:r w:rsidRPr="006E46B7">
        <w:rPr>
          <w:b/>
          <w:i/>
          <w:u w:val="single"/>
          <w:lang w:val="en-US"/>
        </w:rPr>
        <w:t>Meaning of Dividend Policy:</w:t>
      </w:r>
    </w:p>
    <w:p w14:paraId="7C93DD40" w14:textId="77777777" w:rsidR="0093140B" w:rsidRDefault="000B5F39" w:rsidP="002542E4">
      <w:pPr>
        <w:rPr>
          <w:lang w:val="en-US"/>
        </w:rPr>
      </w:pPr>
      <w:r>
        <w:rPr>
          <w:lang w:val="en-US"/>
        </w:rPr>
        <w:t>The main aim of these dividend policies that are adopted by the companies is to pay a certain amount as dividends to its shareholders</w:t>
      </w:r>
      <w:r w:rsidR="008913EC">
        <w:rPr>
          <w:lang w:val="en-US"/>
        </w:rPr>
        <w:t xml:space="preserve"> (Kyle, 2019)</w:t>
      </w:r>
      <w:r>
        <w:rPr>
          <w:lang w:val="en-US"/>
        </w:rPr>
        <w:t>. It is included in the dividend policy the percentage on the basis of which it is to be paid to its stockholders and with how much frequency it is paid to them.</w:t>
      </w:r>
      <w:r w:rsidR="00A62A45">
        <w:rPr>
          <w:lang w:val="en-US"/>
        </w:rPr>
        <w:t xml:space="preserve"> It can also be expressed that these are the guidelines or the norms framed by the entities for distributing the dividends during the year of profitability</w:t>
      </w:r>
      <w:r w:rsidR="00A53989" w:rsidRPr="00A53989">
        <w:t xml:space="preserve"> </w:t>
      </w:r>
      <w:r w:rsidR="00A53989">
        <w:t>(Baldridge, 2022)</w:t>
      </w:r>
      <w:r w:rsidR="00A62A45">
        <w:rPr>
          <w:lang w:val="en-US"/>
        </w:rPr>
        <w:t>.</w:t>
      </w:r>
      <w:r w:rsidR="00C3439B">
        <w:rPr>
          <w:lang w:val="en-US"/>
        </w:rPr>
        <w:t xml:space="preserve"> The main elements that are associated with this policy are the objectives of the business at the time of declaring the dividend, certain laws that are involved in governing the dividend, and the usage of the amount of retained earnings.</w:t>
      </w:r>
    </w:p>
    <w:p w14:paraId="4F9BDB35" w14:textId="77777777" w:rsidR="00EC0237" w:rsidRDefault="000B5F39" w:rsidP="002542E4">
      <w:pPr>
        <w:rPr>
          <w:b/>
          <w:i/>
          <w:u w:val="single"/>
          <w:lang w:val="en-US"/>
        </w:rPr>
      </w:pPr>
      <w:r w:rsidRPr="00E573C3">
        <w:rPr>
          <w:b/>
          <w:i/>
          <w:u w:val="single"/>
          <w:lang w:val="en-US"/>
        </w:rPr>
        <w:t>Next Plc.’s policy of dividend payout</w:t>
      </w:r>
    </w:p>
    <w:p w14:paraId="29355CF1" w14:textId="77777777" w:rsidR="00B375AF" w:rsidRDefault="000B5F39" w:rsidP="00EC0237">
      <w:pPr>
        <w:rPr>
          <w:lang w:val="en-US"/>
        </w:rPr>
      </w:pPr>
      <w:r>
        <w:rPr>
          <w:lang w:val="en-US"/>
        </w:rPr>
        <w:t>The company pays a dividend to its shareholders in the year of profitability twice a year. This can be the interim as well as the final dividend</w:t>
      </w:r>
      <w:r w:rsidR="00D12C0D">
        <w:rPr>
          <w:lang w:val="en-US"/>
        </w:rPr>
        <w:t xml:space="preserve"> but excluding the special one</w:t>
      </w:r>
      <w:r w:rsidR="00ED6DC3">
        <w:rPr>
          <w:lang w:val="en-US"/>
        </w:rPr>
        <w:t xml:space="preserve"> and the concerned dividend cover is approx. 2.7</w:t>
      </w:r>
      <w:r>
        <w:rPr>
          <w:lang w:val="en-US"/>
        </w:rPr>
        <w:t xml:space="preserve">. </w:t>
      </w:r>
      <w:r w:rsidR="004C6029">
        <w:rPr>
          <w:lang w:val="en-US"/>
        </w:rPr>
        <w:t>Sometimes Next Plc pays out the interim dividend under the special circumstances expressed as the Interim (Special dividend)</w:t>
      </w:r>
      <w:r w:rsidR="00600211">
        <w:rPr>
          <w:lang w:val="en-US"/>
        </w:rPr>
        <w:t xml:space="preserve"> (Schwarz, 2018)</w:t>
      </w:r>
      <w:r w:rsidR="004C6029">
        <w:rPr>
          <w:lang w:val="en-US"/>
        </w:rPr>
        <w:t xml:space="preserve">. They usually give the dividends as the cash dividend per share as and when decided according to the tenure, like in the month of January they paid 66 </w:t>
      </w:r>
      <w:proofErr w:type="spellStart"/>
      <w:r w:rsidR="004C6029">
        <w:rPr>
          <w:lang w:val="en-US"/>
        </w:rPr>
        <w:t>p.s</w:t>
      </w:r>
      <w:proofErr w:type="spellEnd"/>
      <w:r w:rsidR="00163AEF">
        <w:rPr>
          <w:lang w:val="en-US"/>
        </w:rPr>
        <w:t xml:space="preserve"> for the interim</w:t>
      </w:r>
      <w:r w:rsidR="004C6029">
        <w:rPr>
          <w:lang w:val="en-US"/>
        </w:rPr>
        <w:t>, in August 2022 it was 127 for the ordinary one and so on</w:t>
      </w:r>
      <w:sdt>
        <w:sdtPr>
          <w:rPr>
            <w:lang w:val="en-US"/>
          </w:rPr>
          <w:id w:val="-1893181268"/>
          <w:citation/>
        </w:sdtPr>
        <w:sdtContent>
          <w:r w:rsidR="00161B9F">
            <w:rPr>
              <w:lang w:val="en-US"/>
            </w:rPr>
            <w:fldChar w:fldCharType="begin"/>
          </w:r>
          <w:r w:rsidR="00161B9F">
            <w:rPr>
              <w:lang w:val="en-US"/>
            </w:rPr>
            <w:instrText xml:space="preserve"> CITATION nex232 \l 1033 </w:instrText>
          </w:r>
          <w:r w:rsidR="00161B9F">
            <w:rPr>
              <w:lang w:val="en-US"/>
            </w:rPr>
            <w:fldChar w:fldCharType="separate"/>
          </w:r>
          <w:r w:rsidR="00161B9F">
            <w:rPr>
              <w:noProof/>
              <w:lang w:val="en-US"/>
            </w:rPr>
            <w:t xml:space="preserve"> </w:t>
          </w:r>
          <w:r w:rsidR="00161B9F" w:rsidRPr="00161B9F">
            <w:rPr>
              <w:noProof/>
              <w:lang w:val="en-US"/>
            </w:rPr>
            <w:t>(next plc, 2023)</w:t>
          </w:r>
          <w:r w:rsidR="00161B9F">
            <w:rPr>
              <w:lang w:val="en-US"/>
            </w:rPr>
            <w:fldChar w:fldCharType="end"/>
          </w:r>
        </w:sdtContent>
      </w:sdt>
      <w:r w:rsidR="004C6029">
        <w:rPr>
          <w:lang w:val="en-US"/>
        </w:rPr>
        <w:t>.</w:t>
      </w:r>
      <w:r w:rsidR="00915BD7">
        <w:rPr>
          <w:lang w:val="en-US"/>
        </w:rPr>
        <w:t xml:space="preserve"> The company uses the new tax allowance from the year 2016 as then the previously used Dividend Tax Credit was </w:t>
      </w:r>
      <w:r w:rsidR="008D7BC4">
        <w:rPr>
          <w:lang w:val="en-US"/>
        </w:rPr>
        <w:t>substituted</w:t>
      </w:r>
      <w:r w:rsidR="00915BD7">
        <w:rPr>
          <w:lang w:val="en-US"/>
        </w:rPr>
        <w:t xml:space="preserve"> for this new one.</w:t>
      </w:r>
    </w:p>
    <w:p w14:paraId="7F3B5779" w14:textId="77777777" w:rsidR="0028148C" w:rsidRPr="00B375AF" w:rsidRDefault="000B5F39" w:rsidP="00B375AF">
      <w:pPr>
        <w:jc w:val="center"/>
        <w:rPr>
          <w:b/>
          <w:lang w:val="en-US"/>
        </w:rPr>
      </w:pPr>
      <w:r w:rsidRPr="00B375AF">
        <w:rPr>
          <w:b/>
          <w:noProof/>
          <w:lang w:val="en-US"/>
        </w:rPr>
        <w:lastRenderedPageBreak/>
        <w:drawing>
          <wp:anchor distT="0" distB="0" distL="114300" distR="114300" simplePos="0" relativeHeight="251660288" behindDoc="1" locked="0" layoutInCell="1" allowOverlap="1" wp14:anchorId="7B08D92F" wp14:editId="1D80D6B0">
            <wp:simplePos x="0" y="0"/>
            <wp:positionH relativeFrom="column">
              <wp:posOffset>76200</wp:posOffset>
            </wp:positionH>
            <wp:positionV relativeFrom="paragraph">
              <wp:posOffset>76200</wp:posOffset>
            </wp:positionV>
            <wp:extent cx="5943600" cy="2981960"/>
            <wp:effectExtent l="76200" t="76200" r="133350" b="142240"/>
            <wp:wrapTight wrapText="bothSides">
              <wp:wrapPolygon edited="0">
                <wp:start x="-138" y="-552"/>
                <wp:lineTo x="-277" y="-414"/>
                <wp:lineTo x="-277" y="21940"/>
                <wp:lineTo x="-138" y="22492"/>
                <wp:lineTo x="21877" y="22492"/>
                <wp:lineTo x="22015" y="21802"/>
                <wp:lineTo x="22015" y="1794"/>
                <wp:lineTo x="21877" y="-276"/>
                <wp:lineTo x="21877" y="-552"/>
                <wp:lineTo x="-138" y="-552"/>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a:extLst>
                        <a:ext uri="{28A0092B-C50C-407E-A947-70E740481C1C}">
                          <a14:useLocalDpi xmlns:a14="http://schemas.microsoft.com/office/drawing/2010/main" val="0"/>
                        </a:ext>
                      </a:extLst>
                    </a:blip>
                    <a:stretch>
                      <a:fillRect/>
                    </a:stretch>
                  </pic:blipFill>
                  <pic:spPr>
                    <a:xfrm>
                      <a:off x="0" y="0"/>
                      <a:ext cx="5943600" cy="29819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Pr="00B375AF">
        <w:rPr>
          <w:b/>
          <w:lang w:val="en-US"/>
        </w:rPr>
        <w:t xml:space="preserve">Figure 3: </w:t>
      </w:r>
      <w:proofErr w:type="spellStart"/>
      <w:r w:rsidRPr="00B375AF">
        <w:rPr>
          <w:b/>
          <w:lang w:val="en-US"/>
        </w:rPr>
        <w:t>Optimised</w:t>
      </w:r>
      <w:proofErr w:type="spellEnd"/>
      <w:r w:rsidRPr="00B375AF">
        <w:rPr>
          <w:b/>
          <w:lang w:val="en-US"/>
        </w:rPr>
        <w:t xml:space="preserve"> Dividend Chart of Next Plc.</w:t>
      </w:r>
    </w:p>
    <w:p w14:paraId="2297B991" w14:textId="77777777" w:rsidR="00B375AF" w:rsidRPr="00B375AF" w:rsidRDefault="000B5F39" w:rsidP="00B375AF">
      <w:pPr>
        <w:jc w:val="center"/>
        <w:rPr>
          <w:b/>
          <w:lang w:val="en-US"/>
        </w:rPr>
      </w:pPr>
      <w:r w:rsidRPr="00B375AF">
        <w:rPr>
          <w:b/>
          <w:lang w:val="en-US"/>
        </w:rPr>
        <w:t>Source:</w:t>
      </w:r>
      <w:sdt>
        <w:sdtPr>
          <w:rPr>
            <w:b/>
            <w:lang w:val="en-US"/>
          </w:rPr>
          <w:id w:val="1066844417"/>
          <w:citation/>
        </w:sdtPr>
        <w:sdtContent>
          <w:r w:rsidRPr="00B375AF">
            <w:rPr>
              <w:b/>
              <w:lang w:val="en-US"/>
            </w:rPr>
            <w:fldChar w:fldCharType="begin"/>
          </w:r>
          <w:r w:rsidRPr="00B375AF">
            <w:rPr>
              <w:b/>
              <w:lang w:val="en-US"/>
            </w:rPr>
            <w:instrText xml:space="preserve"> CITATION div23 \l 1033 </w:instrText>
          </w:r>
          <w:r w:rsidRPr="00B375AF">
            <w:rPr>
              <w:b/>
              <w:lang w:val="en-US"/>
            </w:rPr>
            <w:fldChar w:fldCharType="separate"/>
          </w:r>
          <w:r w:rsidRPr="00B375AF">
            <w:rPr>
              <w:b/>
              <w:noProof/>
              <w:lang w:val="en-US"/>
            </w:rPr>
            <w:t xml:space="preserve"> (dividendmax, 2023)</w:t>
          </w:r>
          <w:r w:rsidRPr="00B375AF">
            <w:rPr>
              <w:b/>
              <w:lang w:val="en-US"/>
            </w:rPr>
            <w:fldChar w:fldCharType="end"/>
          </w:r>
        </w:sdtContent>
      </w:sdt>
    </w:p>
    <w:p w14:paraId="31B6A5DA" w14:textId="77777777" w:rsidR="007B5BD2" w:rsidRDefault="000B5F39" w:rsidP="007B5BD2">
      <w:pPr>
        <w:rPr>
          <w:rFonts w:eastAsiaTheme="majorEastAsia" w:cstheme="majorBidi"/>
          <w:b/>
          <w:sz w:val="28"/>
          <w:szCs w:val="32"/>
          <w:lang w:val="en-US"/>
        </w:rPr>
      </w:pPr>
      <w:r>
        <w:t>From the above chart, it is observed that on the 30</w:t>
      </w:r>
      <w:r w:rsidRPr="007B5BD2">
        <w:rPr>
          <w:vertAlign w:val="superscript"/>
        </w:rPr>
        <w:t>th</w:t>
      </w:r>
      <w:r>
        <w:t xml:space="preserve"> of June 2022, the yield from the dividend was about 5.4% which is expressed to be high on week 52 while it was 2.8% in the month of July 28, 2022, depicted to be very low.</w:t>
      </w:r>
      <w:r>
        <w:br w:type="page"/>
      </w:r>
    </w:p>
    <w:p w14:paraId="47055C2F" w14:textId="77777777" w:rsidR="00AB2059" w:rsidRDefault="000B5F39" w:rsidP="00AB2059">
      <w:pPr>
        <w:pStyle w:val="Heading1"/>
      </w:pPr>
      <w:bookmarkStart w:id="3" w:name="_Toc132384167"/>
      <w:r>
        <w:lastRenderedPageBreak/>
        <w:t>Elucidating the theory of efficient market hypothesis in context with the Next Plc.</w:t>
      </w:r>
      <w:bookmarkEnd w:id="3"/>
    </w:p>
    <w:p w14:paraId="33AE558F" w14:textId="77777777" w:rsidR="00AB2059" w:rsidRPr="00D8780A" w:rsidRDefault="000B5F39" w:rsidP="00AB2059">
      <w:pPr>
        <w:rPr>
          <w:b/>
          <w:i/>
          <w:u w:val="single"/>
          <w:lang w:val="en-US"/>
        </w:rPr>
      </w:pPr>
      <w:r w:rsidRPr="00D8780A">
        <w:rPr>
          <w:b/>
          <w:i/>
          <w:u w:val="single"/>
          <w:lang w:val="en-US"/>
        </w:rPr>
        <w:t>Concept of Efficient Market Hypothesis:</w:t>
      </w:r>
    </w:p>
    <w:p w14:paraId="42152AA9" w14:textId="77777777" w:rsidR="00121A3A" w:rsidRDefault="000B5F39" w:rsidP="00E42188">
      <w:r>
        <w:t xml:space="preserve">This theory is expressed as the situation wherein all the concerned assets are to be priced for stating the latest information. </w:t>
      </w:r>
      <w:r w:rsidR="009A2281">
        <w:t xml:space="preserve">The efficient market hypothesis does not provide any gap for capturing the </w:t>
      </w:r>
      <w:r w:rsidR="00464B7F">
        <w:t>excess returns. Though, the sellers who are capable of exploiting this time break wherein the marketplace is purely inefficient have significant chances of earning some extra amount of returns.</w:t>
      </w:r>
      <w:r w:rsidR="00FE3471">
        <w:t xml:space="preserve"> There are some assumptions associated with this EMH theory like investors in the marketplace tend to be acting rationally</w:t>
      </w:r>
      <w:sdt>
        <w:sdtPr>
          <w:id w:val="480505619"/>
          <w:citation/>
        </w:sdtPr>
        <w:sdtContent>
          <w:r w:rsidR="00CC1C1B">
            <w:fldChar w:fldCharType="begin"/>
          </w:r>
          <w:r w:rsidR="00CC1C1B">
            <w:rPr>
              <w:lang w:val="en-US"/>
            </w:rPr>
            <w:instrText xml:space="preserve"> CITATION Reb22 \l 1033 </w:instrText>
          </w:r>
          <w:r w:rsidR="00CC1C1B">
            <w:fldChar w:fldCharType="separate"/>
          </w:r>
          <w:r w:rsidR="00CC1C1B">
            <w:rPr>
              <w:noProof/>
              <w:lang w:val="en-US"/>
            </w:rPr>
            <w:t xml:space="preserve"> </w:t>
          </w:r>
          <w:r w:rsidR="00CC1C1B" w:rsidRPr="00CC1C1B">
            <w:rPr>
              <w:noProof/>
              <w:lang w:val="en-US"/>
            </w:rPr>
            <w:t>(Baldridge, 2022)</w:t>
          </w:r>
          <w:r w:rsidR="00CC1C1B">
            <w:fldChar w:fldCharType="end"/>
          </w:r>
        </w:sdtContent>
      </w:sdt>
      <w:r w:rsidR="00FE3471">
        <w:t xml:space="preserve">. </w:t>
      </w:r>
      <w:r w:rsidR="00D947A4">
        <w:t>If the particular information is unusual the reaction will be normal. The prices of stock depict the appropriate information which is shared commonly between the concerned investors.</w:t>
      </w:r>
      <w:r w:rsidR="004E15A9">
        <w:t xml:space="preserve"> It is also stated that stakeholders cannot misuse the market gaps as they have to necessarily act as per the data provided by the market and take effective decisions accordingly.</w:t>
      </w:r>
    </w:p>
    <w:p w14:paraId="41127BD2" w14:textId="77777777" w:rsidR="00121A3A" w:rsidRDefault="000B5F39" w:rsidP="00E42188">
      <w:pPr>
        <w:rPr>
          <w:b/>
          <w:i/>
          <w:u w:val="single"/>
        </w:rPr>
      </w:pPr>
      <w:r w:rsidRPr="00121A3A">
        <w:rPr>
          <w:b/>
          <w:i/>
          <w:u w:val="single"/>
        </w:rPr>
        <w:t>EMH theory in relation to the Next Plc.</w:t>
      </w:r>
    </w:p>
    <w:p w14:paraId="7D250CBD" w14:textId="77777777" w:rsidR="00711314" w:rsidRPr="00121A3A" w:rsidRDefault="000B5F39" w:rsidP="00121A3A">
      <w:r w:rsidRPr="00121A3A">
        <w:t>The stock performance of Next plc can be viewed as an expression of the information accessible to investors when the EMH (theory of an efficient market) is taken into account. An effective market would have a stock price that reflected every detail about the company that was made publicly available, comprising accounting records, trends in the market, and other pertinent details</w:t>
      </w:r>
      <w:r w:rsidR="0040046A">
        <w:t xml:space="preserve"> (</w:t>
      </w:r>
      <w:proofErr w:type="spellStart"/>
      <w:r w:rsidR="0040046A">
        <w:rPr>
          <w:lang w:val="en-US"/>
        </w:rPr>
        <w:t>Bataineh</w:t>
      </w:r>
      <w:proofErr w:type="spellEnd"/>
      <w:r w:rsidR="0040046A">
        <w:rPr>
          <w:lang w:val="en-US"/>
        </w:rPr>
        <w:t>, 2021)</w:t>
      </w:r>
      <w:r w:rsidRPr="00121A3A">
        <w:t>. As a result, any changes in the stock price of Next Plc can be seen as reflecting variations in the business's fundamentals or in the general market environment rather than any potential mispricing.</w:t>
      </w:r>
      <w:r w:rsidR="00AB2059" w:rsidRPr="00121A3A">
        <w:br w:type="page"/>
      </w:r>
    </w:p>
    <w:p w14:paraId="1166AC9E" w14:textId="77777777" w:rsidR="00EF073F" w:rsidRDefault="000B5F39" w:rsidP="00EF073F">
      <w:pPr>
        <w:pStyle w:val="Heading1"/>
      </w:pPr>
      <w:bookmarkStart w:id="4" w:name="_Toc132384168"/>
      <w:r>
        <w:lastRenderedPageBreak/>
        <w:t xml:space="preserve">Portraying the approaches of Next Plc for </w:t>
      </w:r>
      <w:r w:rsidRPr="00EF073F">
        <w:t>evaluating</w:t>
      </w:r>
      <w:r>
        <w:t xml:space="preserve"> the respective projects</w:t>
      </w:r>
      <w:bookmarkEnd w:id="4"/>
    </w:p>
    <w:p w14:paraId="2AF8E9EA" w14:textId="77777777" w:rsidR="00B110DF" w:rsidRDefault="000B5F39" w:rsidP="00B110DF">
      <w:r>
        <w:t>Project appraisals can be inferred as the technique</w:t>
      </w:r>
      <w:r w:rsidR="00C46320">
        <w:t xml:space="preserve">s or methodologies that are </w:t>
      </w:r>
      <w:r>
        <w:t>utilised for assessing the target success as well as the viability of the concerned project. The appraisal methods are indulged in checking the aptness of the project by considering several items such as the availability of funds as well as the climate of the economy and so on</w:t>
      </w:r>
      <w:r w:rsidR="00C46320">
        <w:t xml:space="preserve"> </w:t>
      </w:r>
      <w:sdt>
        <w:sdtPr>
          <w:id w:val="-1984594"/>
          <w:citation/>
        </w:sdtPr>
        <w:sdtContent>
          <w:r w:rsidR="00C46320">
            <w:fldChar w:fldCharType="begin"/>
          </w:r>
          <w:r w:rsidR="00C46320">
            <w:rPr>
              <w:lang w:val="en-US"/>
            </w:rPr>
            <w:instrText xml:space="preserve"> CITATION Sta234 \l 1033 </w:instrText>
          </w:r>
          <w:r w:rsidR="00C46320">
            <w:fldChar w:fldCharType="separate"/>
          </w:r>
          <w:r w:rsidR="00C46320" w:rsidRPr="00C46320">
            <w:rPr>
              <w:noProof/>
              <w:lang w:val="en-US"/>
            </w:rPr>
            <w:t>(Wilson, 2023)</w:t>
          </w:r>
          <w:r w:rsidR="00C46320">
            <w:fldChar w:fldCharType="end"/>
          </w:r>
        </w:sdtContent>
      </w:sdt>
      <w:r>
        <w:t>. A better project will be able to service the debt and in return will enhance the wealth of the shareholders. Next plc. will be using the following stated techniques for the appraisal of the respective projects. They are as follows:</w:t>
      </w:r>
    </w:p>
    <w:p w14:paraId="2A32788C" w14:textId="77777777" w:rsidR="0084345D" w:rsidRDefault="000B5F39" w:rsidP="0084345D">
      <w:proofErr w:type="spellStart"/>
      <w:r w:rsidRPr="0084345D">
        <w:rPr>
          <w:b/>
        </w:rPr>
        <w:t>i</w:t>
      </w:r>
      <w:proofErr w:type="spellEnd"/>
      <w:r w:rsidRPr="0084345D">
        <w:rPr>
          <w:b/>
        </w:rPr>
        <w:t>. The Net present value method or the N.P.V:</w:t>
      </w:r>
      <w:r>
        <w:t xml:space="preserve">  This method aids the company by determining the summing of the net annual flows of the cash, and cost of capital of the project at some discounts and subtracting the outlays in their </w:t>
      </w:r>
      <w:r w:rsidR="00C46320">
        <w:t>initial</w:t>
      </w:r>
      <w:r>
        <w:t>. The Next plc will be aided by this method by reflecting the value of time money as well as increasing the wealth of the investors.</w:t>
      </w:r>
    </w:p>
    <w:p w14:paraId="6D4751B9" w14:textId="77777777" w:rsidR="0084345D" w:rsidRDefault="000B5F39" w:rsidP="0084345D">
      <w:r w:rsidRPr="0084345D">
        <w:rPr>
          <w:b/>
        </w:rPr>
        <w:t>ii. Payback Method:</w:t>
      </w:r>
      <w:r>
        <w:t xml:space="preserve"> Next plc will be choosing the number of years wherein they will be able to recover the cost of actual investments. The concerned projects will be chosen only if the outlays at the initial are able to be recovered during the period of time that is already determined</w:t>
      </w:r>
      <w:r w:rsidR="00804C7A">
        <w:t xml:space="preserve"> </w:t>
      </w:r>
      <w:sdt>
        <w:sdtPr>
          <w:id w:val="-423486801"/>
          <w:citation/>
        </w:sdtPr>
        <w:sdtContent>
          <w:r w:rsidR="00804C7A">
            <w:fldChar w:fldCharType="begin"/>
          </w:r>
          <w:r w:rsidR="00804C7A">
            <w:rPr>
              <w:lang w:val="en-US"/>
            </w:rPr>
            <w:instrText xml:space="preserve"> CITATION Sta234 \l 1033 </w:instrText>
          </w:r>
          <w:r w:rsidR="00804C7A">
            <w:fldChar w:fldCharType="separate"/>
          </w:r>
          <w:r w:rsidR="00804C7A" w:rsidRPr="00C46320">
            <w:rPr>
              <w:noProof/>
              <w:lang w:val="en-US"/>
            </w:rPr>
            <w:t>(Wilson, 2023)</w:t>
          </w:r>
          <w:r w:rsidR="00804C7A">
            <w:fldChar w:fldCharType="end"/>
          </w:r>
        </w:sdtContent>
      </w:sdt>
      <w:r>
        <w:t>. This method will be easily understandable in the company as they are not using discounted cash flows.</w:t>
      </w:r>
    </w:p>
    <w:p w14:paraId="64170F41" w14:textId="77777777" w:rsidR="003028CC" w:rsidRPr="00B110DF" w:rsidRDefault="000B5F39" w:rsidP="0084345D">
      <w:r w:rsidRPr="0084345D">
        <w:rPr>
          <w:b/>
        </w:rPr>
        <w:t>iii. Internal rate of return:</w:t>
      </w:r>
      <w:r>
        <w:t xml:space="preserve"> The IRR method is used for equating the net present values of the projects near zero. The respective projects for the company are to be compared or contrasted with the predetermined rate where the return is calculated and it will be benefitting the company to a huge level.</w:t>
      </w:r>
      <w:r>
        <w:br w:type="page"/>
      </w:r>
    </w:p>
    <w:p w14:paraId="63B123ED" w14:textId="77777777" w:rsidR="00811C54" w:rsidRDefault="000B5F39" w:rsidP="0028148C">
      <w:pPr>
        <w:pStyle w:val="Heading1"/>
      </w:pPr>
      <w:bookmarkStart w:id="5" w:name="_Toc132384169"/>
      <w:r>
        <w:lastRenderedPageBreak/>
        <w:t>Conclusion</w:t>
      </w:r>
      <w:bookmarkEnd w:id="5"/>
    </w:p>
    <w:p w14:paraId="1DBC29D8" w14:textId="77777777" w:rsidR="007E4764" w:rsidRDefault="000B5F39" w:rsidP="003321FC">
      <w:r>
        <w:t>From the above study, it is concluded</w:t>
      </w:r>
      <w:r w:rsidR="003321FC">
        <w:t xml:space="preserve"> that companies on an international level need to focus on their financial management as it has a substantial impact on the performance of the company. Next plc is one the top competitor in the fashion industry with a significant market share. The company operates internationally and is a public limited company which allows them to collect funds from the public. The report explained the reason financial management is essential for the business. It also explored the dividend distribution policy employed by Next plc and how it helps build a positive image in public. The report further explored the efficient market theory along with assessing how it relates to the situation of Next plc. It also showcased how Next plc utilises NPV, Payback Period and other relevant methods for their project appraisal.</w:t>
      </w:r>
    </w:p>
    <w:p w14:paraId="569E08C7" w14:textId="77777777" w:rsidR="007E4764" w:rsidRDefault="000B5F39">
      <w:pPr>
        <w:spacing w:line="259" w:lineRule="auto"/>
        <w:jc w:val="left"/>
      </w:pPr>
      <w:r>
        <w:br w:type="page"/>
      </w:r>
    </w:p>
    <w:p w14:paraId="07C394CF" w14:textId="77777777" w:rsidR="006C0153" w:rsidRDefault="000B5F39" w:rsidP="006C0153">
      <w:pPr>
        <w:pStyle w:val="Heading1"/>
      </w:pPr>
      <w:bookmarkStart w:id="6" w:name="_Toc132384170"/>
      <w:r>
        <w:lastRenderedPageBreak/>
        <w:t>References</w:t>
      </w:r>
      <w:bookmarkEnd w:id="6"/>
    </w:p>
    <w:p w14:paraId="75308CDB" w14:textId="77777777" w:rsidR="006C0153" w:rsidRDefault="000B5F39" w:rsidP="006C0153">
      <w:r>
        <w:t xml:space="preserve">Baldridge, R., (2022). What Is the Efficient Market Hypothesis? [Online]  Available at: </w:t>
      </w:r>
      <w:r w:rsidRPr="006C0153">
        <w:t>https://www.forbes.com/advisor/investing/efficient-market-hypothesis/</w:t>
      </w:r>
      <w:r>
        <w:t xml:space="preserve"> [Accessed 12 April 2023].</w:t>
      </w:r>
    </w:p>
    <w:p w14:paraId="6298AE95" w14:textId="77777777" w:rsidR="006C0153" w:rsidRPr="006C0153" w:rsidRDefault="000B5F39" w:rsidP="006C0153">
      <w:pPr>
        <w:rPr>
          <w:lang w:val="en-US"/>
        </w:rPr>
      </w:pPr>
      <w:proofErr w:type="spellStart"/>
      <w:r w:rsidRPr="00B847F8">
        <w:rPr>
          <w:lang w:val="en-US"/>
        </w:rPr>
        <w:t>Bataineh</w:t>
      </w:r>
      <w:proofErr w:type="spellEnd"/>
      <w:r w:rsidRPr="00B847F8">
        <w:rPr>
          <w:lang w:val="en-US"/>
        </w:rPr>
        <w:t>, H., (2021). The impact of ownership structure on dividend policy of listed firms in Jordan. Cogent Busines</w:t>
      </w:r>
      <w:r>
        <w:rPr>
          <w:lang w:val="en-US"/>
        </w:rPr>
        <w:t>s &amp; Management, 8(1),</w:t>
      </w:r>
    </w:p>
    <w:p w14:paraId="166E823E" w14:textId="77777777" w:rsidR="006C0153" w:rsidRDefault="000B5F39" w:rsidP="006C0153">
      <w:proofErr w:type="spellStart"/>
      <w:r>
        <w:t>dividendmax</w:t>
      </w:r>
      <w:proofErr w:type="spellEnd"/>
      <w:r>
        <w:t xml:space="preserve">, (2023). Next </w:t>
      </w:r>
      <w:proofErr w:type="gramStart"/>
      <w:r>
        <w:t>plc..</w:t>
      </w:r>
      <w:proofErr w:type="gramEnd"/>
      <w:r>
        <w:t xml:space="preserve"> [Online] Available at: </w:t>
      </w:r>
      <w:r w:rsidRPr="006C0153">
        <w:t>https://www.dividendmax.com/united-kingdom/london-stock-exchange/retailers/next-plc/dividends</w:t>
      </w:r>
      <w:r>
        <w:t xml:space="preserve"> [Accessed 13 April 2023].</w:t>
      </w:r>
    </w:p>
    <w:p w14:paraId="28873E85" w14:textId="77777777" w:rsidR="006C0153" w:rsidRPr="00B847F8" w:rsidRDefault="000B5F39" w:rsidP="00B847F8">
      <w:pPr>
        <w:rPr>
          <w:lang w:val="en-US"/>
        </w:rPr>
      </w:pPr>
      <w:r w:rsidRPr="00B847F8">
        <w:rPr>
          <w:lang w:val="en-US"/>
        </w:rPr>
        <w:t>Kyle, A.S., (2019). Market structure, information, futures markets, and price formation. In Intern</w:t>
      </w:r>
      <w:r>
        <w:rPr>
          <w:lang w:val="en-US"/>
        </w:rPr>
        <w:t>ational Agricultural Trade</w:t>
      </w:r>
      <w:r w:rsidRPr="00B847F8">
        <w:rPr>
          <w:lang w:val="en-US"/>
        </w:rPr>
        <w:t>. CRC Press.</w:t>
      </w:r>
    </w:p>
    <w:p w14:paraId="67763E6B" w14:textId="77777777" w:rsidR="006C0153" w:rsidRDefault="000B5F39" w:rsidP="006C0153">
      <w:r>
        <w:t xml:space="preserve">Macmillan, G., (2022). International Finance Scope, Importance, Advantages and Disadvantages. [Online] Available at: </w:t>
      </w:r>
      <w:r w:rsidRPr="006C0153">
        <w:t>https://www.walshmedicalmedia.com/open-access/international-finance-scope-importance-advantages-and-disadvantages-109767.html</w:t>
      </w:r>
      <w:r>
        <w:t xml:space="preserve"> [Accessed 13 April 2023].</w:t>
      </w:r>
    </w:p>
    <w:p w14:paraId="3E45815D" w14:textId="77777777" w:rsidR="006C0153" w:rsidRDefault="000B5F39" w:rsidP="006C0153">
      <w:r>
        <w:t xml:space="preserve">next plc, (2023). AT A GLANCE. [Online]  Available at: </w:t>
      </w:r>
      <w:r w:rsidRPr="006C0153">
        <w:t>https://www.nextplc.co.uk/about-next/at-a-glance</w:t>
      </w:r>
      <w:r>
        <w:t xml:space="preserve"> [Accessed 12 April 2023].</w:t>
      </w:r>
    </w:p>
    <w:p w14:paraId="0B80953F" w14:textId="77777777" w:rsidR="006C0153" w:rsidRDefault="000B5F39" w:rsidP="006C0153">
      <w:r>
        <w:t xml:space="preserve">next plc, (2023). DIVIDEND HISTORY. [Online] Available at: </w:t>
      </w:r>
      <w:r w:rsidRPr="006C0153">
        <w:t>https://www.nextplc.co.uk/investors/shareholder-information/dividend-history</w:t>
      </w:r>
      <w:r>
        <w:t xml:space="preserve"> [Accessed 13 April 2023].</w:t>
      </w:r>
    </w:p>
    <w:p w14:paraId="5EEA37CD" w14:textId="77777777" w:rsidR="006C0153" w:rsidRPr="00B847F8" w:rsidRDefault="000B5F39" w:rsidP="00B847F8">
      <w:pPr>
        <w:rPr>
          <w:lang w:val="en-US"/>
        </w:rPr>
      </w:pPr>
      <w:r w:rsidRPr="00B847F8">
        <w:rPr>
          <w:lang w:val="en-US"/>
        </w:rPr>
        <w:t xml:space="preserve">Rossi, M. and </w:t>
      </w:r>
      <w:proofErr w:type="spellStart"/>
      <w:r w:rsidRPr="00B847F8">
        <w:rPr>
          <w:lang w:val="en-US"/>
        </w:rPr>
        <w:t>Gunardi</w:t>
      </w:r>
      <w:proofErr w:type="spellEnd"/>
      <w:r w:rsidRPr="00B847F8">
        <w:rPr>
          <w:lang w:val="en-US"/>
        </w:rPr>
        <w:t>, A., (2018). Efficient market hypothesis and stock market anomalies: Empirical evidence in four European countries. Journal of Applied Business Res</w:t>
      </w:r>
      <w:r>
        <w:rPr>
          <w:lang w:val="en-US"/>
        </w:rPr>
        <w:t>earch (JABR), 34(1)</w:t>
      </w:r>
    </w:p>
    <w:p w14:paraId="5A6B89DD" w14:textId="77777777" w:rsidR="006C0153" w:rsidRPr="00B847F8" w:rsidRDefault="000B5F39" w:rsidP="00B847F8">
      <w:pPr>
        <w:rPr>
          <w:lang w:val="en-US"/>
        </w:rPr>
      </w:pPr>
      <w:r w:rsidRPr="00B847F8">
        <w:rPr>
          <w:lang w:val="en-US"/>
        </w:rPr>
        <w:lastRenderedPageBreak/>
        <w:t>Schwarz, D., (2018). The ability of listed companies to optimize their capital structure, shape their distribution policy and fight hostile takeovers by repurchasing their own shares. Entrepreneurship and Sus</w:t>
      </w:r>
      <w:r>
        <w:rPr>
          <w:lang w:val="en-US"/>
        </w:rPr>
        <w:t>tainability Issues, 6(2),</w:t>
      </w:r>
    </w:p>
    <w:p w14:paraId="6A94CDAE" w14:textId="77777777" w:rsidR="006C0153" w:rsidRDefault="000B5F39" w:rsidP="006C0153">
      <w:r>
        <w:t>Smith, P., (2022). Annual revenue of Next plc from financial year 2012 to 2022 in the United Kingdom (UK</w:t>
      </w:r>
      <w:proofErr w:type="gramStart"/>
      <w:r>
        <w:t>)(</w:t>
      </w:r>
      <w:proofErr w:type="gramEnd"/>
      <w:r>
        <w:t xml:space="preserve">in million GBP). [Online]  Available at: </w:t>
      </w:r>
      <w:r w:rsidRPr="006C0153">
        <w:t>https://www.statista.com/statistics/544243/next-annual-revenue-uk/</w:t>
      </w:r>
      <w:r>
        <w:t xml:space="preserve"> [Accessed 11 April 2023].</w:t>
      </w:r>
    </w:p>
    <w:p w14:paraId="69A389B7" w14:textId="77777777" w:rsidR="006C0153" w:rsidRDefault="000B5F39" w:rsidP="006C0153">
      <w:r>
        <w:t xml:space="preserve">Wilson, S., (2023). What Are the Types of Project Appraisal </w:t>
      </w:r>
      <w:proofErr w:type="gramStart"/>
      <w:r>
        <w:t>Methodologies?.</w:t>
      </w:r>
      <w:proofErr w:type="gramEnd"/>
      <w:r>
        <w:t xml:space="preserve"> [</w:t>
      </w:r>
      <w:proofErr w:type="gramStart"/>
      <w:r>
        <w:t>Online]  Available</w:t>
      </w:r>
      <w:proofErr w:type="gramEnd"/>
      <w:r>
        <w:t xml:space="preserve"> at: https://smallbusiness.chron.com/types-project-appraisal-methodologies-14716.html  [Accessed 13 April 2023].</w:t>
      </w:r>
    </w:p>
    <w:p w14:paraId="41E714D6" w14:textId="77777777" w:rsidR="00C46320" w:rsidRPr="0028148C" w:rsidRDefault="00C46320" w:rsidP="00B847F8">
      <w:pPr>
        <w:rPr>
          <w:lang w:val="en-US"/>
        </w:rPr>
      </w:pPr>
    </w:p>
    <w:sectPr w:rsidR="00C46320" w:rsidRPr="0028148C" w:rsidSect="00940CB8">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F6B2A7" w14:textId="77777777" w:rsidR="00370238" w:rsidRDefault="00370238">
      <w:pPr>
        <w:spacing w:after="0" w:line="240" w:lineRule="auto"/>
      </w:pPr>
      <w:r>
        <w:separator/>
      </w:r>
    </w:p>
  </w:endnote>
  <w:endnote w:type="continuationSeparator" w:id="0">
    <w:p w14:paraId="52300F8B" w14:textId="77777777" w:rsidR="00370238" w:rsidRDefault="003702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1285CE" w14:textId="77777777" w:rsidR="00083AD1" w:rsidRDefault="00083AD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5469791"/>
      <w:docPartObj>
        <w:docPartGallery w:val="Page Numbers (Bottom of Page)"/>
        <w:docPartUnique/>
      </w:docPartObj>
    </w:sdtPr>
    <w:sdtContent>
      <w:sdt>
        <w:sdtPr>
          <w:id w:val="-1769616900"/>
          <w:docPartObj>
            <w:docPartGallery w:val="Page Numbers (Top of Page)"/>
            <w:docPartUnique/>
          </w:docPartObj>
        </w:sdtPr>
        <w:sdtContent>
          <w:p w14:paraId="62710470" w14:textId="77777777" w:rsidR="00940CB8" w:rsidRDefault="00940CB8">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083AD1">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083AD1">
              <w:rPr>
                <w:b/>
                <w:bCs/>
                <w:noProof/>
              </w:rPr>
              <w:t>14</w:t>
            </w:r>
            <w:r>
              <w:rPr>
                <w:b/>
                <w:bCs/>
                <w:szCs w:val="24"/>
              </w:rPr>
              <w:fldChar w:fldCharType="end"/>
            </w:r>
          </w:p>
        </w:sdtContent>
      </w:sdt>
    </w:sdtContent>
  </w:sdt>
  <w:p w14:paraId="24C43998" w14:textId="77777777" w:rsidR="004F5316" w:rsidRDefault="004F531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E4BC9A" w14:textId="77777777" w:rsidR="00083AD1" w:rsidRDefault="00083A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B270C6" w14:textId="77777777" w:rsidR="00370238" w:rsidRDefault="00370238">
      <w:pPr>
        <w:spacing w:after="0" w:line="240" w:lineRule="auto"/>
      </w:pPr>
      <w:r>
        <w:separator/>
      </w:r>
    </w:p>
  </w:footnote>
  <w:footnote w:type="continuationSeparator" w:id="0">
    <w:p w14:paraId="76584166" w14:textId="77777777" w:rsidR="00370238" w:rsidRDefault="003702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232899" w14:textId="77777777" w:rsidR="00083AD1" w:rsidRDefault="00083AD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416E79" w14:textId="77777777" w:rsidR="00940CB8" w:rsidRPr="00DD47E2" w:rsidRDefault="00940CB8" w:rsidP="00DD47E2">
    <w:pPr>
      <w:rPr>
        <w:b/>
        <w:sz w:val="2"/>
      </w:rPr>
    </w:pPr>
  </w:p>
  <w:p w14:paraId="6B380414" w14:textId="77777777" w:rsidR="00940CB8" w:rsidRDefault="00940CB8" w:rsidP="00940CB8">
    <w:pPr>
      <w:jc w:val="right"/>
    </w:pPr>
    <w:r w:rsidRPr="00DE7F6B">
      <w:t>International Financial Management</w:t>
    </w:r>
  </w:p>
  <w:p w14:paraId="5F015139" w14:textId="77777777" w:rsidR="004F5316" w:rsidRDefault="004F531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DE7CB4" w14:textId="77777777" w:rsidR="00083AD1" w:rsidRDefault="00083AD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14F2"/>
    <w:rsid w:val="00001B1F"/>
    <w:rsid w:val="000030B9"/>
    <w:rsid w:val="00017110"/>
    <w:rsid w:val="0005422E"/>
    <w:rsid w:val="00083AD1"/>
    <w:rsid w:val="000A0588"/>
    <w:rsid w:val="000B5F39"/>
    <w:rsid w:val="000C457C"/>
    <w:rsid w:val="001059DD"/>
    <w:rsid w:val="00115687"/>
    <w:rsid w:val="00121A3A"/>
    <w:rsid w:val="0015227E"/>
    <w:rsid w:val="00161B9F"/>
    <w:rsid w:val="00163AEF"/>
    <w:rsid w:val="001660A3"/>
    <w:rsid w:val="001A6F75"/>
    <w:rsid w:val="001C215D"/>
    <w:rsid w:val="001C2281"/>
    <w:rsid w:val="001C74B6"/>
    <w:rsid w:val="001E2ED7"/>
    <w:rsid w:val="001E7405"/>
    <w:rsid w:val="001F2B09"/>
    <w:rsid w:val="002236D7"/>
    <w:rsid w:val="00230106"/>
    <w:rsid w:val="002472E8"/>
    <w:rsid w:val="00250C56"/>
    <w:rsid w:val="002542E4"/>
    <w:rsid w:val="002608C2"/>
    <w:rsid w:val="0028148C"/>
    <w:rsid w:val="00287E29"/>
    <w:rsid w:val="002F202F"/>
    <w:rsid w:val="003028CC"/>
    <w:rsid w:val="00305E18"/>
    <w:rsid w:val="003321FC"/>
    <w:rsid w:val="00341CD3"/>
    <w:rsid w:val="00365330"/>
    <w:rsid w:val="00367611"/>
    <w:rsid w:val="00370238"/>
    <w:rsid w:val="00392709"/>
    <w:rsid w:val="003930A8"/>
    <w:rsid w:val="00397740"/>
    <w:rsid w:val="003B05AB"/>
    <w:rsid w:val="0040046A"/>
    <w:rsid w:val="00464B7F"/>
    <w:rsid w:val="00470C97"/>
    <w:rsid w:val="004767F9"/>
    <w:rsid w:val="004C2468"/>
    <w:rsid w:val="004C6029"/>
    <w:rsid w:val="004E15A9"/>
    <w:rsid w:val="004E59F4"/>
    <w:rsid w:val="004F0C14"/>
    <w:rsid w:val="004F5316"/>
    <w:rsid w:val="004F549D"/>
    <w:rsid w:val="00514DA5"/>
    <w:rsid w:val="00540F48"/>
    <w:rsid w:val="0056742B"/>
    <w:rsid w:val="005C1520"/>
    <w:rsid w:val="00600211"/>
    <w:rsid w:val="00624D12"/>
    <w:rsid w:val="00630A92"/>
    <w:rsid w:val="00632F92"/>
    <w:rsid w:val="006434AC"/>
    <w:rsid w:val="0068578F"/>
    <w:rsid w:val="00694A84"/>
    <w:rsid w:val="006B147E"/>
    <w:rsid w:val="006C0153"/>
    <w:rsid w:val="006D08D4"/>
    <w:rsid w:val="006D67F7"/>
    <w:rsid w:val="006E46B7"/>
    <w:rsid w:val="006F189F"/>
    <w:rsid w:val="00707ED7"/>
    <w:rsid w:val="00711314"/>
    <w:rsid w:val="007113DA"/>
    <w:rsid w:val="007351A2"/>
    <w:rsid w:val="007654EC"/>
    <w:rsid w:val="007855EA"/>
    <w:rsid w:val="00787E6D"/>
    <w:rsid w:val="007903C6"/>
    <w:rsid w:val="00794FB0"/>
    <w:rsid w:val="007B5BD2"/>
    <w:rsid w:val="007B7693"/>
    <w:rsid w:val="007D10B1"/>
    <w:rsid w:val="007E1F0B"/>
    <w:rsid w:val="007E4764"/>
    <w:rsid w:val="007F5604"/>
    <w:rsid w:val="00801FDC"/>
    <w:rsid w:val="00804C7A"/>
    <w:rsid w:val="00811C54"/>
    <w:rsid w:val="008243BA"/>
    <w:rsid w:val="008257D3"/>
    <w:rsid w:val="0084345D"/>
    <w:rsid w:val="00871CF7"/>
    <w:rsid w:val="008913EC"/>
    <w:rsid w:val="008A11F1"/>
    <w:rsid w:val="008B4AC5"/>
    <w:rsid w:val="008D7BC4"/>
    <w:rsid w:val="008E7162"/>
    <w:rsid w:val="008F5396"/>
    <w:rsid w:val="00915BD7"/>
    <w:rsid w:val="00920438"/>
    <w:rsid w:val="0093140B"/>
    <w:rsid w:val="00937EB6"/>
    <w:rsid w:val="00940CB8"/>
    <w:rsid w:val="0096294C"/>
    <w:rsid w:val="00972C0F"/>
    <w:rsid w:val="00991A0B"/>
    <w:rsid w:val="009A2281"/>
    <w:rsid w:val="009A2F4C"/>
    <w:rsid w:val="009A7F09"/>
    <w:rsid w:val="009D2170"/>
    <w:rsid w:val="009D5009"/>
    <w:rsid w:val="009E1F3A"/>
    <w:rsid w:val="00A25458"/>
    <w:rsid w:val="00A27CBD"/>
    <w:rsid w:val="00A436B9"/>
    <w:rsid w:val="00A53989"/>
    <w:rsid w:val="00A62A45"/>
    <w:rsid w:val="00A711E5"/>
    <w:rsid w:val="00A93335"/>
    <w:rsid w:val="00A93AE9"/>
    <w:rsid w:val="00AB2059"/>
    <w:rsid w:val="00AC517C"/>
    <w:rsid w:val="00AD3A55"/>
    <w:rsid w:val="00AF03EB"/>
    <w:rsid w:val="00B0248D"/>
    <w:rsid w:val="00B110DF"/>
    <w:rsid w:val="00B375AF"/>
    <w:rsid w:val="00B40A07"/>
    <w:rsid w:val="00B51CE5"/>
    <w:rsid w:val="00B77A88"/>
    <w:rsid w:val="00B82104"/>
    <w:rsid w:val="00B847F8"/>
    <w:rsid w:val="00B914F2"/>
    <w:rsid w:val="00BE6307"/>
    <w:rsid w:val="00C3439B"/>
    <w:rsid w:val="00C46320"/>
    <w:rsid w:val="00C51F0C"/>
    <w:rsid w:val="00C73798"/>
    <w:rsid w:val="00C9396F"/>
    <w:rsid w:val="00CA32AA"/>
    <w:rsid w:val="00CC1C1B"/>
    <w:rsid w:val="00CC6A9E"/>
    <w:rsid w:val="00D12C0D"/>
    <w:rsid w:val="00D12DF2"/>
    <w:rsid w:val="00D670C7"/>
    <w:rsid w:val="00D8780A"/>
    <w:rsid w:val="00D947A4"/>
    <w:rsid w:val="00DA1CD3"/>
    <w:rsid w:val="00DA33B5"/>
    <w:rsid w:val="00DA66AC"/>
    <w:rsid w:val="00DC5181"/>
    <w:rsid w:val="00DC6DAB"/>
    <w:rsid w:val="00DD47E2"/>
    <w:rsid w:val="00DE7F6B"/>
    <w:rsid w:val="00DF6044"/>
    <w:rsid w:val="00DF7E57"/>
    <w:rsid w:val="00E33F99"/>
    <w:rsid w:val="00E42188"/>
    <w:rsid w:val="00E45E65"/>
    <w:rsid w:val="00E573C3"/>
    <w:rsid w:val="00EA69E1"/>
    <w:rsid w:val="00EC0237"/>
    <w:rsid w:val="00ED6DC3"/>
    <w:rsid w:val="00EE0CA7"/>
    <w:rsid w:val="00EE2F52"/>
    <w:rsid w:val="00EF073F"/>
    <w:rsid w:val="00F57689"/>
    <w:rsid w:val="00F6111F"/>
    <w:rsid w:val="00F669BB"/>
    <w:rsid w:val="00F9291B"/>
    <w:rsid w:val="00FA7841"/>
    <w:rsid w:val="00FC2B53"/>
    <w:rsid w:val="00FE34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A61EF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7E57"/>
    <w:pPr>
      <w:spacing w:line="48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250C56"/>
    <w:pPr>
      <w:keepNext/>
      <w:keepLines/>
      <w:spacing w:before="240"/>
      <w:outlineLvl w:val="0"/>
    </w:pPr>
    <w:rPr>
      <w:rFonts w:eastAsiaTheme="majorEastAsia" w:cstheme="majorBidi"/>
      <w:b/>
      <w:sz w:val="28"/>
      <w:szCs w:val="32"/>
      <w:lang w:val="en-US"/>
    </w:rPr>
  </w:style>
  <w:style w:type="paragraph" w:styleId="Heading2">
    <w:name w:val="heading 2"/>
    <w:basedOn w:val="Normal"/>
    <w:next w:val="Normal"/>
    <w:link w:val="Heading2Char"/>
    <w:uiPriority w:val="9"/>
    <w:unhideWhenUsed/>
    <w:qFormat/>
    <w:rsid w:val="00D12DF2"/>
    <w:pPr>
      <w:keepNext/>
      <w:keepLines/>
      <w:spacing w:before="40"/>
      <w:outlineLvl w:val="1"/>
    </w:pPr>
    <w:rPr>
      <w:rFonts w:eastAsiaTheme="majorEastAsia" w:cstheme="majorBidi"/>
      <w:b/>
      <w:sz w:val="26"/>
      <w:szCs w:val="26"/>
      <w:lang w:val="en-US"/>
    </w:rPr>
  </w:style>
  <w:style w:type="paragraph" w:styleId="Heading3">
    <w:name w:val="heading 3"/>
    <w:basedOn w:val="Normal"/>
    <w:next w:val="Normal"/>
    <w:link w:val="Heading3Char"/>
    <w:uiPriority w:val="9"/>
    <w:unhideWhenUsed/>
    <w:qFormat/>
    <w:rsid w:val="00001B1F"/>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0C56"/>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D12DF2"/>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001B1F"/>
    <w:rPr>
      <w:rFonts w:ascii="Times New Roman" w:eastAsiaTheme="majorEastAsia" w:hAnsi="Times New Roman" w:cstheme="majorBidi"/>
      <w:b/>
      <w:color w:val="000000" w:themeColor="text1"/>
      <w:sz w:val="24"/>
      <w:szCs w:val="24"/>
      <w:lang w:val="en-GB"/>
    </w:rPr>
  </w:style>
  <w:style w:type="paragraph" w:styleId="NoSpacing">
    <w:name w:val="No Spacing"/>
    <w:uiPriority w:val="1"/>
    <w:qFormat/>
    <w:rsid w:val="00694A84"/>
    <w:pPr>
      <w:spacing w:after="0" w:line="240" w:lineRule="auto"/>
      <w:jc w:val="both"/>
    </w:pPr>
    <w:rPr>
      <w:rFonts w:ascii="Times New Roman" w:hAnsi="Times New Roman"/>
      <w:color w:val="000000" w:themeColor="text1"/>
      <w:sz w:val="24"/>
      <w:lang w:val="en-GB"/>
    </w:rPr>
  </w:style>
  <w:style w:type="paragraph" w:styleId="ListParagraph">
    <w:name w:val="List Paragraph"/>
    <w:basedOn w:val="Normal"/>
    <w:uiPriority w:val="34"/>
    <w:qFormat/>
    <w:rsid w:val="00CA32AA"/>
    <w:pPr>
      <w:ind w:left="720"/>
      <w:contextualSpacing/>
    </w:pPr>
  </w:style>
  <w:style w:type="paragraph" w:styleId="Bibliography">
    <w:name w:val="Bibliography"/>
    <w:basedOn w:val="Normal"/>
    <w:next w:val="Normal"/>
    <w:uiPriority w:val="37"/>
    <w:unhideWhenUsed/>
    <w:rsid w:val="006C0153"/>
  </w:style>
  <w:style w:type="character" w:styleId="Hyperlink">
    <w:name w:val="Hyperlink"/>
    <w:basedOn w:val="DefaultParagraphFont"/>
    <w:uiPriority w:val="99"/>
    <w:unhideWhenUsed/>
    <w:rsid w:val="006C0153"/>
    <w:rPr>
      <w:color w:val="0563C1" w:themeColor="hyperlink"/>
      <w:u w:val="single"/>
    </w:rPr>
  </w:style>
  <w:style w:type="paragraph" w:styleId="Header">
    <w:name w:val="header"/>
    <w:basedOn w:val="Normal"/>
    <w:link w:val="HeaderChar"/>
    <w:uiPriority w:val="99"/>
    <w:unhideWhenUsed/>
    <w:rsid w:val="004F53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5316"/>
    <w:rPr>
      <w:rFonts w:ascii="Times New Roman" w:hAnsi="Times New Roman"/>
      <w:color w:val="000000" w:themeColor="text1"/>
      <w:sz w:val="24"/>
      <w:lang w:val="en-GB"/>
    </w:rPr>
  </w:style>
  <w:style w:type="paragraph" w:styleId="Footer">
    <w:name w:val="footer"/>
    <w:basedOn w:val="Normal"/>
    <w:link w:val="FooterChar"/>
    <w:uiPriority w:val="99"/>
    <w:unhideWhenUsed/>
    <w:rsid w:val="004F53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5316"/>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7351A2"/>
    <w:pPr>
      <w:spacing w:after="0"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7351A2"/>
    <w:pPr>
      <w:spacing w:after="100"/>
    </w:pPr>
  </w:style>
  <w:style w:type="paragraph" w:customStyle="1" w:styleId="Normal1">
    <w:name w:val="Normal1"/>
    <w:rsid w:val="00392709"/>
    <w:pPr>
      <w:spacing w:after="0" w:line="480" w:lineRule="auto"/>
      <w:jc w:val="both"/>
    </w:pPr>
    <w:rPr>
      <w:rFonts w:ascii="Times New Roman" w:eastAsia="Times New Roman" w:hAnsi="Times New Roman" w:cs="Times New Roman"/>
      <w:sz w:val="24"/>
      <w:szCs w:val="24"/>
      <w:lang w:v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PSm22</b:Tag>
    <b:SourceType>InternetSite</b:SourceType>
    <b:Guid>{EC436BCB-153A-4C1E-8373-7E4FD633497D}</b:Guid>
    <b:Author>
      <b:Author>
        <b:NameList>
          <b:Person>
            <b:Last>Smith</b:Last>
            <b:First>P.</b:First>
          </b:Person>
        </b:NameList>
      </b:Author>
    </b:Author>
    <b:Title>Annual revenue of Next plc from financial year 2012 to 2022 in the United Kingdom (UK)(in million GBP)</b:Title>
    <b:Year>2022</b:Year>
    <b:YearAccessed>2023</b:YearAccessed>
    <b:MonthAccessed>April</b:MonthAccessed>
    <b:DayAccessed>11</b:DayAccessed>
    <b:URL>https://www.statista.com/statistics/544243/next-annual-revenue-uk/</b:URL>
    <b:RefOrder>1</b:RefOrder>
  </b:Source>
  <b:Source>
    <b:Tag>nex231</b:Tag>
    <b:SourceType>InternetSite</b:SourceType>
    <b:Guid>{DD11ADB4-83CD-4B33-9F41-0ABE261344AC}</b:Guid>
    <b:Author>
      <b:Author>
        <b:Corporate>nextplc</b:Corporate>
      </b:Author>
    </b:Author>
    <b:Title>AT A GLANCE</b:Title>
    <b:Year>2023</b:Year>
    <b:YearAccessed>2023</b:YearAccessed>
    <b:MonthAccessed>April</b:MonthAccessed>
    <b:DayAccessed>12</b:DayAccessed>
    <b:URL>https://www.nextplc.co.uk/about-next/at-a-glance</b:URL>
    <b:RefOrder>2</b:RefOrder>
  </b:Source>
  <b:Source>
    <b:Tag>nex232</b:Tag>
    <b:SourceType>InternetSite</b:SourceType>
    <b:Guid>{F2442321-25A1-44ED-9C89-F4FDF1E0C905}</b:Guid>
    <b:Author>
      <b:Author>
        <b:Corporate>nextplc</b:Corporate>
      </b:Author>
    </b:Author>
    <b:Title>DIVIDEND HISTORY</b:Title>
    <b:Year>2023</b:Year>
    <b:YearAccessed>2023</b:YearAccessed>
    <b:MonthAccessed>April</b:MonthAccessed>
    <b:DayAccessed>13</b:DayAccessed>
    <b:URL>https://www.nextplc.co.uk/investors/shareholder-information/dividend-history</b:URL>
    <b:RefOrder>4</b:RefOrder>
  </b:Source>
  <b:Source>
    <b:Tag>div23</b:Tag>
    <b:SourceType>InternetSite</b:SourceType>
    <b:Guid>{F43F9610-2C96-477E-BFBB-0DD6EB779686}</b:Guid>
    <b:Author>
      <b:Author>
        <b:Corporate>dividendmax</b:Corporate>
      </b:Author>
    </b:Author>
    <b:Title>Next plc.</b:Title>
    <b:Year>2023</b:Year>
    <b:YearAccessed>2023</b:YearAccessed>
    <b:MonthAccessed>April</b:MonthAccessed>
    <b:DayAccessed>13</b:DayAccessed>
    <b:URL>https://www.dividendmax.com/united-kingdom/london-stock-exchange/retailers/next-plc/dividends</b:URL>
    <b:RefOrder>5</b:RefOrder>
  </b:Source>
  <b:Source>
    <b:Tag>Sta234</b:Tag>
    <b:SourceType>InternetSite</b:SourceType>
    <b:Guid>{D5A70B80-448D-450B-A214-034524341EDC}</b:Guid>
    <b:Author>
      <b:Author>
        <b:NameList>
          <b:Person>
            <b:Last>Wilson</b:Last>
            <b:First>Stanley</b:First>
          </b:Person>
        </b:NameList>
      </b:Author>
    </b:Author>
    <b:Title>What Are the Types of Project Appraisal Methodologies?</b:Title>
    <b:Year>2023</b:Year>
    <b:YearAccessed>2023</b:YearAccessed>
    <b:MonthAccessed>April</b:MonthAccessed>
    <b:DayAccessed>13</b:DayAccessed>
    <b:URL>https://smallbusiness.chron.com/types-project-appraisal-methodologies-14716.html</b:URL>
    <b:RefOrder>7</b:RefOrder>
  </b:Source>
  <b:Source>
    <b:Tag>Reb22</b:Tag>
    <b:SourceType>InternetSite</b:SourceType>
    <b:Guid>{AB2DDE4F-9EEA-4B28-9335-A9206C9DB609}</b:Guid>
    <b:Author>
      <b:Author>
        <b:NameList>
          <b:Person>
            <b:Last>Baldridge</b:Last>
            <b:First>Rebecca</b:First>
          </b:Person>
        </b:NameList>
      </b:Author>
    </b:Author>
    <b:Title>What Is the Efficient Market Hypothesis?</b:Title>
    <b:Year>2022</b:Year>
    <b:YearAccessed>2023</b:YearAccessed>
    <b:MonthAccessed>April </b:MonthAccessed>
    <b:DayAccessed>12</b:DayAccessed>
    <b:URL>https://www.forbes.com/advisor/investing/efficient-market-hypothesis/</b:URL>
    <b:RefOrder>6</b:RefOrder>
  </b:Source>
  <b:Source>
    <b:Tag>Gan22</b:Tag>
    <b:SourceType>InternetSite</b:SourceType>
    <b:Guid>{14ACDE9D-CF54-4DFF-896D-50DF3BFB8C08}</b:Guid>
    <b:Author>
      <b:Author>
        <b:NameList>
          <b:Person>
            <b:Last>Macmillan</b:Last>
            <b:First>Gandolfo</b:First>
          </b:Person>
        </b:NameList>
      </b:Author>
    </b:Author>
    <b:Title>International Finance Scope, Importance, Advantages and Disadvantages</b:Title>
    <b:Year>2022</b:Year>
    <b:YearAccessed>2023</b:YearAccessed>
    <b:MonthAccessed>April</b:MonthAccessed>
    <b:DayAccessed>13</b:DayAccessed>
    <b:URL>https://www.walshmedicalmedia.com/open-access/international-finance-scope-importance-advantages-and-disadvantages-109767.html</b:URL>
    <b:RefOrder>3</b:RefOrder>
  </b:Source>
</b:Sources>
</file>

<file path=customXml/itemProps1.xml><?xml version="1.0" encoding="utf-8"?>
<ds:datastoreItem xmlns:ds="http://schemas.openxmlformats.org/officeDocument/2006/customXml" ds:itemID="{C0E411E1-EE9C-47B7-A55C-0063B4FAC1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1985</Words>
  <Characters>11321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2023-04-25T08:59:00Z</dcterms:created>
  <dcterms:modified xsi:type="dcterms:W3CDTF">2023-04-25T08:59:00Z</dcterms:modified>
</cp:coreProperties>
</file>