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A3641" w14:textId="2BFC2DA3" w:rsidR="00A57359" w:rsidRDefault="00A57359">
      <w:r>
        <w:t xml:space="preserve">The purpose of this presentation is to discuss how Persian intervention affected Athenian war efforts during the </w:t>
      </w:r>
      <w:r w:rsidR="00072541">
        <w:t>Decelean war</w:t>
      </w:r>
      <w:r>
        <w:t xml:space="preserve"> with specific reference to the disruption of Athenian trade and alliances. This presentation will briefly explore the role of Lysander and other key generals in the disruption of Athenian trade routes to focus on the economic implications of reduced sea trade as well as how the loss of primary revenue avenues such as silver mining negatively impacted the Athenian economy. The role of Persia in this conflict will provide a key turning point due to the supply of a fleet to Sparta which disrupted a large portion of Athenian trade and as a result impacted the economy. This presentation will argue that the economic result of this conflict was a significantly weakened Athens and led into a period of economic decline. </w:t>
      </w:r>
      <w:r w:rsidR="00072541">
        <w:t>The works of Xenophon</w:t>
      </w:r>
      <w:r w:rsidR="00072541">
        <w:rPr>
          <w:rStyle w:val="FootnoteReference"/>
        </w:rPr>
        <w:footnoteReference w:id="1"/>
      </w:r>
      <w:r w:rsidR="00072541">
        <w:t>, Diodorus</w:t>
      </w:r>
      <w:r w:rsidR="00072541">
        <w:rPr>
          <w:rStyle w:val="FootnoteReference"/>
        </w:rPr>
        <w:footnoteReference w:id="2"/>
      </w:r>
      <w:r w:rsidR="00072541">
        <w:t>, pseudo Aristotle</w:t>
      </w:r>
      <w:r w:rsidR="00072541">
        <w:rPr>
          <w:rStyle w:val="FootnoteReference"/>
        </w:rPr>
        <w:footnoteReference w:id="3"/>
      </w:r>
      <w:r w:rsidR="00072541">
        <w:t xml:space="preserve"> and Thucydides</w:t>
      </w:r>
      <w:r w:rsidR="00072541">
        <w:rPr>
          <w:rStyle w:val="FootnoteReference"/>
        </w:rPr>
        <w:footnoteReference w:id="4"/>
      </w:r>
      <w:r w:rsidR="00072541">
        <w:t xml:space="preserve"> will form the core of this presentation, supplemented with the modern works of Millet, Rich and Shipley</w:t>
      </w:r>
      <w:r w:rsidR="00072541">
        <w:rPr>
          <w:rStyle w:val="FootnoteReference"/>
        </w:rPr>
        <w:footnoteReference w:id="5"/>
      </w:r>
      <w:r w:rsidR="00072541">
        <w:t xml:space="preserve"> who explored the correlation between wealth and warfare in democratic Athens. </w:t>
      </w:r>
    </w:p>
    <w:p w14:paraId="046F8B14" w14:textId="7601328E" w:rsidR="00072541" w:rsidRDefault="00072541"/>
    <w:p w14:paraId="26FD7636" w14:textId="64ACBC93" w:rsidR="00072541" w:rsidRDefault="00072541"/>
    <w:p w14:paraId="51CB2DC4" w14:textId="7AA79449" w:rsidR="00072541" w:rsidRDefault="00072541"/>
    <w:p w14:paraId="09F0BDCB" w14:textId="73ADBF3A" w:rsidR="00072541" w:rsidRDefault="00072541"/>
    <w:p w14:paraId="6B8E13E5" w14:textId="449E33E6" w:rsidR="00072541" w:rsidRDefault="00072541"/>
    <w:p w14:paraId="0439D434" w14:textId="398E739B" w:rsidR="00072541" w:rsidRDefault="00072541"/>
    <w:p w14:paraId="28F5DB4D" w14:textId="7AEAD237" w:rsidR="00072541" w:rsidRDefault="00072541"/>
    <w:p w14:paraId="1D8F7F7E" w14:textId="251AD3D3" w:rsidR="00072541" w:rsidRDefault="00072541"/>
    <w:p w14:paraId="113D1155" w14:textId="6ECEAEE3" w:rsidR="00072541" w:rsidRDefault="00072541"/>
    <w:p w14:paraId="0A181F79" w14:textId="5A7C12BD" w:rsidR="00072541" w:rsidRDefault="00072541"/>
    <w:p w14:paraId="64E7B5D3" w14:textId="28373F56" w:rsidR="00072541" w:rsidRDefault="00072541"/>
    <w:p w14:paraId="6A859E5B" w14:textId="2318FA47" w:rsidR="00072541" w:rsidRDefault="00072541"/>
    <w:p w14:paraId="10463AE1" w14:textId="714D8F58" w:rsidR="00072541" w:rsidRDefault="00072541"/>
    <w:p w14:paraId="4781195B" w14:textId="3EB69199" w:rsidR="00072541" w:rsidRDefault="00072541"/>
    <w:p w14:paraId="7CFC76BE" w14:textId="7C6440E5" w:rsidR="00072541" w:rsidRDefault="00072541"/>
    <w:p w14:paraId="2D1A845C" w14:textId="6D5477F0" w:rsidR="00072541" w:rsidRDefault="00072541"/>
    <w:p w14:paraId="5C8A2D12" w14:textId="3BEFE12F" w:rsidR="00072541" w:rsidRDefault="00072541"/>
    <w:p w14:paraId="7C9E9326" w14:textId="6A801928" w:rsidR="00072541" w:rsidRDefault="00072541"/>
    <w:p w14:paraId="4F51F337" w14:textId="15EC5D19" w:rsidR="00072541" w:rsidRDefault="00072541"/>
    <w:p w14:paraId="27BC52F0" w14:textId="7EC68645" w:rsidR="00072541" w:rsidRDefault="00072541"/>
    <w:p w14:paraId="2119F10A" w14:textId="3DB3E7D0" w:rsidR="00072541" w:rsidRDefault="00072541">
      <w:pPr>
        <w:rPr>
          <w:b/>
          <w:bCs/>
          <w:u w:val="single"/>
        </w:rPr>
      </w:pPr>
      <w:r>
        <w:rPr>
          <w:b/>
          <w:bCs/>
          <w:u w:val="single"/>
        </w:rPr>
        <w:lastRenderedPageBreak/>
        <w:t>Bibliography:</w:t>
      </w:r>
    </w:p>
    <w:p w14:paraId="39D0DE7F" w14:textId="2220D35D" w:rsidR="00072541" w:rsidRDefault="00072541">
      <w:pPr>
        <w:rPr>
          <w:b/>
          <w:bCs/>
        </w:rPr>
      </w:pPr>
      <w:r>
        <w:rPr>
          <w:b/>
          <w:bCs/>
        </w:rPr>
        <w:t>Ancient Sources:</w:t>
      </w:r>
    </w:p>
    <w:p w14:paraId="745538CC" w14:textId="0470D03E" w:rsidR="006E5730" w:rsidRDefault="006E5730">
      <w:pPr>
        <w:rPr>
          <w:rFonts w:cstheme="minorHAnsi"/>
          <w:sz w:val="24"/>
          <w:szCs w:val="24"/>
        </w:rPr>
      </w:pPr>
      <w:r>
        <w:rPr>
          <w:rFonts w:cstheme="minorHAnsi"/>
          <w:sz w:val="24"/>
          <w:szCs w:val="24"/>
        </w:rPr>
        <w:t xml:space="preserve">Aristotle, </w:t>
      </w:r>
      <w:r>
        <w:rPr>
          <w:rFonts w:cstheme="minorHAnsi"/>
          <w:i/>
          <w:iCs/>
          <w:sz w:val="24"/>
          <w:szCs w:val="24"/>
        </w:rPr>
        <w:t>Economics.</w:t>
      </w:r>
      <w:r>
        <w:rPr>
          <w:rFonts w:cstheme="minorHAnsi"/>
          <w:sz w:val="24"/>
          <w:szCs w:val="24"/>
        </w:rPr>
        <w:t xml:space="preserve"> G. C. Armstrong (trans.). 1935. London: William Heinemann.</w:t>
      </w:r>
    </w:p>
    <w:p w14:paraId="6059562C" w14:textId="76F17DD0" w:rsidR="006E5730" w:rsidRDefault="006E5730">
      <w:pPr>
        <w:rPr>
          <w:b/>
          <w:bCs/>
        </w:rPr>
      </w:pPr>
      <w:r w:rsidRPr="00EC4788">
        <w:rPr>
          <w:rFonts w:cstheme="minorHAnsi"/>
          <w:sz w:val="24"/>
          <w:szCs w:val="24"/>
        </w:rPr>
        <w:t xml:space="preserve">Diodorus Siculus, </w:t>
      </w:r>
      <w:r w:rsidRPr="007B4AB1">
        <w:rPr>
          <w:rFonts w:cstheme="minorHAnsi"/>
          <w:i/>
          <w:iCs/>
          <w:sz w:val="24"/>
          <w:szCs w:val="24"/>
        </w:rPr>
        <w:t>Library</w:t>
      </w:r>
      <w:r w:rsidRPr="00EC4788">
        <w:rPr>
          <w:rFonts w:cstheme="minorHAnsi"/>
          <w:sz w:val="24"/>
          <w:szCs w:val="24"/>
        </w:rPr>
        <w:t>. C.H. Oldfather (trans.). 1989. London: William Heinemann</w:t>
      </w:r>
      <w:r>
        <w:rPr>
          <w:rFonts w:cstheme="minorHAnsi"/>
          <w:sz w:val="24"/>
          <w:szCs w:val="24"/>
        </w:rPr>
        <w:t>.</w:t>
      </w:r>
    </w:p>
    <w:p w14:paraId="34914657" w14:textId="77777777" w:rsidR="00072541" w:rsidRPr="00EC4788" w:rsidRDefault="00072541" w:rsidP="00072541">
      <w:pPr>
        <w:rPr>
          <w:rFonts w:cstheme="minorHAnsi"/>
          <w:sz w:val="24"/>
          <w:szCs w:val="24"/>
        </w:rPr>
      </w:pPr>
      <w:r w:rsidRPr="00EC4788">
        <w:rPr>
          <w:rFonts w:cstheme="minorHAnsi"/>
          <w:sz w:val="24"/>
          <w:szCs w:val="24"/>
        </w:rPr>
        <w:t xml:space="preserve">Thucydides, </w:t>
      </w:r>
      <w:r w:rsidRPr="007B4AB1">
        <w:rPr>
          <w:rFonts w:cstheme="minorHAnsi"/>
          <w:i/>
          <w:iCs/>
          <w:sz w:val="24"/>
          <w:szCs w:val="24"/>
        </w:rPr>
        <w:t>History of the Peloponnesian War</w:t>
      </w:r>
      <w:r w:rsidRPr="00EC4788">
        <w:rPr>
          <w:rFonts w:cstheme="minorHAnsi"/>
          <w:sz w:val="24"/>
          <w:szCs w:val="24"/>
        </w:rPr>
        <w:t>. B. Jowett (trans.). 1881. Oxford: Clarendon Press.</w:t>
      </w:r>
    </w:p>
    <w:p w14:paraId="44443785" w14:textId="77777777" w:rsidR="00072541" w:rsidRPr="00EC4788" w:rsidRDefault="00072541" w:rsidP="00072541">
      <w:pPr>
        <w:rPr>
          <w:rFonts w:cstheme="minorHAnsi"/>
          <w:sz w:val="24"/>
          <w:szCs w:val="24"/>
        </w:rPr>
      </w:pPr>
      <w:r w:rsidRPr="00EC4788">
        <w:rPr>
          <w:rFonts w:cstheme="minorHAnsi"/>
          <w:sz w:val="24"/>
          <w:szCs w:val="24"/>
        </w:rPr>
        <w:t xml:space="preserve">Xenophon, </w:t>
      </w:r>
      <w:r w:rsidRPr="007B4AB1">
        <w:rPr>
          <w:rFonts w:cstheme="minorHAnsi"/>
          <w:i/>
          <w:iCs/>
          <w:sz w:val="24"/>
          <w:szCs w:val="24"/>
        </w:rPr>
        <w:t>Anabasis</w:t>
      </w:r>
      <w:r w:rsidRPr="00EC4788">
        <w:rPr>
          <w:rFonts w:cstheme="minorHAnsi"/>
          <w:sz w:val="24"/>
          <w:szCs w:val="24"/>
        </w:rPr>
        <w:t>. C.L Brownson (trans.). 1922. London: William Heinemann.</w:t>
      </w:r>
    </w:p>
    <w:p w14:paraId="1A195713" w14:textId="38510547" w:rsidR="006E5730" w:rsidRPr="00EC4788" w:rsidRDefault="006E5730" w:rsidP="006E5730">
      <w:pPr>
        <w:rPr>
          <w:rFonts w:cstheme="minorHAnsi"/>
          <w:sz w:val="24"/>
          <w:szCs w:val="24"/>
        </w:rPr>
      </w:pPr>
      <w:r w:rsidRPr="00EC4788">
        <w:rPr>
          <w:rFonts w:cstheme="minorHAnsi"/>
          <w:sz w:val="24"/>
          <w:szCs w:val="24"/>
        </w:rPr>
        <w:t xml:space="preserve">Xenophon, </w:t>
      </w:r>
      <w:r>
        <w:rPr>
          <w:rFonts w:cstheme="minorHAnsi"/>
          <w:i/>
          <w:iCs/>
          <w:sz w:val="24"/>
          <w:szCs w:val="24"/>
        </w:rPr>
        <w:t>Economics</w:t>
      </w:r>
      <w:r w:rsidRPr="00EC4788">
        <w:rPr>
          <w:rFonts w:cstheme="minorHAnsi"/>
          <w:sz w:val="24"/>
          <w:szCs w:val="24"/>
        </w:rPr>
        <w:t>. C.L Brownson</w:t>
      </w:r>
      <w:r w:rsidRPr="00EC4788">
        <w:rPr>
          <w:rFonts w:cstheme="minorHAnsi"/>
          <w:sz w:val="24"/>
          <w:szCs w:val="24"/>
        </w:rPr>
        <w:t xml:space="preserve"> </w:t>
      </w:r>
      <w:r w:rsidRPr="00EC4788">
        <w:rPr>
          <w:rFonts w:cstheme="minorHAnsi"/>
          <w:sz w:val="24"/>
          <w:szCs w:val="24"/>
        </w:rPr>
        <w:t>(trans.). 19</w:t>
      </w:r>
      <w:r>
        <w:rPr>
          <w:rFonts w:cstheme="minorHAnsi"/>
          <w:sz w:val="24"/>
          <w:szCs w:val="24"/>
        </w:rPr>
        <w:t>79</w:t>
      </w:r>
      <w:r w:rsidRPr="00EC4788">
        <w:rPr>
          <w:rFonts w:cstheme="minorHAnsi"/>
          <w:sz w:val="24"/>
          <w:szCs w:val="24"/>
        </w:rPr>
        <w:t>. London: William Heinemann.</w:t>
      </w:r>
    </w:p>
    <w:p w14:paraId="5F95A7D1" w14:textId="18D1EF85" w:rsidR="006E5730" w:rsidRPr="00EC4788" w:rsidRDefault="006E5730" w:rsidP="006E5730">
      <w:pPr>
        <w:rPr>
          <w:rFonts w:cstheme="minorHAnsi"/>
          <w:sz w:val="24"/>
          <w:szCs w:val="24"/>
        </w:rPr>
      </w:pPr>
      <w:r w:rsidRPr="00EC4788">
        <w:rPr>
          <w:rFonts w:cstheme="minorHAnsi"/>
          <w:sz w:val="24"/>
          <w:szCs w:val="24"/>
        </w:rPr>
        <w:t xml:space="preserve">Xenophon, </w:t>
      </w:r>
      <w:r>
        <w:rPr>
          <w:rFonts w:cstheme="minorHAnsi"/>
          <w:i/>
          <w:iCs/>
          <w:sz w:val="24"/>
          <w:szCs w:val="24"/>
        </w:rPr>
        <w:t>Ways and Means</w:t>
      </w:r>
      <w:r w:rsidRPr="00EC4788">
        <w:rPr>
          <w:rFonts w:cstheme="minorHAnsi"/>
          <w:sz w:val="24"/>
          <w:szCs w:val="24"/>
        </w:rPr>
        <w:t xml:space="preserve">. </w:t>
      </w:r>
      <w:r>
        <w:rPr>
          <w:rFonts w:cstheme="minorHAnsi"/>
          <w:sz w:val="24"/>
          <w:szCs w:val="24"/>
        </w:rPr>
        <w:t xml:space="preserve">E. C. Marchant and G. W. </w:t>
      </w:r>
      <w:proofErr w:type="spellStart"/>
      <w:r>
        <w:rPr>
          <w:rFonts w:cstheme="minorHAnsi"/>
          <w:sz w:val="24"/>
          <w:szCs w:val="24"/>
        </w:rPr>
        <w:t>Bowersock</w:t>
      </w:r>
      <w:proofErr w:type="spellEnd"/>
      <w:r w:rsidRPr="00EC4788">
        <w:rPr>
          <w:rFonts w:cstheme="minorHAnsi"/>
          <w:sz w:val="24"/>
          <w:szCs w:val="24"/>
        </w:rPr>
        <w:t xml:space="preserve"> (trans.). 192</w:t>
      </w:r>
      <w:r>
        <w:rPr>
          <w:rFonts w:cstheme="minorHAnsi"/>
          <w:sz w:val="24"/>
          <w:szCs w:val="24"/>
        </w:rPr>
        <w:t>5</w:t>
      </w:r>
      <w:r w:rsidRPr="00EC4788">
        <w:rPr>
          <w:rFonts w:cstheme="minorHAnsi"/>
          <w:sz w:val="24"/>
          <w:szCs w:val="24"/>
        </w:rPr>
        <w:t>. London: William Heinemann.</w:t>
      </w:r>
    </w:p>
    <w:p w14:paraId="0C124943" w14:textId="7ABC9518" w:rsidR="00072541" w:rsidRDefault="00072541">
      <w:pPr>
        <w:rPr>
          <w:b/>
          <w:bCs/>
        </w:rPr>
      </w:pPr>
    </w:p>
    <w:p w14:paraId="2FB0A5EB" w14:textId="44831849" w:rsidR="00072541" w:rsidRDefault="00072541">
      <w:pPr>
        <w:rPr>
          <w:b/>
          <w:bCs/>
        </w:rPr>
      </w:pPr>
      <w:r>
        <w:rPr>
          <w:b/>
          <w:bCs/>
        </w:rPr>
        <w:t>Modern Scholarship:</w:t>
      </w:r>
    </w:p>
    <w:p w14:paraId="759A7E04" w14:textId="77777777" w:rsidR="00072541" w:rsidRDefault="00072541" w:rsidP="00072541">
      <w:pPr>
        <w:rPr>
          <w:rFonts w:cstheme="minorHAnsi"/>
          <w:color w:val="000000"/>
          <w:sz w:val="24"/>
          <w:szCs w:val="24"/>
        </w:rPr>
      </w:pPr>
      <w:r w:rsidRPr="00EC4788">
        <w:rPr>
          <w:rFonts w:cstheme="minorHAnsi"/>
          <w:color w:val="000000"/>
          <w:sz w:val="24"/>
          <w:szCs w:val="24"/>
        </w:rPr>
        <w:t xml:space="preserve">Rich, J and Shipley, G. 1993. </w:t>
      </w:r>
      <w:r w:rsidRPr="007B4AB1">
        <w:rPr>
          <w:rFonts w:cstheme="minorHAnsi"/>
          <w:i/>
          <w:iCs/>
          <w:color w:val="000000"/>
          <w:sz w:val="24"/>
          <w:szCs w:val="24"/>
        </w:rPr>
        <w:t>War and Society in the Greek world</w:t>
      </w:r>
      <w:r w:rsidRPr="00EC4788">
        <w:rPr>
          <w:rFonts w:cstheme="minorHAnsi"/>
          <w:color w:val="000000"/>
          <w:sz w:val="24"/>
          <w:szCs w:val="24"/>
        </w:rPr>
        <w:t>. London: Routledge.</w:t>
      </w:r>
    </w:p>
    <w:p w14:paraId="74477D30" w14:textId="77777777" w:rsidR="00072541" w:rsidRPr="00072541" w:rsidRDefault="00072541">
      <w:pPr>
        <w:rPr>
          <w:b/>
          <w:bCs/>
        </w:rPr>
      </w:pPr>
    </w:p>
    <w:sectPr w:rsidR="00072541" w:rsidRPr="000725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E1A44" w14:textId="77777777" w:rsidR="00072541" w:rsidRDefault="00072541" w:rsidP="00072541">
      <w:pPr>
        <w:spacing w:after="0" w:line="240" w:lineRule="auto"/>
      </w:pPr>
      <w:r>
        <w:separator/>
      </w:r>
    </w:p>
  </w:endnote>
  <w:endnote w:type="continuationSeparator" w:id="0">
    <w:p w14:paraId="42D1D164" w14:textId="77777777" w:rsidR="00072541" w:rsidRDefault="00072541" w:rsidP="0007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C7389" w14:textId="77777777" w:rsidR="00072541" w:rsidRDefault="00072541" w:rsidP="00072541">
      <w:pPr>
        <w:spacing w:after="0" w:line="240" w:lineRule="auto"/>
      </w:pPr>
      <w:r>
        <w:separator/>
      </w:r>
    </w:p>
  </w:footnote>
  <w:footnote w:type="continuationSeparator" w:id="0">
    <w:p w14:paraId="0239CA48" w14:textId="77777777" w:rsidR="00072541" w:rsidRDefault="00072541" w:rsidP="00072541">
      <w:pPr>
        <w:spacing w:after="0" w:line="240" w:lineRule="auto"/>
      </w:pPr>
      <w:r>
        <w:continuationSeparator/>
      </w:r>
    </w:p>
  </w:footnote>
  <w:footnote w:id="1">
    <w:p w14:paraId="39137F45" w14:textId="4449A13B" w:rsidR="00072541" w:rsidRDefault="00072541">
      <w:pPr>
        <w:pStyle w:val="FootnoteText"/>
      </w:pPr>
      <w:r>
        <w:rPr>
          <w:rStyle w:val="FootnoteReference"/>
        </w:rPr>
        <w:footnoteRef/>
      </w:r>
      <w:r>
        <w:t xml:space="preserve"> </w:t>
      </w:r>
      <w:r w:rsidR="006E5730" w:rsidRPr="006E5730">
        <w:t xml:space="preserve">Xen. </w:t>
      </w:r>
      <w:proofErr w:type="spellStart"/>
      <w:r w:rsidR="006E5730" w:rsidRPr="006E5730">
        <w:t>Ec</w:t>
      </w:r>
      <w:proofErr w:type="spellEnd"/>
      <w:r w:rsidR="006E5730">
        <w:t xml:space="preserve">; </w:t>
      </w:r>
      <w:r w:rsidR="006E5730" w:rsidRPr="006E5730">
        <w:t>Xen. Way</w:t>
      </w:r>
      <w:r w:rsidR="006E5730">
        <w:t>s.</w:t>
      </w:r>
    </w:p>
  </w:footnote>
  <w:footnote w:id="2">
    <w:p w14:paraId="3D682B48" w14:textId="6CD8BA6A" w:rsidR="00072541" w:rsidRDefault="00072541">
      <w:pPr>
        <w:pStyle w:val="FootnoteText"/>
      </w:pPr>
      <w:r>
        <w:rPr>
          <w:rStyle w:val="FootnoteReference"/>
        </w:rPr>
        <w:footnoteRef/>
      </w:r>
      <w:r>
        <w:t xml:space="preserve"> </w:t>
      </w:r>
      <w:proofErr w:type="spellStart"/>
      <w:r w:rsidR="006E5730">
        <w:t>Diod</w:t>
      </w:r>
      <w:proofErr w:type="spellEnd"/>
      <w:r w:rsidR="006E5730">
        <w:t>.</w:t>
      </w:r>
    </w:p>
  </w:footnote>
  <w:footnote w:id="3">
    <w:p w14:paraId="442FD1E6" w14:textId="708258EC" w:rsidR="00072541" w:rsidRDefault="00072541">
      <w:pPr>
        <w:pStyle w:val="FootnoteText"/>
      </w:pPr>
      <w:r>
        <w:rPr>
          <w:rStyle w:val="FootnoteReference"/>
        </w:rPr>
        <w:footnoteRef/>
      </w:r>
      <w:r>
        <w:t xml:space="preserve"> </w:t>
      </w:r>
      <w:proofErr w:type="spellStart"/>
      <w:r w:rsidR="006E5730" w:rsidRPr="006E5730">
        <w:t>Aristot</w:t>
      </w:r>
      <w:proofErr w:type="spellEnd"/>
      <w:r w:rsidR="006E5730" w:rsidRPr="006E5730">
        <w:t>. Econ</w:t>
      </w:r>
      <w:r w:rsidR="006E5730">
        <w:t>.</w:t>
      </w:r>
    </w:p>
  </w:footnote>
  <w:footnote w:id="4">
    <w:p w14:paraId="0A542C21" w14:textId="3470A40E" w:rsidR="00072541" w:rsidRDefault="00072541">
      <w:pPr>
        <w:pStyle w:val="FootnoteText"/>
      </w:pPr>
      <w:r>
        <w:rPr>
          <w:rStyle w:val="FootnoteReference"/>
        </w:rPr>
        <w:footnoteRef/>
      </w:r>
      <w:r>
        <w:t xml:space="preserve"> </w:t>
      </w:r>
      <w:proofErr w:type="spellStart"/>
      <w:r w:rsidR="006E5730">
        <w:t>Thuc</w:t>
      </w:r>
      <w:proofErr w:type="spellEnd"/>
      <w:r w:rsidR="006E5730">
        <w:t>.</w:t>
      </w:r>
    </w:p>
  </w:footnote>
  <w:footnote w:id="5">
    <w:p w14:paraId="6008812D" w14:textId="569D41B1" w:rsidR="00072541" w:rsidRDefault="00072541">
      <w:pPr>
        <w:pStyle w:val="FootnoteText"/>
      </w:pPr>
      <w:r>
        <w:rPr>
          <w:rStyle w:val="FootnoteReference"/>
        </w:rPr>
        <w:footnoteRef/>
      </w:r>
      <w:r>
        <w:t xml:space="preserve"> Rich and Shipley, 1993.</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359"/>
    <w:rsid w:val="00072541"/>
    <w:rsid w:val="00254E28"/>
    <w:rsid w:val="006E5730"/>
    <w:rsid w:val="00A57359"/>
    <w:rsid w:val="00FB1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1856"/>
  <w15:chartTrackingRefBased/>
  <w15:docId w15:val="{12B0EBBC-F155-4C11-A3C4-80810B0B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25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541"/>
    <w:rPr>
      <w:sz w:val="20"/>
      <w:szCs w:val="20"/>
    </w:rPr>
  </w:style>
  <w:style w:type="character" w:styleId="FootnoteReference">
    <w:name w:val="footnote reference"/>
    <w:basedOn w:val="DefaultParagraphFont"/>
    <w:uiPriority w:val="99"/>
    <w:semiHidden/>
    <w:unhideWhenUsed/>
    <w:rsid w:val="000725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A3130-EE8A-4F77-BDBB-69F10675E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dc:creator>
  <cp:keywords/>
  <dc:description/>
  <cp:lastModifiedBy>tamara bowie</cp:lastModifiedBy>
  <cp:revision>1</cp:revision>
  <dcterms:created xsi:type="dcterms:W3CDTF">2020-03-02T18:08:00Z</dcterms:created>
  <dcterms:modified xsi:type="dcterms:W3CDTF">2020-03-02T18:38:00Z</dcterms:modified>
</cp:coreProperties>
</file>