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29E85" w14:textId="51E4CD5D" w:rsidR="00DC15B7" w:rsidRDefault="00DC15B7" w:rsidP="00DC15B7">
      <w:pPr>
        <w:jc w:val="center"/>
        <w:rPr>
          <w:b/>
          <w:bCs/>
          <w:sz w:val="36"/>
          <w:szCs w:val="32"/>
        </w:rPr>
      </w:pPr>
      <w:r w:rsidRPr="00DC15B7">
        <w:rPr>
          <w:b/>
          <w:bCs/>
          <w:noProof/>
          <w:sz w:val="36"/>
          <w:szCs w:val="32"/>
        </w:rPr>
        <w:drawing>
          <wp:inline distT="0" distB="0" distL="0" distR="0" wp14:anchorId="51A74BC4" wp14:editId="6256B657">
            <wp:extent cx="5733415" cy="774065"/>
            <wp:effectExtent l="0" t="0" r="635" b="6985"/>
            <wp:docPr id="1065316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16171" name=""/>
                    <pic:cNvPicPr/>
                  </pic:nvPicPr>
                  <pic:blipFill>
                    <a:blip r:embed="rId7"/>
                    <a:stretch>
                      <a:fillRect/>
                    </a:stretch>
                  </pic:blipFill>
                  <pic:spPr>
                    <a:xfrm>
                      <a:off x="0" y="0"/>
                      <a:ext cx="5733415" cy="774065"/>
                    </a:xfrm>
                    <a:prstGeom prst="rect">
                      <a:avLst/>
                    </a:prstGeom>
                  </pic:spPr>
                </pic:pic>
              </a:graphicData>
            </a:graphic>
          </wp:inline>
        </w:drawing>
      </w:r>
    </w:p>
    <w:p w14:paraId="6F2F5F18" w14:textId="77777777" w:rsidR="00DC15B7" w:rsidRDefault="00DC15B7" w:rsidP="00DC15B7">
      <w:pPr>
        <w:jc w:val="center"/>
        <w:rPr>
          <w:b/>
          <w:bCs/>
          <w:sz w:val="36"/>
          <w:szCs w:val="32"/>
        </w:rPr>
      </w:pPr>
    </w:p>
    <w:p w14:paraId="084AD60A" w14:textId="77777777" w:rsidR="00DC15B7" w:rsidRDefault="00DC15B7" w:rsidP="00DC15B7">
      <w:pPr>
        <w:jc w:val="center"/>
        <w:rPr>
          <w:b/>
          <w:bCs/>
          <w:sz w:val="36"/>
          <w:szCs w:val="32"/>
        </w:rPr>
      </w:pPr>
    </w:p>
    <w:p w14:paraId="7A0C9400" w14:textId="77777777" w:rsidR="00DC15B7" w:rsidRDefault="00DC15B7" w:rsidP="00DC15B7">
      <w:pPr>
        <w:jc w:val="center"/>
        <w:rPr>
          <w:b/>
          <w:bCs/>
          <w:sz w:val="36"/>
          <w:szCs w:val="32"/>
        </w:rPr>
      </w:pPr>
    </w:p>
    <w:p w14:paraId="020AD3BC" w14:textId="1330C2FF" w:rsidR="00DC15B7" w:rsidRPr="00C77044" w:rsidRDefault="00DC15B7" w:rsidP="00DC15B7">
      <w:pPr>
        <w:jc w:val="center"/>
        <w:rPr>
          <w:b/>
          <w:bCs/>
          <w:sz w:val="40"/>
          <w:szCs w:val="40"/>
        </w:rPr>
      </w:pPr>
      <w:r w:rsidRPr="00C77044">
        <w:rPr>
          <w:b/>
          <w:bCs/>
          <w:sz w:val="40"/>
          <w:szCs w:val="40"/>
        </w:rPr>
        <w:t>Principles of Professional Legal Practice</w:t>
      </w:r>
      <w:r w:rsidR="00C77044" w:rsidRPr="00C77044">
        <w:rPr>
          <w:b/>
          <w:bCs/>
          <w:sz w:val="40"/>
          <w:szCs w:val="40"/>
        </w:rPr>
        <w:br/>
        <w:t xml:space="preserve">Equality and Diversity </w:t>
      </w:r>
    </w:p>
    <w:p w14:paraId="73732D10" w14:textId="0866927A" w:rsidR="00DC15B7" w:rsidRPr="00C77044" w:rsidRDefault="00DC15B7" w:rsidP="00DC15B7">
      <w:pPr>
        <w:jc w:val="center"/>
        <w:rPr>
          <w:b/>
          <w:bCs/>
          <w:szCs w:val="24"/>
        </w:rPr>
      </w:pPr>
      <w:r w:rsidRPr="00C77044">
        <w:rPr>
          <w:b/>
          <w:bCs/>
          <w:szCs w:val="24"/>
        </w:rPr>
        <w:t>Student name:</w:t>
      </w:r>
      <w:r w:rsidR="00C77044" w:rsidRPr="00C77044">
        <w:rPr>
          <w:b/>
          <w:bCs/>
          <w:szCs w:val="24"/>
        </w:rPr>
        <w:t xml:space="preserve"> Ana Maria </w:t>
      </w:r>
      <w:proofErr w:type="spellStart"/>
      <w:r w:rsidR="00C77044" w:rsidRPr="00C77044">
        <w:rPr>
          <w:b/>
          <w:bCs/>
          <w:szCs w:val="24"/>
        </w:rPr>
        <w:t>Acsinte</w:t>
      </w:r>
      <w:proofErr w:type="spellEnd"/>
      <w:r w:rsidR="00C77044" w:rsidRPr="00C77044">
        <w:rPr>
          <w:b/>
          <w:bCs/>
          <w:szCs w:val="24"/>
        </w:rPr>
        <w:t xml:space="preserve"> </w:t>
      </w:r>
    </w:p>
    <w:p w14:paraId="2FACC268" w14:textId="4E9F7844" w:rsidR="00DC15B7" w:rsidRPr="00C77044" w:rsidRDefault="00DC15B7" w:rsidP="00DC15B7">
      <w:pPr>
        <w:jc w:val="center"/>
        <w:rPr>
          <w:b/>
          <w:bCs/>
          <w:szCs w:val="24"/>
        </w:rPr>
      </w:pPr>
      <w:r w:rsidRPr="00C77044">
        <w:rPr>
          <w:b/>
          <w:bCs/>
          <w:szCs w:val="24"/>
        </w:rPr>
        <w:t>Student ID:</w:t>
      </w:r>
      <w:r w:rsidR="00C77044" w:rsidRPr="00C77044">
        <w:rPr>
          <w:b/>
          <w:bCs/>
          <w:szCs w:val="24"/>
        </w:rPr>
        <w:t>2232423</w:t>
      </w:r>
    </w:p>
    <w:p w14:paraId="0F83CA2F" w14:textId="77777777" w:rsidR="00DC15B7" w:rsidRPr="00DC15B7" w:rsidRDefault="00DC15B7" w:rsidP="00DC15B7">
      <w:pPr>
        <w:spacing w:line="276" w:lineRule="auto"/>
        <w:jc w:val="center"/>
        <w:rPr>
          <w:b/>
          <w:bCs/>
          <w:sz w:val="40"/>
          <w:szCs w:val="36"/>
        </w:rPr>
      </w:pPr>
      <w:r w:rsidRPr="00DC15B7">
        <w:rPr>
          <w:b/>
          <w:bCs/>
          <w:sz w:val="40"/>
          <w:szCs w:val="36"/>
        </w:rPr>
        <w:br w:type="page"/>
      </w:r>
    </w:p>
    <w:p w14:paraId="00000001" w14:textId="74698798" w:rsidR="00E23473" w:rsidRPr="0090255A" w:rsidRDefault="00000000">
      <w:pPr>
        <w:rPr>
          <w:b/>
          <w:bCs/>
          <w:sz w:val="28"/>
          <w:szCs w:val="24"/>
        </w:rPr>
      </w:pPr>
      <w:r w:rsidRPr="0090255A">
        <w:rPr>
          <w:b/>
          <w:bCs/>
          <w:sz w:val="28"/>
          <w:szCs w:val="24"/>
        </w:rPr>
        <w:lastRenderedPageBreak/>
        <w:t>Introduction</w:t>
      </w:r>
    </w:p>
    <w:p w14:paraId="00000002" w14:textId="754C30DF" w:rsidR="00E23473" w:rsidRDefault="00000000">
      <w:r>
        <w:t xml:space="preserve">Equality and diversity </w:t>
      </w:r>
      <w:r w:rsidR="0090255A">
        <w:t>are</w:t>
      </w:r>
      <w:r>
        <w:t xml:space="preserve"> a holistic approach that denotes equal opportunity, protection of individual rights and security against discrimination. The main purpose of this study is to highlight the area of laws and guidelines that ensures equality and diversity in the workplace. Some important laws and landmark cases will be discussed in the following essay in order to reveal the significance of equality and diversity within the field of legal practice. Diversity and equality imply the sovereign and democratic nature of a country whereas inequality denotes an autocratic and </w:t>
      </w:r>
      <w:r w:rsidR="0090255A">
        <w:t>imperious</w:t>
      </w:r>
      <w:r>
        <w:t xml:space="preserve"> model. Any civilised and developed country prefers the betterment of its citizens and thereby has made laws which guaranteed equal opportunity and protection against racism, age, gender, cast, crew, language and culture. This essay will define those approaches in the light of suitable literature review, laws and landmark cases, namely the equality act of 2010, the SRA Code of Conduct, and the Human Rights Act of 1998. In the landmark cases Eweida and Chaplin vs UK, BNP Paribas mee to movement, Discrimination plagues NHS England, Sex discrimination case against </w:t>
      </w:r>
      <w:r w:rsidR="00596A5D">
        <w:t>Devon</w:t>
      </w:r>
      <w:r>
        <w:t xml:space="preserve"> vs Cornwell police, straw-bucks employee dyslexia discrimination case, the employment appeal tribunal case, gender pay gap case and Michelle cox’s racial discrimination case.</w:t>
      </w:r>
    </w:p>
    <w:p w14:paraId="00000003" w14:textId="77777777" w:rsidR="00E23473" w:rsidRDefault="00E23473"/>
    <w:p w14:paraId="32D31A3E" w14:textId="77777777" w:rsidR="0090255A" w:rsidRDefault="0090255A">
      <w:pPr>
        <w:spacing w:line="276" w:lineRule="auto"/>
        <w:jc w:val="left"/>
      </w:pPr>
      <w:r>
        <w:br w:type="page"/>
      </w:r>
    </w:p>
    <w:p w14:paraId="00000004" w14:textId="5F148F87" w:rsidR="00E23473" w:rsidRPr="0090255A" w:rsidRDefault="00000000">
      <w:pPr>
        <w:rPr>
          <w:b/>
          <w:bCs/>
          <w:sz w:val="28"/>
          <w:szCs w:val="24"/>
        </w:rPr>
      </w:pPr>
      <w:r w:rsidRPr="0090255A">
        <w:rPr>
          <w:b/>
          <w:bCs/>
          <w:sz w:val="28"/>
          <w:szCs w:val="24"/>
        </w:rPr>
        <w:lastRenderedPageBreak/>
        <w:t>Discussion</w:t>
      </w:r>
    </w:p>
    <w:p w14:paraId="00000005" w14:textId="7EC374BF" w:rsidR="00E23473" w:rsidRDefault="00000000">
      <w:r>
        <w:t xml:space="preserve">The learning intention of landmark cases and laws regarding equality and diversity is to identify and recognise the protected characteristics which are set out in the equality act of 2010. The equality act of </w:t>
      </w:r>
      <w:r w:rsidR="0090255A">
        <w:t xml:space="preserve">the </w:t>
      </w:r>
      <w:r>
        <w:t>UK</w:t>
      </w:r>
      <w:r w:rsidR="0090255A">
        <w:t xml:space="preserve"> </w:t>
      </w:r>
      <w:r>
        <w:t xml:space="preserve">which came into force on October 2010, is intended to provide protection against all kinds of direct and indirect discrimination, victimisation and harassment in public service, work, education, association, transportation, health, and social care which denotes equality before law. There are nine facts that cover under the equality act of 2010, namely marriage, civil partnership, age, gender, disability, pregnancy, maternity, sex, sexual orientation, race and religion. The equality laws opined equal opportunity, respect, dignity and scope of growth. Moore and Coates vs Secretary of State for Community and local government is a landmark case which highlighted the state of indirect discrimination. The high court find that discrimination was conducted against </w:t>
      </w:r>
      <w:r w:rsidR="0090255A">
        <w:t>Romany</w:t>
      </w:r>
      <w:r>
        <w:t xml:space="preserve"> gypsies and Irish travellers and the court gave the verdict that the secretary of state had failed to provide equality in the public sector and the judgement went in the favour of gypsy and Irish travellers</w:t>
      </w:r>
      <w:r w:rsidR="00596A5D">
        <w:t xml:space="preserve"> </w:t>
      </w:r>
      <w:sdt>
        <w:sdtPr>
          <w:id w:val="-140973736"/>
          <w:citation/>
        </w:sdtPr>
        <w:sdtContent>
          <w:r w:rsidR="00596A5D">
            <w:fldChar w:fldCharType="begin"/>
          </w:r>
          <w:r w:rsidR="00596A5D">
            <w:rPr>
              <w:lang w:val="en-IN"/>
            </w:rPr>
            <w:instrText xml:space="preserve"> CITATION Ste15 \l 16393 </w:instrText>
          </w:r>
          <w:r w:rsidR="00596A5D">
            <w:fldChar w:fldCharType="separate"/>
          </w:r>
          <w:r w:rsidR="00596A5D" w:rsidRPr="00596A5D">
            <w:rPr>
              <w:noProof/>
              <w:lang w:val="en-IN"/>
            </w:rPr>
            <w:t>(Cottle, 2015)</w:t>
          </w:r>
          <w:r w:rsidR="00596A5D">
            <w:fldChar w:fldCharType="end"/>
          </w:r>
        </w:sdtContent>
      </w:sdt>
      <w:r>
        <w:t xml:space="preserve">. This is how the court restored the basic principles of the equality act. Under-representation of girls in the design and technology sectors of the UK is another example of discrimination that the UK government is trying to mitigate through the PISA Act. racial discrimination based on ethnicity in the playground between Asian and white people showcases direct discrimination and violation of not only the equality act but also the rights of people protected under human rights and the commission of the UK. As per data from 2016, the number of female MPs was only 195 </w:t>
      </w:r>
      <w:r w:rsidR="009A26F1">
        <w:t>respects</w:t>
      </w:r>
      <w:r>
        <w:t xml:space="preserve"> of 494 male MPs. On the board of FTSE100 companies, only 1.5% of directors are from a minority background while 14% of the UK population belong to Asian, black and minority ethnic</w:t>
      </w:r>
      <w:r w:rsidR="009A26F1">
        <w:t xml:space="preserve"> </w:t>
      </w:r>
      <w:sdt>
        <w:sdtPr>
          <w:id w:val="-1429888866"/>
          <w:citation/>
        </w:sdtPr>
        <w:sdtContent>
          <w:r w:rsidR="009A26F1">
            <w:fldChar w:fldCharType="begin"/>
          </w:r>
          <w:r w:rsidR="009A26F1">
            <w:rPr>
              <w:lang w:val="en-IN"/>
            </w:rPr>
            <w:instrText xml:space="preserve"> CITATION par233 \l 16393 </w:instrText>
          </w:r>
          <w:r w:rsidR="009A26F1">
            <w:fldChar w:fldCharType="separate"/>
          </w:r>
          <w:r w:rsidR="009A26F1" w:rsidRPr="009A26F1">
            <w:rPr>
              <w:noProof/>
              <w:lang w:val="en-IN"/>
            </w:rPr>
            <w:t>(parliament.uk, 2023)</w:t>
          </w:r>
          <w:r w:rsidR="009A26F1">
            <w:fldChar w:fldCharType="end"/>
          </w:r>
        </w:sdtContent>
      </w:sdt>
      <w:r>
        <w:t xml:space="preserve">. In 2016 there were no Asian football managers in the football premier league. Schools sometimes refuse to give admission to Roman children, a qualified nurse from Eastern Europe was fired from the job due to language barriers. Hereby </w:t>
      </w:r>
      <w:r>
        <w:lastRenderedPageBreak/>
        <w:t xml:space="preserve">understanding the </w:t>
      </w:r>
      <w:r w:rsidR="0090255A">
        <w:t>loopholes</w:t>
      </w:r>
      <w:r>
        <w:t>, mitigation and implementation of those laws aimed to remove equality from society is important. Till now some restaurants refuse to employ men who are gay, though under the Protection of equality act sexual orientation is a protected characteristic</w:t>
      </w:r>
      <w:r w:rsidR="009A26F1">
        <w:t xml:space="preserve"> </w:t>
      </w:r>
      <w:sdt>
        <w:sdtPr>
          <w:id w:val="-524564051"/>
          <w:citation/>
        </w:sdtPr>
        <w:sdtContent>
          <w:r w:rsidR="009A26F1">
            <w:fldChar w:fldCharType="begin"/>
          </w:r>
          <w:r w:rsidR="009A26F1">
            <w:rPr>
              <w:lang w:val="en-IN"/>
            </w:rPr>
            <w:instrText xml:space="preserve"> CITATION par232 \l 16393 </w:instrText>
          </w:r>
          <w:r w:rsidR="009A26F1">
            <w:fldChar w:fldCharType="separate"/>
          </w:r>
          <w:r w:rsidR="009A26F1" w:rsidRPr="009A26F1">
            <w:rPr>
              <w:noProof/>
              <w:lang w:val="en-IN"/>
            </w:rPr>
            <w:t>(parliament.uk, 2023)</w:t>
          </w:r>
          <w:r w:rsidR="009A26F1">
            <w:fldChar w:fldCharType="end"/>
          </w:r>
        </w:sdtContent>
      </w:sdt>
      <w:r>
        <w:t>. When career advisers suggest a girl not choose the course of engineering because of sexual harassment and insecurity that implies both indirect and direct discrimination. Though act guaranteed the equal opportunity to physically disabled people, companies do not provide or platform for disability access. The SRA code of conducts specifies standard professionalism that every solicitor, registered European lawyer and registered foreign lawyers need to convey in the field of public duty. Honesty, integrity, and honesty is the primary approach that public officials and lawyers need to offer in the best interest of each client. The main aim and objectives are to encourage equality, diversity and inclusion</w:t>
      </w:r>
      <w:r w:rsidR="00596A5D">
        <w:t xml:space="preserve"> </w:t>
      </w:r>
      <w:sdt>
        <w:sdtPr>
          <w:id w:val="1479805583"/>
          <w:citation/>
        </w:sdtPr>
        <w:sdtContent>
          <w:r w:rsidR="00596A5D">
            <w:fldChar w:fldCharType="begin"/>
          </w:r>
          <w:r w:rsidR="00596A5D">
            <w:rPr>
              <w:lang w:val="en-IN"/>
            </w:rPr>
            <w:instrText xml:space="preserve"> CITATION sra23 \l 16393 </w:instrText>
          </w:r>
          <w:r w:rsidR="00596A5D">
            <w:fldChar w:fldCharType="separate"/>
          </w:r>
          <w:r w:rsidR="00596A5D" w:rsidRPr="00596A5D">
            <w:rPr>
              <w:noProof/>
              <w:lang w:val="en-IN"/>
            </w:rPr>
            <w:t>(sra.org.uk, 2023)</w:t>
          </w:r>
          <w:r w:rsidR="00596A5D">
            <w:fldChar w:fldCharType="end"/>
          </w:r>
        </w:sdtContent>
      </w:sdt>
      <w:r>
        <w:t>. All individuals who are authorised to provide legal services need to follow SRA principles which talk about the fundamental tenants of ethical behaviour. Legal protection of human rights is preserved by the Human Rights Act which also talks about equality and diversity. Right to life (</w:t>
      </w:r>
      <w:proofErr w:type="spellStart"/>
      <w:r>
        <w:t>Ar</w:t>
      </w:r>
      <w:proofErr w:type="spellEnd"/>
      <w:r>
        <w:t xml:space="preserve"> 2) freedom from torture </w:t>
      </w:r>
      <w:proofErr w:type="gramStart"/>
      <w:r>
        <w:t xml:space="preserve">( </w:t>
      </w:r>
      <w:proofErr w:type="spellStart"/>
      <w:r>
        <w:t>Ar</w:t>
      </w:r>
      <w:proofErr w:type="spellEnd"/>
      <w:proofErr w:type="gramEnd"/>
      <w:r>
        <w:t xml:space="preserve"> 3) Freedom of thought, belief, and religion (</w:t>
      </w:r>
      <w:proofErr w:type="spellStart"/>
      <w:r>
        <w:t>Ar</w:t>
      </w:r>
      <w:proofErr w:type="spellEnd"/>
      <w:r>
        <w:t xml:space="preserve"> 9), Right to Education (</w:t>
      </w:r>
      <w:proofErr w:type="spellStart"/>
      <w:r>
        <w:t>Ar</w:t>
      </w:r>
      <w:proofErr w:type="spellEnd"/>
      <w:r>
        <w:t xml:space="preserve"> 2), and Right to marry and start a family (</w:t>
      </w:r>
      <w:proofErr w:type="spellStart"/>
      <w:r>
        <w:t>Ar</w:t>
      </w:r>
      <w:proofErr w:type="spellEnd"/>
      <w:r>
        <w:t xml:space="preserve"> 12) are some ardent evidence that the human right laws also sought for equality and opportunity.</w:t>
      </w:r>
    </w:p>
    <w:p w14:paraId="00000007" w14:textId="47E6A5A6" w:rsidR="00E23473" w:rsidRDefault="00000000">
      <w:r>
        <w:t>Eweida and Chaplain vs UK is a landmark case where the plaintiff stated that there was religious discrimination in the workplace. Using religious symbols in the workplace, clashes between free concise, expression, belief, and anti</w:t>
      </w:r>
      <w:r w:rsidR="0090255A">
        <w:t>-</w:t>
      </w:r>
      <w:r>
        <w:t xml:space="preserve">discriminatory norms somehow violate the rights protected under </w:t>
      </w:r>
      <w:proofErr w:type="spellStart"/>
      <w:r>
        <w:t>Ar</w:t>
      </w:r>
      <w:proofErr w:type="spellEnd"/>
      <w:r>
        <w:t xml:space="preserve"> 9 and </w:t>
      </w:r>
      <w:proofErr w:type="spellStart"/>
      <w:r>
        <w:t>Ar</w:t>
      </w:r>
      <w:proofErr w:type="spellEnd"/>
      <w:r>
        <w:t xml:space="preserve"> 14. In the clashes between religion and belief, the judgement of the European Court of human rights stated that wearing a cross in the workplace is a manifestation of religious belief which is guaranteed under articles 9 and 14, and formulate some workplace guidelines in order to remove such clashes in future</w:t>
      </w:r>
      <w:r w:rsidR="009A26F1">
        <w:t xml:space="preserve"> </w:t>
      </w:r>
      <w:sdt>
        <w:sdtPr>
          <w:id w:val="-640965308"/>
          <w:citation/>
        </w:sdtPr>
        <w:sdtContent>
          <w:r w:rsidR="009A26F1">
            <w:fldChar w:fldCharType="begin"/>
          </w:r>
          <w:r w:rsidR="009A26F1">
            <w:rPr>
              <w:lang w:val="en-IN"/>
            </w:rPr>
            <w:instrText xml:space="preserve"> CITATION hum23 \l 16393 </w:instrText>
          </w:r>
          <w:r w:rsidR="009A26F1">
            <w:fldChar w:fldCharType="separate"/>
          </w:r>
          <w:r w:rsidR="009A26F1" w:rsidRPr="009A26F1">
            <w:rPr>
              <w:noProof/>
              <w:lang w:val="en-IN"/>
            </w:rPr>
            <w:t>(humanrights.com, 2023)</w:t>
          </w:r>
          <w:r w:rsidR="009A26F1">
            <w:fldChar w:fldCharType="end"/>
          </w:r>
        </w:sdtContent>
      </w:sdt>
      <w:r>
        <w:t xml:space="preserve">. The court also stated that the verdict can be changed for a different scenario as situations and </w:t>
      </w:r>
      <w:r>
        <w:lastRenderedPageBreak/>
        <w:t xml:space="preserve">cases vary from time to time. In the Witch hat case banker wins </w:t>
      </w:r>
      <w:r w:rsidR="009A26F1">
        <w:rPr>
          <w:rFonts w:cs="Times New Roman"/>
        </w:rPr>
        <w:t>£</w:t>
      </w:r>
      <w:r>
        <w:t xml:space="preserve">2 million in compensation for sexual discrimination. Stacey Macken told the tribunal that she often receives discrimination, bonuses are dished out to male colleagues by </w:t>
      </w:r>
      <w:r w:rsidR="009A26F1">
        <w:t xml:space="preserve">the </w:t>
      </w:r>
      <w:r>
        <w:t>oversight of her contribution and male colleagues often used to send her bad indications which reveals humiliation and a sexist approach</w:t>
      </w:r>
      <w:r w:rsidR="009A26F1">
        <w:t xml:space="preserve"> </w:t>
      </w:r>
      <w:sdt>
        <w:sdtPr>
          <w:id w:val="2125735929"/>
          <w:citation/>
        </w:sdtPr>
        <w:sdtContent>
          <w:r w:rsidR="009A26F1">
            <w:fldChar w:fldCharType="begin"/>
          </w:r>
          <w:r w:rsidR="009A26F1">
            <w:rPr>
              <w:lang w:val="en-IN"/>
            </w:rPr>
            <w:instrText xml:space="preserve"> CITATION Jam225 \l 16393 </w:instrText>
          </w:r>
          <w:r w:rsidR="009A26F1">
            <w:fldChar w:fldCharType="separate"/>
          </w:r>
          <w:r w:rsidR="009A26F1" w:rsidRPr="009A26F1">
            <w:rPr>
              <w:noProof/>
              <w:lang w:val="en-IN"/>
            </w:rPr>
            <w:t>(Grierson, 2022)</w:t>
          </w:r>
          <w:r w:rsidR="009A26F1">
            <w:fldChar w:fldCharType="end"/>
          </w:r>
        </w:sdtContent>
      </w:sdt>
      <w:r>
        <w:t>. Court ruled against the bank BNP Paribas and stood for gender equality. When a nurse named Michelle Cox complained about racial discrimination and derogatory treatment received from her employer, in the NHS England hospital, the tribunal unanimously found in her favour and the chief executive of NHSE committed and ensures that NHSE will learn and acts on the failings</w:t>
      </w:r>
      <w:r w:rsidR="00596A5D">
        <w:t xml:space="preserve"> </w:t>
      </w:r>
      <w:sdt>
        <w:sdtPr>
          <w:id w:val="256186859"/>
          <w:citation/>
        </w:sdtPr>
        <w:sdtContent>
          <w:r w:rsidR="00596A5D">
            <w:fldChar w:fldCharType="begin"/>
          </w:r>
          <w:r w:rsidR="00596A5D">
            <w:rPr>
              <w:lang w:val="en-IN"/>
            </w:rPr>
            <w:instrText xml:space="preserve"> CITATION rcn23 \l 16393 </w:instrText>
          </w:r>
          <w:r w:rsidR="00596A5D">
            <w:fldChar w:fldCharType="separate"/>
          </w:r>
          <w:r w:rsidR="00596A5D" w:rsidRPr="00596A5D">
            <w:rPr>
              <w:noProof/>
              <w:lang w:val="en-IN"/>
            </w:rPr>
            <w:t>(rcn.org.u, 2023)</w:t>
          </w:r>
          <w:r w:rsidR="00596A5D">
            <w:fldChar w:fldCharType="end"/>
          </w:r>
        </w:sdtContent>
      </w:sdt>
      <w:r>
        <w:t xml:space="preserve">. The case reveals unfortunately that racism and discrimination are still prevailing in the workplace, despite all efforts to make the workplace more inclusive for people of all races and backgrounds. Because there is a huge gap between exposed value and underlying assumptions of culture. Pen paper approach and their implementation in the real-life scenario are different. A pregnant policewoman won the sex discrimination case against Devon and Cornwell police. When PC Natalie Town remove a pregnant lady officer from the </w:t>
      </w:r>
      <w:r w:rsidR="0090255A">
        <w:t>front-line</w:t>
      </w:r>
      <w:r>
        <w:t xml:space="preserve"> desk of the crime management hub in the orient of safety and security of a pregnant woman, without asking her once and taking her suggestion, the lady officer gradually developed anxiety, depression and psychological disturbance, caused by the lengthy absence from the work, and enforced transform from operation to non-operation role. The clash that a lady is fit to carry a child but not carry out her job clearly forecasts gender discrimination in the public job and opportunity. Forced transfer through she was equally capable to carry the job as a male officer could. The employment tribunal gave the verdict that the PC town was the victim of indirect sex discrimination and the rule went in the favour of equal opportunity in public employment. Similarly, a Starbucks employee wins the dyslexia discrimination case against her employers when she was accused of falsifying documents</w:t>
      </w:r>
      <w:r w:rsidR="00596A5D">
        <w:t xml:space="preserve"> </w:t>
      </w:r>
      <w:sdt>
        <w:sdtPr>
          <w:id w:val="294262253"/>
          <w:citation/>
        </w:sdtPr>
        <w:sdtContent>
          <w:r w:rsidR="00596A5D">
            <w:fldChar w:fldCharType="begin"/>
          </w:r>
          <w:r w:rsidR="00596A5D">
            <w:rPr>
              <w:lang w:val="en-IN"/>
            </w:rPr>
            <w:instrText xml:space="preserve"> CITATION bbc161 \l 16393 </w:instrText>
          </w:r>
          <w:r w:rsidR="00596A5D">
            <w:fldChar w:fldCharType="separate"/>
          </w:r>
          <w:r w:rsidR="00596A5D" w:rsidRPr="00596A5D">
            <w:rPr>
              <w:noProof/>
              <w:lang w:val="en-IN"/>
            </w:rPr>
            <w:t>(bbc, 2016)</w:t>
          </w:r>
          <w:r w:rsidR="00596A5D">
            <w:fldChar w:fldCharType="end"/>
          </w:r>
        </w:sdtContent>
      </w:sdt>
      <w:r>
        <w:t xml:space="preserve">. Zelda de Groen launched a case against the Orthodox Jewish nursery when she was </w:t>
      </w:r>
      <w:r>
        <w:lastRenderedPageBreak/>
        <w:t>fired from the job just because she used to live with her boyfriend. The reason for dismissal was so incorrect and discriminatory which has curtailed the human rights protocols such as the right to dignity, life, privacy and way of living</w:t>
      </w:r>
      <w:r w:rsidR="00596A5D">
        <w:t xml:space="preserve"> </w:t>
      </w:r>
      <w:sdt>
        <w:sdtPr>
          <w:id w:val="1338116185"/>
          <w:citation/>
        </w:sdtPr>
        <w:sdtContent>
          <w:r w:rsidR="00596A5D">
            <w:fldChar w:fldCharType="begin"/>
          </w:r>
          <w:r w:rsidR="00596A5D">
            <w:rPr>
              <w:lang w:val="en-IN"/>
            </w:rPr>
            <w:instrText xml:space="preserve"> CITATION Mag19 \l 16393 </w:instrText>
          </w:r>
          <w:r w:rsidR="00596A5D">
            <w:fldChar w:fldCharType="separate"/>
          </w:r>
          <w:r w:rsidR="00596A5D" w:rsidRPr="00596A5D">
            <w:rPr>
              <w:noProof/>
              <w:lang w:val="en-IN"/>
            </w:rPr>
            <w:t>(Baska, 2019)</w:t>
          </w:r>
          <w:r w:rsidR="00596A5D">
            <w:fldChar w:fldCharType="end"/>
          </w:r>
        </w:sdtContent>
      </w:sdt>
      <w:r>
        <w:t>. When the employment tribunal was told by the complainant that she was victimised in the context of religious and sexual discrimination, the tribunal concluded that only sexual discrimination can be appealed and the nursery was absolute from the charge of religious discrimination according to the court rule that employers are allowed to act to the damage on an employee based on the employer's belief.</w:t>
      </w:r>
    </w:p>
    <w:p w14:paraId="00000008" w14:textId="77777777" w:rsidR="00E23473" w:rsidRDefault="00E23473"/>
    <w:p w14:paraId="6B8077FD" w14:textId="77777777" w:rsidR="0090255A" w:rsidRDefault="0090255A">
      <w:pPr>
        <w:spacing w:line="276" w:lineRule="auto"/>
        <w:jc w:val="left"/>
      </w:pPr>
      <w:r>
        <w:br w:type="page"/>
      </w:r>
    </w:p>
    <w:p w14:paraId="00000009" w14:textId="5B69236A" w:rsidR="00E23473" w:rsidRPr="0090255A" w:rsidRDefault="00000000">
      <w:pPr>
        <w:rPr>
          <w:b/>
          <w:bCs/>
          <w:sz w:val="28"/>
          <w:szCs w:val="24"/>
        </w:rPr>
      </w:pPr>
      <w:r w:rsidRPr="0090255A">
        <w:rPr>
          <w:b/>
          <w:bCs/>
          <w:sz w:val="28"/>
          <w:szCs w:val="24"/>
        </w:rPr>
        <w:lastRenderedPageBreak/>
        <w:t>Conclusion</w:t>
      </w:r>
    </w:p>
    <w:p w14:paraId="0000000A" w14:textId="54A370E9" w:rsidR="00E23473" w:rsidRDefault="00000000">
      <w:r>
        <w:t xml:space="preserve">The essay has reflected on the significance of equality and diversity in the workplace, and government, laws and tribunals are trying to protect those human rights by implementing relevant acts and regulations. Different landmark cases are explained with the indispensable guidance and protocols of the equality act, the SRA code of conduct and the norms of human rights. How landmark verdicts are given in light of those acts is also well discussed in this report. The basic objective of writing this essay was to understand the well-established principles of law and legal practice in the subject area of equality and diversity. </w:t>
      </w:r>
      <w:r w:rsidR="0090255A">
        <w:t>Thus,</w:t>
      </w:r>
      <w:r>
        <w:t xml:space="preserve"> the selected landmark cases are deciphered here which are exactly relatable to the topic and protocols of equality.</w:t>
      </w:r>
    </w:p>
    <w:p w14:paraId="0715E842" w14:textId="6E7BE5F8" w:rsidR="009A26F1" w:rsidRDefault="009A26F1">
      <w:pPr>
        <w:spacing w:line="276" w:lineRule="auto"/>
        <w:jc w:val="left"/>
      </w:pPr>
      <w:r>
        <w:br w:type="page"/>
      </w:r>
    </w:p>
    <w:p w14:paraId="48336ABE" w14:textId="60C2455B" w:rsidR="009A26F1" w:rsidRDefault="009A26F1" w:rsidP="009A26F1">
      <w:pPr>
        <w:rPr>
          <w:b/>
          <w:bCs/>
          <w:sz w:val="28"/>
          <w:szCs w:val="24"/>
        </w:rPr>
      </w:pPr>
      <w:r w:rsidRPr="009A26F1">
        <w:rPr>
          <w:b/>
          <w:bCs/>
          <w:sz w:val="28"/>
          <w:szCs w:val="24"/>
        </w:rPr>
        <w:lastRenderedPageBreak/>
        <w:t>References</w:t>
      </w:r>
    </w:p>
    <w:p w14:paraId="74AE321A" w14:textId="7A5852AD" w:rsidR="009A26F1" w:rsidRDefault="009A26F1" w:rsidP="009A26F1">
      <w:pPr>
        <w:pStyle w:val="Bibliography"/>
        <w:rPr>
          <w:noProof/>
          <w:szCs w:val="24"/>
        </w:rPr>
      </w:pPr>
      <w:r>
        <w:rPr>
          <w:noProof/>
        </w:rPr>
        <w:t xml:space="preserve">Baska, M., </w:t>
      </w:r>
      <w:r w:rsidR="00DC15B7">
        <w:rPr>
          <w:noProof/>
        </w:rPr>
        <w:t>(</w:t>
      </w:r>
      <w:r>
        <w:rPr>
          <w:noProof/>
        </w:rPr>
        <w:t>2019</w:t>
      </w:r>
      <w:r w:rsidR="00DC15B7">
        <w:rPr>
          <w:noProof/>
        </w:rPr>
        <w:t>)</w:t>
      </w:r>
      <w:r>
        <w:rPr>
          <w:noProof/>
        </w:rPr>
        <w:t xml:space="preserve"> </w:t>
      </w:r>
      <w:r>
        <w:rPr>
          <w:i/>
          <w:iCs/>
          <w:noProof/>
        </w:rPr>
        <w:t xml:space="preserve">Nursery that sacked teacher for living with boyfriend wins appeal against religious discrimination. </w:t>
      </w:r>
      <w:r>
        <w:rPr>
          <w:noProof/>
        </w:rPr>
        <w:t xml:space="preserve">[Online] </w:t>
      </w:r>
      <w:r>
        <w:rPr>
          <w:noProof/>
        </w:rPr>
        <w:br/>
        <w:t xml:space="preserve">Available at: </w:t>
      </w:r>
      <w:r>
        <w:rPr>
          <w:noProof/>
          <w:u w:val="single"/>
        </w:rPr>
        <w:t>https://www.peoplemanagement.co.uk/article/1746736/nursery-sacked-teacher-living-with-boyfriend-win-appeal</w:t>
      </w:r>
      <w:r w:rsidR="00DC15B7">
        <w:rPr>
          <w:noProof/>
        </w:rPr>
        <w:t xml:space="preserve"> </w:t>
      </w:r>
      <w:r>
        <w:rPr>
          <w:noProof/>
        </w:rPr>
        <w:t>[Accessed 16 july 2023].</w:t>
      </w:r>
    </w:p>
    <w:p w14:paraId="59C4F665" w14:textId="5EF7CA9D" w:rsidR="009A26F1" w:rsidRDefault="009A26F1" w:rsidP="009A26F1">
      <w:pPr>
        <w:pStyle w:val="Bibliography"/>
        <w:rPr>
          <w:noProof/>
        </w:rPr>
      </w:pPr>
      <w:r>
        <w:rPr>
          <w:noProof/>
        </w:rPr>
        <w:t xml:space="preserve">bbc, (2016) </w:t>
      </w:r>
      <w:r>
        <w:rPr>
          <w:i/>
          <w:iCs/>
          <w:noProof/>
        </w:rPr>
        <w:t xml:space="preserve">Starbucks employee wins dyslexia discrimination case. </w:t>
      </w:r>
      <w:r>
        <w:rPr>
          <w:noProof/>
        </w:rPr>
        <w:t xml:space="preserve">[Online] </w:t>
      </w:r>
      <w:r>
        <w:rPr>
          <w:noProof/>
        </w:rPr>
        <w:br/>
        <w:t xml:space="preserve">Available at: </w:t>
      </w:r>
      <w:r>
        <w:rPr>
          <w:noProof/>
          <w:u w:val="single"/>
        </w:rPr>
        <w:t>https://www.bbc.com/news/uk-35521061</w:t>
      </w:r>
      <w:r>
        <w:rPr>
          <w:noProof/>
        </w:rPr>
        <w:t xml:space="preserve"> [Accessed 15 july 2023].</w:t>
      </w:r>
    </w:p>
    <w:p w14:paraId="742D70B5" w14:textId="60DE9D8C" w:rsidR="009A26F1" w:rsidRDefault="009A26F1" w:rsidP="009A26F1">
      <w:pPr>
        <w:pStyle w:val="Bibliography"/>
        <w:rPr>
          <w:noProof/>
        </w:rPr>
      </w:pPr>
      <w:r>
        <w:rPr>
          <w:noProof/>
        </w:rPr>
        <w:t xml:space="preserve">Cottle, S., (2015) </w:t>
      </w:r>
      <w:r>
        <w:rPr>
          <w:i/>
          <w:iCs/>
          <w:noProof/>
        </w:rPr>
        <w:t xml:space="preserve">High Court finds the Government discriminated against Romany Gypsies and Irish Travellers. </w:t>
      </w:r>
      <w:r>
        <w:rPr>
          <w:noProof/>
        </w:rPr>
        <w:t xml:space="preserve">[Online] </w:t>
      </w:r>
      <w:r>
        <w:rPr>
          <w:noProof/>
        </w:rPr>
        <w:br/>
        <w:t xml:space="preserve">Available at: </w:t>
      </w:r>
      <w:r>
        <w:rPr>
          <w:noProof/>
          <w:u w:val="single"/>
        </w:rPr>
        <w:t>https://www.gardencourtchambers.co.uk/news/high-court-finds-the-government-discriminated-against-romany-gypsies-and-irish-travellers</w:t>
      </w:r>
      <w:r>
        <w:rPr>
          <w:noProof/>
        </w:rPr>
        <w:t xml:space="preserve"> [Accessed 14 july 2023].</w:t>
      </w:r>
    </w:p>
    <w:p w14:paraId="0E49BECD" w14:textId="32938007" w:rsidR="009A26F1" w:rsidRDefault="009A26F1" w:rsidP="009A26F1">
      <w:pPr>
        <w:pStyle w:val="Bibliography"/>
        <w:rPr>
          <w:noProof/>
        </w:rPr>
      </w:pPr>
      <w:r>
        <w:rPr>
          <w:noProof/>
        </w:rPr>
        <w:t xml:space="preserve">Grierson, J., (2022) </w:t>
      </w:r>
      <w:r>
        <w:rPr>
          <w:i/>
          <w:iCs/>
          <w:noProof/>
        </w:rPr>
        <w:t xml:space="preserve">Banker wins £2m for sexual discrimination in ‘witch hat’ case. </w:t>
      </w:r>
      <w:r>
        <w:rPr>
          <w:noProof/>
        </w:rPr>
        <w:t xml:space="preserve">[Online] </w:t>
      </w:r>
      <w:r>
        <w:rPr>
          <w:noProof/>
        </w:rPr>
        <w:br/>
        <w:t xml:space="preserve">Available at: </w:t>
      </w:r>
      <w:r>
        <w:rPr>
          <w:noProof/>
          <w:u w:val="single"/>
        </w:rPr>
        <w:t>https://www.theguardian.com/money/2022/jan/31/banker-wins-2m-for-sexual-discrimination-in-witch-hat-case</w:t>
      </w:r>
      <w:r>
        <w:rPr>
          <w:noProof/>
        </w:rPr>
        <w:t xml:space="preserve"> [Accessed 13 july 2023].</w:t>
      </w:r>
    </w:p>
    <w:p w14:paraId="3E297971" w14:textId="5921D2E4" w:rsidR="009A26F1" w:rsidRDefault="009A26F1" w:rsidP="009A26F1">
      <w:pPr>
        <w:pStyle w:val="Bibliography"/>
        <w:rPr>
          <w:noProof/>
        </w:rPr>
      </w:pPr>
      <w:r>
        <w:rPr>
          <w:noProof/>
        </w:rPr>
        <w:t xml:space="preserve">humanrights.com, (2023) </w:t>
      </w:r>
      <w:r>
        <w:rPr>
          <w:i/>
          <w:iCs/>
          <w:noProof/>
        </w:rPr>
        <w:t xml:space="preserve">Human rights legal cases. </w:t>
      </w:r>
      <w:r>
        <w:rPr>
          <w:noProof/>
        </w:rPr>
        <w:t xml:space="preserve">[Online] </w:t>
      </w:r>
      <w:r>
        <w:rPr>
          <w:noProof/>
        </w:rPr>
        <w:br/>
        <w:t xml:space="preserve">Available at: </w:t>
      </w:r>
      <w:r>
        <w:rPr>
          <w:noProof/>
          <w:u w:val="single"/>
        </w:rPr>
        <w:t>https://www.equalityhumanrights.com/en/legal-casework/human-rights-legal-cases</w:t>
      </w:r>
      <w:r>
        <w:rPr>
          <w:noProof/>
        </w:rPr>
        <w:t xml:space="preserve"> [Accessed 10 july 2023].</w:t>
      </w:r>
    </w:p>
    <w:p w14:paraId="5824BC04" w14:textId="5B6BE037" w:rsidR="009A26F1" w:rsidRDefault="009A26F1" w:rsidP="009A26F1">
      <w:pPr>
        <w:pStyle w:val="Bibliography"/>
        <w:rPr>
          <w:noProof/>
        </w:rPr>
      </w:pPr>
      <w:r>
        <w:rPr>
          <w:noProof/>
        </w:rPr>
        <w:t xml:space="preserve">parliament.uk, (2023) </w:t>
      </w:r>
      <w:r>
        <w:rPr>
          <w:i/>
          <w:iCs/>
          <w:noProof/>
        </w:rPr>
        <w:t xml:space="preserve">Diversity, equality and the law in. </w:t>
      </w:r>
      <w:r>
        <w:rPr>
          <w:noProof/>
        </w:rPr>
        <w:t xml:space="preserve">[Online] </w:t>
      </w:r>
      <w:r>
        <w:rPr>
          <w:noProof/>
        </w:rPr>
        <w:br/>
        <w:t xml:space="preserve">Available at: </w:t>
      </w:r>
      <w:r>
        <w:rPr>
          <w:noProof/>
          <w:u w:val="single"/>
        </w:rPr>
        <w:t>https://www.parliament.uk/globalassets/documents/education/online-resources/Diversity-Resource/Topic4.pdf</w:t>
      </w:r>
      <w:r>
        <w:rPr>
          <w:noProof/>
        </w:rPr>
        <w:t xml:space="preserve"> [Accessed 10 july 2023].</w:t>
      </w:r>
    </w:p>
    <w:p w14:paraId="144DC8BC" w14:textId="2C344CF3" w:rsidR="009A26F1" w:rsidRDefault="009A26F1" w:rsidP="009A26F1">
      <w:pPr>
        <w:pStyle w:val="Bibliography"/>
        <w:rPr>
          <w:noProof/>
        </w:rPr>
      </w:pPr>
      <w:r>
        <w:rPr>
          <w:noProof/>
        </w:rPr>
        <w:t xml:space="preserve">parliament.uk, (2023) </w:t>
      </w:r>
      <w:r>
        <w:rPr>
          <w:i/>
          <w:iCs/>
          <w:noProof/>
        </w:rPr>
        <w:t xml:space="preserve">Diversity, equality and the law in. </w:t>
      </w:r>
      <w:r>
        <w:rPr>
          <w:noProof/>
        </w:rPr>
        <w:t xml:space="preserve">[Online] </w:t>
      </w:r>
      <w:r>
        <w:rPr>
          <w:noProof/>
        </w:rPr>
        <w:br/>
        <w:t xml:space="preserve">Available at: </w:t>
      </w:r>
      <w:r>
        <w:rPr>
          <w:noProof/>
          <w:u w:val="single"/>
        </w:rPr>
        <w:t>https://www.parliament.uk/globalassets/documents/education/online-resources/Diversity-Resource/Topic5.pdf</w:t>
      </w:r>
      <w:r>
        <w:rPr>
          <w:noProof/>
        </w:rPr>
        <w:t xml:space="preserve"> [Accessed 13 july 2023].</w:t>
      </w:r>
    </w:p>
    <w:p w14:paraId="071AA1A0" w14:textId="5F6F7546" w:rsidR="009A26F1" w:rsidRDefault="009A26F1" w:rsidP="009A26F1">
      <w:pPr>
        <w:pStyle w:val="Bibliography"/>
        <w:rPr>
          <w:noProof/>
        </w:rPr>
      </w:pPr>
      <w:r>
        <w:rPr>
          <w:noProof/>
        </w:rPr>
        <w:t xml:space="preserve">rcn.org.u, (2023) </w:t>
      </w:r>
      <w:r>
        <w:rPr>
          <w:i/>
          <w:iCs/>
          <w:noProof/>
        </w:rPr>
        <w:t xml:space="preserve">Landmark race discrimination case 'must drive change' says RCN as NHS England apologises to senior nurse. </w:t>
      </w:r>
      <w:r>
        <w:rPr>
          <w:noProof/>
        </w:rPr>
        <w:t xml:space="preserve">[Online] </w:t>
      </w:r>
      <w:r>
        <w:rPr>
          <w:noProof/>
        </w:rPr>
        <w:br/>
      </w:r>
      <w:r>
        <w:rPr>
          <w:noProof/>
        </w:rPr>
        <w:lastRenderedPageBreak/>
        <w:t xml:space="preserve">Available at: </w:t>
      </w:r>
      <w:r>
        <w:rPr>
          <w:noProof/>
          <w:u w:val="single"/>
        </w:rPr>
        <w:t>https://www.rcn.org.uk/news-and-events/news/uk-race-discrimination-case-must-drive-change-says-rcn-as-nhs-england-issues-apology-to-nurse-0303#:~:text=This%20comes%20after%20Michelle%20won,unanimously%20found%20in%20her%20favour.</w:t>
      </w:r>
      <w:r>
        <w:rPr>
          <w:noProof/>
        </w:rPr>
        <w:t xml:space="preserve"> [Accessed 13 july 2023].</w:t>
      </w:r>
    </w:p>
    <w:p w14:paraId="23B73BFC" w14:textId="10838417" w:rsidR="009A26F1" w:rsidRDefault="009A26F1" w:rsidP="009A26F1">
      <w:pPr>
        <w:pStyle w:val="Bibliography"/>
        <w:rPr>
          <w:noProof/>
        </w:rPr>
      </w:pPr>
      <w:r w:rsidRPr="009A26F1">
        <w:rPr>
          <w:noProof/>
          <w:lang w:val="it-IT"/>
        </w:rPr>
        <w:t xml:space="preserve">sra.org.uk, (2023) </w:t>
      </w:r>
      <w:r w:rsidRPr="009A26F1">
        <w:rPr>
          <w:i/>
          <w:iCs/>
          <w:noProof/>
          <w:lang w:val="it-IT"/>
        </w:rPr>
        <w:t xml:space="preserve">SRA Principles. </w:t>
      </w:r>
      <w:r>
        <w:rPr>
          <w:noProof/>
        </w:rPr>
        <w:t xml:space="preserve">[Online] </w:t>
      </w:r>
      <w:r>
        <w:rPr>
          <w:noProof/>
        </w:rPr>
        <w:br/>
        <w:t xml:space="preserve">Available at: </w:t>
      </w:r>
      <w:r>
        <w:rPr>
          <w:noProof/>
          <w:u w:val="single"/>
        </w:rPr>
        <w:t>https://www.sra.org.uk/solicitors/standards-regulations/principles/#:~:text=The%20principles%20are%20as%20follows%3A&amp;text=with%20independence.,best%20interests%20of%20each%20client.</w:t>
      </w:r>
      <w:r>
        <w:rPr>
          <w:noProof/>
        </w:rPr>
        <w:t xml:space="preserve"> [Accessed 12 july 2023].</w:t>
      </w:r>
    </w:p>
    <w:p w14:paraId="47EB05F6" w14:textId="77777777" w:rsidR="009A26F1" w:rsidRPr="009A26F1" w:rsidRDefault="009A26F1" w:rsidP="009A26F1">
      <w:pPr>
        <w:rPr>
          <w:b/>
          <w:bCs/>
          <w:sz w:val="28"/>
          <w:szCs w:val="24"/>
        </w:rPr>
      </w:pPr>
    </w:p>
    <w:p w14:paraId="3F6664A9" w14:textId="77777777" w:rsidR="009A26F1" w:rsidRPr="009A26F1" w:rsidRDefault="009A26F1">
      <w:pPr>
        <w:rPr>
          <w:b/>
          <w:bCs/>
          <w:sz w:val="28"/>
          <w:szCs w:val="24"/>
        </w:rPr>
      </w:pPr>
    </w:p>
    <w:p w14:paraId="74C59B75" w14:textId="77777777" w:rsidR="009A26F1" w:rsidRDefault="009A26F1"/>
    <w:p w14:paraId="0000000B" w14:textId="77777777" w:rsidR="00E23473" w:rsidRDefault="00E23473"/>
    <w:p w14:paraId="0000000C" w14:textId="77777777" w:rsidR="00E23473" w:rsidRDefault="00E23473"/>
    <w:sectPr w:rsidR="00E23473" w:rsidSect="00DC15B7">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BDBE6" w14:textId="77777777" w:rsidR="00103190" w:rsidRDefault="00103190" w:rsidP="00DC15B7">
      <w:pPr>
        <w:spacing w:line="240" w:lineRule="auto"/>
      </w:pPr>
      <w:r>
        <w:separator/>
      </w:r>
    </w:p>
  </w:endnote>
  <w:endnote w:type="continuationSeparator" w:id="0">
    <w:p w14:paraId="201E4C4C" w14:textId="77777777" w:rsidR="00103190" w:rsidRDefault="00103190" w:rsidP="00DC15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132310"/>
      <w:docPartObj>
        <w:docPartGallery w:val="Page Numbers (Bottom of Page)"/>
        <w:docPartUnique/>
      </w:docPartObj>
    </w:sdtPr>
    <w:sdtContent>
      <w:sdt>
        <w:sdtPr>
          <w:id w:val="-1769616900"/>
          <w:docPartObj>
            <w:docPartGallery w:val="Page Numbers (Top of Page)"/>
            <w:docPartUnique/>
          </w:docPartObj>
        </w:sdtPr>
        <w:sdtContent>
          <w:p w14:paraId="289CACA2" w14:textId="571C00C1" w:rsidR="00DC15B7" w:rsidRDefault="00DC15B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1DC42A3" w14:textId="77777777" w:rsidR="00DC15B7" w:rsidRDefault="00DC1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3606B" w14:textId="77777777" w:rsidR="00103190" w:rsidRDefault="00103190" w:rsidP="00DC15B7">
      <w:pPr>
        <w:spacing w:line="240" w:lineRule="auto"/>
      </w:pPr>
      <w:r>
        <w:separator/>
      </w:r>
    </w:p>
  </w:footnote>
  <w:footnote w:type="continuationSeparator" w:id="0">
    <w:p w14:paraId="12216311" w14:textId="77777777" w:rsidR="00103190" w:rsidRDefault="00103190" w:rsidP="00DC15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23799" w14:textId="77777777" w:rsidR="00DC15B7" w:rsidRDefault="00DC15B7" w:rsidP="00DC15B7">
    <w:pPr>
      <w:jc w:val="right"/>
    </w:pPr>
    <w:r w:rsidRPr="00DC15B7">
      <w:t>Principles of Professional Legal Practice</w:t>
    </w:r>
  </w:p>
  <w:p w14:paraId="6566E87D" w14:textId="77777777" w:rsidR="00DC15B7" w:rsidRDefault="00DC15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473"/>
    <w:rsid w:val="00103190"/>
    <w:rsid w:val="00451CC0"/>
    <w:rsid w:val="00596A5D"/>
    <w:rsid w:val="007F428B"/>
    <w:rsid w:val="0090255A"/>
    <w:rsid w:val="009A26F1"/>
    <w:rsid w:val="00C77044"/>
    <w:rsid w:val="00DC15B7"/>
    <w:rsid w:val="00E234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8B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55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9A26F1"/>
    <w:rPr>
      <w:rFonts w:ascii="Times New Roman" w:hAnsi="Times New Roman"/>
      <w:sz w:val="40"/>
      <w:szCs w:val="40"/>
    </w:rPr>
  </w:style>
  <w:style w:type="paragraph" w:styleId="Bibliography">
    <w:name w:val="Bibliography"/>
    <w:basedOn w:val="Normal"/>
    <w:next w:val="Normal"/>
    <w:uiPriority w:val="37"/>
    <w:unhideWhenUsed/>
    <w:rsid w:val="009A26F1"/>
  </w:style>
  <w:style w:type="character" w:styleId="Hyperlink">
    <w:name w:val="Hyperlink"/>
    <w:basedOn w:val="DefaultParagraphFont"/>
    <w:uiPriority w:val="99"/>
    <w:unhideWhenUsed/>
    <w:rsid w:val="009A26F1"/>
    <w:rPr>
      <w:color w:val="0000FF" w:themeColor="hyperlink"/>
      <w:u w:val="single"/>
    </w:rPr>
  </w:style>
  <w:style w:type="character" w:styleId="UnresolvedMention">
    <w:name w:val="Unresolved Mention"/>
    <w:basedOn w:val="DefaultParagraphFont"/>
    <w:uiPriority w:val="99"/>
    <w:semiHidden/>
    <w:unhideWhenUsed/>
    <w:rsid w:val="009A26F1"/>
    <w:rPr>
      <w:color w:val="605E5C"/>
      <w:shd w:val="clear" w:color="auto" w:fill="E1DFDD"/>
    </w:rPr>
  </w:style>
  <w:style w:type="paragraph" w:styleId="Header">
    <w:name w:val="header"/>
    <w:basedOn w:val="Normal"/>
    <w:link w:val="HeaderChar"/>
    <w:uiPriority w:val="99"/>
    <w:unhideWhenUsed/>
    <w:rsid w:val="00DC15B7"/>
    <w:pPr>
      <w:tabs>
        <w:tab w:val="center" w:pos="4513"/>
        <w:tab w:val="right" w:pos="9026"/>
      </w:tabs>
      <w:spacing w:line="240" w:lineRule="auto"/>
    </w:pPr>
  </w:style>
  <w:style w:type="character" w:customStyle="1" w:styleId="HeaderChar">
    <w:name w:val="Header Char"/>
    <w:basedOn w:val="DefaultParagraphFont"/>
    <w:link w:val="Header"/>
    <w:uiPriority w:val="99"/>
    <w:rsid w:val="00DC15B7"/>
    <w:rPr>
      <w:rFonts w:ascii="Times New Roman" w:hAnsi="Times New Roman"/>
      <w:sz w:val="24"/>
    </w:rPr>
  </w:style>
  <w:style w:type="paragraph" w:styleId="Footer">
    <w:name w:val="footer"/>
    <w:basedOn w:val="Normal"/>
    <w:link w:val="FooterChar"/>
    <w:uiPriority w:val="99"/>
    <w:unhideWhenUsed/>
    <w:rsid w:val="00DC15B7"/>
    <w:pPr>
      <w:tabs>
        <w:tab w:val="center" w:pos="4513"/>
        <w:tab w:val="right" w:pos="9026"/>
      </w:tabs>
      <w:spacing w:line="240" w:lineRule="auto"/>
    </w:pPr>
  </w:style>
  <w:style w:type="character" w:customStyle="1" w:styleId="FooterChar">
    <w:name w:val="Footer Char"/>
    <w:basedOn w:val="DefaultParagraphFont"/>
    <w:link w:val="Footer"/>
    <w:uiPriority w:val="99"/>
    <w:rsid w:val="00DC15B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69702">
      <w:bodyDiv w:val="1"/>
      <w:marLeft w:val="0"/>
      <w:marRight w:val="0"/>
      <w:marTop w:val="0"/>
      <w:marBottom w:val="0"/>
      <w:divBdr>
        <w:top w:val="none" w:sz="0" w:space="0" w:color="auto"/>
        <w:left w:val="none" w:sz="0" w:space="0" w:color="auto"/>
        <w:bottom w:val="none" w:sz="0" w:space="0" w:color="auto"/>
        <w:right w:val="none" w:sz="0" w:space="0" w:color="auto"/>
      </w:divBdr>
    </w:div>
    <w:div w:id="441800725">
      <w:bodyDiv w:val="1"/>
      <w:marLeft w:val="0"/>
      <w:marRight w:val="0"/>
      <w:marTop w:val="0"/>
      <w:marBottom w:val="0"/>
      <w:divBdr>
        <w:top w:val="none" w:sz="0" w:space="0" w:color="auto"/>
        <w:left w:val="none" w:sz="0" w:space="0" w:color="auto"/>
        <w:bottom w:val="none" w:sz="0" w:space="0" w:color="auto"/>
        <w:right w:val="none" w:sz="0" w:space="0" w:color="auto"/>
      </w:divBdr>
    </w:div>
    <w:div w:id="557939326">
      <w:bodyDiv w:val="1"/>
      <w:marLeft w:val="0"/>
      <w:marRight w:val="0"/>
      <w:marTop w:val="0"/>
      <w:marBottom w:val="0"/>
      <w:divBdr>
        <w:top w:val="none" w:sz="0" w:space="0" w:color="auto"/>
        <w:left w:val="none" w:sz="0" w:space="0" w:color="auto"/>
        <w:bottom w:val="none" w:sz="0" w:space="0" w:color="auto"/>
        <w:right w:val="none" w:sz="0" w:space="0" w:color="auto"/>
      </w:divBdr>
    </w:div>
    <w:div w:id="674261188">
      <w:bodyDiv w:val="1"/>
      <w:marLeft w:val="0"/>
      <w:marRight w:val="0"/>
      <w:marTop w:val="0"/>
      <w:marBottom w:val="0"/>
      <w:divBdr>
        <w:top w:val="none" w:sz="0" w:space="0" w:color="auto"/>
        <w:left w:val="none" w:sz="0" w:space="0" w:color="auto"/>
        <w:bottom w:val="none" w:sz="0" w:space="0" w:color="auto"/>
        <w:right w:val="none" w:sz="0" w:space="0" w:color="auto"/>
      </w:divBdr>
    </w:div>
    <w:div w:id="970868751">
      <w:bodyDiv w:val="1"/>
      <w:marLeft w:val="0"/>
      <w:marRight w:val="0"/>
      <w:marTop w:val="0"/>
      <w:marBottom w:val="0"/>
      <w:divBdr>
        <w:top w:val="none" w:sz="0" w:space="0" w:color="auto"/>
        <w:left w:val="none" w:sz="0" w:space="0" w:color="auto"/>
        <w:bottom w:val="none" w:sz="0" w:space="0" w:color="auto"/>
        <w:right w:val="none" w:sz="0" w:space="0" w:color="auto"/>
      </w:divBdr>
    </w:div>
    <w:div w:id="1164590188">
      <w:bodyDiv w:val="1"/>
      <w:marLeft w:val="0"/>
      <w:marRight w:val="0"/>
      <w:marTop w:val="0"/>
      <w:marBottom w:val="0"/>
      <w:divBdr>
        <w:top w:val="none" w:sz="0" w:space="0" w:color="auto"/>
        <w:left w:val="none" w:sz="0" w:space="0" w:color="auto"/>
        <w:bottom w:val="none" w:sz="0" w:space="0" w:color="auto"/>
        <w:right w:val="none" w:sz="0" w:space="0" w:color="auto"/>
      </w:divBdr>
    </w:div>
    <w:div w:id="1754737824">
      <w:bodyDiv w:val="1"/>
      <w:marLeft w:val="0"/>
      <w:marRight w:val="0"/>
      <w:marTop w:val="0"/>
      <w:marBottom w:val="0"/>
      <w:divBdr>
        <w:top w:val="none" w:sz="0" w:space="0" w:color="auto"/>
        <w:left w:val="none" w:sz="0" w:space="0" w:color="auto"/>
        <w:bottom w:val="none" w:sz="0" w:space="0" w:color="auto"/>
        <w:right w:val="none" w:sz="0" w:space="0" w:color="auto"/>
      </w:divBdr>
    </w:div>
    <w:div w:id="1892761327">
      <w:bodyDiv w:val="1"/>
      <w:marLeft w:val="0"/>
      <w:marRight w:val="0"/>
      <w:marTop w:val="0"/>
      <w:marBottom w:val="0"/>
      <w:divBdr>
        <w:top w:val="none" w:sz="0" w:space="0" w:color="auto"/>
        <w:left w:val="none" w:sz="0" w:space="0" w:color="auto"/>
        <w:bottom w:val="none" w:sz="0" w:space="0" w:color="auto"/>
        <w:right w:val="none" w:sz="0" w:space="0" w:color="auto"/>
      </w:divBdr>
    </w:div>
    <w:div w:id="2006013417">
      <w:bodyDiv w:val="1"/>
      <w:marLeft w:val="0"/>
      <w:marRight w:val="0"/>
      <w:marTop w:val="0"/>
      <w:marBottom w:val="0"/>
      <w:divBdr>
        <w:top w:val="none" w:sz="0" w:space="0" w:color="auto"/>
        <w:left w:val="none" w:sz="0" w:space="0" w:color="auto"/>
        <w:bottom w:val="none" w:sz="0" w:space="0" w:color="auto"/>
        <w:right w:val="none" w:sz="0" w:space="0" w:color="auto"/>
      </w:divBdr>
    </w:div>
    <w:div w:id="20655238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sra23</b:Tag>
    <b:SourceType>InternetSite</b:SourceType>
    <b:Guid>{7640A63F-9A2B-4FD8-B6F4-4B293B905A62}</b:Guid>
    <b:Author>
      <b:Author>
        <b:Corporate>sra.org.uk</b:Corporate>
      </b:Author>
    </b:Author>
    <b:Title>SRA Principles</b:Title>
    <b:Year>2023</b:Year>
    <b:YearAccessed>2023</b:YearAccessed>
    <b:MonthAccessed>july</b:MonthAccessed>
    <b:DayAccessed>12</b:DayAccessed>
    <b:URL>https://www.sra.org.uk/solicitors/standards-regulations/principles/#:~:text=The%20principles%20are%20as%20follows%3A&amp;text=with%20independence.,best%20interests%20of%20each%20client.</b:URL>
    <b:RefOrder>4</b:RefOrder>
  </b:Source>
  <b:Source>
    <b:Tag>Ste15</b:Tag>
    <b:SourceType>InternetSite</b:SourceType>
    <b:Guid>{0868EF46-593C-4FCA-B051-239E27F391DB}</b:Guid>
    <b:Author>
      <b:Author>
        <b:NameList>
          <b:Person>
            <b:Last>Cottle</b:Last>
            <b:First>Stephen</b:First>
          </b:Person>
        </b:NameList>
      </b:Author>
    </b:Author>
    <b:Title>High Court finds the Government discriminated against Romany Gypsies and Irish Travellers</b:Title>
    <b:Year>2015</b:Year>
    <b:YearAccessed>2023</b:YearAccessed>
    <b:MonthAccessed>july</b:MonthAccessed>
    <b:DayAccessed>14</b:DayAccessed>
    <b:URL>https://www.gardencourtchambers.co.uk/news/high-court-finds-the-government-discriminated-against-romany-gypsies-and-irish-travellers</b:URL>
    <b:RefOrder>1</b:RefOrder>
  </b:Source>
  <b:Source>
    <b:Tag>rcn23</b:Tag>
    <b:SourceType>InternetSite</b:SourceType>
    <b:Guid>{1581A27F-632E-4182-9206-C612450F0CB6}</b:Guid>
    <b:Author>
      <b:Author>
        <b:Corporate>rcn.org.u</b:Corporate>
      </b:Author>
    </b:Author>
    <b:Title>Landmark race discrimination case 'must drive change' says RCN as NHS England apologises to senior nurse</b:Title>
    <b:Year>2023</b:Year>
    <b:YearAccessed>2023</b:YearAccessed>
    <b:MonthAccessed>july</b:MonthAccessed>
    <b:DayAccessed>13</b:DayAccessed>
    <b:URL>https://www.rcn.org.uk/news-and-events/news/uk-race-discrimination-case-must-drive-change-says-rcn-as-nhs-england-issues-apology-to-nurse-0303#:~:text=This%20comes%20after%20Michelle%20won,unanimously%20found%20in%20her%20favour.</b:URL>
    <b:RefOrder>7</b:RefOrder>
  </b:Source>
  <b:Source>
    <b:Tag>Mag19</b:Tag>
    <b:SourceType>InternetSite</b:SourceType>
    <b:Guid>{C6A14EC4-0AD8-4A47-B702-85CDFDBEB4B1}</b:Guid>
    <b:Author>
      <b:Author>
        <b:NameList>
          <b:Person>
            <b:Last>Baska</b:Last>
            <b:First>Maggie</b:First>
          </b:Person>
        </b:NameList>
      </b:Author>
    </b:Author>
    <b:Title>Nursery that sacked teacher for living with boyfriend wins appeal against religious discrimination</b:Title>
    <b:Year>2019</b:Year>
    <b:YearAccessed>2023</b:YearAccessed>
    <b:MonthAccessed>july</b:MonthAccessed>
    <b:DayAccessed>16</b:DayAccessed>
    <b:URL>https://www.peoplemanagement.co.uk/article/1746736/nursery-sacked-teacher-living-with-boyfriend-win-appeal</b:URL>
    <b:RefOrder>9</b:RefOrder>
  </b:Source>
  <b:Source>
    <b:Tag>bbc161</b:Tag>
    <b:SourceType>InternetSite</b:SourceType>
    <b:Guid>{B69B1D3E-4993-4456-B5E6-39220EF69A61}</b:Guid>
    <b:Author>
      <b:Author>
        <b:Corporate>bbc</b:Corporate>
      </b:Author>
    </b:Author>
    <b:Title>Starbucks employee wins dyslexia discrimination case</b:Title>
    <b:Year>2016</b:Year>
    <b:YearAccessed>2023</b:YearAccessed>
    <b:MonthAccessed>july</b:MonthAccessed>
    <b:DayAccessed>15</b:DayAccessed>
    <b:URL>https://www.bbc.com/news/uk-35521061</b:URL>
    <b:RefOrder>8</b:RefOrder>
  </b:Source>
  <b:Source>
    <b:Tag>Jam225</b:Tag>
    <b:SourceType>InternetSite</b:SourceType>
    <b:Guid>{70DA5D88-7083-42E7-B33A-92F6D6AEB17D}</b:Guid>
    <b:Author>
      <b:Author>
        <b:NameList>
          <b:Person>
            <b:Last>Grierson</b:Last>
            <b:First>Jamie</b:First>
          </b:Person>
        </b:NameList>
      </b:Author>
    </b:Author>
    <b:Title>Banker wins £2m for sexual discrimination in ‘witch hat’ case</b:Title>
    <b:Year>2022</b:Year>
    <b:YearAccessed>2023</b:YearAccessed>
    <b:MonthAccessed>july</b:MonthAccessed>
    <b:DayAccessed>13</b:DayAccessed>
    <b:URL>https://www.theguardian.com/money/2022/jan/31/banker-wins-2m-for-sexual-discrimination-in-witch-hat-case</b:URL>
    <b:RefOrder>6</b:RefOrder>
  </b:Source>
  <b:Source>
    <b:Tag>hum23</b:Tag>
    <b:SourceType>InternetSite</b:SourceType>
    <b:Guid>{F8D3B479-65AB-40B8-9981-C19243B4B8D3}</b:Guid>
    <b:Author>
      <b:Author>
        <b:Corporate>humanrights.com</b:Corporate>
      </b:Author>
    </b:Author>
    <b:Title>Human rights legal cases</b:Title>
    <b:Year>2023</b:Year>
    <b:YearAccessed>2023</b:YearAccessed>
    <b:MonthAccessed>july</b:MonthAccessed>
    <b:DayAccessed>10</b:DayAccessed>
    <b:URL>https://www.equalityhumanrights.com/en/legal-casework/human-rights-legal-cases</b:URL>
    <b:RefOrder>5</b:RefOrder>
  </b:Source>
  <b:Source>
    <b:Tag>par232</b:Tag>
    <b:SourceType>DocumentFromInternetSite</b:SourceType>
    <b:Guid>{CD20F1E8-0F79-478E-9653-5148F2F87CF6}</b:Guid>
    <b:Title>Diversity, equality and the law in</b:Title>
    <b:Year>2023</b:Year>
    <b:YearAccessed>2023</b:YearAccessed>
    <b:MonthAccessed>july</b:MonthAccessed>
    <b:DayAccessed>10</b:DayAccessed>
    <b:URL>https://www.parliament.uk/globalassets/documents/education/online-resources/Diversity-Resource/Topic4.pdf</b:URL>
    <b:Author>
      <b:Author>
        <b:Corporate>parliament.uk</b:Corporate>
      </b:Author>
    </b:Author>
    <b:RefOrder>3</b:RefOrder>
  </b:Source>
  <b:Source>
    <b:Tag>par233</b:Tag>
    <b:SourceType>DocumentFromInternetSite</b:SourceType>
    <b:Guid>{36512130-853C-4C17-B8A9-4FFEDDDE1794}</b:Guid>
    <b:Author>
      <b:Author>
        <b:Corporate>parliament.uk</b:Corporate>
      </b:Author>
    </b:Author>
    <b:Title>Diversity, equality and the law in</b:Title>
    <b:Year>2023</b:Year>
    <b:YearAccessed>2023</b:YearAccessed>
    <b:MonthAccessed>july</b:MonthAccessed>
    <b:DayAccessed>13</b:DayAccessed>
    <b:URL>https://www.parliament.uk/globalassets/documents/education/online-resources/Diversity-Resource/Topic5.pdf</b:URL>
    <b:RefOrder>2</b:RefOrder>
  </b:Source>
</b:Sources>
</file>

<file path=customXml/itemProps1.xml><?xml version="1.0" encoding="utf-8"?>
<ds:datastoreItem xmlns:ds="http://schemas.openxmlformats.org/officeDocument/2006/customXml" ds:itemID="{6123EF95-48EA-4EFA-BDF1-99914D66E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1831</Words>
  <Characters>10441</Characters>
  <Application>Microsoft Office Word</Application>
  <DocSecurity>0</DocSecurity>
  <Lines>87</Lines>
  <Paragraphs>24</Paragraphs>
  <ScaleCrop>false</ScaleCrop>
  <Company/>
  <LinksUpToDate>false</LinksUpToDate>
  <CharactersWithSpaces>12248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2023-08-08T11:29:00Z</dcterms:created>
  <dcterms:modified xsi:type="dcterms:W3CDTF">2023-08-14T09:12:00Z</dcterms:modified>
</cp:coreProperties>
</file>