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422D6B" w14:textId="38C9C27E" w:rsidR="009C3AAB" w:rsidRPr="009C3AAB" w:rsidRDefault="009C3AAB" w:rsidP="00E46E87">
      <w:pPr>
        <w:spacing w:after="0" w:line="240" w:lineRule="auto"/>
        <w:rPr>
          <w:b/>
          <w:bCs/>
          <w:u w:val="single"/>
        </w:rPr>
      </w:pPr>
      <w:r w:rsidRPr="009C3AAB">
        <w:rPr>
          <w:b/>
          <w:bCs/>
          <w:u w:val="single"/>
        </w:rPr>
        <w:t>The Alchemist</w:t>
      </w:r>
    </w:p>
    <w:p w14:paraId="734762C2" w14:textId="77777777" w:rsidR="009C3AAB" w:rsidRDefault="009C3AAB" w:rsidP="00E46E87">
      <w:pPr>
        <w:spacing w:after="0" w:line="240" w:lineRule="auto"/>
      </w:pPr>
    </w:p>
    <w:p w14:paraId="63F8BB4B" w14:textId="6A33DAE8" w:rsidR="002C447E" w:rsidRDefault="00FA589A" w:rsidP="00E46E87">
      <w:pPr>
        <w:spacing w:after="0" w:line="240" w:lineRule="auto"/>
      </w:pPr>
      <w:r>
        <w:t xml:space="preserve">The </w:t>
      </w:r>
      <w:r w:rsidR="00B17BD9">
        <w:t>format of</w:t>
      </w:r>
      <w:r w:rsidR="00731B8D">
        <w:t xml:space="preserve"> the</w:t>
      </w:r>
      <w:r w:rsidR="00C5355B">
        <w:t xml:space="preserve"> </w:t>
      </w:r>
      <w:r>
        <w:t>first print edition of Ben Jonson’s ‘The Alchemist’</w:t>
      </w:r>
      <w:r w:rsidR="009D6E7D">
        <w:t xml:space="preserve"> is</w:t>
      </w:r>
      <w:r w:rsidR="00B17BD9">
        <w:t xml:space="preserve"> a quarto, and the title page is</w:t>
      </w:r>
      <w:r w:rsidR="009D6E7D">
        <w:t xml:space="preserve"> as follows:</w:t>
      </w:r>
      <w:r w:rsidR="006F49C8">
        <w:t xml:space="preserve"> </w:t>
      </w:r>
      <w:r w:rsidR="008746A7">
        <w:t xml:space="preserve">THE | ALCHEMIST. | </w:t>
      </w:r>
      <w:proofErr w:type="spellStart"/>
      <w:r w:rsidR="008746A7">
        <w:t>VVritten</w:t>
      </w:r>
      <w:proofErr w:type="spellEnd"/>
      <w:r w:rsidR="008746A7">
        <w:t xml:space="preserve"> | by | Ben. </w:t>
      </w:r>
      <w:proofErr w:type="spellStart"/>
      <w:r w:rsidR="008746A7">
        <w:t>Ionson</w:t>
      </w:r>
      <w:proofErr w:type="spellEnd"/>
      <w:r w:rsidR="008746A7">
        <w:t xml:space="preserve">. | - </w:t>
      </w:r>
      <w:proofErr w:type="spellStart"/>
      <w:r w:rsidR="008746A7">
        <w:t>Neque</w:t>
      </w:r>
      <w:proofErr w:type="spellEnd"/>
      <w:r w:rsidR="008746A7">
        <w:t xml:space="preserve">, </w:t>
      </w:r>
      <w:proofErr w:type="spellStart"/>
      <w:r w:rsidR="008746A7">
        <w:t>mevt</w:t>
      </w:r>
      <w:proofErr w:type="spellEnd"/>
      <w:r w:rsidR="008746A7">
        <w:t xml:space="preserve"> </w:t>
      </w:r>
      <w:proofErr w:type="spellStart"/>
      <w:r w:rsidR="008746A7">
        <w:t>mireetur</w:t>
      </w:r>
      <w:proofErr w:type="spellEnd"/>
      <w:r w:rsidR="008746A7">
        <w:t xml:space="preserve"> </w:t>
      </w:r>
      <w:proofErr w:type="spellStart"/>
      <w:r w:rsidR="008746A7">
        <w:t>turba</w:t>
      </w:r>
      <w:proofErr w:type="spellEnd"/>
      <w:r w:rsidR="008746A7">
        <w:t xml:space="preserve">, </w:t>
      </w:r>
      <w:proofErr w:type="spellStart"/>
      <w:r w:rsidR="008746A7">
        <w:t>laboro</w:t>
      </w:r>
      <w:proofErr w:type="spellEnd"/>
      <w:r w:rsidR="008746A7">
        <w:t xml:space="preserve">: | </w:t>
      </w:r>
      <w:proofErr w:type="spellStart"/>
      <w:r w:rsidR="008746A7">
        <w:t>Contentus</w:t>
      </w:r>
      <w:proofErr w:type="spellEnd"/>
      <w:r w:rsidR="008746A7">
        <w:t xml:space="preserve"> </w:t>
      </w:r>
      <w:proofErr w:type="spellStart"/>
      <w:r w:rsidR="008746A7">
        <w:t>paucis</w:t>
      </w:r>
      <w:proofErr w:type="spellEnd"/>
      <w:r w:rsidR="008746A7">
        <w:t xml:space="preserve"> </w:t>
      </w:r>
      <w:proofErr w:type="spellStart"/>
      <w:r w:rsidR="008746A7">
        <w:t>lectoribus</w:t>
      </w:r>
      <w:proofErr w:type="spellEnd"/>
      <w:r w:rsidR="008746A7">
        <w:t xml:space="preserve">. | [rule] | LONDON, | Printed by </w:t>
      </w:r>
      <w:r w:rsidR="008746A7" w:rsidRPr="008746A7">
        <w:rPr>
          <w:i/>
          <w:iCs/>
        </w:rPr>
        <w:t xml:space="preserve">Thomas </w:t>
      </w:r>
      <w:proofErr w:type="spellStart"/>
      <w:r w:rsidR="008746A7" w:rsidRPr="008746A7">
        <w:rPr>
          <w:i/>
          <w:iCs/>
        </w:rPr>
        <w:t>Snodham</w:t>
      </w:r>
      <w:proofErr w:type="spellEnd"/>
      <w:r w:rsidR="008746A7">
        <w:t xml:space="preserve">, for </w:t>
      </w:r>
      <w:r w:rsidR="008746A7" w:rsidRPr="008746A7">
        <w:rPr>
          <w:i/>
          <w:iCs/>
        </w:rPr>
        <w:t>Walter Burre</w:t>
      </w:r>
      <w:r w:rsidR="008746A7">
        <w:t xml:space="preserve">, | and are </w:t>
      </w:r>
      <w:proofErr w:type="spellStart"/>
      <w:r w:rsidR="008746A7">
        <w:t>befold</w:t>
      </w:r>
      <w:proofErr w:type="spellEnd"/>
      <w:r w:rsidR="008746A7">
        <w:t xml:space="preserve"> by </w:t>
      </w:r>
      <w:proofErr w:type="spellStart"/>
      <w:r w:rsidR="008746A7" w:rsidRPr="008746A7">
        <w:rPr>
          <w:i/>
          <w:iCs/>
        </w:rPr>
        <w:t>Iohn</w:t>
      </w:r>
      <w:proofErr w:type="spellEnd"/>
      <w:r w:rsidR="008746A7" w:rsidRPr="008746A7">
        <w:rPr>
          <w:i/>
          <w:iCs/>
        </w:rPr>
        <w:t xml:space="preserve"> </w:t>
      </w:r>
      <w:proofErr w:type="spellStart"/>
      <w:r w:rsidR="008746A7" w:rsidRPr="008746A7">
        <w:rPr>
          <w:i/>
          <w:iCs/>
        </w:rPr>
        <w:t>Stepneth</w:t>
      </w:r>
      <w:proofErr w:type="spellEnd"/>
      <w:r w:rsidR="008746A7">
        <w:t xml:space="preserve">, at the | </w:t>
      </w:r>
      <w:proofErr w:type="spellStart"/>
      <w:r w:rsidR="008746A7">
        <w:t>We∫t-end</w:t>
      </w:r>
      <w:proofErr w:type="spellEnd"/>
      <w:r w:rsidR="008746A7">
        <w:t xml:space="preserve"> of Paules. | 1612.</w:t>
      </w:r>
      <w:r w:rsidR="00FE0AF8">
        <w:t xml:space="preserve"> </w:t>
      </w:r>
      <w:r w:rsidR="00FE0AF8" w:rsidRPr="00FE0AF8">
        <w:rPr>
          <w:vertAlign w:val="superscript"/>
        </w:rPr>
        <w:t>[1]</w:t>
      </w:r>
    </w:p>
    <w:p w14:paraId="4CBF8FCF" w14:textId="77777777" w:rsidR="00BC2712" w:rsidRDefault="00BC2712" w:rsidP="00BC2712">
      <w:pPr>
        <w:spacing w:after="0" w:line="240" w:lineRule="auto"/>
      </w:pPr>
    </w:p>
    <w:p w14:paraId="5D1967AB" w14:textId="514C7081" w:rsidR="00E74DA0" w:rsidRDefault="00BC2712" w:rsidP="00E74DA0">
      <w:pPr>
        <w:spacing w:after="0" w:line="240" w:lineRule="auto"/>
      </w:pPr>
      <w:r>
        <w:t xml:space="preserve">The earliest print edition was printed in 1612 by Thomas </w:t>
      </w:r>
      <w:proofErr w:type="spellStart"/>
      <w:r>
        <w:t>Snodham</w:t>
      </w:r>
      <w:proofErr w:type="spellEnd"/>
      <w:r>
        <w:t xml:space="preserve"> (1603 – 1625), who worked as a printer in London after apprenticing under Thomas East. </w:t>
      </w:r>
      <w:r w:rsidRPr="00C579B8">
        <w:rPr>
          <w:vertAlign w:val="superscript"/>
        </w:rPr>
        <w:t>[</w:t>
      </w:r>
      <w:r w:rsidR="006F49C8">
        <w:rPr>
          <w:vertAlign w:val="superscript"/>
        </w:rPr>
        <w:t>2</w:t>
      </w:r>
      <w:r w:rsidRPr="00C579B8">
        <w:rPr>
          <w:vertAlign w:val="superscript"/>
        </w:rPr>
        <w:t>]</w:t>
      </w:r>
      <w:r>
        <w:t xml:space="preserve"> It was printed for Walter Burre (1597 – 1622), who apprenticed under Richard Watkins and published several of Ben Jonson’s works. </w:t>
      </w:r>
      <w:r w:rsidRPr="00B170EE">
        <w:rPr>
          <w:vertAlign w:val="superscript"/>
        </w:rPr>
        <w:t>[</w:t>
      </w:r>
      <w:r w:rsidR="006F49C8">
        <w:rPr>
          <w:vertAlign w:val="superscript"/>
        </w:rPr>
        <w:t>3</w:t>
      </w:r>
      <w:r w:rsidRPr="00B170EE">
        <w:rPr>
          <w:vertAlign w:val="superscript"/>
        </w:rPr>
        <w:t>]</w:t>
      </w:r>
      <w:r>
        <w:t xml:space="preserve"> </w:t>
      </w:r>
      <w:r w:rsidR="00961CD9">
        <w:t xml:space="preserve">William Burre entered the earliest print edition of The Alchemist into the Stationer’s Register on the third of October in 1609 alongside ‘The Hands of Sir George Bucke. </w:t>
      </w:r>
      <w:r w:rsidR="00961CD9" w:rsidRPr="00451D10">
        <w:rPr>
          <w:vertAlign w:val="superscript"/>
        </w:rPr>
        <w:t>[</w:t>
      </w:r>
      <w:r w:rsidR="006F49C8">
        <w:rPr>
          <w:vertAlign w:val="superscript"/>
        </w:rPr>
        <w:t>4</w:t>
      </w:r>
      <w:r w:rsidR="00961CD9" w:rsidRPr="00451D10">
        <w:rPr>
          <w:vertAlign w:val="superscript"/>
        </w:rPr>
        <w:t>]</w:t>
      </w:r>
      <w:r w:rsidR="00810E2C">
        <w:t xml:space="preserve"> </w:t>
      </w:r>
      <w:r w:rsidR="00E74DA0">
        <w:t xml:space="preserve">A later print edition, printed in 1680, was printed by H. Hills, who was probably Henry Hills (1641 – 1688), who was the son of a rope maker and apprenticed under Simmons and Payne. </w:t>
      </w:r>
      <w:r w:rsidR="00E74DA0" w:rsidRPr="00D72974">
        <w:rPr>
          <w:vertAlign w:val="superscript"/>
        </w:rPr>
        <w:t>[</w:t>
      </w:r>
      <w:r w:rsidR="00E74DA0">
        <w:rPr>
          <w:vertAlign w:val="superscript"/>
        </w:rPr>
        <w:t>5</w:t>
      </w:r>
      <w:r w:rsidR="00E74DA0" w:rsidRPr="00D72974">
        <w:rPr>
          <w:vertAlign w:val="superscript"/>
        </w:rPr>
        <w:t>]</w:t>
      </w:r>
    </w:p>
    <w:p w14:paraId="0FF8E5EE" w14:textId="77777777" w:rsidR="00810E2C" w:rsidRDefault="00810E2C" w:rsidP="00810E2C">
      <w:pPr>
        <w:spacing w:after="0" w:line="240" w:lineRule="auto"/>
      </w:pPr>
    </w:p>
    <w:p w14:paraId="7B090FFF" w14:textId="25B79C6E" w:rsidR="00810E2C" w:rsidRDefault="00810E2C" w:rsidP="00810E2C">
      <w:pPr>
        <w:spacing w:after="0" w:line="240" w:lineRule="auto"/>
      </w:pPr>
      <w:r>
        <w:t xml:space="preserve">In the 1612 earliest print edition there is a dedication, which is to </w:t>
      </w:r>
      <w:r w:rsidRPr="000D12BF">
        <w:t xml:space="preserve">Mary, Lady Wroth, </w:t>
      </w:r>
      <w:r>
        <w:t xml:space="preserve">who is the </w:t>
      </w:r>
      <w:r w:rsidRPr="000D12BF">
        <w:t xml:space="preserve">wife of Sir Robert Wroth and </w:t>
      </w:r>
      <w:r>
        <w:t xml:space="preserve">the </w:t>
      </w:r>
      <w:r w:rsidRPr="000D12BF">
        <w:t>niece of Sir Philip Sidney</w:t>
      </w:r>
      <w:r>
        <w:t xml:space="preserve">, and on the next page there is a note to the reader, </w:t>
      </w:r>
      <w:r w:rsidRPr="008C4FA8">
        <w:rPr>
          <w:vertAlign w:val="superscript"/>
        </w:rPr>
        <w:t>[1]</w:t>
      </w:r>
      <w:r>
        <w:t xml:space="preserve"> both of which only appear in the earliest print edition, and not in any of the later editions.</w:t>
      </w:r>
    </w:p>
    <w:p w14:paraId="66FCE0E5" w14:textId="77777777" w:rsidR="00BC2712" w:rsidRDefault="00BC2712" w:rsidP="0090085A">
      <w:pPr>
        <w:spacing w:after="0" w:line="240" w:lineRule="auto"/>
      </w:pPr>
    </w:p>
    <w:p w14:paraId="173061BA" w14:textId="03D6B63F" w:rsidR="003D188C" w:rsidRDefault="00BE569F" w:rsidP="0090085A">
      <w:pPr>
        <w:spacing w:after="0" w:line="240" w:lineRule="auto"/>
      </w:pPr>
      <w:r>
        <w:t>The Alchemist</w:t>
      </w:r>
      <w:r w:rsidR="00035E8E">
        <w:t xml:space="preserve"> was first performed</w:t>
      </w:r>
      <w:r w:rsidR="009E24FC">
        <w:t xml:space="preserve"> </w:t>
      </w:r>
      <w:r w:rsidR="00D167F1">
        <w:t>b</w:t>
      </w:r>
      <w:r w:rsidR="009E24FC">
        <w:t xml:space="preserve">y the King’s Majesty’s </w:t>
      </w:r>
      <w:r w:rsidR="00AD4C50">
        <w:t>Men in 1910</w:t>
      </w:r>
      <w:r w:rsidR="00BC30C4">
        <w:t>,</w:t>
      </w:r>
      <w:r w:rsidR="006A6E23">
        <w:t xml:space="preserve"> </w:t>
      </w:r>
      <w:r w:rsidR="006A6E23" w:rsidRPr="00055927">
        <w:rPr>
          <w:vertAlign w:val="superscript"/>
        </w:rPr>
        <w:t>[</w:t>
      </w:r>
      <w:r w:rsidR="006F49C8">
        <w:rPr>
          <w:vertAlign w:val="superscript"/>
        </w:rPr>
        <w:t>6</w:t>
      </w:r>
      <w:r w:rsidR="006A6E23" w:rsidRPr="00055927">
        <w:rPr>
          <w:vertAlign w:val="superscript"/>
        </w:rPr>
        <w:t>]</w:t>
      </w:r>
      <w:r w:rsidR="009A51BE">
        <w:t xml:space="preserve"> with two </w:t>
      </w:r>
      <w:r w:rsidR="00587901">
        <w:t xml:space="preserve">of the </w:t>
      </w:r>
      <w:r w:rsidR="009A51BE">
        <w:t xml:space="preserve">later print editions </w:t>
      </w:r>
      <w:r w:rsidR="00055927">
        <w:t xml:space="preserve">including </w:t>
      </w:r>
      <w:r w:rsidR="006103B6">
        <w:t>a list</w:t>
      </w:r>
      <w:r w:rsidR="00F536BD">
        <w:t xml:space="preserve"> of the cast</w:t>
      </w:r>
      <w:r w:rsidR="0090085A">
        <w:t xml:space="preserve">: Ric </w:t>
      </w:r>
      <w:proofErr w:type="spellStart"/>
      <w:r w:rsidR="0090085A">
        <w:t>Burbadge</w:t>
      </w:r>
      <w:proofErr w:type="spellEnd"/>
      <w:r w:rsidR="0090085A">
        <w:t>, Jon Lowin</w:t>
      </w:r>
      <w:r w:rsidR="00D91B83">
        <w:t xml:space="preserve">, </w:t>
      </w:r>
      <w:r w:rsidR="0090085A">
        <w:t xml:space="preserve">Hen </w:t>
      </w:r>
      <w:proofErr w:type="spellStart"/>
      <w:r w:rsidR="0090085A">
        <w:t>Condel</w:t>
      </w:r>
      <w:proofErr w:type="spellEnd"/>
      <w:r w:rsidR="00D91B83">
        <w:t xml:space="preserve">, </w:t>
      </w:r>
      <w:r w:rsidR="0090085A">
        <w:t>Alex Cooke</w:t>
      </w:r>
      <w:r w:rsidR="00D91B83">
        <w:t xml:space="preserve">, </w:t>
      </w:r>
      <w:r w:rsidR="0090085A">
        <w:t>Rob Armin</w:t>
      </w:r>
      <w:r w:rsidR="00D91B83">
        <w:t xml:space="preserve">, </w:t>
      </w:r>
      <w:r w:rsidR="0090085A">
        <w:t>Jon Hemmings</w:t>
      </w:r>
      <w:r w:rsidR="00D91B83">
        <w:t xml:space="preserve">, </w:t>
      </w:r>
      <w:r w:rsidR="0090085A">
        <w:t>Will Ostler</w:t>
      </w:r>
      <w:r w:rsidR="00D91B83">
        <w:t xml:space="preserve">, </w:t>
      </w:r>
      <w:r w:rsidR="0090085A">
        <w:t>Jon Underwood</w:t>
      </w:r>
      <w:r w:rsidR="00D91B83">
        <w:t xml:space="preserve">, </w:t>
      </w:r>
      <w:r w:rsidR="0090085A">
        <w:t>Nic Tooly</w:t>
      </w:r>
      <w:r w:rsidR="00D91B83">
        <w:t xml:space="preserve">, </w:t>
      </w:r>
      <w:r w:rsidR="00EE0891">
        <w:t xml:space="preserve">and </w:t>
      </w:r>
      <w:r w:rsidR="0090085A">
        <w:t xml:space="preserve">Will </w:t>
      </w:r>
      <w:proofErr w:type="spellStart"/>
      <w:r w:rsidR="0090085A">
        <w:t>Eglestone</w:t>
      </w:r>
      <w:proofErr w:type="spellEnd"/>
      <w:r w:rsidR="00BC30C4">
        <w:t>.</w:t>
      </w:r>
      <w:r w:rsidR="003D188C" w:rsidRPr="003D188C">
        <w:rPr>
          <w:vertAlign w:val="superscript"/>
        </w:rPr>
        <w:t xml:space="preserve"> </w:t>
      </w:r>
      <w:r w:rsidR="003D188C" w:rsidRPr="006F7147">
        <w:rPr>
          <w:vertAlign w:val="superscript"/>
        </w:rPr>
        <w:t>[</w:t>
      </w:r>
      <w:r w:rsidR="006F49C8">
        <w:rPr>
          <w:vertAlign w:val="superscript"/>
        </w:rPr>
        <w:t>7</w:t>
      </w:r>
      <w:r w:rsidR="003D188C" w:rsidRPr="006F7147">
        <w:rPr>
          <w:vertAlign w:val="superscript"/>
        </w:rPr>
        <w:t>]</w:t>
      </w:r>
      <w:r w:rsidR="009C3AAB">
        <w:rPr>
          <w:vertAlign w:val="superscript"/>
        </w:rPr>
        <w:t xml:space="preserve"> </w:t>
      </w:r>
      <w:r w:rsidR="003D188C" w:rsidRPr="006F7147">
        <w:rPr>
          <w:vertAlign w:val="superscript"/>
        </w:rPr>
        <w:t>[</w:t>
      </w:r>
      <w:r w:rsidR="006F49C8">
        <w:rPr>
          <w:vertAlign w:val="superscript"/>
        </w:rPr>
        <w:t>8</w:t>
      </w:r>
      <w:r w:rsidR="003D188C" w:rsidRPr="006F7147">
        <w:rPr>
          <w:vertAlign w:val="superscript"/>
        </w:rPr>
        <w:t>]</w:t>
      </w:r>
    </w:p>
    <w:p w14:paraId="69983BC7" w14:textId="77777777" w:rsidR="00B41BBC" w:rsidRDefault="00B41BBC" w:rsidP="0090085A">
      <w:pPr>
        <w:spacing w:after="0" w:line="240" w:lineRule="auto"/>
      </w:pPr>
    </w:p>
    <w:p w14:paraId="2F8ADF6B" w14:textId="689645B2" w:rsidR="007C169B" w:rsidRDefault="00B3611B" w:rsidP="0090085A">
      <w:pPr>
        <w:spacing w:after="0" w:line="240" w:lineRule="auto"/>
      </w:pPr>
      <w:r>
        <w:t xml:space="preserve">One of the later print editions, </w:t>
      </w:r>
      <w:r w:rsidR="007C169B">
        <w:t xml:space="preserve">The </w:t>
      </w:r>
      <w:proofErr w:type="spellStart"/>
      <w:r w:rsidR="007C169B">
        <w:t>Alchymist</w:t>
      </w:r>
      <w:proofErr w:type="spellEnd"/>
      <w:r>
        <w:t xml:space="preserve">, was owned by William Barnes, who made </w:t>
      </w:r>
      <w:proofErr w:type="gramStart"/>
      <w:r>
        <w:t>hand written</w:t>
      </w:r>
      <w:proofErr w:type="gramEnd"/>
      <w:r>
        <w:t xml:space="preserve"> notes throughout the text, including</w:t>
      </w:r>
      <w:r w:rsidR="00B93D77">
        <w:t xml:space="preserve"> </w:t>
      </w:r>
      <w:r w:rsidR="00B962D2">
        <w:t xml:space="preserve">huge </w:t>
      </w:r>
      <w:r w:rsidR="002A181A">
        <w:t>lines and sections being crossed out</w:t>
      </w:r>
      <w:r w:rsidR="00E74DA0">
        <w:t xml:space="preserve"> and annotations</w:t>
      </w:r>
      <w:r w:rsidR="002A181A">
        <w:t>.</w:t>
      </w:r>
      <w:r w:rsidR="00481989">
        <w:t xml:space="preserve"> This edition also has several ornamentations in the first few pages, whereas the other two print editions have no ornamentations at all in the text.</w:t>
      </w:r>
      <w:r w:rsidR="002A181A">
        <w:t xml:space="preserve"> </w:t>
      </w:r>
      <w:r w:rsidR="002A181A" w:rsidRPr="002A181A">
        <w:rPr>
          <w:vertAlign w:val="superscript"/>
        </w:rPr>
        <w:t>[8]</w:t>
      </w:r>
    </w:p>
    <w:p w14:paraId="3C39571A" w14:textId="77777777" w:rsidR="00BE569F" w:rsidRDefault="00BE569F" w:rsidP="0090085A">
      <w:pPr>
        <w:spacing w:after="0" w:line="240" w:lineRule="auto"/>
      </w:pPr>
    </w:p>
    <w:p w14:paraId="78994970" w14:textId="0515C8FF" w:rsidR="00376C9F" w:rsidRDefault="00E74DA0" w:rsidP="0090085A">
      <w:pPr>
        <w:spacing w:after="0" w:line="240" w:lineRule="auto"/>
      </w:pPr>
      <w:r>
        <w:t>In all three print editions, the</w:t>
      </w:r>
      <w:r w:rsidR="00797E7A">
        <w:t>re is a</w:t>
      </w:r>
      <w:r>
        <w:t xml:space="preserve"> prologue</w:t>
      </w:r>
      <w:r w:rsidR="00797E7A">
        <w:t>, which</w:t>
      </w:r>
      <w:r>
        <w:t xml:space="preserve"> is indented the same way</w:t>
      </w:r>
      <w:r w:rsidR="00797E7A">
        <w:t xml:space="preserve"> in all editions</w:t>
      </w:r>
      <w:r>
        <w:t xml:space="preserve">, with every other line being indented. However, in the 1912 earliest print edition, </w:t>
      </w:r>
      <w:r w:rsidR="00B12151">
        <w:t>t</w:t>
      </w:r>
      <w:r>
        <w:t>he prologue is the only</w:t>
      </w:r>
      <w:r w:rsidR="00B12151">
        <w:t xml:space="preserve"> part of the text with indentations, </w:t>
      </w:r>
      <w:r w:rsidR="00B12151" w:rsidRPr="00B12151">
        <w:rPr>
          <w:vertAlign w:val="superscript"/>
        </w:rPr>
        <w:t>[1]</w:t>
      </w:r>
      <w:r w:rsidR="00B12151">
        <w:t xml:space="preserve"> with the other two later editions having indentations throughout the text. In all three print editions ‘The Argument’ at the beginning of the play is laid out in such a way that it spells out ‘THE ALCHEMIST’</w:t>
      </w:r>
      <w:r w:rsidR="00797E7A">
        <w:t xml:space="preserve">. </w:t>
      </w:r>
      <w:r w:rsidR="00481989">
        <w:t xml:space="preserve">All three print editions have the first word of the next page </w:t>
      </w:r>
      <w:r w:rsidR="00376C9F">
        <w:t>p</w:t>
      </w:r>
      <w:r w:rsidR="00481989">
        <w:t xml:space="preserve">rinted </w:t>
      </w:r>
      <w:r w:rsidR="00376C9F">
        <w:t>in the bottom right corner of the page.</w:t>
      </w:r>
      <w:r w:rsidR="00376C9F" w:rsidRPr="00376C9F">
        <w:rPr>
          <w:vertAlign w:val="superscript"/>
        </w:rPr>
        <w:t xml:space="preserve"> </w:t>
      </w:r>
      <w:r w:rsidR="00376C9F" w:rsidRPr="005A1B89">
        <w:rPr>
          <w:vertAlign w:val="superscript"/>
        </w:rPr>
        <w:t>[1] [7] [8]</w:t>
      </w:r>
    </w:p>
    <w:p w14:paraId="295ECA0C" w14:textId="77777777" w:rsidR="005A1B89" w:rsidRDefault="005A1B89" w:rsidP="0090085A">
      <w:pPr>
        <w:spacing w:after="0" w:line="240" w:lineRule="auto"/>
      </w:pPr>
    </w:p>
    <w:p w14:paraId="68A046DC" w14:textId="161A6C4A" w:rsidR="00C36486" w:rsidRDefault="00C36486" w:rsidP="0090085A">
      <w:pPr>
        <w:spacing w:after="0" w:line="240" w:lineRule="auto"/>
      </w:pPr>
      <w:r>
        <w:t>The three print editions have different font type sizes for the act and scene markers. The 1912 earliest print edition has act and scene markers that are roughly twice the size</w:t>
      </w:r>
      <w:r w:rsidR="008151F8">
        <w:t xml:space="preserve"> of the font of bulk of the text with the numbers being slightly smaller </w:t>
      </w:r>
      <w:r w:rsidR="008943EC">
        <w:t>and extending slightly below the line</w:t>
      </w:r>
      <w:r w:rsidR="008151F8">
        <w:t xml:space="preserve">, </w:t>
      </w:r>
      <w:r w:rsidR="008151F8" w:rsidRPr="008943EC">
        <w:rPr>
          <w:vertAlign w:val="superscript"/>
        </w:rPr>
        <w:t xml:space="preserve">[1] </w:t>
      </w:r>
      <w:r w:rsidR="008943EC">
        <w:t xml:space="preserve">One of the later print editions, ‘The </w:t>
      </w:r>
      <w:proofErr w:type="spellStart"/>
      <w:r w:rsidR="008943EC">
        <w:t>Alchymist</w:t>
      </w:r>
      <w:proofErr w:type="spellEnd"/>
      <w:r w:rsidR="008943EC">
        <w:t xml:space="preserve">’ has slightly larger font size for the act and scene marker than the earliest print edition, and the numbers are in equal size to the text, </w:t>
      </w:r>
      <w:r w:rsidR="008943EC" w:rsidRPr="00CB3DE1">
        <w:rPr>
          <w:vertAlign w:val="superscript"/>
        </w:rPr>
        <w:t>[8]</w:t>
      </w:r>
      <w:r w:rsidR="00CB3DE1">
        <w:t xml:space="preserve"> and the third edition has act and scene markers almost three ties the size of the bulk of the text with the numbers being of equal size. </w:t>
      </w:r>
      <w:r w:rsidR="00CB3DE1" w:rsidRPr="00CB3DE1">
        <w:rPr>
          <w:vertAlign w:val="superscript"/>
        </w:rPr>
        <w:t>[7]</w:t>
      </w:r>
    </w:p>
    <w:p w14:paraId="768A73B1" w14:textId="325D85CE" w:rsidR="005C67EC" w:rsidRDefault="005C67EC" w:rsidP="00E46E87">
      <w:pPr>
        <w:spacing w:after="0" w:line="240" w:lineRule="auto"/>
      </w:pPr>
    </w:p>
    <w:p w14:paraId="6A99BB06" w14:textId="77777777" w:rsidR="005C67EC" w:rsidRDefault="005C67EC" w:rsidP="00E46E87">
      <w:pPr>
        <w:spacing w:after="0" w:line="240" w:lineRule="auto"/>
      </w:pPr>
    </w:p>
    <w:p w14:paraId="10BF4CCC" w14:textId="77777777" w:rsidR="00810E2C" w:rsidRDefault="00810E2C" w:rsidP="00E46E87">
      <w:pPr>
        <w:spacing w:after="0" w:line="240" w:lineRule="auto"/>
      </w:pPr>
    </w:p>
    <w:p w14:paraId="7DF76BAD" w14:textId="77777777" w:rsidR="00810E2C" w:rsidRDefault="00810E2C" w:rsidP="00E46E87">
      <w:pPr>
        <w:spacing w:after="0" w:line="240" w:lineRule="auto"/>
      </w:pPr>
    </w:p>
    <w:p w14:paraId="22BD41D6" w14:textId="77777777" w:rsidR="00810E2C" w:rsidRDefault="00810E2C" w:rsidP="00E46E87">
      <w:pPr>
        <w:spacing w:after="0" w:line="240" w:lineRule="auto"/>
      </w:pPr>
    </w:p>
    <w:p w14:paraId="2341F56F" w14:textId="77777777" w:rsidR="00810E2C" w:rsidRDefault="00810E2C" w:rsidP="00E46E87">
      <w:pPr>
        <w:spacing w:after="0" w:line="240" w:lineRule="auto"/>
      </w:pPr>
    </w:p>
    <w:p w14:paraId="7CFBD28B" w14:textId="77777777" w:rsidR="00810E2C" w:rsidRDefault="00810E2C" w:rsidP="00E46E87">
      <w:pPr>
        <w:spacing w:after="0" w:line="240" w:lineRule="auto"/>
      </w:pPr>
    </w:p>
    <w:p w14:paraId="35F36778" w14:textId="77777777" w:rsidR="00810E2C" w:rsidRDefault="00810E2C" w:rsidP="00E46E87">
      <w:pPr>
        <w:spacing w:after="0" w:line="240" w:lineRule="auto"/>
      </w:pPr>
    </w:p>
    <w:p w14:paraId="6D13822A" w14:textId="77777777" w:rsidR="00810E2C" w:rsidRDefault="00810E2C" w:rsidP="00E46E87">
      <w:pPr>
        <w:spacing w:after="0" w:line="240" w:lineRule="auto"/>
      </w:pPr>
    </w:p>
    <w:p w14:paraId="53BF5D61" w14:textId="77777777" w:rsidR="00810E2C" w:rsidRDefault="00810E2C" w:rsidP="00E46E87">
      <w:pPr>
        <w:spacing w:after="0" w:line="240" w:lineRule="auto"/>
      </w:pPr>
    </w:p>
    <w:p w14:paraId="35BB8606" w14:textId="5706BC04" w:rsidR="005C67EC" w:rsidRPr="007C169B" w:rsidRDefault="007C169B" w:rsidP="00E46E87">
      <w:pPr>
        <w:spacing w:after="0" w:line="240" w:lineRule="auto"/>
        <w:rPr>
          <w:u w:val="single"/>
        </w:rPr>
      </w:pPr>
      <w:r w:rsidRPr="007C169B">
        <w:rPr>
          <w:u w:val="single"/>
        </w:rPr>
        <w:lastRenderedPageBreak/>
        <w:t xml:space="preserve">Bibliography </w:t>
      </w:r>
    </w:p>
    <w:p w14:paraId="149F86BD" w14:textId="02D7073F" w:rsidR="007C169B" w:rsidRDefault="007C169B" w:rsidP="007C169B">
      <w:pPr>
        <w:tabs>
          <w:tab w:val="left" w:pos="676"/>
        </w:tabs>
        <w:spacing w:after="0" w:line="240" w:lineRule="auto"/>
      </w:pPr>
      <w:r>
        <w:t xml:space="preserve">[1] Jonson, Ben, </w:t>
      </w:r>
      <w:r w:rsidRPr="007D2E06">
        <w:rPr>
          <w:i/>
          <w:iCs/>
        </w:rPr>
        <w:t>The Alchemist</w:t>
      </w:r>
      <w:r>
        <w:t xml:space="preserve"> (London: Thomas </w:t>
      </w:r>
      <w:proofErr w:type="spellStart"/>
      <w:r>
        <w:t>Snodham</w:t>
      </w:r>
      <w:proofErr w:type="spellEnd"/>
      <w:r>
        <w:t>, 1612)</w:t>
      </w:r>
    </w:p>
    <w:p w14:paraId="4700B46F" w14:textId="2AA0F50E" w:rsidR="007C169B" w:rsidRDefault="007C169B" w:rsidP="007C169B">
      <w:pPr>
        <w:tabs>
          <w:tab w:val="left" w:pos="676"/>
        </w:tabs>
        <w:spacing w:after="0" w:line="240" w:lineRule="auto"/>
      </w:pPr>
      <w:r>
        <w:t>[2]</w:t>
      </w:r>
      <w:r>
        <w:t xml:space="preserve"> </w:t>
      </w:r>
      <w:r w:rsidRPr="00EA6201">
        <w:t>M</w:t>
      </w:r>
      <w:r w:rsidRPr="00EA6201">
        <w:rPr>
          <w:vertAlign w:val="superscript"/>
        </w:rPr>
        <w:t>c</w:t>
      </w:r>
      <w:r w:rsidRPr="00EA6201">
        <w:t xml:space="preserve">Kerrow, </w:t>
      </w:r>
      <w:r w:rsidRPr="00EA6201">
        <w:rPr>
          <w:i/>
        </w:rPr>
        <w:t>Dictionary of Printers and Booksellers, 1557-1640</w:t>
      </w:r>
      <w:r w:rsidRPr="00EA6201">
        <w:t>.</w:t>
      </w:r>
      <w:r>
        <w:t xml:space="preserve"> </w:t>
      </w:r>
      <w:r w:rsidR="009557B1">
        <w:t>p</w:t>
      </w:r>
      <w:r>
        <w:t>p</w:t>
      </w:r>
      <w:r w:rsidR="009557B1">
        <w:t>.</w:t>
      </w:r>
      <w:r>
        <w:t xml:space="preserve"> 250-251</w:t>
      </w:r>
    </w:p>
    <w:p w14:paraId="0116F3E0" w14:textId="3AA9F7DF" w:rsidR="007C169B" w:rsidRDefault="007C169B" w:rsidP="007C169B">
      <w:pPr>
        <w:tabs>
          <w:tab w:val="left" w:pos="676"/>
        </w:tabs>
        <w:spacing w:after="0" w:line="240" w:lineRule="auto"/>
      </w:pPr>
      <w:r>
        <w:t>[3]</w:t>
      </w:r>
      <w:r>
        <w:t xml:space="preserve"> </w:t>
      </w:r>
      <w:r w:rsidRPr="00EA6201">
        <w:t>M</w:t>
      </w:r>
      <w:r w:rsidRPr="00EA6201">
        <w:rPr>
          <w:vertAlign w:val="superscript"/>
        </w:rPr>
        <w:t>c</w:t>
      </w:r>
      <w:r w:rsidRPr="00EA6201">
        <w:t xml:space="preserve">Kerrow, </w:t>
      </w:r>
      <w:r w:rsidRPr="00EA6201">
        <w:rPr>
          <w:i/>
        </w:rPr>
        <w:t>Dictionary of Printers and Booksellers, 1557-1640</w:t>
      </w:r>
      <w:r w:rsidRPr="00EA6201">
        <w:t>.</w:t>
      </w:r>
      <w:r>
        <w:t xml:space="preserve"> </w:t>
      </w:r>
      <w:r w:rsidR="009557B1">
        <w:t>pp.</w:t>
      </w:r>
      <w:r>
        <w:t xml:space="preserve"> 56</w:t>
      </w:r>
    </w:p>
    <w:p w14:paraId="68967AEA" w14:textId="002F3B2D" w:rsidR="007C169B" w:rsidRPr="00EA6201" w:rsidRDefault="007C169B" w:rsidP="007C169B">
      <w:pPr>
        <w:tabs>
          <w:tab w:val="left" w:pos="676"/>
        </w:tabs>
        <w:spacing w:after="0" w:line="240" w:lineRule="auto"/>
      </w:pPr>
      <w:r>
        <w:t>[4]</w:t>
      </w:r>
      <w:r>
        <w:t xml:space="preserve"> </w:t>
      </w:r>
      <w:r>
        <w:t xml:space="preserve">Arber, </w:t>
      </w:r>
      <w:r w:rsidRPr="008A0C6B">
        <w:rPr>
          <w:i/>
          <w:iCs/>
        </w:rPr>
        <w:t>A Transcript of the Stationers’ Registers</w:t>
      </w:r>
      <w:r>
        <w:t>, Vol 2 (London: Privately Printed, 1875) p</w:t>
      </w:r>
      <w:r w:rsidR="009557B1">
        <w:t>p.</w:t>
      </w:r>
      <w:r>
        <w:t xml:space="preserve"> 445</w:t>
      </w:r>
    </w:p>
    <w:p w14:paraId="6FF65918" w14:textId="5D1CAB06" w:rsidR="007C169B" w:rsidRPr="00EA6201" w:rsidRDefault="007C169B" w:rsidP="007C169B">
      <w:pPr>
        <w:tabs>
          <w:tab w:val="left" w:pos="676"/>
        </w:tabs>
        <w:spacing w:after="0" w:line="240" w:lineRule="auto"/>
      </w:pPr>
      <w:r>
        <w:t>[5]</w:t>
      </w:r>
      <w:r>
        <w:t xml:space="preserve"> </w:t>
      </w:r>
      <w:r w:rsidRPr="00EA6201">
        <w:t>M</w:t>
      </w:r>
      <w:r w:rsidRPr="00EA6201">
        <w:rPr>
          <w:vertAlign w:val="superscript"/>
        </w:rPr>
        <w:t>c</w:t>
      </w:r>
      <w:r w:rsidRPr="00EA6201">
        <w:t xml:space="preserve">Kerrow, </w:t>
      </w:r>
      <w:r w:rsidRPr="00EA6201">
        <w:rPr>
          <w:i/>
        </w:rPr>
        <w:t>Dictionary of Printers and Booksellers, 1557-1640</w:t>
      </w:r>
      <w:r w:rsidRPr="00EA6201">
        <w:t>.</w:t>
      </w:r>
      <w:r>
        <w:t xml:space="preserve"> </w:t>
      </w:r>
      <w:r w:rsidR="009557B1">
        <w:t>p</w:t>
      </w:r>
      <w:r>
        <w:t>p</w:t>
      </w:r>
      <w:r w:rsidR="009557B1">
        <w:t xml:space="preserve">. </w:t>
      </w:r>
      <w:r>
        <w:t>98-99</w:t>
      </w:r>
    </w:p>
    <w:p w14:paraId="58C4DD36" w14:textId="7B470C47" w:rsidR="007C169B" w:rsidRDefault="007C169B" w:rsidP="007C169B">
      <w:pPr>
        <w:tabs>
          <w:tab w:val="left" w:pos="676"/>
        </w:tabs>
        <w:spacing w:after="0" w:line="240" w:lineRule="auto"/>
      </w:pPr>
      <w:r>
        <w:t xml:space="preserve">[6] </w:t>
      </w:r>
      <w:r w:rsidRPr="009C649E">
        <w:t xml:space="preserve">Greg, </w:t>
      </w:r>
      <w:r w:rsidRPr="009C649E">
        <w:rPr>
          <w:i/>
        </w:rPr>
        <w:t>A Bibliography of the English Printed Drama to the Restoration</w:t>
      </w:r>
      <w:r w:rsidRPr="009C649E">
        <w:t xml:space="preserve">, </w:t>
      </w:r>
      <w:r>
        <w:t>Vol 1 (London: University Press, Oxford, 1951) pp. 440-443</w:t>
      </w:r>
    </w:p>
    <w:p w14:paraId="13674540" w14:textId="21523332" w:rsidR="007C169B" w:rsidRDefault="007C169B" w:rsidP="007C169B">
      <w:pPr>
        <w:tabs>
          <w:tab w:val="left" w:pos="676"/>
        </w:tabs>
        <w:spacing w:after="0" w:line="240" w:lineRule="auto"/>
      </w:pPr>
      <w:r>
        <w:t xml:space="preserve">[7] Jonson, Ben, </w:t>
      </w:r>
      <w:r w:rsidRPr="00EB38F8">
        <w:rPr>
          <w:i/>
          <w:iCs/>
        </w:rPr>
        <w:t>The Alchemist. A Comedy</w:t>
      </w:r>
      <w:r>
        <w:t xml:space="preserve"> (London: H. Hills, 1680)</w:t>
      </w:r>
    </w:p>
    <w:p w14:paraId="5E5BEB5E" w14:textId="56D29EAC" w:rsidR="003C7823" w:rsidRDefault="007C169B" w:rsidP="007C169B">
      <w:pPr>
        <w:tabs>
          <w:tab w:val="left" w:pos="676"/>
        </w:tabs>
        <w:spacing w:after="0" w:line="240" w:lineRule="auto"/>
      </w:pPr>
      <w:r>
        <w:t xml:space="preserve">[8] Jonson, Ben, </w:t>
      </w:r>
      <w:r w:rsidRPr="00EB38F8">
        <w:rPr>
          <w:i/>
          <w:iCs/>
        </w:rPr>
        <w:t xml:space="preserve">The </w:t>
      </w:r>
      <w:proofErr w:type="spellStart"/>
      <w:r w:rsidRPr="00EB38F8">
        <w:rPr>
          <w:i/>
          <w:iCs/>
        </w:rPr>
        <w:t>Alchymist</w:t>
      </w:r>
      <w:proofErr w:type="spellEnd"/>
      <w:r w:rsidRPr="00EB38F8">
        <w:rPr>
          <w:i/>
          <w:iCs/>
        </w:rPr>
        <w:t>. A Comedy</w:t>
      </w:r>
      <w:r>
        <w:t xml:space="preserve"> (London: </w:t>
      </w:r>
      <w:proofErr w:type="spellStart"/>
      <w:r>
        <w:t>Book∫ellers</w:t>
      </w:r>
      <w:proofErr w:type="spellEnd"/>
      <w:r>
        <w:t xml:space="preserve"> in Town and Country, 1680)</w:t>
      </w:r>
    </w:p>
    <w:sectPr w:rsidR="003C7823" w:rsidSect="00D24E63">
      <w:headerReference w:type="default" r:id="rId10"/>
      <w:pgSz w:w="11906" w:h="16838"/>
      <w:pgMar w:top="1440"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85F51E" w14:textId="77777777" w:rsidR="007D3C47" w:rsidRDefault="007D3C47" w:rsidP="00A86BAD">
      <w:pPr>
        <w:spacing w:after="0" w:line="240" w:lineRule="auto"/>
      </w:pPr>
      <w:r>
        <w:separator/>
      </w:r>
    </w:p>
  </w:endnote>
  <w:endnote w:type="continuationSeparator" w:id="0">
    <w:p w14:paraId="4A5D84C5" w14:textId="77777777" w:rsidR="007D3C47" w:rsidRDefault="007D3C47" w:rsidP="00A86B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17F008" w14:textId="77777777" w:rsidR="007D3C47" w:rsidRDefault="007D3C47" w:rsidP="00A86BAD">
      <w:pPr>
        <w:spacing w:after="0" w:line="240" w:lineRule="auto"/>
      </w:pPr>
      <w:r>
        <w:separator/>
      </w:r>
    </w:p>
  </w:footnote>
  <w:footnote w:type="continuationSeparator" w:id="0">
    <w:p w14:paraId="275AF054" w14:textId="77777777" w:rsidR="007D3C47" w:rsidRDefault="007D3C47" w:rsidP="00A86B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CA615" w14:textId="0C0EC86F" w:rsidR="00A86BAD" w:rsidRDefault="00A86BAD">
    <w:pPr>
      <w:pStyle w:val="Header"/>
    </w:pPr>
    <w:r>
      <w:t>Written exercise on early textual history and performance.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67D68BE"/>
    <w:multiLevelType w:val="hybridMultilevel"/>
    <w:tmpl w:val="FCF600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4126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6A7"/>
    <w:rsid w:val="00012698"/>
    <w:rsid w:val="00035E8E"/>
    <w:rsid w:val="00035FE9"/>
    <w:rsid w:val="00055927"/>
    <w:rsid w:val="00055A6A"/>
    <w:rsid w:val="0006602A"/>
    <w:rsid w:val="0007066B"/>
    <w:rsid w:val="00093023"/>
    <w:rsid w:val="000D12BF"/>
    <w:rsid w:val="000D2AB9"/>
    <w:rsid w:val="00133C59"/>
    <w:rsid w:val="001812DA"/>
    <w:rsid w:val="001A2D2A"/>
    <w:rsid w:val="001E714B"/>
    <w:rsid w:val="002153C5"/>
    <w:rsid w:val="0024526D"/>
    <w:rsid w:val="00265F24"/>
    <w:rsid w:val="00273246"/>
    <w:rsid w:val="002A181A"/>
    <w:rsid w:val="002B16CE"/>
    <w:rsid w:val="002B6799"/>
    <w:rsid w:val="002C447E"/>
    <w:rsid w:val="002D2D0F"/>
    <w:rsid w:val="0032379F"/>
    <w:rsid w:val="00351946"/>
    <w:rsid w:val="00360D61"/>
    <w:rsid w:val="00376C9F"/>
    <w:rsid w:val="00376E31"/>
    <w:rsid w:val="003B4648"/>
    <w:rsid w:val="003C7823"/>
    <w:rsid w:val="003D188C"/>
    <w:rsid w:val="004166A3"/>
    <w:rsid w:val="00451D10"/>
    <w:rsid w:val="0045523A"/>
    <w:rsid w:val="00470C85"/>
    <w:rsid w:val="00481989"/>
    <w:rsid w:val="004F3AD3"/>
    <w:rsid w:val="004F752B"/>
    <w:rsid w:val="00516767"/>
    <w:rsid w:val="00561646"/>
    <w:rsid w:val="00587901"/>
    <w:rsid w:val="005A1B89"/>
    <w:rsid w:val="005C2605"/>
    <w:rsid w:val="005C67EC"/>
    <w:rsid w:val="005D11C9"/>
    <w:rsid w:val="005E59DC"/>
    <w:rsid w:val="0060288A"/>
    <w:rsid w:val="006103B6"/>
    <w:rsid w:val="006170EE"/>
    <w:rsid w:val="00642EF4"/>
    <w:rsid w:val="00644FB3"/>
    <w:rsid w:val="006A6E23"/>
    <w:rsid w:val="006F49C8"/>
    <w:rsid w:val="006F7147"/>
    <w:rsid w:val="0070301D"/>
    <w:rsid w:val="007234A6"/>
    <w:rsid w:val="00731B8D"/>
    <w:rsid w:val="0075067D"/>
    <w:rsid w:val="00760A6C"/>
    <w:rsid w:val="007958B4"/>
    <w:rsid w:val="00797E7A"/>
    <w:rsid w:val="007C169B"/>
    <w:rsid w:val="007D2E06"/>
    <w:rsid w:val="007D3C47"/>
    <w:rsid w:val="007E1237"/>
    <w:rsid w:val="007F4A48"/>
    <w:rsid w:val="00810E2C"/>
    <w:rsid w:val="00811487"/>
    <w:rsid w:val="008151F8"/>
    <w:rsid w:val="00840DF3"/>
    <w:rsid w:val="0084501E"/>
    <w:rsid w:val="00852687"/>
    <w:rsid w:val="00865743"/>
    <w:rsid w:val="008746A7"/>
    <w:rsid w:val="008943EC"/>
    <w:rsid w:val="008A0C6B"/>
    <w:rsid w:val="008C4FA8"/>
    <w:rsid w:val="008D77C2"/>
    <w:rsid w:val="008E1306"/>
    <w:rsid w:val="0090085A"/>
    <w:rsid w:val="00915741"/>
    <w:rsid w:val="009557B1"/>
    <w:rsid w:val="00961CD9"/>
    <w:rsid w:val="00962F42"/>
    <w:rsid w:val="009A51BE"/>
    <w:rsid w:val="009C3AAB"/>
    <w:rsid w:val="009C649E"/>
    <w:rsid w:val="009D6E7D"/>
    <w:rsid w:val="009E24FC"/>
    <w:rsid w:val="009E4088"/>
    <w:rsid w:val="00A1560A"/>
    <w:rsid w:val="00A16BDE"/>
    <w:rsid w:val="00A27EB9"/>
    <w:rsid w:val="00A33C09"/>
    <w:rsid w:val="00A50744"/>
    <w:rsid w:val="00A83545"/>
    <w:rsid w:val="00A86BAD"/>
    <w:rsid w:val="00AA4AD0"/>
    <w:rsid w:val="00AD4C50"/>
    <w:rsid w:val="00AD6D4C"/>
    <w:rsid w:val="00AF1AD5"/>
    <w:rsid w:val="00B0724E"/>
    <w:rsid w:val="00B12151"/>
    <w:rsid w:val="00B13372"/>
    <w:rsid w:val="00B170EE"/>
    <w:rsid w:val="00B17BD9"/>
    <w:rsid w:val="00B2789C"/>
    <w:rsid w:val="00B3611B"/>
    <w:rsid w:val="00B41BBC"/>
    <w:rsid w:val="00B839FD"/>
    <w:rsid w:val="00B93D77"/>
    <w:rsid w:val="00B962D2"/>
    <w:rsid w:val="00BA32CC"/>
    <w:rsid w:val="00BB4CC8"/>
    <w:rsid w:val="00BB62A1"/>
    <w:rsid w:val="00BC2712"/>
    <w:rsid w:val="00BC30C4"/>
    <w:rsid w:val="00BE569F"/>
    <w:rsid w:val="00BE7662"/>
    <w:rsid w:val="00BF7E59"/>
    <w:rsid w:val="00C11340"/>
    <w:rsid w:val="00C150BC"/>
    <w:rsid w:val="00C36486"/>
    <w:rsid w:val="00C377E4"/>
    <w:rsid w:val="00C5355B"/>
    <w:rsid w:val="00C579B8"/>
    <w:rsid w:val="00C85D25"/>
    <w:rsid w:val="00CA186A"/>
    <w:rsid w:val="00CA646D"/>
    <w:rsid w:val="00CA649B"/>
    <w:rsid w:val="00CB3DE1"/>
    <w:rsid w:val="00CE7AB6"/>
    <w:rsid w:val="00D167F1"/>
    <w:rsid w:val="00D24E63"/>
    <w:rsid w:val="00D43CB6"/>
    <w:rsid w:val="00D55173"/>
    <w:rsid w:val="00D66221"/>
    <w:rsid w:val="00D72974"/>
    <w:rsid w:val="00D91B83"/>
    <w:rsid w:val="00D971D4"/>
    <w:rsid w:val="00E0667A"/>
    <w:rsid w:val="00E17A1B"/>
    <w:rsid w:val="00E310A3"/>
    <w:rsid w:val="00E3340B"/>
    <w:rsid w:val="00E46E87"/>
    <w:rsid w:val="00E74DA0"/>
    <w:rsid w:val="00E83265"/>
    <w:rsid w:val="00EA2415"/>
    <w:rsid w:val="00EA6201"/>
    <w:rsid w:val="00EB38F8"/>
    <w:rsid w:val="00EE0891"/>
    <w:rsid w:val="00F517AA"/>
    <w:rsid w:val="00F536BD"/>
    <w:rsid w:val="00FA4EE9"/>
    <w:rsid w:val="00FA589A"/>
    <w:rsid w:val="00FB3648"/>
    <w:rsid w:val="00FB7093"/>
    <w:rsid w:val="00FD0A65"/>
    <w:rsid w:val="00FD2463"/>
    <w:rsid w:val="00FD6441"/>
    <w:rsid w:val="00FE0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68B12"/>
  <w15:chartTrackingRefBased/>
  <w15:docId w15:val="{27A57260-4ABD-4A2F-8973-E1B421617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46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46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46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46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46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46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46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46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46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46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46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46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46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46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46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46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46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46A7"/>
    <w:rPr>
      <w:rFonts w:eastAsiaTheme="majorEastAsia" w:cstheme="majorBidi"/>
      <w:color w:val="272727" w:themeColor="text1" w:themeTint="D8"/>
    </w:rPr>
  </w:style>
  <w:style w:type="paragraph" w:styleId="Title">
    <w:name w:val="Title"/>
    <w:basedOn w:val="Normal"/>
    <w:next w:val="Normal"/>
    <w:link w:val="TitleChar"/>
    <w:uiPriority w:val="10"/>
    <w:qFormat/>
    <w:rsid w:val="008746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46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46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46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46A7"/>
    <w:pPr>
      <w:spacing w:before="160"/>
      <w:jc w:val="center"/>
    </w:pPr>
    <w:rPr>
      <w:i/>
      <w:iCs/>
      <w:color w:val="404040" w:themeColor="text1" w:themeTint="BF"/>
    </w:rPr>
  </w:style>
  <w:style w:type="character" w:customStyle="1" w:styleId="QuoteChar">
    <w:name w:val="Quote Char"/>
    <w:basedOn w:val="DefaultParagraphFont"/>
    <w:link w:val="Quote"/>
    <w:uiPriority w:val="29"/>
    <w:rsid w:val="008746A7"/>
    <w:rPr>
      <w:i/>
      <w:iCs/>
      <w:color w:val="404040" w:themeColor="text1" w:themeTint="BF"/>
    </w:rPr>
  </w:style>
  <w:style w:type="paragraph" w:styleId="ListParagraph">
    <w:name w:val="List Paragraph"/>
    <w:basedOn w:val="Normal"/>
    <w:uiPriority w:val="34"/>
    <w:qFormat/>
    <w:rsid w:val="008746A7"/>
    <w:pPr>
      <w:ind w:left="720"/>
      <w:contextualSpacing/>
    </w:pPr>
  </w:style>
  <w:style w:type="character" w:styleId="IntenseEmphasis">
    <w:name w:val="Intense Emphasis"/>
    <w:basedOn w:val="DefaultParagraphFont"/>
    <w:uiPriority w:val="21"/>
    <w:qFormat/>
    <w:rsid w:val="008746A7"/>
    <w:rPr>
      <w:i/>
      <w:iCs/>
      <w:color w:val="0F4761" w:themeColor="accent1" w:themeShade="BF"/>
    </w:rPr>
  </w:style>
  <w:style w:type="paragraph" w:styleId="IntenseQuote">
    <w:name w:val="Intense Quote"/>
    <w:basedOn w:val="Normal"/>
    <w:next w:val="Normal"/>
    <w:link w:val="IntenseQuoteChar"/>
    <w:uiPriority w:val="30"/>
    <w:qFormat/>
    <w:rsid w:val="008746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46A7"/>
    <w:rPr>
      <w:i/>
      <w:iCs/>
      <w:color w:val="0F4761" w:themeColor="accent1" w:themeShade="BF"/>
    </w:rPr>
  </w:style>
  <w:style w:type="character" w:styleId="IntenseReference">
    <w:name w:val="Intense Reference"/>
    <w:basedOn w:val="DefaultParagraphFont"/>
    <w:uiPriority w:val="32"/>
    <w:qFormat/>
    <w:rsid w:val="008746A7"/>
    <w:rPr>
      <w:b/>
      <w:bCs/>
      <w:smallCaps/>
      <w:color w:val="0F4761" w:themeColor="accent1" w:themeShade="BF"/>
      <w:spacing w:val="5"/>
    </w:rPr>
  </w:style>
  <w:style w:type="paragraph" w:styleId="Header">
    <w:name w:val="header"/>
    <w:basedOn w:val="Normal"/>
    <w:link w:val="HeaderChar"/>
    <w:uiPriority w:val="99"/>
    <w:unhideWhenUsed/>
    <w:rsid w:val="00A86B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6BAD"/>
  </w:style>
  <w:style w:type="paragraph" w:styleId="Footer">
    <w:name w:val="footer"/>
    <w:basedOn w:val="Normal"/>
    <w:link w:val="FooterChar"/>
    <w:uiPriority w:val="99"/>
    <w:unhideWhenUsed/>
    <w:rsid w:val="00A86B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BAD"/>
  </w:style>
  <w:style w:type="table" w:styleId="TableGrid">
    <w:name w:val="Table Grid"/>
    <w:basedOn w:val="TableNormal"/>
    <w:uiPriority w:val="39"/>
    <w:rsid w:val="003C78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2191399">
      <w:bodyDiv w:val="1"/>
      <w:marLeft w:val="0"/>
      <w:marRight w:val="0"/>
      <w:marTop w:val="0"/>
      <w:marBottom w:val="0"/>
      <w:divBdr>
        <w:top w:val="none" w:sz="0" w:space="0" w:color="auto"/>
        <w:left w:val="none" w:sz="0" w:space="0" w:color="auto"/>
        <w:bottom w:val="none" w:sz="0" w:space="0" w:color="auto"/>
        <w:right w:val="none" w:sz="0" w:space="0" w:color="auto"/>
      </w:divBdr>
    </w:div>
    <w:div w:id="1012142540">
      <w:bodyDiv w:val="1"/>
      <w:marLeft w:val="0"/>
      <w:marRight w:val="0"/>
      <w:marTop w:val="0"/>
      <w:marBottom w:val="0"/>
      <w:divBdr>
        <w:top w:val="none" w:sz="0" w:space="0" w:color="auto"/>
        <w:left w:val="none" w:sz="0" w:space="0" w:color="auto"/>
        <w:bottom w:val="none" w:sz="0" w:space="0" w:color="auto"/>
        <w:right w:val="none" w:sz="0" w:space="0" w:color="auto"/>
      </w:divBdr>
    </w:div>
    <w:div w:id="1013384650">
      <w:bodyDiv w:val="1"/>
      <w:marLeft w:val="0"/>
      <w:marRight w:val="0"/>
      <w:marTop w:val="0"/>
      <w:marBottom w:val="0"/>
      <w:divBdr>
        <w:top w:val="none" w:sz="0" w:space="0" w:color="auto"/>
        <w:left w:val="none" w:sz="0" w:space="0" w:color="auto"/>
        <w:bottom w:val="none" w:sz="0" w:space="0" w:color="auto"/>
        <w:right w:val="none" w:sz="0" w:space="0" w:color="auto"/>
      </w:divBdr>
    </w:div>
    <w:div w:id="1148982108">
      <w:bodyDiv w:val="1"/>
      <w:marLeft w:val="0"/>
      <w:marRight w:val="0"/>
      <w:marTop w:val="0"/>
      <w:marBottom w:val="0"/>
      <w:divBdr>
        <w:top w:val="none" w:sz="0" w:space="0" w:color="auto"/>
        <w:left w:val="none" w:sz="0" w:space="0" w:color="auto"/>
        <w:bottom w:val="none" w:sz="0" w:space="0" w:color="auto"/>
        <w:right w:val="none" w:sz="0" w:space="0" w:color="auto"/>
      </w:divBdr>
    </w:div>
    <w:div w:id="1664620542">
      <w:bodyDiv w:val="1"/>
      <w:marLeft w:val="0"/>
      <w:marRight w:val="0"/>
      <w:marTop w:val="0"/>
      <w:marBottom w:val="0"/>
      <w:divBdr>
        <w:top w:val="none" w:sz="0" w:space="0" w:color="auto"/>
        <w:left w:val="none" w:sz="0" w:space="0" w:color="auto"/>
        <w:bottom w:val="none" w:sz="0" w:space="0" w:color="auto"/>
        <w:right w:val="none" w:sz="0" w:space="0" w:color="auto"/>
      </w:divBdr>
    </w:div>
    <w:div w:id="1770391831">
      <w:bodyDiv w:val="1"/>
      <w:marLeft w:val="0"/>
      <w:marRight w:val="0"/>
      <w:marTop w:val="0"/>
      <w:marBottom w:val="0"/>
      <w:divBdr>
        <w:top w:val="none" w:sz="0" w:space="0" w:color="auto"/>
        <w:left w:val="none" w:sz="0" w:space="0" w:color="auto"/>
        <w:bottom w:val="none" w:sz="0" w:space="0" w:color="auto"/>
        <w:right w:val="none" w:sz="0" w:space="0" w:color="auto"/>
      </w:divBdr>
    </w:div>
    <w:div w:id="2126384163">
      <w:bodyDiv w:val="1"/>
      <w:marLeft w:val="0"/>
      <w:marRight w:val="0"/>
      <w:marTop w:val="0"/>
      <w:marBottom w:val="0"/>
      <w:divBdr>
        <w:top w:val="none" w:sz="0" w:space="0" w:color="auto"/>
        <w:left w:val="none" w:sz="0" w:space="0" w:color="auto"/>
        <w:bottom w:val="none" w:sz="0" w:space="0" w:color="auto"/>
        <w:right w:val="none" w:sz="0" w:space="0" w:color="auto"/>
      </w:divBdr>
    </w:div>
    <w:div w:id="2134788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15614b4bc5908c5decbffccd82c83a6b">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c192ce8f8749e6a10dde3e3468208ab6"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235560-4DC6-4829-8533-691638513679}">
  <ds:schemaRefs>
    <ds:schemaRef ds:uri="http://schemas.microsoft.com/sharepoint/v3/contenttype/forms"/>
  </ds:schemaRefs>
</ds:datastoreItem>
</file>

<file path=customXml/itemProps2.xml><?xml version="1.0" encoding="utf-8"?>
<ds:datastoreItem xmlns:ds="http://schemas.openxmlformats.org/officeDocument/2006/customXml" ds:itemID="{F4DFCEC6-B9E1-4E66-9FF8-0FB5A12810B6}">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E7BF02EC-8601-47F1-ACBB-575133F7CC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964</TotalTime>
  <Pages>2</Pages>
  <Words>581</Words>
  <Characters>3312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Emmett Leitch (2305899)</dc:creator>
  <cp:keywords/>
  <dc:description/>
  <cp:lastModifiedBy>Emmett Leitch (2305899)</cp:lastModifiedBy>
  <cp:revision>7</cp:revision>
  <dcterms:created xsi:type="dcterms:W3CDTF">2024-10-08T12:38:00Z</dcterms:created>
  <dcterms:modified xsi:type="dcterms:W3CDTF">2024-10-10T21:13:00Z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