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color w:val="000000" w:themeColor="text1"/>
        </w:rPr>
        <w:id w:val="69161244"/>
        <w:docPartObj>
          <w:docPartGallery w:val="Cover Pages"/>
          <w:docPartUnique/>
        </w:docPartObj>
      </w:sdtPr>
      <w:sdtEndPr>
        <w:rPr>
          <w:rFonts w:ascii="Times New Roman" w:eastAsiaTheme="minorHAnsi" w:hAnsi="Times New Roman" w:cs="Times New Roman"/>
          <w:i/>
          <w:caps w:val="0"/>
          <w:color w:val="2E74B5" w:themeColor="accent1" w:themeShade="BF"/>
        </w:rPr>
      </w:sdtEndPr>
      <w:sdtContent>
        <w:tbl>
          <w:tblPr>
            <w:tblW w:w="5000" w:type="pct"/>
            <w:jc w:val="center"/>
            <w:tblLook w:val="04A0" w:firstRow="1" w:lastRow="0" w:firstColumn="1" w:lastColumn="0" w:noHBand="0" w:noVBand="1"/>
          </w:tblPr>
          <w:tblGrid>
            <w:gridCol w:w="9360"/>
          </w:tblGrid>
          <w:tr w:rsidR="00BF18D3" w14:paraId="1CE08CC0" w14:textId="77777777">
            <w:trPr>
              <w:trHeight w:val="2880"/>
              <w:jc w:val="center"/>
            </w:trPr>
            <w:sdt>
              <w:sdtPr>
                <w:rPr>
                  <w:rFonts w:asciiTheme="majorHAnsi" w:eastAsiaTheme="majorEastAsia" w:hAnsiTheme="majorHAnsi" w:cstheme="majorBidi"/>
                  <w:caps/>
                  <w:color w:val="000000" w:themeColor="text1"/>
                </w:rPr>
                <w:alias w:val="Company"/>
                <w:id w:val="15524243"/>
                <w:placeholder>
                  <w:docPart w:val="EE942D63765F48FD83FA261460893B6D"/>
                </w:placeholder>
                <w:dataBinding w:prefixMappings="xmlns:ns0='http://schemas.openxmlformats.org/officeDocument/2006/extended-properties'" w:xpath="/ns0:Properties[1]/ns0:Company[1]" w:storeItemID="{6668398D-A668-4E3E-A5EB-62B293D839F1}"/>
                <w:text/>
              </w:sdtPr>
              <w:sdtEndPr>
                <w:rPr>
                  <w:color w:val="2F5496" w:themeColor="accent5" w:themeShade="BF"/>
                </w:rPr>
              </w:sdtEndPr>
              <w:sdtContent>
                <w:tc>
                  <w:tcPr>
                    <w:tcW w:w="5000" w:type="pct"/>
                  </w:tcPr>
                  <w:p w14:paraId="619E9C56" w14:textId="77777777" w:rsidR="00BF18D3" w:rsidRDefault="00BF18D3" w:rsidP="00BF18D3">
                    <w:pPr>
                      <w:pStyle w:val="NoSpacing"/>
                      <w:jc w:val="center"/>
                      <w:rPr>
                        <w:rFonts w:asciiTheme="majorHAnsi" w:eastAsiaTheme="majorEastAsia" w:hAnsiTheme="majorHAnsi" w:cstheme="majorBidi"/>
                        <w:caps/>
                      </w:rPr>
                    </w:pPr>
                    <w:r w:rsidRPr="00BF18D3">
                      <w:rPr>
                        <w:rFonts w:asciiTheme="majorHAnsi" w:eastAsiaTheme="majorEastAsia" w:hAnsiTheme="majorHAnsi" w:cstheme="majorBidi"/>
                        <w:caps/>
                        <w:color w:val="2F5496" w:themeColor="accent5" w:themeShade="BF"/>
                      </w:rPr>
                      <w:t>Health and Social Care</w:t>
                    </w:r>
                  </w:p>
                </w:tc>
              </w:sdtContent>
            </w:sdt>
          </w:tr>
          <w:tr w:rsidR="00BF18D3" w14:paraId="0A337352" w14:textId="77777777">
            <w:trPr>
              <w:trHeight w:val="1440"/>
              <w:jc w:val="center"/>
            </w:trPr>
            <w:sdt>
              <w:sdtPr>
                <w:rPr>
                  <w:rFonts w:ascii="Times New Roman" w:eastAsiaTheme="majorEastAsia" w:hAnsi="Times New Roman" w:cs="Times New Roman"/>
                  <w:color w:val="2F5496" w:themeColor="accent5" w:themeShade="BF"/>
                  <w:sz w:val="80"/>
                  <w:szCs w:val="80"/>
                </w:rPr>
                <w:alias w:val="Title"/>
                <w:id w:val="15524250"/>
                <w:placeholder>
                  <w:docPart w:val="7974B91E28E9458F9ABC98F139BF2D31"/>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14:paraId="6D845EBD" w14:textId="77777777" w:rsidR="00BF18D3" w:rsidRDefault="00BF18D3">
                    <w:pPr>
                      <w:pStyle w:val="NoSpacing"/>
                      <w:jc w:val="center"/>
                      <w:rPr>
                        <w:rFonts w:asciiTheme="majorHAnsi" w:eastAsiaTheme="majorEastAsia" w:hAnsiTheme="majorHAnsi" w:cstheme="majorBidi"/>
                        <w:sz w:val="80"/>
                        <w:szCs w:val="80"/>
                      </w:rPr>
                    </w:pPr>
                    <w:r w:rsidRPr="00BF18D3">
                      <w:rPr>
                        <w:rFonts w:ascii="Times New Roman" w:eastAsiaTheme="majorEastAsia" w:hAnsi="Times New Roman" w:cs="Times New Roman"/>
                        <w:color w:val="2F5496" w:themeColor="accent5" w:themeShade="BF"/>
                        <w:sz w:val="80"/>
                        <w:szCs w:val="80"/>
                      </w:rPr>
                      <w:t>Children, Young People and Families</w:t>
                    </w:r>
                  </w:p>
                </w:tc>
              </w:sdtContent>
            </w:sdt>
          </w:tr>
          <w:tr w:rsidR="00BF18D3" w14:paraId="7604DF5A" w14:textId="77777777">
            <w:trPr>
              <w:trHeight w:val="720"/>
              <w:jc w:val="center"/>
            </w:trPr>
            <w:tc>
              <w:tcPr>
                <w:tcW w:w="5000" w:type="pct"/>
                <w:tcBorders>
                  <w:top w:val="single" w:sz="4" w:space="0" w:color="5B9BD5" w:themeColor="accent1"/>
                </w:tcBorders>
                <w:vAlign w:val="center"/>
              </w:tcPr>
              <w:p w14:paraId="72DBD199" w14:textId="77777777" w:rsidR="00BF18D3" w:rsidRDefault="00BF18D3">
                <w:pPr>
                  <w:pStyle w:val="NoSpacing"/>
                  <w:jc w:val="center"/>
                  <w:rPr>
                    <w:rFonts w:asciiTheme="majorHAnsi" w:eastAsiaTheme="majorEastAsia" w:hAnsiTheme="majorHAnsi" w:cstheme="majorBidi"/>
                    <w:sz w:val="44"/>
                    <w:szCs w:val="44"/>
                  </w:rPr>
                </w:pPr>
              </w:p>
            </w:tc>
          </w:tr>
          <w:tr w:rsidR="00BF18D3" w14:paraId="04E8F519" w14:textId="77777777">
            <w:trPr>
              <w:trHeight w:val="360"/>
              <w:jc w:val="center"/>
            </w:trPr>
            <w:tc>
              <w:tcPr>
                <w:tcW w:w="5000" w:type="pct"/>
                <w:vAlign w:val="center"/>
              </w:tcPr>
              <w:p w14:paraId="33F97ACE" w14:textId="77777777" w:rsidR="00BF18D3" w:rsidRDefault="00BF18D3">
                <w:pPr>
                  <w:pStyle w:val="NoSpacing"/>
                  <w:jc w:val="center"/>
                </w:pPr>
              </w:p>
            </w:tc>
          </w:tr>
          <w:tr w:rsidR="00BF18D3" w14:paraId="068B8733" w14:textId="77777777">
            <w:trPr>
              <w:trHeight w:val="360"/>
              <w:jc w:val="center"/>
            </w:trPr>
            <w:sdt>
              <w:sdtPr>
                <w:rPr>
                  <w:rFonts w:ascii="Times New Roman" w:hAnsi="Times New Roman" w:cs="Times New Roman"/>
                  <w:b/>
                  <w:bCs/>
                  <w:color w:val="2F5496" w:themeColor="accent5" w:themeShade="BF"/>
                </w:rPr>
                <w:alias w:val="Author"/>
                <w:id w:val="15524260"/>
                <w:placeholder>
                  <w:docPart w:val="424A3578931F4982A8D74ACF9E6BD831"/>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80F85C3" w14:textId="78304E9E" w:rsidR="00BF18D3" w:rsidRDefault="0090754E" w:rsidP="00BF18D3">
                    <w:pPr>
                      <w:pStyle w:val="NoSpacing"/>
                      <w:jc w:val="center"/>
                      <w:rPr>
                        <w:b/>
                        <w:bCs/>
                      </w:rPr>
                    </w:pPr>
                    <w:r>
                      <w:rPr>
                        <w:rFonts w:ascii="Times New Roman" w:hAnsi="Times New Roman" w:cs="Times New Roman"/>
                        <w:b/>
                        <w:bCs/>
                        <w:color w:val="2F5496" w:themeColor="accent5" w:themeShade="BF"/>
                      </w:rPr>
                      <w:t>Date:</w:t>
                    </w:r>
                  </w:p>
                </w:tc>
              </w:sdtContent>
            </w:sdt>
          </w:tr>
          <w:tr w:rsidR="00BF18D3" w14:paraId="55123689" w14:textId="77777777">
            <w:trPr>
              <w:trHeight w:val="360"/>
              <w:jc w:val="center"/>
            </w:trPr>
            <w:sdt>
              <w:sdtPr>
                <w:rPr>
                  <w:rFonts w:ascii="Times New Roman" w:hAnsi="Times New Roman" w:cs="Times New Roman"/>
                  <w:b/>
                  <w:bCs/>
                  <w:color w:val="2F5496" w:themeColor="accent5" w:themeShade="BF"/>
                </w:rPr>
                <w:alias w:val="Date"/>
                <w:id w:val="516659546"/>
                <w:placeholder>
                  <w:docPart w:val="4BA07B07D2F74A96891935AEF3CB9A03"/>
                </w:placeholder>
                <w:dataBinding w:prefixMappings="xmlns:ns0='http://schemas.microsoft.com/office/2006/coverPageProps'" w:xpath="/ns0:CoverPageProperties[1]/ns0:PublishDate[1]" w:storeItemID="{55AF091B-3C7A-41E3-B477-F2FDAA23CFDA}"/>
                <w:date w:fullDate="2022-07-25T00:00:00Z">
                  <w:dateFormat w:val="M/d/yyyy"/>
                  <w:lid w:val="en-US"/>
                  <w:storeMappedDataAs w:val="dateTime"/>
                  <w:calendar w:val="gregorian"/>
                </w:date>
              </w:sdtPr>
              <w:sdtEndPr/>
              <w:sdtContent>
                <w:tc>
                  <w:tcPr>
                    <w:tcW w:w="5000" w:type="pct"/>
                    <w:vAlign w:val="center"/>
                  </w:tcPr>
                  <w:p w14:paraId="31CE5EA9" w14:textId="23D2EF3F" w:rsidR="00BF18D3" w:rsidRDefault="00BF18D3">
                    <w:pPr>
                      <w:pStyle w:val="NoSpacing"/>
                      <w:jc w:val="center"/>
                      <w:rPr>
                        <w:b/>
                        <w:bCs/>
                      </w:rPr>
                    </w:pPr>
                    <w:r w:rsidRPr="00BF18D3">
                      <w:rPr>
                        <w:rFonts w:ascii="Times New Roman" w:hAnsi="Times New Roman" w:cs="Times New Roman"/>
                        <w:b/>
                        <w:bCs/>
                        <w:color w:val="2F5496" w:themeColor="accent5" w:themeShade="BF"/>
                      </w:rPr>
                      <w:t>7/2</w:t>
                    </w:r>
                    <w:r w:rsidR="0090754E">
                      <w:rPr>
                        <w:rFonts w:ascii="Times New Roman" w:hAnsi="Times New Roman" w:cs="Times New Roman"/>
                        <w:b/>
                        <w:bCs/>
                        <w:color w:val="2F5496" w:themeColor="accent5" w:themeShade="BF"/>
                      </w:rPr>
                      <w:t>5</w:t>
                    </w:r>
                    <w:r w:rsidRPr="00BF18D3">
                      <w:rPr>
                        <w:rFonts w:ascii="Times New Roman" w:hAnsi="Times New Roman" w:cs="Times New Roman"/>
                        <w:b/>
                        <w:bCs/>
                        <w:color w:val="2F5496" w:themeColor="accent5" w:themeShade="BF"/>
                      </w:rPr>
                      <w:t>/2022</w:t>
                    </w:r>
                  </w:p>
                </w:tc>
              </w:sdtContent>
            </w:sdt>
          </w:tr>
        </w:tbl>
        <w:p w14:paraId="36C30800" w14:textId="77777777" w:rsidR="00BF18D3" w:rsidRDefault="00BF18D3"/>
        <w:tbl>
          <w:tblPr>
            <w:tblpPr w:leftFromText="187" w:rightFromText="187" w:horzAnchor="margin" w:tblpXSpec="center" w:tblpYSpec="bottom"/>
            <w:tblW w:w="5000" w:type="pct"/>
            <w:tblLook w:val="04A0" w:firstRow="1" w:lastRow="0" w:firstColumn="1" w:lastColumn="0" w:noHBand="0" w:noVBand="1"/>
          </w:tblPr>
          <w:tblGrid>
            <w:gridCol w:w="9360"/>
          </w:tblGrid>
          <w:tr w:rsidR="00BF18D3" w14:paraId="4BD7BE1D" w14:textId="77777777">
            <w:tc>
              <w:tcPr>
                <w:tcW w:w="5000" w:type="pct"/>
              </w:tcPr>
              <w:p w14:paraId="7316C6DB" w14:textId="77777777" w:rsidR="00BF18D3" w:rsidRDefault="00BF18D3">
                <w:pPr>
                  <w:pStyle w:val="NoSpacing"/>
                </w:pPr>
              </w:p>
            </w:tc>
          </w:tr>
        </w:tbl>
        <w:p w14:paraId="2EA5306F" w14:textId="25397006" w:rsidR="00BF18D3" w:rsidRPr="00BF18D3" w:rsidRDefault="00BF18D3" w:rsidP="00BF18D3">
          <w:pPr>
            <w:spacing w:line="276" w:lineRule="auto"/>
            <w:jc w:val="center"/>
            <w:rPr>
              <w:rFonts w:ascii="Times New Roman" w:hAnsi="Times New Roman" w:cs="Times New Roman"/>
              <w:b/>
              <w:color w:val="2F5496" w:themeColor="accent5" w:themeShade="BF"/>
            </w:rPr>
          </w:pPr>
          <w:r w:rsidRPr="00BF18D3">
            <w:rPr>
              <w:rFonts w:ascii="Times New Roman" w:hAnsi="Times New Roman" w:cs="Times New Roman"/>
              <w:b/>
              <w:color w:val="2F5496" w:themeColor="accent5" w:themeShade="BF"/>
            </w:rPr>
            <w:t>Student Name:</w:t>
          </w:r>
          <w:r w:rsidR="0090754E">
            <w:rPr>
              <w:rFonts w:ascii="Times New Roman" w:hAnsi="Times New Roman" w:cs="Times New Roman"/>
              <w:b/>
              <w:color w:val="2F5496" w:themeColor="accent5" w:themeShade="BF"/>
            </w:rPr>
            <w:t xml:space="preserve"> Sweeba Altaf</w:t>
          </w:r>
        </w:p>
        <w:p w14:paraId="123FDA42" w14:textId="5257420A" w:rsidR="00BF18D3" w:rsidRPr="00BF18D3" w:rsidRDefault="00BF18D3" w:rsidP="00BF18D3">
          <w:pPr>
            <w:spacing w:line="276" w:lineRule="auto"/>
            <w:jc w:val="center"/>
            <w:rPr>
              <w:rFonts w:ascii="Times New Roman" w:hAnsi="Times New Roman" w:cs="Times New Roman"/>
              <w:b/>
              <w:color w:val="2F5496" w:themeColor="accent5" w:themeShade="BF"/>
            </w:rPr>
          </w:pPr>
          <w:r w:rsidRPr="00BF18D3">
            <w:rPr>
              <w:rFonts w:ascii="Times New Roman" w:hAnsi="Times New Roman" w:cs="Times New Roman"/>
              <w:b/>
              <w:color w:val="2F5496" w:themeColor="accent5" w:themeShade="BF"/>
            </w:rPr>
            <w:t>Student ID:</w:t>
          </w:r>
          <w:r w:rsidR="0090754E">
            <w:rPr>
              <w:rFonts w:ascii="Times New Roman" w:hAnsi="Times New Roman" w:cs="Times New Roman"/>
              <w:b/>
              <w:color w:val="2F5496" w:themeColor="accent5" w:themeShade="BF"/>
            </w:rPr>
            <w:t xml:space="preserve"> 2020625</w:t>
          </w:r>
        </w:p>
        <w:p w14:paraId="36A4D7D7" w14:textId="32A8BE65" w:rsidR="00BF18D3" w:rsidRPr="00BF18D3" w:rsidRDefault="00BF18D3" w:rsidP="00BF18D3">
          <w:pPr>
            <w:spacing w:line="276" w:lineRule="auto"/>
            <w:jc w:val="center"/>
            <w:rPr>
              <w:rFonts w:ascii="Times New Roman" w:hAnsi="Times New Roman" w:cs="Times New Roman"/>
              <w:b/>
              <w:color w:val="2F5496" w:themeColor="accent5" w:themeShade="BF"/>
            </w:rPr>
          </w:pPr>
          <w:r w:rsidRPr="00BF18D3">
            <w:rPr>
              <w:rFonts w:ascii="Times New Roman" w:hAnsi="Times New Roman" w:cs="Times New Roman"/>
              <w:b/>
              <w:color w:val="2F5496" w:themeColor="accent5" w:themeShade="BF"/>
            </w:rPr>
            <w:t>Module Code:</w:t>
          </w:r>
          <w:r w:rsidR="0090754E">
            <w:rPr>
              <w:rFonts w:ascii="Times New Roman" w:hAnsi="Times New Roman" w:cs="Times New Roman"/>
              <w:b/>
              <w:color w:val="2F5496" w:themeColor="accent5" w:themeShade="BF"/>
            </w:rPr>
            <w:t xml:space="preserve"> Children, Young People, and Families</w:t>
          </w:r>
        </w:p>
        <w:p w14:paraId="6CF91FFB" w14:textId="2DFF3533" w:rsidR="00BF18D3" w:rsidRPr="00BF18D3" w:rsidRDefault="00BF18D3" w:rsidP="00BF18D3">
          <w:pPr>
            <w:spacing w:line="276" w:lineRule="auto"/>
            <w:jc w:val="center"/>
            <w:rPr>
              <w:rFonts w:ascii="Times New Roman" w:hAnsi="Times New Roman" w:cs="Times New Roman"/>
              <w:b/>
              <w:color w:val="2F5496" w:themeColor="accent5" w:themeShade="BF"/>
            </w:rPr>
          </w:pPr>
          <w:r w:rsidRPr="00BF18D3">
            <w:rPr>
              <w:rFonts w:ascii="Times New Roman" w:hAnsi="Times New Roman" w:cs="Times New Roman"/>
              <w:b/>
              <w:color w:val="2F5496" w:themeColor="accent5" w:themeShade="BF"/>
            </w:rPr>
            <w:t>Lecturer’s Name:</w:t>
          </w:r>
          <w:r w:rsidR="0090754E">
            <w:rPr>
              <w:rFonts w:ascii="Times New Roman" w:hAnsi="Times New Roman" w:cs="Times New Roman"/>
              <w:b/>
              <w:color w:val="2F5496" w:themeColor="accent5" w:themeShade="BF"/>
            </w:rPr>
            <w:t xml:space="preserve"> Crisford Choguguzda</w:t>
          </w:r>
        </w:p>
        <w:p w14:paraId="2C4CC7F6" w14:textId="77777777" w:rsidR="00BF18D3" w:rsidRDefault="00BF18D3"/>
        <w:p w14:paraId="189FF1E0" w14:textId="77777777" w:rsidR="00BF18D3" w:rsidRDefault="00BF18D3">
          <w:pPr>
            <w:spacing w:line="259" w:lineRule="auto"/>
            <w:jc w:val="left"/>
            <w:rPr>
              <w:rFonts w:ascii="Times New Roman" w:hAnsi="Times New Roman" w:cs="Times New Roman"/>
              <w:i/>
              <w:color w:val="2E74B5" w:themeColor="accent1" w:themeShade="BF"/>
            </w:rPr>
          </w:pPr>
          <w:r>
            <w:rPr>
              <w:rFonts w:ascii="Times New Roman" w:hAnsi="Times New Roman" w:cs="Times New Roman"/>
              <w:i/>
              <w:color w:val="2E74B5" w:themeColor="accent1" w:themeShade="BF"/>
            </w:rPr>
            <w:br w:type="page"/>
          </w:r>
        </w:p>
      </w:sdtContent>
    </w:sdt>
    <w:p w14:paraId="4B0ED91E" w14:textId="77777777" w:rsidR="000A2C93" w:rsidRDefault="000A2C93" w:rsidP="005B6B70">
      <w:pPr>
        <w:pStyle w:val="Heading1"/>
        <w:rPr>
          <w:rFonts w:eastAsia="Times New Roman"/>
        </w:rPr>
        <w:sectPr w:rsidR="000A2C93" w:rsidSect="00BF18D3">
          <w:headerReference w:type="default" r:id="rId9"/>
          <w:headerReference w:type="first" r:id="rId10"/>
          <w:footerReference w:type="first" r:id="rId11"/>
          <w:pgSz w:w="12240" w:h="15840"/>
          <w:pgMar w:top="1440" w:right="1440" w:bottom="1440" w:left="1440" w:header="720" w:footer="720" w:gutter="0"/>
          <w:pgBorders w:offsetFrom="page">
            <w:top w:val="thinThickThinLargeGap" w:sz="18" w:space="24" w:color="2F5496" w:themeColor="accent5" w:themeShade="BF"/>
            <w:left w:val="thinThickThinLargeGap" w:sz="18" w:space="24" w:color="2F5496" w:themeColor="accent5" w:themeShade="BF"/>
            <w:bottom w:val="thinThickThinLargeGap" w:sz="18" w:space="24" w:color="2F5496" w:themeColor="accent5" w:themeShade="BF"/>
            <w:right w:val="thinThickThinLargeGap" w:sz="18" w:space="24" w:color="2F5496" w:themeColor="accent5" w:themeShade="BF"/>
          </w:pgBorders>
          <w:cols w:space="720"/>
          <w:titlePg/>
          <w:docGrid w:linePitch="360"/>
        </w:sectPr>
      </w:pPr>
    </w:p>
    <w:sdt>
      <w:sdtPr>
        <w:rPr>
          <w:rFonts w:ascii="Arial" w:eastAsiaTheme="minorHAnsi" w:hAnsi="Arial" w:cstheme="minorBidi"/>
          <w:b w:val="0"/>
          <w:bCs w:val="0"/>
          <w:color w:val="000000" w:themeColor="text1"/>
          <w:sz w:val="22"/>
          <w:szCs w:val="22"/>
        </w:rPr>
        <w:id w:val="8250969"/>
        <w:docPartObj>
          <w:docPartGallery w:val="Table of Contents"/>
          <w:docPartUnique/>
        </w:docPartObj>
      </w:sdtPr>
      <w:sdtEndPr/>
      <w:sdtContent>
        <w:p w14:paraId="13AC3D53" w14:textId="77777777" w:rsidR="000A2C93" w:rsidRDefault="000A2C93">
          <w:pPr>
            <w:pStyle w:val="TOCHeading"/>
          </w:pPr>
          <w:r w:rsidRPr="000A2C93">
            <w:rPr>
              <w:rFonts w:ascii="Times New Roman" w:hAnsi="Times New Roman" w:cs="Times New Roman"/>
            </w:rPr>
            <w:t>Table of Contents</w:t>
          </w:r>
        </w:p>
        <w:p w14:paraId="51B9626E" w14:textId="77777777" w:rsidR="000A2C93" w:rsidRDefault="000A2C93">
          <w:pPr>
            <w:pStyle w:val="TOC1"/>
            <w:tabs>
              <w:tab w:val="right" w:leader="dot" w:pos="9350"/>
            </w:tabs>
            <w:rPr>
              <w:noProof/>
            </w:rPr>
          </w:pPr>
          <w:r>
            <w:fldChar w:fldCharType="begin"/>
          </w:r>
          <w:r>
            <w:instrText xml:space="preserve"> TOC \o "1-3" \h \z \u </w:instrText>
          </w:r>
          <w:r>
            <w:fldChar w:fldCharType="separate"/>
          </w:r>
          <w:hyperlink w:anchor="_Toc109429673" w:history="1">
            <w:r w:rsidRPr="009369FD">
              <w:rPr>
                <w:rStyle w:val="Hyperlink"/>
                <w:rFonts w:eastAsia="Times New Roman"/>
                <w:noProof/>
              </w:rPr>
              <w:t>Introduction:</w:t>
            </w:r>
            <w:r>
              <w:rPr>
                <w:noProof/>
                <w:webHidden/>
              </w:rPr>
              <w:tab/>
            </w:r>
            <w:r>
              <w:rPr>
                <w:noProof/>
                <w:webHidden/>
              </w:rPr>
              <w:fldChar w:fldCharType="begin"/>
            </w:r>
            <w:r>
              <w:rPr>
                <w:noProof/>
                <w:webHidden/>
              </w:rPr>
              <w:instrText xml:space="preserve"> PAGEREF _Toc109429673 \h </w:instrText>
            </w:r>
            <w:r>
              <w:rPr>
                <w:noProof/>
                <w:webHidden/>
              </w:rPr>
            </w:r>
            <w:r>
              <w:rPr>
                <w:noProof/>
                <w:webHidden/>
              </w:rPr>
              <w:fldChar w:fldCharType="separate"/>
            </w:r>
            <w:r>
              <w:rPr>
                <w:noProof/>
                <w:webHidden/>
              </w:rPr>
              <w:t>3</w:t>
            </w:r>
            <w:r>
              <w:rPr>
                <w:noProof/>
                <w:webHidden/>
              </w:rPr>
              <w:fldChar w:fldCharType="end"/>
            </w:r>
          </w:hyperlink>
        </w:p>
        <w:p w14:paraId="50020887" w14:textId="77777777" w:rsidR="000A2C93" w:rsidRDefault="00974EB5">
          <w:pPr>
            <w:pStyle w:val="TOC1"/>
            <w:tabs>
              <w:tab w:val="right" w:leader="dot" w:pos="9350"/>
            </w:tabs>
            <w:rPr>
              <w:noProof/>
            </w:rPr>
          </w:pPr>
          <w:hyperlink w:anchor="_Toc109429674" w:history="1">
            <w:r w:rsidR="000A2C93" w:rsidRPr="009369FD">
              <w:rPr>
                <w:rStyle w:val="Hyperlink"/>
                <w:rFonts w:eastAsia="Times New Roman"/>
                <w:noProof/>
              </w:rPr>
              <w:t>Im</w:t>
            </w:r>
            <w:r w:rsidR="000A2C93" w:rsidRPr="009369FD">
              <w:rPr>
                <w:rStyle w:val="Hyperlink"/>
                <w:noProof/>
              </w:rPr>
              <w:t>portance of Safeguarding Policies and Procedures</w:t>
            </w:r>
            <w:r w:rsidR="000A2C93" w:rsidRPr="009369FD">
              <w:rPr>
                <w:rStyle w:val="Hyperlink"/>
                <w:rFonts w:eastAsia="Times New Roman"/>
                <w:noProof/>
              </w:rPr>
              <w:t>:</w:t>
            </w:r>
            <w:r w:rsidR="000A2C93">
              <w:rPr>
                <w:noProof/>
                <w:webHidden/>
              </w:rPr>
              <w:tab/>
            </w:r>
            <w:r w:rsidR="000A2C93">
              <w:rPr>
                <w:noProof/>
                <w:webHidden/>
              </w:rPr>
              <w:fldChar w:fldCharType="begin"/>
            </w:r>
            <w:r w:rsidR="000A2C93">
              <w:rPr>
                <w:noProof/>
                <w:webHidden/>
              </w:rPr>
              <w:instrText xml:space="preserve"> PAGEREF _Toc109429674 \h </w:instrText>
            </w:r>
            <w:r w:rsidR="000A2C93">
              <w:rPr>
                <w:noProof/>
                <w:webHidden/>
              </w:rPr>
            </w:r>
            <w:r w:rsidR="000A2C93">
              <w:rPr>
                <w:noProof/>
                <w:webHidden/>
              </w:rPr>
              <w:fldChar w:fldCharType="separate"/>
            </w:r>
            <w:r w:rsidR="000A2C93">
              <w:rPr>
                <w:noProof/>
                <w:webHidden/>
              </w:rPr>
              <w:t>3</w:t>
            </w:r>
            <w:r w:rsidR="000A2C93">
              <w:rPr>
                <w:noProof/>
                <w:webHidden/>
              </w:rPr>
              <w:fldChar w:fldCharType="end"/>
            </w:r>
          </w:hyperlink>
        </w:p>
        <w:p w14:paraId="790DF277" w14:textId="77777777" w:rsidR="000A2C93" w:rsidRDefault="00974EB5">
          <w:pPr>
            <w:pStyle w:val="TOC1"/>
            <w:tabs>
              <w:tab w:val="right" w:leader="dot" w:pos="9350"/>
            </w:tabs>
            <w:rPr>
              <w:noProof/>
            </w:rPr>
          </w:pPr>
          <w:hyperlink w:anchor="_Toc109429675" w:history="1">
            <w:r w:rsidR="000A2C93" w:rsidRPr="009369FD">
              <w:rPr>
                <w:rStyle w:val="Hyperlink"/>
                <w:rFonts w:eastAsia="Times New Roman"/>
                <w:noProof/>
              </w:rPr>
              <w:t>Safeguarding Policies and Procedures in the UK:</w:t>
            </w:r>
            <w:r w:rsidR="000A2C93">
              <w:rPr>
                <w:noProof/>
                <w:webHidden/>
              </w:rPr>
              <w:tab/>
            </w:r>
            <w:r w:rsidR="000A2C93">
              <w:rPr>
                <w:noProof/>
                <w:webHidden/>
              </w:rPr>
              <w:fldChar w:fldCharType="begin"/>
            </w:r>
            <w:r w:rsidR="000A2C93">
              <w:rPr>
                <w:noProof/>
                <w:webHidden/>
              </w:rPr>
              <w:instrText xml:space="preserve"> PAGEREF _Toc109429675 \h </w:instrText>
            </w:r>
            <w:r w:rsidR="000A2C93">
              <w:rPr>
                <w:noProof/>
                <w:webHidden/>
              </w:rPr>
            </w:r>
            <w:r w:rsidR="000A2C93">
              <w:rPr>
                <w:noProof/>
                <w:webHidden/>
              </w:rPr>
              <w:fldChar w:fldCharType="separate"/>
            </w:r>
            <w:r w:rsidR="000A2C93">
              <w:rPr>
                <w:noProof/>
                <w:webHidden/>
              </w:rPr>
              <w:t>4</w:t>
            </w:r>
            <w:r w:rsidR="000A2C93">
              <w:rPr>
                <w:noProof/>
                <w:webHidden/>
              </w:rPr>
              <w:fldChar w:fldCharType="end"/>
            </w:r>
          </w:hyperlink>
        </w:p>
        <w:p w14:paraId="271BADC0" w14:textId="77777777" w:rsidR="000A2C93" w:rsidRDefault="00974EB5">
          <w:pPr>
            <w:pStyle w:val="TOC2"/>
            <w:tabs>
              <w:tab w:val="right" w:leader="dot" w:pos="9350"/>
            </w:tabs>
            <w:rPr>
              <w:noProof/>
            </w:rPr>
          </w:pPr>
          <w:hyperlink w:anchor="_Toc109429676" w:history="1">
            <w:r w:rsidR="000A2C93" w:rsidRPr="009369FD">
              <w:rPr>
                <w:rStyle w:val="Hyperlink"/>
                <w:noProof/>
              </w:rPr>
              <w:t>Policies and Procedures for Adults</w:t>
            </w:r>
            <w:r w:rsidR="000A2C93">
              <w:rPr>
                <w:noProof/>
                <w:webHidden/>
              </w:rPr>
              <w:tab/>
            </w:r>
            <w:r w:rsidR="000A2C93">
              <w:rPr>
                <w:noProof/>
                <w:webHidden/>
              </w:rPr>
              <w:fldChar w:fldCharType="begin"/>
            </w:r>
            <w:r w:rsidR="000A2C93">
              <w:rPr>
                <w:noProof/>
                <w:webHidden/>
              </w:rPr>
              <w:instrText xml:space="preserve"> PAGEREF _Toc109429676 \h </w:instrText>
            </w:r>
            <w:r w:rsidR="000A2C93">
              <w:rPr>
                <w:noProof/>
                <w:webHidden/>
              </w:rPr>
            </w:r>
            <w:r w:rsidR="000A2C93">
              <w:rPr>
                <w:noProof/>
                <w:webHidden/>
              </w:rPr>
              <w:fldChar w:fldCharType="separate"/>
            </w:r>
            <w:r w:rsidR="000A2C93">
              <w:rPr>
                <w:noProof/>
                <w:webHidden/>
              </w:rPr>
              <w:t>4</w:t>
            </w:r>
            <w:r w:rsidR="000A2C93">
              <w:rPr>
                <w:noProof/>
                <w:webHidden/>
              </w:rPr>
              <w:fldChar w:fldCharType="end"/>
            </w:r>
          </w:hyperlink>
        </w:p>
        <w:p w14:paraId="6BE57597" w14:textId="77777777" w:rsidR="000A2C93" w:rsidRDefault="00974EB5">
          <w:pPr>
            <w:pStyle w:val="TOC2"/>
            <w:tabs>
              <w:tab w:val="right" w:leader="dot" w:pos="9350"/>
            </w:tabs>
            <w:rPr>
              <w:noProof/>
            </w:rPr>
          </w:pPr>
          <w:hyperlink w:anchor="_Toc109429677" w:history="1">
            <w:r w:rsidR="000A2C93" w:rsidRPr="009369FD">
              <w:rPr>
                <w:rStyle w:val="Hyperlink"/>
                <w:noProof/>
              </w:rPr>
              <w:t>Safeguarding Policies and Procedures for Disabled Child in the UK</w:t>
            </w:r>
            <w:r w:rsidR="000A2C93">
              <w:rPr>
                <w:noProof/>
                <w:webHidden/>
              </w:rPr>
              <w:tab/>
            </w:r>
            <w:r w:rsidR="000A2C93">
              <w:rPr>
                <w:noProof/>
                <w:webHidden/>
              </w:rPr>
              <w:fldChar w:fldCharType="begin"/>
            </w:r>
            <w:r w:rsidR="000A2C93">
              <w:rPr>
                <w:noProof/>
                <w:webHidden/>
              </w:rPr>
              <w:instrText xml:space="preserve"> PAGEREF _Toc109429677 \h </w:instrText>
            </w:r>
            <w:r w:rsidR="000A2C93">
              <w:rPr>
                <w:noProof/>
                <w:webHidden/>
              </w:rPr>
            </w:r>
            <w:r w:rsidR="000A2C93">
              <w:rPr>
                <w:noProof/>
                <w:webHidden/>
              </w:rPr>
              <w:fldChar w:fldCharType="separate"/>
            </w:r>
            <w:r w:rsidR="000A2C93">
              <w:rPr>
                <w:noProof/>
                <w:webHidden/>
              </w:rPr>
              <w:t>5</w:t>
            </w:r>
            <w:r w:rsidR="000A2C93">
              <w:rPr>
                <w:noProof/>
                <w:webHidden/>
              </w:rPr>
              <w:fldChar w:fldCharType="end"/>
            </w:r>
          </w:hyperlink>
        </w:p>
        <w:p w14:paraId="5CDD0FB3" w14:textId="77777777" w:rsidR="000A2C93" w:rsidRDefault="00974EB5">
          <w:pPr>
            <w:pStyle w:val="TOC2"/>
            <w:tabs>
              <w:tab w:val="right" w:leader="dot" w:pos="9350"/>
            </w:tabs>
            <w:rPr>
              <w:noProof/>
            </w:rPr>
          </w:pPr>
          <w:hyperlink w:anchor="_Toc109429678" w:history="1">
            <w:r w:rsidR="000A2C93" w:rsidRPr="009369FD">
              <w:rPr>
                <w:rStyle w:val="Hyperlink"/>
                <w:rFonts w:eastAsia="Times New Roman"/>
                <w:noProof/>
              </w:rPr>
              <w:t>National Policies for Chil</w:t>
            </w:r>
            <w:r w:rsidR="000A2C93" w:rsidRPr="009369FD">
              <w:rPr>
                <w:rStyle w:val="Hyperlink"/>
                <w:noProof/>
              </w:rPr>
              <w:t>d</w:t>
            </w:r>
            <w:r w:rsidR="000A2C93" w:rsidRPr="009369FD">
              <w:rPr>
                <w:rStyle w:val="Hyperlink"/>
                <w:rFonts w:eastAsia="Times New Roman"/>
                <w:noProof/>
              </w:rPr>
              <w:t xml:space="preserve"> Protection</w:t>
            </w:r>
            <w:r w:rsidR="000A2C93" w:rsidRPr="009369FD">
              <w:rPr>
                <w:rStyle w:val="Hyperlink"/>
                <w:noProof/>
              </w:rPr>
              <w:t xml:space="preserve"> in the UK</w:t>
            </w:r>
            <w:r w:rsidR="000A2C93" w:rsidRPr="009369FD">
              <w:rPr>
                <w:rStyle w:val="Hyperlink"/>
                <w:rFonts w:eastAsia="Times New Roman"/>
                <w:noProof/>
              </w:rPr>
              <w:t>:</w:t>
            </w:r>
            <w:r w:rsidR="000A2C93">
              <w:rPr>
                <w:noProof/>
                <w:webHidden/>
              </w:rPr>
              <w:tab/>
            </w:r>
            <w:r w:rsidR="000A2C93">
              <w:rPr>
                <w:noProof/>
                <w:webHidden/>
              </w:rPr>
              <w:fldChar w:fldCharType="begin"/>
            </w:r>
            <w:r w:rsidR="000A2C93">
              <w:rPr>
                <w:noProof/>
                <w:webHidden/>
              </w:rPr>
              <w:instrText xml:space="preserve"> PAGEREF _Toc109429678 \h </w:instrText>
            </w:r>
            <w:r w:rsidR="000A2C93">
              <w:rPr>
                <w:noProof/>
                <w:webHidden/>
              </w:rPr>
            </w:r>
            <w:r w:rsidR="000A2C93">
              <w:rPr>
                <w:noProof/>
                <w:webHidden/>
              </w:rPr>
              <w:fldChar w:fldCharType="separate"/>
            </w:r>
            <w:r w:rsidR="000A2C93">
              <w:rPr>
                <w:noProof/>
                <w:webHidden/>
              </w:rPr>
              <w:t>5</w:t>
            </w:r>
            <w:r w:rsidR="000A2C93">
              <w:rPr>
                <w:noProof/>
                <w:webHidden/>
              </w:rPr>
              <w:fldChar w:fldCharType="end"/>
            </w:r>
          </w:hyperlink>
        </w:p>
        <w:p w14:paraId="27B02AF5" w14:textId="77777777" w:rsidR="000A2C93" w:rsidRDefault="00974EB5">
          <w:pPr>
            <w:pStyle w:val="TOC2"/>
            <w:tabs>
              <w:tab w:val="right" w:leader="dot" w:pos="9350"/>
            </w:tabs>
            <w:rPr>
              <w:noProof/>
            </w:rPr>
          </w:pPr>
          <w:hyperlink w:anchor="_Toc109429679" w:history="1">
            <w:r w:rsidR="000A2C93" w:rsidRPr="009369FD">
              <w:rPr>
                <w:rStyle w:val="Hyperlink"/>
                <w:rFonts w:eastAsia="Times New Roman"/>
                <w:noProof/>
              </w:rPr>
              <w:t>Policies for prevention of Child Abuse</w:t>
            </w:r>
            <w:r w:rsidR="000A2C93" w:rsidRPr="009369FD">
              <w:rPr>
                <w:rStyle w:val="Hyperlink"/>
                <w:noProof/>
              </w:rPr>
              <w:t xml:space="preserve"> in the UK</w:t>
            </w:r>
            <w:r w:rsidR="000A2C93" w:rsidRPr="009369FD">
              <w:rPr>
                <w:rStyle w:val="Hyperlink"/>
                <w:rFonts w:eastAsia="Times New Roman"/>
                <w:noProof/>
              </w:rPr>
              <w:t>:</w:t>
            </w:r>
            <w:r w:rsidR="000A2C93">
              <w:rPr>
                <w:noProof/>
                <w:webHidden/>
              </w:rPr>
              <w:tab/>
            </w:r>
            <w:r w:rsidR="000A2C93">
              <w:rPr>
                <w:noProof/>
                <w:webHidden/>
              </w:rPr>
              <w:fldChar w:fldCharType="begin"/>
            </w:r>
            <w:r w:rsidR="000A2C93">
              <w:rPr>
                <w:noProof/>
                <w:webHidden/>
              </w:rPr>
              <w:instrText xml:space="preserve"> PAGEREF _Toc109429679 \h </w:instrText>
            </w:r>
            <w:r w:rsidR="000A2C93">
              <w:rPr>
                <w:noProof/>
                <w:webHidden/>
              </w:rPr>
            </w:r>
            <w:r w:rsidR="000A2C93">
              <w:rPr>
                <w:noProof/>
                <w:webHidden/>
              </w:rPr>
              <w:fldChar w:fldCharType="separate"/>
            </w:r>
            <w:r w:rsidR="000A2C93">
              <w:rPr>
                <w:noProof/>
                <w:webHidden/>
              </w:rPr>
              <w:t>5</w:t>
            </w:r>
            <w:r w:rsidR="000A2C93">
              <w:rPr>
                <w:noProof/>
                <w:webHidden/>
              </w:rPr>
              <w:fldChar w:fldCharType="end"/>
            </w:r>
          </w:hyperlink>
        </w:p>
        <w:p w14:paraId="2C6CC62E" w14:textId="77777777" w:rsidR="000A2C93" w:rsidRDefault="00974EB5">
          <w:pPr>
            <w:pStyle w:val="TOC1"/>
            <w:tabs>
              <w:tab w:val="right" w:leader="dot" w:pos="9350"/>
            </w:tabs>
            <w:rPr>
              <w:noProof/>
            </w:rPr>
          </w:pPr>
          <w:hyperlink w:anchor="_Toc109429680" w:history="1">
            <w:r w:rsidR="000A2C93" w:rsidRPr="009369FD">
              <w:rPr>
                <w:rStyle w:val="Hyperlink"/>
                <w:rFonts w:eastAsia="Times New Roman"/>
                <w:noProof/>
              </w:rPr>
              <w:t>HighProfle Cases:</w:t>
            </w:r>
            <w:r w:rsidR="000A2C93">
              <w:rPr>
                <w:noProof/>
                <w:webHidden/>
              </w:rPr>
              <w:tab/>
            </w:r>
            <w:r w:rsidR="000A2C93">
              <w:rPr>
                <w:noProof/>
                <w:webHidden/>
              </w:rPr>
              <w:fldChar w:fldCharType="begin"/>
            </w:r>
            <w:r w:rsidR="000A2C93">
              <w:rPr>
                <w:noProof/>
                <w:webHidden/>
              </w:rPr>
              <w:instrText xml:space="preserve"> PAGEREF _Toc109429680 \h </w:instrText>
            </w:r>
            <w:r w:rsidR="000A2C93">
              <w:rPr>
                <w:noProof/>
                <w:webHidden/>
              </w:rPr>
            </w:r>
            <w:r w:rsidR="000A2C93">
              <w:rPr>
                <w:noProof/>
                <w:webHidden/>
              </w:rPr>
              <w:fldChar w:fldCharType="separate"/>
            </w:r>
            <w:r w:rsidR="000A2C93">
              <w:rPr>
                <w:noProof/>
                <w:webHidden/>
              </w:rPr>
              <w:t>6</w:t>
            </w:r>
            <w:r w:rsidR="000A2C93">
              <w:rPr>
                <w:noProof/>
                <w:webHidden/>
              </w:rPr>
              <w:fldChar w:fldCharType="end"/>
            </w:r>
          </w:hyperlink>
        </w:p>
        <w:p w14:paraId="63FBAFFF" w14:textId="77777777" w:rsidR="000A2C93" w:rsidRDefault="00974EB5">
          <w:pPr>
            <w:pStyle w:val="TOC1"/>
            <w:tabs>
              <w:tab w:val="right" w:leader="dot" w:pos="9350"/>
            </w:tabs>
            <w:rPr>
              <w:noProof/>
            </w:rPr>
          </w:pPr>
          <w:hyperlink w:anchor="_Toc109429681" w:history="1">
            <w:r w:rsidR="000A2C93" w:rsidRPr="009369FD">
              <w:rPr>
                <w:rStyle w:val="Hyperlink"/>
                <w:noProof/>
              </w:rPr>
              <w:t>Effect of Covid-19 on Children and Families living in poverty in the UK:</w:t>
            </w:r>
            <w:r w:rsidR="000A2C93">
              <w:rPr>
                <w:noProof/>
                <w:webHidden/>
              </w:rPr>
              <w:tab/>
            </w:r>
            <w:r w:rsidR="000A2C93">
              <w:rPr>
                <w:noProof/>
                <w:webHidden/>
              </w:rPr>
              <w:fldChar w:fldCharType="begin"/>
            </w:r>
            <w:r w:rsidR="000A2C93">
              <w:rPr>
                <w:noProof/>
                <w:webHidden/>
              </w:rPr>
              <w:instrText xml:space="preserve"> PAGEREF _Toc109429681 \h </w:instrText>
            </w:r>
            <w:r w:rsidR="000A2C93">
              <w:rPr>
                <w:noProof/>
                <w:webHidden/>
              </w:rPr>
            </w:r>
            <w:r w:rsidR="000A2C93">
              <w:rPr>
                <w:noProof/>
                <w:webHidden/>
              </w:rPr>
              <w:fldChar w:fldCharType="separate"/>
            </w:r>
            <w:r w:rsidR="000A2C93">
              <w:rPr>
                <w:noProof/>
                <w:webHidden/>
              </w:rPr>
              <w:t>6</w:t>
            </w:r>
            <w:r w:rsidR="000A2C93">
              <w:rPr>
                <w:noProof/>
                <w:webHidden/>
              </w:rPr>
              <w:fldChar w:fldCharType="end"/>
            </w:r>
          </w:hyperlink>
        </w:p>
        <w:p w14:paraId="499BA8F2" w14:textId="77777777" w:rsidR="000A2C93" w:rsidRDefault="00974EB5">
          <w:pPr>
            <w:pStyle w:val="TOC1"/>
            <w:tabs>
              <w:tab w:val="right" w:leader="dot" w:pos="9350"/>
            </w:tabs>
            <w:rPr>
              <w:noProof/>
            </w:rPr>
          </w:pPr>
          <w:hyperlink w:anchor="_Toc109429682" w:history="1">
            <w:r w:rsidR="000A2C93" w:rsidRPr="009369FD">
              <w:rPr>
                <w:rStyle w:val="Hyperlink"/>
                <w:noProof/>
              </w:rPr>
              <w:t>Concept of Diversity and Inclusion regarding disabled Children in the UK:</w:t>
            </w:r>
            <w:r w:rsidR="000A2C93">
              <w:rPr>
                <w:noProof/>
                <w:webHidden/>
              </w:rPr>
              <w:tab/>
            </w:r>
            <w:r w:rsidR="000A2C93">
              <w:rPr>
                <w:noProof/>
                <w:webHidden/>
              </w:rPr>
              <w:fldChar w:fldCharType="begin"/>
            </w:r>
            <w:r w:rsidR="000A2C93">
              <w:rPr>
                <w:noProof/>
                <w:webHidden/>
              </w:rPr>
              <w:instrText xml:space="preserve"> PAGEREF _Toc109429682 \h </w:instrText>
            </w:r>
            <w:r w:rsidR="000A2C93">
              <w:rPr>
                <w:noProof/>
                <w:webHidden/>
              </w:rPr>
            </w:r>
            <w:r w:rsidR="000A2C93">
              <w:rPr>
                <w:noProof/>
                <w:webHidden/>
              </w:rPr>
              <w:fldChar w:fldCharType="separate"/>
            </w:r>
            <w:r w:rsidR="000A2C93">
              <w:rPr>
                <w:noProof/>
                <w:webHidden/>
              </w:rPr>
              <w:t>7</w:t>
            </w:r>
            <w:r w:rsidR="000A2C93">
              <w:rPr>
                <w:noProof/>
                <w:webHidden/>
              </w:rPr>
              <w:fldChar w:fldCharType="end"/>
            </w:r>
          </w:hyperlink>
        </w:p>
        <w:p w14:paraId="73AD278C" w14:textId="77777777" w:rsidR="000A2C93" w:rsidRDefault="00974EB5">
          <w:pPr>
            <w:pStyle w:val="TOC1"/>
            <w:tabs>
              <w:tab w:val="right" w:leader="dot" w:pos="9350"/>
            </w:tabs>
            <w:rPr>
              <w:noProof/>
            </w:rPr>
          </w:pPr>
          <w:hyperlink w:anchor="_Toc109429683" w:history="1">
            <w:r w:rsidR="000A2C93" w:rsidRPr="009369FD">
              <w:rPr>
                <w:rStyle w:val="Hyperlink"/>
                <w:noProof/>
              </w:rPr>
              <w:t>Reference:</w:t>
            </w:r>
            <w:r w:rsidR="000A2C93">
              <w:rPr>
                <w:noProof/>
                <w:webHidden/>
              </w:rPr>
              <w:tab/>
            </w:r>
            <w:r w:rsidR="000A2C93">
              <w:rPr>
                <w:noProof/>
                <w:webHidden/>
              </w:rPr>
              <w:fldChar w:fldCharType="begin"/>
            </w:r>
            <w:r w:rsidR="000A2C93">
              <w:rPr>
                <w:noProof/>
                <w:webHidden/>
              </w:rPr>
              <w:instrText xml:space="preserve"> PAGEREF _Toc109429683 \h </w:instrText>
            </w:r>
            <w:r w:rsidR="000A2C93">
              <w:rPr>
                <w:noProof/>
                <w:webHidden/>
              </w:rPr>
            </w:r>
            <w:r w:rsidR="000A2C93">
              <w:rPr>
                <w:noProof/>
                <w:webHidden/>
              </w:rPr>
              <w:fldChar w:fldCharType="separate"/>
            </w:r>
            <w:r w:rsidR="000A2C93">
              <w:rPr>
                <w:noProof/>
                <w:webHidden/>
              </w:rPr>
              <w:t>9</w:t>
            </w:r>
            <w:r w:rsidR="000A2C93">
              <w:rPr>
                <w:noProof/>
                <w:webHidden/>
              </w:rPr>
              <w:fldChar w:fldCharType="end"/>
            </w:r>
          </w:hyperlink>
        </w:p>
        <w:p w14:paraId="54D32BAE" w14:textId="77777777" w:rsidR="000A2C93" w:rsidRDefault="000A2C93">
          <w:r>
            <w:fldChar w:fldCharType="end"/>
          </w:r>
        </w:p>
      </w:sdtContent>
    </w:sdt>
    <w:p w14:paraId="443F9BEF" w14:textId="77777777" w:rsidR="000A2C93" w:rsidRDefault="000A2C93" w:rsidP="005B6B70">
      <w:pPr>
        <w:pStyle w:val="Heading1"/>
        <w:rPr>
          <w:rFonts w:eastAsia="Times New Roman"/>
        </w:rPr>
        <w:sectPr w:rsidR="000A2C93" w:rsidSect="00BF18D3">
          <w:pgSz w:w="12240" w:h="15840"/>
          <w:pgMar w:top="1440" w:right="1440" w:bottom="1440" w:left="1440" w:header="720" w:footer="720" w:gutter="0"/>
          <w:pgBorders w:offsetFrom="page">
            <w:top w:val="thinThickThinLargeGap" w:sz="18" w:space="24" w:color="2F5496" w:themeColor="accent5" w:themeShade="BF"/>
            <w:left w:val="thinThickThinLargeGap" w:sz="18" w:space="24" w:color="2F5496" w:themeColor="accent5" w:themeShade="BF"/>
            <w:bottom w:val="thinThickThinLargeGap" w:sz="18" w:space="24" w:color="2F5496" w:themeColor="accent5" w:themeShade="BF"/>
            <w:right w:val="thinThickThinLargeGap" w:sz="18" w:space="24" w:color="2F5496" w:themeColor="accent5" w:themeShade="BF"/>
          </w:pgBorders>
          <w:cols w:space="720"/>
          <w:titlePg/>
          <w:docGrid w:linePitch="360"/>
        </w:sectPr>
      </w:pPr>
    </w:p>
    <w:p w14:paraId="574E04FA" w14:textId="77777777" w:rsidR="007E6C91" w:rsidRPr="007E6C91" w:rsidRDefault="007E6C91" w:rsidP="005B6B70">
      <w:pPr>
        <w:pStyle w:val="Heading1"/>
        <w:rPr>
          <w:rFonts w:eastAsia="Times New Roman"/>
          <w:color w:val="auto"/>
        </w:rPr>
      </w:pPr>
      <w:bookmarkStart w:id="0" w:name="_Toc109429673"/>
      <w:r w:rsidRPr="007E6C91">
        <w:rPr>
          <w:rFonts w:eastAsia="Times New Roman"/>
        </w:rPr>
        <w:t>Introduction:</w:t>
      </w:r>
      <w:bookmarkEnd w:id="0"/>
    </w:p>
    <w:p w14:paraId="6721CCE6" w14:textId="77777777" w:rsidR="007E6C91" w:rsidRPr="007E6C91" w:rsidRDefault="007E6C91" w:rsidP="005B6B70">
      <w:pPr>
        <w:rPr>
          <w:color w:val="auto"/>
        </w:rPr>
      </w:pPr>
      <w:r w:rsidRPr="007E6C91">
        <w:t>As the safeguarding is concerned,</w:t>
      </w:r>
      <w:r w:rsidR="005B6B70" w:rsidRPr="007E6C91">
        <w:t> the</w:t>
      </w:r>
      <w:r w:rsidRPr="007E6C91">
        <w:t xml:space="preserve"> policies and procedures for safeguarding children and adults are not the same in every establishment instead the policies and procedures regarding safeguarding children vary in every establishment. If a person is working in the establishment or he is outside of the establishment, it is considered a duty for all of us to protect the vulnerable people around us</w:t>
      </w:r>
      <w:r w:rsidR="00CB1E0B">
        <w:t xml:space="preserve"> </w:t>
      </w:r>
      <w:r w:rsidR="00CC73AC">
        <w:fldChar w:fldCharType="begin" w:fldLock="1"/>
      </w:r>
      <w:r w:rsidR="003E4D3B">
        <w:instrText>ADDIN CSL_CITATION {"citationItems":[{"id":"ITEM-1","itemData":{"abstract":"The inform Co-operative College employees, associates and volunteers of their responsibilities when working with children and vulnerable adults.","author":[{"dropping-particle":"","family":"Mitchell","given":"Jane","non-dropping-particle":"","parse-names":false,"suffix":""}],"container-title":"South East Coast Ambulance Service NHS Foundation Trust","id":"ITEM-1","issue":"May","issued":{"date-parts":[["2015"]]},"page":"1-23","title":"Safeguarding Policy","type":"article-journal","volume":"V4.00"},"uris":["http://www.mendeley.com/documents/?uuid=93a0e4c4-0925-4da7-8562-0e6115049a19"]}],"mendeley":{"formattedCitation":"(Mitchell, 2015)","plainTextFormattedCitation":"(Mitchell, 2015)","previouslyFormattedCitation":"(Mitchell, 2015)"},"properties":{"noteIndex":0},"schema":"https://github.com/citation-style-language/schema/raw/master/csl-citation.json"}</w:instrText>
      </w:r>
      <w:r w:rsidR="00CC73AC">
        <w:fldChar w:fldCharType="separate"/>
      </w:r>
      <w:r w:rsidR="00CB1E0B" w:rsidRPr="00CB1E0B">
        <w:rPr>
          <w:noProof/>
        </w:rPr>
        <w:t>(Mitchell, 2015)</w:t>
      </w:r>
      <w:r w:rsidR="00CC73AC">
        <w:fldChar w:fldCharType="end"/>
      </w:r>
      <w:r w:rsidRPr="007E6C91">
        <w:t>. For example, teachers are responsible what is security and safety of their students</w:t>
      </w:r>
      <w:r w:rsidR="00CB1E0B">
        <w:t>,</w:t>
      </w:r>
      <w:r w:rsidRPr="007E6C91">
        <w:t xml:space="preserve"> and parents are given legal responsibility for the protection of their children.  Both of these possibilities are provided under the human right act 1998 so that public authorities would be able to respect and protect human rights.  The present essay will elaborate on the national legislation as well as procedures that are designed for the protection of vulnerable adults and the national policies for the safety of vulnerable children as well. Two high-profile cases regarding the safeguarding procedure in the last 20 years are also discussed. Moreover, the effect of pandemics on </w:t>
      </w:r>
      <w:r w:rsidR="005B6B70" w:rsidRPr="007E6C91">
        <w:t>vulnerable</w:t>
      </w:r>
      <w:r w:rsidRPr="007E6C91">
        <w:t xml:space="preserve"> children and their families </w:t>
      </w:r>
      <w:r w:rsidR="005B6B70" w:rsidRPr="007E6C91">
        <w:t>who</w:t>
      </w:r>
      <w:r w:rsidRPr="007E6C91">
        <w:t xml:space="preserve"> are living in poverty and the concept of diversity </w:t>
      </w:r>
      <w:r w:rsidR="00CB1E0B">
        <w:t>regarding</w:t>
      </w:r>
      <w:r w:rsidRPr="007E6C91">
        <w:t xml:space="preserve"> vulnerable children in the UK </w:t>
      </w:r>
      <w:r w:rsidR="00CB1E0B">
        <w:t>are</w:t>
      </w:r>
      <w:r w:rsidRPr="007E6C91">
        <w:t xml:space="preserve"> also di</w:t>
      </w:r>
      <w:r w:rsidR="00B2343E">
        <w:t>scussed in the present essay.  </w:t>
      </w:r>
      <w:r w:rsidR="005B6B70" w:rsidRPr="007E6C91">
        <w:t>The</w:t>
      </w:r>
      <w:r w:rsidRPr="007E6C91">
        <w:t xml:space="preserve"> concept of inclusion </w:t>
      </w:r>
      <w:r w:rsidR="00CB1E0B">
        <w:t>regarding</w:t>
      </w:r>
      <w:r w:rsidRPr="007E6C91">
        <w:t xml:space="preserve"> children who have significant disabilities is also discussed in this report. </w:t>
      </w:r>
    </w:p>
    <w:p w14:paraId="16BE8AD8" w14:textId="77777777" w:rsidR="007E6C91" w:rsidRPr="007E6C91" w:rsidRDefault="007E6C91" w:rsidP="005B6B70">
      <w:pPr>
        <w:pStyle w:val="Heading1"/>
        <w:rPr>
          <w:rFonts w:eastAsia="Times New Roman"/>
          <w:color w:val="auto"/>
        </w:rPr>
      </w:pPr>
      <w:bookmarkStart w:id="1" w:name="_Toc109429674"/>
      <w:r w:rsidRPr="007E6C91">
        <w:rPr>
          <w:rFonts w:eastAsia="Times New Roman"/>
        </w:rPr>
        <w:t>Im</w:t>
      </w:r>
      <w:r w:rsidR="005B6B70">
        <w:t>portance of Safeguarding Policies and Procedures</w:t>
      </w:r>
      <w:r w:rsidRPr="007E6C91">
        <w:rPr>
          <w:rFonts w:eastAsia="Times New Roman"/>
        </w:rPr>
        <w:t>:</w:t>
      </w:r>
      <w:bookmarkEnd w:id="1"/>
    </w:p>
    <w:p w14:paraId="26E13A8A" w14:textId="77777777" w:rsidR="007E6C91" w:rsidRPr="007E6C91" w:rsidRDefault="005B6B70" w:rsidP="005B6B70">
      <w:pPr>
        <w:rPr>
          <w:color w:val="auto"/>
        </w:rPr>
      </w:pPr>
      <w:r w:rsidRPr="007E6C91">
        <w:t>Safeguarding</w:t>
      </w:r>
      <w:r w:rsidR="007E6C91" w:rsidRPr="007E6C91">
        <w:t xml:space="preserve"> is defined as a Process or significant action that should be</w:t>
      </w:r>
      <w:r w:rsidR="00B2343E" w:rsidRPr="007E6C91">
        <w:t> taken</w:t>
      </w:r>
      <w:r w:rsidR="007E6C91" w:rsidRPr="007E6C91">
        <w:t xml:space="preserve"> so that the Welfare also vulnerable people can be promoted.  The safeguarding process is also aimed to protect vulnerable children from any harm. Moreover, the policies and procedures that are designed for safeguarding vulnerable people can be defined as a guideline or instruction provided by the government or any organization that shows how every person around vulnerable people can fulfill their duties</w:t>
      </w:r>
      <w:r w:rsidR="000A2C93">
        <w:fldChar w:fldCharType="begin" w:fldLock="1"/>
      </w:r>
      <w:r w:rsidR="000A2C93">
        <w:instrText>ADDIN CSL_CITATION {"citationItems":[{"id":"ITEM-1","itemData":{"DOI":"10.1108/JAP-03-2016-0003","ISSN":"14668203","abstract":"Purpose-The purpose of this paper is to describe and discuss the pilot Making Safeguarding Personal (MSP) project that ran in three London boroughs in England in 2014-2015. The project aimed to help local authority social work practitioners better engage with adults at risk at the beginning, middle and end of safeguarding work and to develop a more outcomes focused approach to safeguarding. Design/methodology/approach-Three adult social care teams volunteered to take part in the MSP pilot for four months, November 2014-February 2015. They were closely supported through telephone conferencing, bespoke training and individual mentoring. Evaluative data were collected from the participating teams about their work and the MSP change processes to assist in further implementation. Findings-The findings suggested that staff felt that the open discussions with adults at risk that were encouraged by the MSP initiative enabled safeguarding to be more effective and provided a better basis of support for adults at risk. The support from the project team was appreciated. Staff reported their own increased confidence as a result of involving adults at risk in decisions about their situations and risks of harm. They also reported their increased awareness of cross-cutting subjects related to adult safeguarding, such as domestic abuse and working with coercive and controlling behaviours. Permission to exercise greater professional discretion to make responses more considered, rather than the need to adhere to time-limited imperatives, was received positively. Staff felt that this enhanced discussions about resolution and recovery with adults at risk although it required greater expertise, more extensive managerial support, and more time. These were available in the pilot. Research limitations/implications-The MSP pilot was confined to three teams and took place over four months. The numerical data reported in this paper are provided for illustrative purposes and are not statistically significant. As with other evaluations of implementation, the data provided need to be set in the local contexts of population profiles, care settings and the reporting source. The pilot also took place during the early implementation of the Care Act 2014 which affected the context of practice and training. The views of adults at risk were not collected. There is a risk of bias in that participants may have wished to convey positive views of MSP to their colleagues. Practical implications-…","author":[{"dropping-particle":"","family":"Butler","given":"Louise","non-dropping-particle":"","parse-names":false,"suffix":""},{"dropping-particle":"","family":"Manthorpe","given":"Jill","non-dropping-particle":"","parse-names":false,"suffix":""}],"container-title":"Journal of Adult Protection","id":"ITEM-1","issue":"4","issued":{"date-parts":[["2016"]]},"page":"204-213","title":"Putting people at the centre: Facilitating Making Safeguarding Personal approaches in the context of the Care Act 2014","type":"article-journal","volume":"18"},"uris":["http://www.mendeley.com/documents/?uuid=e0f4b27e-cbb7-43c2-9847-f1f986a9694d"]}],"mendeley":{"formattedCitation":"(Butler and Manthorpe, 2016)","plainTextFormattedCitation":"(Butler and Manthorpe, 2016)","previouslyFormattedCitation":"(Butler and Manthorpe, 2016)"},"properties":{"noteIndex":0},"schema":"https://github.com/citation-style-language/schema/raw/master/csl-citation.json"}</w:instrText>
      </w:r>
      <w:r w:rsidR="000A2C93">
        <w:fldChar w:fldCharType="separate"/>
      </w:r>
      <w:r w:rsidR="000A2C93" w:rsidRPr="003E4D3B">
        <w:rPr>
          <w:noProof/>
        </w:rPr>
        <w:t>(Butler and Manthorpe, 2016)</w:t>
      </w:r>
      <w:r w:rsidR="000A2C93">
        <w:fldChar w:fldCharType="end"/>
      </w:r>
      <w:r w:rsidR="007E6C91" w:rsidRPr="007E6C91">
        <w:t xml:space="preserve">. Safeguarding policies have significant importance as they encourage and </w:t>
      </w:r>
      <w:r w:rsidRPr="007E6C91">
        <w:t>motivate</w:t>
      </w:r>
      <w:r w:rsidR="007E6C91" w:rsidRPr="007E6C91">
        <w:t xml:space="preserve"> the community around vulnerable people for their protection.  Without significant policies and procedures, most of the Institutions and organizations working </w:t>
      </w:r>
      <w:r w:rsidRPr="007E6C91">
        <w:t>for vulnerable members</w:t>
      </w:r>
      <w:r w:rsidR="007E6C91" w:rsidRPr="007E6C91">
        <w:t xml:space="preserve"> of society will not be able to fulfill their duties and the consequences will be catastrophic.</w:t>
      </w:r>
    </w:p>
    <w:p w14:paraId="298F9135" w14:textId="77777777" w:rsidR="005B6B70" w:rsidRDefault="005B6B70" w:rsidP="005B6B70"/>
    <w:p w14:paraId="03C26644" w14:textId="77777777" w:rsidR="007E6C91" w:rsidRPr="007E6C91" w:rsidRDefault="007E6C91" w:rsidP="005B6B70">
      <w:pPr>
        <w:pStyle w:val="Heading1"/>
        <w:rPr>
          <w:rFonts w:eastAsia="Times New Roman"/>
          <w:color w:val="auto"/>
        </w:rPr>
      </w:pPr>
      <w:bookmarkStart w:id="2" w:name="_Toc109429675"/>
      <w:r w:rsidRPr="007E6C91">
        <w:rPr>
          <w:rFonts w:eastAsia="Times New Roman"/>
        </w:rPr>
        <w:t>Safeguardi</w:t>
      </w:r>
      <w:r w:rsidR="005B6B70">
        <w:rPr>
          <w:rFonts w:eastAsia="Times New Roman"/>
        </w:rPr>
        <w:t xml:space="preserve">ng Policies and Procedures in </w:t>
      </w:r>
      <w:r w:rsidR="00CB1E0B">
        <w:rPr>
          <w:rFonts w:eastAsia="Times New Roman"/>
        </w:rPr>
        <w:t xml:space="preserve">the </w:t>
      </w:r>
      <w:r w:rsidR="005B6B70">
        <w:rPr>
          <w:rFonts w:eastAsia="Times New Roman"/>
        </w:rPr>
        <w:t>UK</w:t>
      </w:r>
      <w:r w:rsidRPr="007E6C91">
        <w:rPr>
          <w:rFonts w:eastAsia="Times New Roman"/>
        </w:rPr>
        <w:t>:</w:t>
      </w:r>
      <w:bookmarkEnd w:id="2"/>
    </w:p>
    <w:p w14:paraId="53D9E12B" w14:textId="77777777" w:rsidR="007E6C91" w:rsidRPr="007E6C91" w:rsidRDefault="007E6C91" w:rsidP="005B6B70">
      <w:pPr>
        <w:rPr>
          <w:color w:val="auto"/>
        </w:rPr>
      </w:pPr>
      <w:r w:rsidRPr="007E6C91">
        <w:t>Safeguarding policies and procedures are designed so that used the vulnerable children could be prevented and these procedures outline the potential risk and significant step</w:t>
      </w:r>
      <w:r w:rsidR="00CB1E0B">
        <w:t>s</w:t>
      </w:r>
      <w:r w:rsidRPr="007E6C91">
        <w:t xml:space="preserve"> that the organization needs to take for the protection of vulnerable people.  </w:t>
      </w:r>
      <w:r w:rsidR="005B6B70" w:rsidRPr="007E6C91">
        <w:t>The</w:t>
      </w:r>
      <w:r w:rsidRPr="007E6C91">
        <w:t xml:space="preserve"> </w:t>
      </w:r>
      <w:r w:rsidR="005B6B70" w:rsidRPr="007E6C91">
        <w:t>organization</w:t>
      </w:r>
      <w:r w:rsidRPr="007E6C91">
        <w:t xml:space="preserve"> should abide by the 6 for principal design for safeguarding. However, if there is a violation in any organization and these policies are not addressed properly, </w:t>
      </w:r>
      <w:r w:rsidR="00CB1E0B">
        <w:t>organizations must</w:t>
      </w:r>
      <w:r w:rsidRPr="007E6C91">
        <w:t xml:space="preserve"> ensure that the allegations are addressed </w:t>
      </w:r>
      <w:r w:rsidR="00CB1E0B">
        <w:t>legally</w:t>
      </w:r>
      <w:r w:rsidRPr="007E6C91">
        <w:t xml:space="preserve"> and the vulnerable people are protected and there should be significant legal action against the abuser. Policies and procedures in the UK have gained more significance as safeguarding concerns are </w:t>
      </w:r>
      <w:r w:rsidR="005B6B70" w:rsidRPr="007E6C91">
        <w:t>rising</w:t>
      </w:r>
      <w:r w:rsidRPr="007E6C91">
        <w:t xml:space="preserve"> every year which would be illustrated by the following graph:</w:t>
      </w:r>
    </w:p>
    <w:p w14:paraId="68A01DBD" w14:textId="77777777" w:rsidR="007E6C91" w:rsidRDefault="007E6C91" w:rsidP="005B6B70">
      <w:pPr>
        <w:rPr>
          <w:color w:val="auto"/>
        </w:rPr>
      </w:pPr>
      <w:r>
        <w:rPr>
          <w:noProof/>
          <w:bdr w:val="none" w:sz="0" w:space="0" w:color="auto" w:frame="1"/>
        </w:rPr>
        <w:drawing>
          <wp:inline distT="0" distB="0" distL="0" distR="0" wp14:anchorId="018A161F" wp14:editId="297F65A7">
            <wp:extent cx="5943600" cy="2389505"/>
            <wp:effectExtent l="19050" t="0" r="0" b="0"/>
            <wp:docPr id="1" name="Picture 1" descr="https://lh4.googleusercontent.com/SsO9MbVJab7-MxGLF_lYvtMt1VUzxO9jidawR6yJje9CYFziW_q7it1Dp78YOIW85i_buqE-4dnO65jIRrv0xc_aqio7qJS_ckE3WmNTIwXMmYl4RCSpZdQTkxQcQcnrXODZiBQWDU11-qZ0Q_kuK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SsO9MbVJab7-MxGLF_lYvtMt1VUzxO9jidawR6yJje9CYFziW_q7it1Dp78YOIW85i_buqE-4dnO65jIRrv0xc_aqio7qJS_ckE3WmNTIwXMmYl4RCSpZdQTkxQcQcnrXODZiBQWDU11-qZ0Q_kuKfI"/>
                    <pic:cNvPicPr>
                      <a:picLocks noChangeAspect="1" noChangeArrowheads="1"/>
                    </pic:cNvPicPr>
                  </pic:nvPicPr>
                  <pic:blipFill>
                    <a:blip r:embed="rId12" cstate="print"/>
                    <a:srcRect/>
                    <a:stretch>
                      <a:fillRect/>
                    </a:stretch>
                  </pic:blipFill>
                  <pic:spPr bwMode="auto">
                    <a:xfrm>
                      <a:off x="0" y="0"/>
                      <a:ext cx="5943600" cy="2389505"/>
                    </a:xfrm>
                    <a:prstGeom prst="rect">
                      <a:avLst/>
                    </a:prstGeom>
                    <a:noFill/>
                    <a:ln w="9525">
                      <a:noFill/>
                      <a:miter lim="800000"/>
                      <a:headEnd/>
                      <a:tailEnd/>
                    </a:ln>
                  </pic:spPr>
                </pic:pic>
              </a:graphicData>
            </a:graphic>
          </wp:inline>
        </w:drawing>
      </w:r>
    </w:p>
    <w:p w14:paraId="61A1C3CF" w14:textId="77777777" w:rsidR="005B6B70" w:rsidRDefault="005B6B70" w:rsidP="005B6B70">
      <w:pPr>
        <w:rPr>
          <w:color w:val="auto"/>
        </w:rPr>
      </w:pPr>
    </w:p>
    <w:p w14:paraId="15E1C879" w14:textId="77777777" w:rsidR="005B6B70" w:rsidRPr="007E6C91" w:rsidRDefault="00974EB5" w:rsidP="005B6B70">
      <w:pPr>
        <w:rPr>
          <w:color w:val="auto"/>
        </w:rPr>
      </w:pPr>
      <w:r>
        <w:rPr>
          <w:noProof/>
          <w:color w:val="auto"/>
          <w:lang w:eastAsia="zh-TW"/>
        </w:rPr>
        <mc:AlternateContent>
          <mc:Choice Requires="wps">
            <w:drawing>
              <wp:anchor distT="0" distB="0" distL="114300" distR="114300" simplePos="0" relativeHeight="251660288" behindDoc="0" locked="0" layoutInCell="1" allowOverlap="1" wp14:anchorId="176B7419" wp14:editId="03202A14">
                <wp:simplePos x="0" y="0"/>
                <wp:positionH relativeFrom="column">
                  <wp:align>center</wp:align>
                </wp:positionH>
                <wp:positionV relativeFrom="paragraph">
                  <wp:posOffset>0</wp:posOffset>
                </wp:positionV>
                <wp:extent cx="2366645" cy="413385"/>
                <wp:effectExtent l="0" t="0" r="3810" b="5715"/>
                <wp:wrapNone/>
                <wp:docPr id="2" name="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66645" cy="413385"/>
                        </a:xfrm>
                        <a:prstGeom prst="rect">
                          <a:avLst/>
                        </a:prstGeom>
                        <a:solidFill>
                          <a:srgbClr val="FFFFFF"/>
                        </a:solidFill>
                        <a:ln w="9525">
                          <a:solidFill>
                            <a:srgbClr val="000000"/>
                          </a:solidFill>
                          <a:miter lim="800000"/>
                          <a:headEnd/>
                          <a:tailEnd/>
                        </a:ln>
                      </wps:spPr>
                      <wps:txbx>
                        <w:txbxContent>
                          <w:p w14:paraId="5A61EE0F" w14:textId="77777777" w:rsidR="005B6B70" w:rsidRDefault="005B6B70">
                            <w:r>
                              <w:t>Source:</w:t>
                            </w:r>
                            <w:r w:rsidR="000A2C93" w:rsidRPr="000A2C93">
                              <w:rPr>
                                <w:color w:val="000000"/>
                              </w:rPr>
                              <w:t xml:space="preserve"> </w:t>
                            </w:r>
                            <w:r w:rsidR="000A2C93">
                              <w:rPr>
                                <w:color w:val="000000"/>
                              </w:rPr>
                              <w:fldChar w:fldCharType="begin" w:fldLock="1"/>
                            </w:r>
                            <w:r w:rsidR="000A2C93">
                              <w:rPr>
                                <w:color w:val="000000"/>
                              </w:rPr>
                              <w:instrText>ADDIN CSL_CITATION {"citationItems":[{"id":"ITEM-1","itemData":{"DOI":"10.1080/14733285.2021.1921699","ISSN":"14733277","abstract":"The UK has been one of the most badly affected nations of the Global North by the COVID-19 outbreak in terms of illness, death rates and a severe economic downturn. Children have been impacted severely (and unequally), with UK lockdown meaning that many children were away from school and usual leisure activities for six months during the first lockdown. We revised this Viewpoint during the third lockdown when schools were closed again for an indefinite time. Despite substantial media and policy debate about the impact of COVID-19 on young people, with a focus on education, young people’s own voices tend to be obscured in these mainstream accounts. By contrast, the Children’s Commissioner for England has focused on young people’s accounts, which are discussed in this viewpoint.","author":[{"dropping-particle":"","family":"Holt","given":"Louise","non-dropping-particle":"","parse-names":false,"suffix":""},{"dropping-particle":"","family":"Murray","given":"Lesley","non-dropping-particle":"","parse-names":false,"suffix":""}],"container-title":"Children's Geographies","id":"ITEM-1","issue":"0","issued":{"date-parts":[["2021"]]},"page":"1-8","publisher":"Taylor &amp; Francis","title":"Children and Covid 19 in the UK","type":"article-journal","volume":"0"},"uris":["http://www.mendeley.com/documents/?uuid=c14be3a9-b412-40df-a8c6-155d7797a653"]}],"mendeley":{"formattedCitation":"(Holt and Murray, 2021)","plainTextFormattedCitation":"(Holt and Murray, 2021)","previouslyFormattedCitation":"(Holt and Murray, 2021)"},"properties":{"noteIndex":0},"schema":"https://github.com/citation-style-language/schema/raw/master/csl-citation.json"}</w:instrText>
                            </w:r>
                            <w:r w:rsidR="000A2C93">
                              <w:rPr>
                                <w:color w:val="000000"/>
                              </w:rPr>
                              <w:fldChar w:fldCharType="separate"/>
                            </w:r>
                            <w:r w:rsidR="000A2C93" w:rsidRPr="003E4D3B">
                              <w:rPr>
                                <w:noProof/>
                                <w:color w:val="000000"/>
                              </w:rPr>
                              <w:t>(Holt and Murray, 2021)</w:t>
                            </w:r>
                            <w:r w:rsidR="000A2C93">
                              <w:rPr>
                                <w:color w:val="000000"/>
                              </w:rPr>
                              <w:fldChar w:fldCharType="end"/>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w14:anchorId="176B7419" id="_x0000_t202" coordsize="21600,21600" o:spt="202" path="m,l,21600r21600,l21600,xe">
                <v:stroke joinstyle="miter"/>
                <v:path gradientshapeok="t" o:connecttype="rect"/>
              </v:shapetype>
              <v:shape id=" 6" o:spid="_x0000_s1026" type="#_x0000_t202" style="position:absolute;left:0;text-align:left;margin-left:0;margin-top:0;width:186.35pt;height:32.55pt;z-index:251660288;visibility:visible;mso-wrap-style:square;mso-width-percent:400;mso-height-percent:0;mso-wrap-distance-left:9pt;mso-wrap-distance-top:0;mso-wrap-distance-right:9pt;mso-wrap-distance-bottom:0;mso-position-horizontal:center;mso-position-horizontal-relative:text;mso-position-vertical:absolute;mso-position-vertical-relative:text;mso-width-percent:40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">
                <v:path arrowok="t"/>
                <v:textbox>
                  <w:txbxContent>
                    <w:p w14:paraId="5A61EE0F" w14:textId="77777777" w:rsidR="005B6B70" w:rsidRDefault="005B6B70">
                      <w:r>
                        <w:t>Source:</w:t>
                      </w:r>
                      <w:r w:rsidR="000A2C93" w:rsidRPr="000A2C93">
                        <w:rPr>
                          <w:color w:val="000000"/>
                        </w:rPr>
                        <w:t xml:space="preserve"> </w:t>
                      </w:r>
                      <w:r w:rsidR="000A2C93">
                        <w:rPr>
                          <w:color w:val="000000"/>
                        </w:rPr>
                        <w:fldChar w:fldCharType="begin" w:fldLock="1"/>
                      </w:r>
                      <w:r w:rsidR="000A2C93">
                        <w:rPr>
                          <w:color w:val="000000"/>
                        </w:rPr>
                        <w:instrText>ADDIN CSL_CITATION {"citationItems":[{"id":"ITEM-1","itemData":{"DOI":"10.1080/14733285.2021.1921699","ISSN":"14733277","abstract":"The UK has been one of the most badly affected nations of the Global North by the COVID-19 outbreak in terms of illness, death rates and a severe economic downturn. Children have been impacted severely (and unequally), with UK lockdown meaning that many children were away from school and usual leisure activities for six months during the first lockdown. We revised this Viewpoint during the third lockdown when schools were closed again for an indefinite time. Despite substantial media and policy debate about the impact of COVID-19 on young people, with a focus on education, young people’s own voices tend to be obscured in these mainstream accounts. By contrast, the Children’s Commissioner for England has focused on young people’s accounts, which are discussed in this viewpoint.","author":[{"dropping-particle":"","family":"Holt","given":"Louise","non-dropping-particle":"","parse-names":false,"suffix":""},{"dropping-particle":"","family":"Murray","given":"Lesley","non-dropping-particle":"","parse-names":false,"suffix":""}],"container-title":"Children's Geographies","id":"ITEM-1","issue":"0","issued":{"date-parts":[["2021"]]},"page":"1-8","publisher":"Taylor &amp; Francis","title":"Children and Covid 19 in the UK","type":"article-journal","volume":"0"},"uris":["http://www.mendeley.com/documents/?uuid=c14be3a9-b412-40df-a8c6-155d7797a653"]}],"mendeley":{"formattedCitation":"(Holt and Murray, 2021)","plainTextFormattedCitation":"(Holt and Murray, 2021)","previouslyFormattedCitation":"(Holt and Murray, 2021)"},"properties":{"noteIndex":0},"schema":"https://github.com/citation-style-language/schema/raw/master/csl-citation.json"}</w:instrText>
                      </w:r>
                      <w:r w:rsidR="000A2C93">
                        <w:rPr>
                          <w:color w:val="000000"/>
                        </w:rPr>
                        <w:fldChar w:fldCharType="separate"/>
                      </w:r>
                      <w:r w:rsidR="000A2C93" w:rsidRPr="003E4D3B">
                        <w:rPr>
                          <w:noProof/>
                          <w:color w:val="000000"/>
                        </w:rPr>
                        <w:t>(Holt and Murray, 2021)</w:t>
                      </w:r>
                      <w:r w:rsidR="000A2C93">
                        <w:rPr>
                          <w:color w:val="000000"/>
                        </w:rPr>
                        <w:fldChar w:fldCharType="end"/>
                      </w:r>
                    </w:p>
                  </w:txbxContent>
                </v:textbox>
              </v:shape>
            </w:pict>
          </mc:Fallback>
        </mc:AlternateContent>
      </w:r>
    </w:p>
    <w:p w14:paraId="11D48F7E" w14:textId="77777777" w:rsidR="007E6C91" w:rsidRPr="007E6C91" w:rsidRDefault="007E6C91" w:rsidP="005B6B70">
      <w:pPr>
        <w:rPr>
          <w:color w:val="auto"/>
        </w:rPr>
      </w:pPr>
    </w:p>
    <w:p w14:paraId="22919DD5" w14:textId="77777777" w:rsidR="007E6C91" w:rsidRPr="007E6C91" w:rsidRDefault="005B6B70" w:rsidP="005B6B70">
      <w:pPr>
        <w:pStyle w:val="Heading2"/>
        <w:rPr>
          <w:rFonts w:eastAsia="Times New Roman"/>
          <w:color w:val="auto"/>
        </w:rPr>
      </w:pPr>
      <w:bookmarkStart w:id="3" w:name="_Toc109429676"/>
      <w:r>
        <w:t>Policies and Procedures for Adults</w:t>
      </w:r>
      <w:bookmarkEnd w:id="3"/>
    </w:p>
    <w:p w14:paraId="4760ABAD" w14:textId="77777777" w:rsidR="007E6C91" w:rsidRPr="007E6C91" w:rsidRDefault="007E6C91" w:rsidP="005B6B70">
      <w:pPr>
        <w:rPr>
          <w:color w:val="auto"/>
        </w:rPr>
      </w:pPr>
      <w:r w:rsidRPr="007E6C91">
        <w:t xml:space="preserve">The department of health in the UK referred to a vulnerable adult as a person who is aged over 18 years and is in the need of care and support and is more prone to abuse. According to the reports of </w:t>
      </w:r>
      <w:r w:rsidRPr="00B2343E">
        <w:rPr>
          <w:b/>
        </w:rPr>
        <w:t>NHS digital</w:t>
      </w:r>
      <w:r w:rsidRPr="007E6C91">
        <w:t>,</w:t>
      </w:r>
      <w:r w:rsidR="005B6B70" w:rsidRPr="007E6C91">
        <w:t> there</w:t>
      </w:r>
      <w:r w:rsidRPr="007E6C91">
        <w:t xml:space="preserve"> is a learning number for </w:t>
      </w:r>
      <w:r w:rsidR="005B6B70">
        <w:t xml:space="preserve">adult safeguarding which </w:t>
      </w:r>
      <w:r w:rsidR="00CB1E0B">
        <w:t>is</w:t>
      </w:r>
      <w:r w:rsidR="005B6B70">
        <w:t xml:space="preserve"> 475,</w:t>
      </w:r>
      <w:r w:rsidR="005B6B70" w:rsidRPr="007E6C91">
        <w:t>560. Moreover</w:t>
      </w:r>
      <w:r w:rsidRPr="007E6C91">
        <w:t xml:space="preserve"> this number one increased and early 2019 and 2020.  </w:t>
      </w:r>
      <w:r w:rsidRPr="00B2343E">
        <w:rPr>
          <w:b/>
        </w:rPr>
        <w:t>The Care Act 2014</w:t>
      </w:r>
      <w:r w:rsidRPr="007E6C91">
        <w:t xml:space="preserve"> is designed to safeguard vulnerable adults</w:t>
      </w:r>
      <w:r w:rsidR="003E4D3B">
        <w:t xml:space="preserve"> </w:t>
      </w:r>
      <w:r w:rsidR="003E4D3B">
        <w:fldChar w:fldCharType="begin" w:fldLock="1"/>
      </w:r>
      <w:r w:rsidR="003E4D3B">
        <w:instrText>ADDIN CSL_CITATION {"citationItems":[{"id":"ITEM-1","itemData":{"DOI":"10.1108/JAP-03-2016-0003","ISSN":"14668203","abstract":"Purpose-The purpose of this paper is to describe and discuss the pilot Making Safeguarding Personal (MSP) project that ran in three London boroughs in England in 2014-2015. The project aimed to help local authority social work practitioners better engage with adults at risk at the beginning, middle and end of safeguarding work and to develop a more outcomes focused approach to safeguarding. Design/methodology/approach-Three adult social care teams volunteered to take part in the MSP pilot for four months, November 2014-February 2015. They were closely supported through telephone conferencing, bespoke training and individual mentoring. Evaluative data were collected from the participating teams about their work and the MSP change processes to assist in further implementation. Findings-The findings suggested that staff felt that the open discussions with adults at risk that were encouraged by the MSP initiative enabled safeguarding to be more effective and provided a better basis of support for adults at risk. The support from the project team was appreciated. Staff reported their own increased confidence as a result of involving adults at risk in decisions about their situations and risks of harm. They also reported their increased awareness of cross-cutting subjects related to adult safeguarding, such as domestic abuse and working with coercive and controlling behaviours. Permission to exercise greater professional discretion to make responses more considered, rather than the need to adhere to time-limited imperatives, was received positively. Staff felt that this enhanced discussions about resolution and recovery with adults at risk although it required greater expertise, more extensive managerial support, and more time. These were available in the pilot. Research limitations/implications-The MSP pilot was confined to three teams and took place over four months. The numerical data reported in this paper are provided for illustrative purposes and are not statistically significant. As with other evaluations of implementation, the data provided need to be set in the local contexts of population profiles, care settings and the reporting source. The pilot also took place during the early implementation of the Care Act 2014 which affected the context of practice and training. The views of adults at risk were not collected. There is a risk of bias in that participants may have wished to convey positive views of MSP to their colleagues. Practical implications-…","author":[{"dropping-particle":"","family":"Butler","given":"Louise","non-dropping-particle":"","parse-names":false,"suffix":""},{"dropping-particle":"","family":"Manthorpe","given":"Jill","non-dropping-particle":"","parse-names":false,"suffix":""}],"container-title":"Journal of Adult Protection","id":"ITEM-1","issue":"4","issued":{"date-parts":[["2016"]]},"page":"204-213","title":"Putting people at the centre: Facilitating Making Safeguarding Personal approaches in the context of the Care Act 2014","type":"article-journal","volume":"18"},"uris":["http://www.mendeley.com/documents/?uuid=e0f4b27e-cbb7-43c2-9847-f1f986a9694d"]}],"mendeley":{"formattedCitation":"(Butler and Manthorpe, 2016)","plainTextFormattedCitation":"(Butler and Manthorpe, 2016)","previouslyFormattedCitation":"(Butler and Manthorpe, 2016)"},"properties":{"noteIndex":0},"schema":"https://github.com/citation-style-language/schema/raw/master/csl-citation.json"}</w:instrText>
      </w:r>
      <w:r w:rsidR="003E4D3B">
        <w:fldChar w:fldCharType="separate"/>
      </w:r>
      <w:r w:rsidR="003E4D3B" w:rsidRPr="003E4D3B">
        <w:rPr>
          <w:noProof/>
        </w:rPr>
        <w:t>(Butler and Manthorpe, 2016)</w:t>
      </w:r>
      <w:r w:rsidR="003E4D3B">
        <w:fldChar w:fldCharType="end"/>
      </w:r>
      <w:r w:rsidRPr="007E6C91">
        <w:t xml:space="preserve">. This act states that it is the statutory duty of Councils who are working with other social service responsibilities in England to identify vegetable adults and protect them from the risk of abuse.  The care </w:t>
      </w:r>
      <w:r w:rsidR="005B6B70" w:rsidRPr="007E6C91">
        <w:t>Statutory</w:t>
      </w:r>
      <w:r w:rsidRPr="007E6C91">
        <w:t xml:space="preserve"> Provided by the government illustrates that the safeguarding procedure can be defined as the protection as well as promotion of </w:t>
      </w:r>
      <w:r w:rsidR="00CB1E0B">
        <w:t xml:space="preserve">the </w:t>
      </w:r>
      <w:r w:rsidRPr="007E6C91">
        <w:t xml:space="preserve">well-being of adults and ensuring that they are </w:t>
      </w:r>
      <w:r w:rsidR="00B2343E">
        <w:t xml:space="preserve">free from abuse.  Moreover, the Care </w:t>
      </w:r>
      <w:r w:rsidR="00B2343E" w:rsidRPr="00B2343E">
        <w:rPr>
          <w:b/>
        </w:rPr>
        <w:t xml:space="preserve">Act </w:t>
      </w:r>
      <w:r w:rsidRPr="00B2343E">
        <w:rPr>
          <w:b/>
        </w:rPr>
        <w:t>2014</w:t>
      </w:r>
      <w:r w:rsidRPr="007E6C91">
        <w:t xml:space="preserve"> highlights th</w:t>
      </w:r>
      <w:r w:rsidR="005B6B70">
        <w:t>at Local authorities and local h</w:t>
      </w:r>
      <w:r w:rsidRPr="007E6C91">
        <w:t xml:space="preserve">ealth </w:t>
      </w:r>
      <w:r w:rsidR="005B6B70" w:rsidRPr="007E6C91">
        <w:t>organizations</w:t>
      </w:r>
      <w:r w:rsidRPr="007E6C91">
        <w:t xml:space="preserve"> are supposed to take care of vulnerable adults and ensure that they are protected from abuse</w:t>
      </w:r>
      <w:r w:rsidR="003E4D3B">
        <w:t xml:space="preserve"> </w:t>
      </w:r>
      <w:r w:rsidR="003E4D3B">
        <w:fldChar w:fldCharType="begin" w:fldLock="1"/>
      </w:r>
      <w:r w:rsidR="000A2C93">
        <w:instrText>ADDIN CSL_CITATION {"citationItems":[{"id":"ITEM-1","itemData":{"DOI":"10.1016/j.emj.2010.10.001","ISSN":"02632373","abstract":"Diversity Management in the UK: Organizational and Stakeholder Experiences","author":[{"dropping-particle":"","family":"Alexandre-Bailly","given":"Frédérique","non-dropping-particle":"","parse-names":false,"suffix":""}],"container-title":"European Management Journal","id":"ITEM-1","issue":"1","issued":{"date-parts":[["2011"]]},"page":"79-80","title":"Diversity management in the UK. Organizational and stakeholder experiences","type":"article-journal","volume":"29"},"uris":["http://www.mendeley.com/documents/?uuid=3056fa26-21e0-4bc5-b8f9-3efef062fcf6"]}],"mendeley":{"formattedCitation":"(Alexandre-Bailly, 2011)","plainTextFormattedCitation":"(Alexandre-Bailly, 2011)","previouslyFormattedCitation":"(Alexandre-Bailly, 2011)"},"properties":{"noteIndex":0},"schema":"https://github.com/citation-style-language/schema/raw/master/csl-citation.json"}</w:instrText>
      </w:r>
      <w:r w:rsidR="003E4D3B">
        <w:fldChar w:fldCharType="separate"/>
      </w:r>
      <w:r w:rsidR="003E4D3B" w:rsidRPr="003E4D3B">
        <w:rPr>
          <w:noProof/>
        </w:rPr>
        <w:t>(Alexandre-Bailly, 2011)</w:t>
      </w:r>
      <w:r w:rsidR="003E4D3B">
        <w:fldChar w:fldCharType="end"/>
      </w:r>
      <w:r w:rsidRPr="007E6C91">
        <w:t>. </w:t>
      </w:r>
    </w:p>
    <w:p w14:paraId="62A6E7A2" w14:textId="77777777" w:rsidR="007E6C91" w:rsidRPr="007E6C91" w:rsidRDefault="005B6B70" w:rsidP="005B6B70">
      <w:pPr>
        <w:rPr>
          <w:color w:val="auto"/>
        </w:rPr>
      </w:pPr>
      <w:bookmarkStart w:id="4" w:name="_Toc109429677"/>
      <w:r w:rsidRPr="005B6B70">
        <w:rPr>
          <w:rStyle w:val="Heading2Char"/>
        </w:rPr>
        <w:t>Safeguarding Policies and Procedures for</w:t>
      </w:r>
      <w:r w:rsidR="007E6C91" w:rsidRPr="005B6B70">
        <w:rPr>
          <w:rStyle w:val="Heading2Char"/>
        </w:rPr>
        <w:t xml:space="preserve"> Disabled Child in the UK</w:t>
      </w:r>
      <w:bookmarkEnd w:id="4"/>
      <w:r w:rsidR="007E6C91" w:rsidRPr="007E6C91">
        <w:t>:</w:t>
      </w:r>
    </w:p>
    <w:p w14:paraId="38111F3F" w14:textId="77777777" w:rsidR="007E6C91" w:rsidRPr="007E6C91" w:rsidRDefault="007E6C91" w:rsidP="005B6B70">
      <w:pPr>
        <w:rPr>
          <w:color w:val="auto"/>
        </w:rPr>
      </w:pPr>
      <w:r w:rsidRPr="007E6C91">
        <w:t>The govern</w:t>
      </w:r>
      <w:r w:rsidR="00B2343E">
        <w:t xml:space="preserve">ment staying safe </w:t>
      </w:r>
      <w:r w:rsidR="00B2343E" w:rsidRPr="00B2343E">
        <w:rPr>
          <w:b/>
        </w:rPr>
        <w:t>Action Plan</w:t>
      </w:r>
      <w:r w:rsidRPr="00B2343E">
        <w:rPr>
          <w:b/>
        </w:rPr>
        <w:t xml:space="preserve"> 2008</w:t>
      </w:r>
      <w:r w:rsidRPr="007E6C91">
        <w:t xml:space="preserve"> helps individuals with a disability and illustrate</w:t>
      </w:r>
      <w:r w:rsidR="00CB1E0B">
        <w:t>s</w:t>
      </w:r>
      <w:r w:rsidRPr="007E6C91">
        <w:t xml:space="preserve"> that they have equal rights and opportunities for protection as anyone else. Moreover, the </w:t>
      </w:r>
      <w:r w:rsidRPr="00B2343E">
        <w:rPr>
          <w:b/>
        </w:rPr>
        <w:t>Equality Act 2010</w:t>
      </w:r>
      <w:r w:rsidR="00B2343E">
        <w:t xml:space="preserve"> i</w:t>
      </w:r>
      <w:r w:rsidRPr="007E6C91">
        <w:t>llustrate</w:t>
      </w:r>
      <w:r w:rsidR="00CB1E0B">
        <w:t>s</w:t>
      </w:r>
      <w:r w:rsidRPr="007E6C91">
        <w:t xml:space="preserve"> that the service providers are responsible to take </w:t>
      </w:r>
      <w:r w:rsidR="005B6B70" w:rsidRPr="007E6C91">
        <w:t>a significant step</w:t>
      </w:r>
      <w:r w:rsidRPr="007E6C91">
        <w:t xml:space="preserve"> to make sure that there is no discrimination against disabled people</w:t>
      </w:r>
      <w:r w:rsidR="003E4D3B">
        <w:t xml:space="preserve"> </w:t>
      </w:r>
      <w:r w:rsidR="003E4D3B">
        <w:fldChar w:fldCharType="begin" w:fldLock="1"/>
      </w:r>
      <w:r w:rsidR="003E4D3B">
        <w:instrText>ADDIN CSL_CITATION {"citationItems":[{"id":"ITEM-1","itemData":{"DOI":"10.1016/S0140-6736(08)61709-2","ISSN":"01406736","PMID":"19056117","abstract":"In medical literature, child maltreatment is considered as a public-health problem or an issue of harm to individuals, but less frequently as a violation of children's human rights. Public-health approaches emphasise monitoring, prevention, cost-effectiveness, and population strategies; protective approaches concentrate on the legal and professional response to cases of maltreatment. Both approaches have been associated with improvement in outcomes for children, yet maltreatment remains a major global problem. We describe how children's rights provide a different perspective on child maltreatment, and contribute to both public-health and protective responses. Children's rights as laid out in the UN convention on the rights of the child (UNCRC) provide a framework for understanding child maltreatment as part of a range of violence, harm, and exploitation of children at the individual, institutional, and societal levels. Rights of participation and provision are as important as rights of protection. The principles embodied in the UNCRC are concordant with those of medical ethics. The greatest strength of an approach based on the UNCRC is that it provides a legal instrument for implementing policy, accountability, and social justice, all of which enhance public-health responses. Incorporation of the principles of the UNCRC into laws, research, public-health policy, and professional training and practice will result in further progress in the area of child maltreatment. © 2009 Elsevier Ltd. All rights reserved.","author":[{"dropping-particle":"","family":"Reading","given":"Richard","non-dropping-particle":"","parse-names":false,"suffix":""},{"dropping-particle":"","family":"Bissell","given":"Susan","non-dropping-particle":"","parse-names":false,"suffix":""},{"dropping-particle":"","family":"Goldhagen","given":"Jeffrey","non-dropping-particle":"","parse-names":false,"suffix":""},{"dropping-particle":"","family":"Harwin","given":"Judith","non-dropping-particle":"","parse-names":false,"suffix":""},{"dropping-particle":"","family":"Masson","given":"Judith","non-dropping-particle":"","parse-names":false,"suffix":""},{"dropping-particle":"","family":"Moynihan","given":"Sian","non-dropping-particle":"","parse-names":false,"suffix":""},{"dropping-particle":"","family":"Parton","given":"Nigel","non-dropping-particle":"","parse-names":false,"suffix":""},{"dropping-particle":"","family":"Pais","given":"Marta Santos","non-dropping-particle":"","parse-names":false,"suffix":""},{"dropping-particle":"","family":"Thoburn","given":"June","non-dropping-particle":"","parse-names":false,"suffix":""},{"dropping-particle":"","family":"Webb","given":"Elspeth","non-dropping-particle":"","parse-names":false,"suffix":""}],"container-title":"The Lancet","id":"ITEM-1","issue":"9660","issued":{"date-parts":[["2009"]]},"page":"332-343","title":"Promotion of children's rights and prevention of child maltreatment","type":"article-journal","volume":"373"},"uris":["http://www.mendeley.com/documents/?uuid=8c135ac0-6fc6-4011-89fd-53461f1fb250"]}],"mendeley":{"formattedCitation":"(Reading &lt;i&gt;et al.&lt;/i&gt;, 2009)","manualFormatting":"(Reading, 2009)","plainTextFormattedCitation":"(Reading et al., 2009)","previouslyFormattedCitation":"(Reading &lt;i&gt;et al.&lt;/i&gt;, 2009)"},"properties":{"noteIndex":0},"schema":"https://github.com/citation-style-language/schema/raw/master/csl-citation.json"}</w:instrText>
      </w:r>
      <w:r w:rsidR="003E4D3B">
        <w:fldChar w:fldCharType="separate"/>
      </w:r>
      <w:r w:rsidR="003E4D3B">
        <w:rPr>
          <w:noProof/>
        </w:rPr>
        <w:t>(Reading</w:t>
      </w:r>
      <w:r w:rsidR="003E4D3B" w:rsidRPr="003E4D3B">
        <w:rPr>
          <w:noProof/>
        </w:rPr>
        <w:t>, 2009)</w:t>
      </w:r>
      <w:r w:rsidR="003E4D3B">
        <w:fldChar w:fldCharType="end"/>
      </w:r>
      <w:r w:rsidRPr="007E6C91">
        <w:t>. </w:t>
      </w:r>
    </w:p>
    <w:p w14:paraId="03E89539" w14:textId="77777777" w:rsidR="007E6C91" w:rsidRPr="007E6C91" w:rsidRDefault="007E6C91" w:rsidP="005B6B70">
      <w:pPr>
        <w:pStyle w:val="Heading2"/>
        <w:rPr>
          <w:rFonts w:eastAsia="Times New Roman"/>
          <w:color w:val="auto"/>
        </w:rPr>
      </w:pPr>
      <w:bookmarkStart w:id="5" w:name="_Toc109429678"/>
      <w:r w:rsidRPr="007E6C91">
        <w:rPr>
          <w:rFonts w:eastAsia="Times New Roman"/>
        </w:rPr>
        <w:t>National Policies for Chil</w:t>
      </w:r>
      <w:r w:rsidR="005B6B70">
        <w:t>d</w:t>
      </w:r>
      <w:r w:rsidRPr="007E6C91">
        <w:rPr>
          <w:rFonts w:eastAsia="Times New Roman"/>
        </w:rPr>
        <w:t xml:space="preserve"> Protection</w:t>
      </w:r>
      <w:r w:rsidR="005B6B70">
        <w:t xml:space="preserve"> in </w:t>
      </w:r>
      <w:r w:rsidR="00CB1E0B">
        <w:t xml:space="preserve">the </w:t>
      </w:r>
      <w:r w:rsidR="005B6B70">
        <w:t>UK</w:t>
      </w:r>
      <w:r w:rsidRPr="007E6C91">
        <w:rPr>
          <w:rFonts w:eastAsia="Times New Roman"/>
        </w:rPr>
        <w:t>:</w:t>
      </w:r>
      <w:bookmarkEnd w:id="5"/>
    </w:p>
    <w:p w14:paraId="0CB15D50" w14:textId="77777777" w:rsidR="007E6C91" w:rsidRPr="007E6C91" w:rsidRDefault="007E6C91" w:rsidP="005B6B70">
      <w:pPr>
        <w:rPr>
          <w:color w:val="auto"/>
        </w:rPr>
      </w:pPr>
      <w:r w:rsidRPr="007E6C91">
        <w:t>Children are considered the most vulnerable member of society and their protection and safeguarding ha</w:t>
      </w:r>
      <w:r w:rsidR="00CB1E0B">
        <w:t>ve</w:t>
      </w:r>
      <w:r w:rsidRPr="007E6C91">
        <w:t xml:space="preserve"> great importance.  </w:t>
      </w:r>
      <w:r w:rsidRPr="00B2343E">
        <w:rPr>
          <w:b/>
        </w:rPr>
        <w:t>The Social Work act 2017</w:t>
      </w:r>
      <w:r w:rsidRPr="007E6C91">
        <w:t xml:space="preserve"> was passed for the protection of children and according to this act, every child has the right to protection without any discrimination.  Moreover, the organizations that are working together for the protection o</w:t>
      </w:r>
      <w:r w:rsidR="00B2343E">
        <w:t xml:space="preserve">f children have to follow the </w:t>
      </w:r>
      <w:r w:rsidR="00B2343E" w:rsidRPr="00B2343E">
        <w:rPr>
          <w:b/>
        </w:rPr>
        <w:t>“</w:t>
      </w:r>
      <w:r w:rsidRPr="00B2343E">
        <w:rPr>
          <w:b/>
        </w:rPr>
        <w:t>working together to safeguard children act 2018”</w:t>
      </w:r>
      <w:r w:rsidRPr="007E6C91">
        <w:t xml:space="preserve">  and they are responsible to protect children from </w:t>
      </w:r>
      <w:r w:rsidR="00CB1E0B">
        <w:t>their</w:t>
      </w:r>
      <w:r w:rsidRPr="007E6C91">
        <w:t xml:space="preserve"> behavior and showing that there is no harm</w:t>
      </w:r>
      <w:r w:rsidR="00CB1E0B">
        <w:t>,</w:t>
      </w:r>
      <w:r w:rsidRPr="007E6C91">
        <w:t xml:space="preserve"> and work</w:t>
      </w:r>
      <w:r w:rsidR="00CB1E0B">
        <w:t>ing</w:t>
      </w:r>
      <w:r w:rsidRPr="007E6C91">
        <w:t xml:space="preserve"> for their welfare as wel</w:t>
      </w:r>
      <w:r w:rsidR="005B6B70">
        <w:t xml:space="preserve">l as development.  This act </w:t>
      </w:r>
      <w:r w:rsidRPr="007E6C91">
        <w:t>ensures that the vulnerable children grow up safely and are also given effective support</w:t>
      </w:r>
      <w:r w:rsidR="003E4D3B">
        <w:t xml:space="preserve"> </w:t>
      </w:r>
      <w:r w:rsidR="003E4D3B">
        <w:fldChar w:fldCharType="begin" w:fldLock="1"/>
      </w:r>
      <w:r w:rsidR="003E4D3B">
        <w:instrText>ADDIN CSL_CITATION {"citationItems":[{"id":"ITEM-1","itemData":{"DOI":"10.1016/S0140-6736(11)61087-8","ISSN":"1474547X","PMID":"22169108","abstract":"We explored trends in six developed countries in three types of indicators of child maltreatment for children younger than 11 years, since the inception of modern child protection systems in the 1970s. Despite several policy initiatives for child protection, we recorded no consistent evidence for a decrease in all types of indicators of child maltreatment. We noted falling rates of violent death in a few age and country groups, but these decreases coincided with reductions in admissions to hospital for maltreatment-related injury only in Sweden and Manitoba (Canada). One or more child protection agency indicators increased in five of six countries, particularly in infants, possibly as a result of early intervention policies. Comparisons of mean rates between countries showed five-fold to ten-fold differences in rates of agency indicators, but less than two-fold variation in violent deaths or maltreatment-related injury, apart from high rates of violent child death in the USA. These analyses draw attention to the need for robust research to establish whether the high and rising rates of agency contacts and out-of-home care in some settings are effectively reducing child maltreatment. © 2012 Elsevier Ltd.","author":[{"dropping-particle":"","family":"Gilbert","given":"Ruth","non-dropping-particle":"","parse-names":false,"suffix":""},{"dropping-particle":"","family":"Fluke","given":"John","non-dropping-particle":"","parse-names":false,"suffix":""},{"dropping-particle":"","family":"O'Donnell","given":"Melissa","non-dropping-particle":"","parse-names":false,"suffix":""},{"dropping-particle":"","family":"Gonzalez-Izquierdo","given":"Arturo","non-dropping-particle":"","parse-names":false,"suffix":""},{"dropping-particle":"","family":"Brownell","given":"Marni","non-dropping-particle":"","parse-names":false,"suffix":""},{"dropping-particle":"","family":"Gulliver","given":"Pauline","non-dropping-particle":"","parse-names":false,"suffix":""},{"dropping-particle":"","family":"Janson","given":"Staffan","non-dropping-particle":"","parse-names":false,"suffix":""},{"dropping-particle":"","family":"Sidebotham","given":"Peter","non-dropping-particle":"","parse-names":false,"suffix":""}],"container-title":"The Lancet","id":"ITEM-1","issue":"9817","issued":{"date-parts":[["2012"]]},"page":"758-772","title":"Child maltreatment: Variation in trends and policies in six developed countries","type":"article-journal","volume":"379"},"uris":["http://www.mendeley.com/documents/?uuid=ebd8dc9c-b0cd-4837-b62b-08b395bf1736"]}],"mendeley":{"formattedCitation":"(Gilbert &lt;i&gt;et al.&lt;/i&gt;, 2012)","manualFormatting":"(Gilbert, 2012)","plainTextFormattedCitation":"(Gilbert et al., 2012)","previouslyFormattedCitation":"(Gilbert &lt;i&gt;et al.&lt;/i&gt;, 2012)"},"properties":{"noteIndex":0},"schema":"https://github.com/citation-style-language/schema/raw/master/csl-citation.json"}</w:instrText>
      </w:r>
      <w:r w:rsidR="003E4D3B">
        <w:fldChar w:fldCharType="separate"/>
      </w:r>
      <w:r w:rsidR="003E4D3B">
        <w:rPr>
          <w:noProof/>
        </w:rPr>
        <w:t>(Gilbert</w:t>
      </w:r>
      <w:r w:rsidR="003E4D3B" w:rsidRPr="003E4D3B">
        <w:rPr>
          <w:noProof/>
        </w:rPr>
        <w:t>, 2012)</w:t>
      </w:r>
      <w:r w:rsidR="003E4D3B">
        <w:fldChar w:fldCharType="end"/>
      </w:r>
      <w:r w:rsidRPr="007E6C91">
        <w:t>. </w:t>
      </w:r>
    </w:p>
    <w:p w14:paraId="0B5582FC" w14:textId="77777777" w:rsidR="007E6C91" w:rsidRPr="007E6C91" w:rsidRDefault="007E6C91" w:rsidP="005B6B70">
      <w:pPr>
        <w:pStyle w:val="Heading2"/>
        <w:rPr>
          <w:rFonts w:eastAsia="Times New Roman"/>
          <w:color w:val="auto"/>
        </w:rPr>
      </w:pPr>
      <w:bookmarkStart w:id="6" w:name="_Toc109429679"/>
      <w:r w:rsidRPr="007E6C91">
        <w:rPr>
          <w:rFonts w:eastAsia="Times New Roman"/>
        </w:rPr>
        <w:t>Policies for prevention of Child Abuse</w:t>
      </w:r>
      <w:r w:rsidR="005B6B70">
        <w:t xml:space="preserve"> in </w:t>
      </w:r>
      <w:r w:rsidR="00CB1E0B">
        <w:t xml:space="preserve">the </w:t>
      </w:r>
      <w:r w:rsidR="005B6B70">
        <w:t>UK</w:t>
      </w:r>
      <w:r w:rsidRPr="007E6C91">
        <w:rPr>
          <w:rFonts w:eastAsia="Times New Roman"/>
        </w:rPr>
        <w:t>:</w:t>
      </w:r>
      <w:bookmarkEnd w:id="6"/>
    </w:p>
    <w:p w14:paraId="6A8EA482" w14:textId="77777777" w:rsidR="007E6C91" w:rsidRPr="007E6C91" w:rsidRDefault="007E6C91" w:rsidP="005B6B70">
      <w:pPr>
        <w:rPr>
          <w:color w:val="auto"/>
        </w:rPr>
      </w:pPr>
      <w:r w:rsidRPr="007E6C91">
        <w:t>There are certain types of child abuse including physical abuse, sexual abuse</w:t>
      </w:r>
      <w:r w:rsidR="00CB1E0B">
        <w:t>,</w:t>
      </w:r>
      <w:r w:rsidRPr="007E6C91">
        <w:t xml:space="preserve"> and emotional abuse</w:t>
      </w:r>
      <w:r w:rsidR="00CB1E0B">
        <w:t>,</w:t>
      </w:r>
      <w:r w:rsidRPr="007E6C91">
        <w:t xml:space="preserve"> and all of these types are discussed and prevente</w:t>
      </w:r>
      <w:r w:rsidR="00B2343E">
        <w:t xml:space="preserve">d under the </w:t>
      </w:r>
      <w:r w:rsidR="00B2343E" w:rsidRPr="00B2343E">
        <w:rPr>
          <w:b/>
        </w:rPr>
        <w:t>Children A</w:t>
      </w:r>
      <w:r w:rsidR="005B6B70" w:rsidRPr="00B2343E">
        <w:rPr>
          <w:b/>
        </w:rPr>
        <w:t>ct 1989.</w:t>
      </w:r>
      <w:r w:rsidR="005B6B70">
        <w:t xml:space="preserve"> T</w:t>
      </w:r>
      <w:r w:rsidR="00B2343E">
        <w:t xml:space="preserve">he </w:t>
      </w:r>
      <w:r w:rsidR="00B2343E" w:rsidRPr="00B2343E">
        <w:rPr>
          <w:b/>
        </w:rPr>
        <w:t>Human Rights A</w:t>
      </w:r>
      <w:r w:rsidRPr="00B2343E">
        <w:rPr>
          <w:b/>
        </w:rPr>
        <w:t>ct 1998</w:t>
      </w:r>
      <w:r w:rsidRPr="007E6C91">
        <w:t xml:space="preserve"> also enables the </w:t>
      </w:r>
      <w:r w:rsidR="005B6B70" w:rsidRPr="007E6C91">
        <w:t>organization</w:t>
      </w:r>
      <w:r w:rsidRPr="007E6C91">
        <w:t xml:space="preserve"> to accept children legally so that they can protect </w:t>
      </w:r>
      <w:r w:rsidR="00CB1E0B">
        <w:t xml:space="preserve">the </w:t>
      </w:r>
      <w:r w:rsidRPr="007E6C91">
        <w:t>child from abuse</w:t>
      </w:r>
      <w:r w:rsidR="003E4D3B">
        <w:t xml:space="preserve"> </w:t>
      </w:r>
      <w:r w:rsidR="003E4D3B">
        <w:fldChar w:fldCharType="begin" w:fldLock="1"/>
      </w:r>
      <w:r w:rsidR="003E4D3B">
        <w:instrText>ADDIN CSL_CITATION {"citationItems":[{"id":"ITEM-1","itemData":{"DOI":"10.1016/j.childyouth.2008.12.003","ISSN":"01907409","abstract":"In spite of significant public concern, professional efforts and financial expenditure, there has been a perceived lack of progress in reducing the incidence of child abuse, and in improving the outcomes for children in both the short and longer term. In this article the authors reflect on recent policy developments in the United Kingdom relating to children and families experiencing multiple adversities, and argue that the current conceptualisation of child abuse is flawed. In adopting a rational technical approach to the management of child abuse, there is a tendency to focus on shorter term outcomes for the child, such as immediate safety, that primarily reflect the outputs of the child protection system. However, by viewing child abuse as a wicked problem, that is complex and less amenable to being solved, then child welfare professionals can be supported to focus on achieving longer term outcomes for children that are more likely to meet their needs. The authors argue for an earlier identification of and intervention with children who are experiencing multiple adversity, such as those living with parents misusing substances and exposed to intimate partner violence. © 2008 Elsevier Ltd. All rights reserved.","author":[{"dropping-particle":"","family":"Devaney","given":"John","non-dropping-particle":"","parse-names":false,"suffix":""},{"dropping-particle":"","family":"Spratt","given":"Trevor","non-dropping-particle":"","parse-names":false,"suffix":""}],"container-title":"Children and Youth Services Review","id":"ITEM-1","issue":"6","issued":{"date-parts":[["2009"]]},"page":"635-641","publisher":"Elsevier Ltd","title":"Child abuse as a complex and wicked problem: Reflecting on policy developments in the United Kingdom in working with children and families with multiple problems","type":"article-journal","volume":"31"},"uris":["http://www.mendeley.com/documents/?uuid=df9f3980-f899-42c1-8338-693dcf7f26d6"]}],"mendeley":{"formattedCitation":"(Devaney and Spratt, 2009)","plainTextFormattedCitation":"(Devaney and Spratt, 2009)","previouslyFormattedCitation":"(Devaney and Spratt, 2009)"},"properties":{"noteIndex":0},"schema":"https://github.com/citation-style-language/schema/raw/master/csl-citation.json"}</w:instrText>
      </w:r>
      <w:r w:rsidR="003E4D3B">
        <w:fldChar w:fldCharType="separate"/>
      </w:r>
      <w:r w:rsidR="003E4D3B" w:rsidRPr="003E4D3B">
        <w:rPr>
          <w:noProof/>
        </w:rPr>
        <w:t>(Devaney and Spratt, 2009)</w:t>
      </w:r>
      <w:r w:rsidR="003E4D3B">
        <w:fldChar w:fldCharType="end"/>
      </w:r>
      <w:r w:rsidRPr="007E6C91">
        <w:t xml:space="preserve">.  </w:t>
      </w:r>
      <w:r w:rsidR="005B6B70" w:rsidRPr="007E6C91">
        <w:t>Moreover</w:t>
      </w:r>
      <w:r w:rsidR="00CB1E0B">
        <w:t>,</w:t>
      </w:r>
      <w:r w:rsidRPr="007E6C91">
        <w:t xml:space="preserve"> the department of education has offered significant policies to prevent child abuse in Institutions which are discussed hereby:</w:t>
      </w:r>
    </w:p>
    <w:p w14:paraId="7D49FA72" w14:textId="77777777" w:rsidR="007E6C91" w:rsidRPr="003E4D3B" w:rsidRDefault="005B6B70" w:rsidP="003E4D3B">
      <w:pPr>
        <w:pStyle w:val="ListParagraph"/>
        <w:numPr>
          <w:ilvl w:val="0"/>
          <w:numId w:val="1"/>
        </w:numPr>
        <w:rPr>
          <w:color w:val="auto"/>
        </w:rPr>
      </w:pPr>
      <w:r w:rsidRPr="007E6C91">
        <w:t>The</w:t>
      </w:r>
      <w:r w:rsidR="007E6C91" w:rsidRPr="007E6C91">
        <w:t xml:space="preserve"> Institutions must adopt a zero</w:t>
      </w:r>
      <w:r w:rsidR="00CB1E0B">
        <w:t>-</w:t>
      </w:r>
      <w:r w:rsidR="007E6C91" w:rsidRPr="007E6C91">
        <w:t>tolerance policy and make it clear to the abuses who commit harassment and sexual exploitation</w:t>
      </w:r>
      <w:r w:rsidRPr="007E6C91">
        <w:t> that</w:t>
      </w:r>
      <w:r w:rsidR="007E6C91" w:rsidRPr="007E6C91">
        <w:t xml:space="preserve"> the</w:t>
      </w:r>
      <w:r w:rsidR="00CB1E0B">
        <w:t>ir</w:t>
      </w:r>
      <w:r w:rsidR="007E6C91" w:rsidRPr="007E6C91">
        <w:t xml:space="preserve"> abusive ads will not be accepted.</w:t>
      </w:r>
    </w:p>
    <w:p w14:paraId="1A19E4D9" w14:textId="77777777" w:rsidR="007E6C91" w:rsidRDefault="005B6B70" w:rsidP="003E4D3B">
      <w:pPr>
        <w:pStyle w:val="ListParagraph"/>
        <w:numPr>
          <w:ilvl w:val="0"/>
          <w:numId w:val="1"/>
        </w:numPr>
      </w:pPr>
      <w:r w:rsidRPr="007E6C91">
        <w:t>The</w:t>
      </w:r>
      <w:r w:rsidR="007E6C91" w:rsidRPr="007E6C91">
        <w:t xml:space="preserve"> institution must follow </w:t>
      </w:r>
      <w:r w:rsidR="00CB1E0B">
        <w:t xml:space="preserve">the </w:t>
      </w:r>
      <w:r w:rsidR="007E6C91" w:rsidRPr="007E6C91">
        <w:t>safeguarding vulnerable group</w:t>
      </w:r>
      <w:r w:rsidR="00CB1E0B">
        <w:t>'</w:t>
      </w:r>
      <w:r w:rsidR="007E6C91" w:rsidRPr="007E6C91">
        <w:t>s act which protect</w:t>
      </w:r>
      <w:r w:rsidR="00CB1E0B">
        <w:t>s</w:t>
      </w:r>
      <w:r w:rsidR="007E6C91" w:rsidRPr="007E6C91">
        <w:t xml:space="preserve"> the Welfare of children and make the contact </w:t>
      </w:r>
      <w:r w:rsidR="00CB1E0B">
        <w:t>with</w:t>
      </w:r>
      <w:r w:rsidR="007E6C91" w:rsidRPr="007E6C91">
        <w:t xml:space="preserve"> </w:t>
      </w:r>
      <w:r w:rsidR="00CB1E0B">
        <w:t xml:space="preserve">a </w:t>
      </w:r>
      <w:r w:rsidR="007E6C91" w:rsidRPr="007E6C91">
        <w:t>person with</w:t>
      </w:r>
      <w:r w:rsidR="00CB1E0B">
        <w:t>in</w:t>
      </w:r>
      <w:r w:rsidR="007E6C91" w:rsidRPr="007E6C91">
        <w:t xml:space="preserve"> the group who ensure</w:t>
      </w:r>
      <w:r w:rsidR="00CB1E0B">
        <w:t>s</w:t>
      </w:r>
      <w:r w:rsidR="007E6C91" w:rsidRPr="007E6C91">
        <w:t xml:space="preserve"> the security of the </w:t>
      </w:r>
      <w:r w:rsidRPr="007E6C91">
        <w:t>child.</w:t>
      </w:r>
    </w:p>
    <w:p w14:paraId="6E6D0F01" w14:textId="77777777" w:rsidR="005B6B70" w:rsidRPr="007E6C91" w:rsidRDefault="005B6B70" w:rsidP="005B6B70">
      <w:pPr>
        <w:rPr>
          <w:color w:val="auto"/>
        </w:rPr>
      </w:pPr>
    </w:p>
    <w:p w14:paraId="68E57FB7" w14:textId="77777777" w:rsidR="007E6C91" w:rsidRPr="007E6C91" w:rsidRDefault="007E6C91" w:rsidP="005B6B70">
      <w:pPr>
        <w:pStyle w:val="Heading1"/>
        <w:rPr>
          <w:rFonts w:eastAsia="Times New Roman"/>
          <w:color w:val="auto"/>
        </w:rPr>
      </w:pPr>
      <w:bookmarkStart w:id="7" w:name="_Toc109429680"/>
      <w:r w:rsidRPr="007E6C91">
        <w:rPr>
          <w:rFonts w:eastAsia="Times New Roman"/>
        </w:rPr>
        <w:t>HighProfle Case</w:t>
      </w:r>
      <w:r w:rsidR="005B6B70">
        <w:rPr>
          <w:rFonts w:eastAsia="Times New Roman"/>
        </w:rPr>
        <w:t>s</w:t>
      </w:r>
      <w:r w:rsidRPr="007E6C91">
        <w:rPr>
          <w:rFonts w:eastAsia="Times New Roman"/>
        </w:rPr>
        <w:t>:</w:t>
      </w:r>
      <w:bookmarkEnd w:id="7"/>
    </w:p>
    <w:p w14:paraId="47616E1D" w14:textId="77777777" w:rsidR="005B6B70" w:rsidRDefault="007E6C91" w:rsidP="005B6B70">
      <w:r w:rsidRPr="007E6C91">
        <w:t xml:space="preserve"> There was recent news regarding the charity Oxfam and the concerns very related to they are handling procedures.  This organization is handling the complaint and a national inquiry was significantly made as a result of their misconduct they find out that safeguarding standards were not fulfilled and the police are insufficient and these were not successfully implemented.  According to the reports, the Child was admitted to their institution and the institution did not have the property so they filed a complaint against the charity organization, and legal action was taken against the organization as a result of their will conduct and violation of safeguarding standards and procedures. There was another case against a senior staff member of Haiti. The sexual exploitation, as well as the allegations of misconduct, had been filed against him and legal action was taken for this complaint as well however there was a lack of adequacy </w:t>
      </w:r>
      <w:r w:rsidR="005B6B70" w:rsidRPr="007E6C91">
        <w:t>which</w:t>
      </w:r>
      <w:r w:rsidRPr="007E6C91">
        <w:t xml:space="preserve"> perfectly illustrate that the inappropriate implementation of policies and procedures can put a lot of risk on a vulnerable member of society.  </w:t>
      </w:r>
      <w:r w:rsidR="005B6B70" w:rsidRPr="007E6C91">
        <w:t>The</w:t>
      </w:r>
      <w:r w:rsidRPr="007E6C91">
        <w:t xml:space="preserve"> company did not file a case against him because of the lack of adequacy and there was no legal step taken by the organization the prevention this harm and this act of abuse could not be punished</w:t>
      </w:r>
      <w:r w:rsidR="003E4D3B">
        <w:t xml:space="preserve"> </w:t>
      </w:r>
      <w:r w:rsidR="003E4D3B">
        <w:fldChar w:fldCharType="begin" w:fldLock="1"/>
      </w:r>
      <w:r w:rsidR="003E4D3B">
        <w:instrText>ADDIN CSL_CITATION {"citationItems":[{"id":"ITEM-1","itemData":{"DOI":"10.1111/1468-2311.00200","ISSN":"0265-5527","abstract":"News reporting of violence reflects neither the ‘reality’ of the occurrence of violence nor the portrayal of violence in official statistics. The analysis of all reports of violence in four national British newspapers over six months illuminates the processes of selection, and the ways in which the news media promulgate and naturalise gender in the daily reporting of violence. This study found significant differences in the nature and intensity of reporting of violence by men and by women. Different explanatory narratives were also employed; women’s violence was more likely to be reported as irrational or emotional, with real ‘wickedness’ ascribed in a few high- profile cases, whilst men’s violence was more likely to be presented as ‘normal’ or rational.","author":[{"dropping-particle":"","family":"Naylor","given":"Bronwyn","non-dropping-particle":"","parse-names":false,"suffix":""}],"container-title":"The Howard Journal of Criminal Justice","id":"ITEM-1","issue":"2","issued":{"date-parts":[["2001"]]},"page":"180-194","title":"Reporting Violence in the British Print Media: Gendered Stories","type":"article-journal","volume":"40"},"uris":["http://www.mendeley.com/documents/?uuid=8dddec76-a531-4c77-93ec-a575ade05cf6"]}],"mendeley":{"formattedCitation":"(Naylor, 2001)","plainTextFormattedCitation":"(Naylor, 2001)","previouslyFormattedCitation":"(Naylor, 2001)"},"properties":{"noteIndex":0},"schema":"https://github.com/citation-style-language/schema/raw/master/csl-citation.json"}</w:instrText>
      </w:r>
      <w:r w:rsidR="003E4D3B">
        <w:fldChar w:fldCharType="separate"/>
      </w:r>
      <w:r w:rsidR="003E4D3B" w:rsidRPr="003E4D3B">
        <w:rPr>
          <w:noProof/>
        </w:rPr>
        <w:t>(Naylor, 2001)</w:t>
      </w:r>
      <w:r w:rsidR="003E4D3B">
        <w:fldChar w:fldCharType="end"/>
      </w:r>
      <w:r w:rsidRPr="007E6C91">
        <w:t xml:space="preserve">. </w:t>
      </w:r>
    </w:p>
    <w:p w14:paraId="7FCA382E" w14:textId="77777777" w:rsidR="007E6C91" w:rsidRPr="007E6C91" w:rsidRDefault="007E6C91" w:rsidP="005B6B70">
      <w:pPr>
        <w:rPr>
          <w:color w:val="auto"/>
        </w:rPr>
      </w:pPr>
      <w:r w:rsidRPr="007E6C91">
        <w:t xml:space="preserve">Like this incident, there are a lot of cases that involved the violation of safeguarding policies.  </w:t>
      </w:r>
      <w:r w:rsidR="005B6B70" w:rsidRPr="007E6C91">
        <w:t>There</w:t>
      </w:r>
      <w:r w:rsidRPr="007E6C91">
        <w:t xml:space="preserve"> was another terrible case that </w:t>
      </w:r>
      <w:r w:rsidR="005B6B70" w:rsidRPr="007E6C91">
        <w:t>involves</w:t>
      </w:r>
      <w:r w:rsidRPr="007E6C91">
        <w:t xml:space="preserve"> the murder of a child after several months of abuse and the child died on 22nd September 2020.  The child's name was Star Hobson and he was being abused by his parents and carers the violence and neglect of these people raise the alarming situation for social workers. Another case was filed which was the case of 6-year-old Arthur Labinjo-Hughes.  </w:t>
      </w:r>
      <w:r w:rsidR="005B6B70" w:rsidRPr="007E6C91">
        <w:t>This</w:t>
      </w:r>
      <w:r w:rsidRPr="007E6C91">
        <w:t xml:space="preserve"> child was abused and tortured by his stepmother, unfortunately, he was beaten to death by her.  </w:t>
      </w:r>
      <w:r w:rsidR="005B6B70" w:rsidRPr="007E6C91">
        <w:t>The</w:t>
      </w:r>
      <w:r w:rsidRPr="007E6C91">
        <w:t xml:space="preserve"> name of his stepmother was Emma Tustin and she was jailed for 29 years his father also received the punishment of failure for 21 years</w:t>
      </w:r>
      <w:r w:rsidR="003E4D3B">
        <w:t xml:space="preserve"> </w:t>
      </w:r>
      <w:r w:rsidR="003E4D3B">
        <w:fldChar w:fldCharType="begin" w:fldLock="1"/>
      </w:r>
      <w:r w:rsidR="003E4D3B">
        <w:instrText>ADDIN CSL_CITATION {"citationItems":[{"id":"ITEM-1","itemData":{"DOI":"10.1093/bjc/azt070","ISSN":"00070955","abstract":"Contemporary social and political constructions of victimhood and offending behaviour lie at the heart of regulatory policies on child sexual abuse. Legislation is named after specific child victims of high-profile cases, and a burgeoning range of pre-emptive measures are enacted to protect an amorphous class of 'all potential victims' from the risk sex offenders are seen as posing. Such policies are also heavily premised on the omnipresent predatory stranger. These constructed identities, however, are at odds with the actual identities of victims and offenders of such crimes. Drawing on a range of literatures, the core task of this article is to confront some of the complexities and tensions surrounding constructions of the victim/offender dyad within the specific context of sexual offending against children. In particular, the article argues that discourses on 'blame' - and the polarized notions of 'innocence' and 'guilt' - inform respective hierarchies of victimhood and offending concerning 'legitimate' victim and offender status. Based on these insights, the article argues for the need to move beyond such monochromatic understandings of victims and offenders of sexual crime and to reframe the politics of risk accordingly. © 2014 © The Author 2014. Published by Oxford University Press on behalf of the Centre for Crime and Justice Studies (ISTD). All rights reserved. For permissions, please e-mail: journals.permissions@oup.com.","author":[{"dropping-particle":"","family":"McAlinden","given":"Anne Marie","non-dropping-particle":"","parse-names":false,"suffix":""}],"container-title":"British Journal of Criminology","id":"ITEM-1","issue":"2","issued":{"date-parts":[["2014"]]},"page":"180-198","title":"Deconstructing victim and offender Identites in discourses on child sexual abuse","type":"article-journal","volume":"54"},"uris":["http://www.mendeley.com/documents/?uuid=3de1c863-3fe1-4a31-a549-3b7b33e80413"]}],"mendeley":{"formattedCitation":"(McAlinden, 2014)","plainTextFormattedCitation":"(McAlinden, 2014)","previouslyFormattedCitation":"(McAlinden, 2014)"},"properties":{"noteIndex":0},"schema":"https://github.com/citation-style-language/schema/raw/master/csl-citation.json"}</w:instrText>
      </w:r>
      <w:r w:rsidR="003E4D3B">
        <w:fldChar w:fldCharType="separate"/>
      </w:r>
      <w:r w:rsidR="003E4D3B" w:rsidRPr="003E4D3B">
        <w:rPr>
          <w:noProof/>
        </w:rPr>
        <w:t>(McAlinden, 2014)</w:t>
      </w:r>
      <w:r w:rsidR="003E4D3B">
        <w:fldChar w:fldCharType="end"/>
      </w:r>
      <w:r w:rsidRPr="007E6C91">
        <w:t xml:space="preserve">. </w:t>
      </w:r>
    </w:p>
    <w:p w14:paraId="0BDA4143" w14:textId="77777777" w:rsidR="00644A25" w:rsidRDefault="00265503" w:rsidP="00265503">
      <w:pPr>
        <w:pStyle w:val="Heading1"/>
      </w:pPr>
      <w:bookmarkStart w:id="8" w:name="_Toc109429681"/>
      <w:r>
        <w:t xml:space="preserve">Effect of Covid-19 on Children and Families living in </w:t>
      </w:r>
      <w:r w:rsidR="00CB1E0B">
        <w:t>p</w:t>
      </w:r>
      <w:r>
        <w:t xml:space="preserve">overty in </w:t>
      </w:r>
      <w:r w:rsidR="00CB1E0B">
        <w:t xml:space="preserve">the </w:t>
      </w:r>
      <w:r>
        <w:t>UK:</w:t>
      </w:r>
      <w:bookmarkEnd w:id="8"/>
    </w:p>
    <w:p w14:paraId="4F066741" w14:textId="77777777" w:rsidR="00265503" w:rsidRPr="00265503" w:rsidRDefault="00265503" w:rsidP="00265503">
      <w:r>
        <w:rPr>
          <w:color w:val="000000"/>
        </w:rPr>
        <w:t xml:space="preserve">The covid-19 crisis has generated an economic crisis globally and it significantly threatens to hit children as well as families.  </w:t>
      </w:r>
      <w:r w:rsidR="00B2343E">
        <w:rPr>
          <w:color w:val="000000"/>
        </w:rPr>
        <w:t>Most</w:t>
      </w:r>
      <w:r>
        <w:rPr>
          <w:color w:val="000000"/>
        </w:rPr>
        <w:t xml:space="preserve"> there are a lot of children living in multidimensional poverty and they do not have enough access to education, health, housing, and nutrition.  According to the report, there are almost 1.2 billion children and families in the year 2020 who do not have proper access to the basic facilities of life and almost a hundred million children have fallen into multidimensional poverty in the year 2021</w:t>
      </w:r>
      <w:r w:rsidR="003E4D3B">
        <w:rPr>
          <w:color w:val="000000"/>
        </w:rPr>
        <w:t xml:space="preserve"> </w:t>
      </w:r>
      <w:r w:rsidR="003E4D3B">
        <w:rPr>
          <w:color w:val="000000"/>
        </w:rPr>
        <w:fldChar w:fldCharType="begin" w:fldLock="1"/>
      </w:r>
      <w:r w:rsidR="003E4D3B">
        <w:rPr>
          <w:color w:val="000000"/>
        </w:rPr>
        <w:instrText>ADDIN CSL_CITATION {"citationItems":[{"id":"ITEM-1","itemData":{"DOI":"10.1080/14733285.2021.1921699","ISSN":"14733277","abstract":"The UK has been one of the most badly affected nations of the Global North by the COVID-19 outbreak in terms of illness, death rates and a severe economic downturn. Children have been impacted severely (and unequally), with UK lockdown meaning that many children were away from school and usual leisure activities for six months during the first lockdown. We revised this Viewpoint during the third lockdown when schools were closed again for an indefinite time. Despite substantial media and policy debate about the impact of COVID-19 on young people, with a focus on education, young people’s own voices tend to be obscured in these mainstream accounts. By contrast, the Children’s Commissioner for England has focused on young people’s accounts, which are discussed in this viewpoint.","author":[{"dropping-particle":"","family":"Holt","given":"Louise","non-dropping-particle":"","parse-names":false,"suffix":""},{"dropping-particle":"","family":"Murray","given":"Lesley","non-dropping-particle":"","parse-names":false,"suffix":""}],"container-title":"Children's Geographies","id":"ITEM-1","issue":"0","issued":{"date-parts":[["2021"]]},"page":"1-8","publisher":"Taylor &amp; Francis","title":"Children and Covid 19 in the UK","type":"article-journal","volume":"0"},"uris":["http://www.mendeley.com/documents/?uuid=c14be3a9-b412-40df-a8c6-155d7797a653"]}],"mendeley":{"formattedCitation":"(Holt and Murray, 2021)","plainTextFormattedCitation":"(Holt and Murray, 2021)","previouslyFormattedCitation":"(Holt and Murray, 2021)"},"properties":{"noteIndex":0},"schema":"https://github.com/citation-style-language/schema/raw/master/csl-citation.json"}</w:instrText>
      </w:r>
      <w:r w:rsidR="003E4D3B">
        <w:rPr>
          <w:color w:val="000000"/>
        </w:rPr>
        <w:fldChar w:fldCharType="separate"/>
      </w:r>
      <w:r w:rsidR="003E4D3B" w:rsidRPr="003E4D3B">
        <w:rPr>
          <w:noProof/>
          <w:color w:val="000000"/>
        </w:rPr>
        <w:t>(Holt and Murray, 2021)</w:t>
      </w:r>
      <w:r w:rsidR="003E4D3B">
        <w:rPr>
          <w:color w:val="000000"/>
        </w:rPr>
        <w:fldChar w:fldCharType="end"/>
      </w:r>
      <w:r>
        <w:rPr>
          <w:color w:val="000000"/>
        </w:rPr>
        <w:t>. The UK is considered one of the most affected Nations around the globe by endemic in terms of illness, death rates as well as the economic downturn that has been seen in the UK. Several reports are suggesting that the educational performance before the pandemic was significantly based on socioeconomic background, however, when they make has accelerated the situation significantly and there has been huge destruction to schooling which impacts the children and especially the children who come from poor families</w:t>
      </w:r>
      <w:r w:rsidR="003E4D3B">
        <w:rPr>
          <w:color w:val="000000"/>
        </w:rPr>
        <w:fldChar w:fldCharType="begin" w:fldLock="1"/>
      </w:r>
      <w:r w:rsidR="003E4D3B">
        <w:rPr>
          <w:color w:val="000000"/>
        </w:rPr>
        <w:instrText>ADDIN CSL_CITATION {"citationItems":[{"id":"ITEM-1","itemData":{"DOI":"10.1136/bmj.m2061","ISSN":"17561833","PMID":"32461203","author":[{"dropping-particle":"","family":"Sinha","given":"Ian","non-dropping-particle":"","parse-names":false,"suffix":""},{"dropping-particle":"","family":"Bennett","given":"Davara","non-dropping-particle":"","parse-names":false,"suffix":""},{"dropping-particle":"","family":"Taylor-Robinson","given":"David C.","non-dropping-particle":"","parse-names":false,"suffix":""}],"container-title":"The BMJ","id":"ITEM-1","issue":"May","issued":{"date-parts":[["2020"]]},"page":"1-2","title":"Children are being sidelined by covid-19","type":"article-journal","volume":"369"},"uris":["http://www.mendeley.com/documents/?uuid=c4df9c80-a262-4ade-a9ec-c5d8f74c91d9"]}],"mendeley":{"formattedCitation":"(Sinha, Bennett and Taylor-Robinson, 2020)","plainTextFormattedCitation":"(Sinha, Bennett and Taylor-Robinson, 2020)","previouslyFormattedCitation":"(Sinha, Bennett and Taylor-Robinson, 2020)"},"properties":{"noteIndex":0},"schema":"https://github.com/citation-style-language/schema/raw/master/csl-citation.json"}</w:instrText>
      </w:r>
      <w:r w:rsidR="003E4D3B">
        <w:rPr>
          <w:color w:val="000000"/>
        </w:rPr>
        <w:fldChar w:fldCharType="separate"/>
      </w:r>
      <w:r w:rsidR="003E4D3B" w:rsidRPr="003E4D3B">
        <w:rPr>
          <w:noProof/>
          <w:color w:val="000000"/>
        </w:rPr>
        <w:t>(Sinha, Bennett and Taylor-Robinson, 2020)</w:t>
      </w:r>
      <w:r w:rsidR="003E4D3B">
        <w:rPr>
          <w:color w:val="000000"/>
        </w:rPr>
        <w:fldChar w:fldCharType="end"/>
      </w:r>
      <w:r>
        <w:rPr>
          <w:color w:val="000000"/>
        </w:rPr>
        <w:t xml:space="preserve">.  The pandemic has </w:t>
      </w:r>
      <w:r w:rsidR="00CB1E0B">
        <w:rPr>
          <w:color w:val="000000"/>
        </w:rPr>
        <w:t xml:space="preserve">a </w:t>
      </w:r>
      <w:r>
        <w:rPr>
          <w:color w:val="000000"/>
        </w:rPr>
        <w:t xml:space="preserve">long-lasting effect on educational progression as well as </w:t>
      </w:r>
      <w:r w:rsidR="00CB1E0B">
        <w:rPr>
          <w:color w:val="000000"/>
        </w:rPr>
        <w:t xml:space="preserve">the </w:t>
      </w:r>
      <w:r>
        <w:rPr>
          <w:color w:val="000000"/>
        </w:rPr>
        <w:t xml:space="preserve">labor market performance of children and families living in poverty.  There have been attempts to mitigate the effect of covid-19 by adopting several policies like there should be higher funding </w:t>
      </w:r>
      <w:r w:rsidR="00CB1E0B">
        <w:rPr>
          <w:color w:val="000000"/>
        </w:rPr>
        <w:t>for</w:t>
      </w:r>
      <w:r>
        <w:rPr>
          <w:color w:val="000000"/>
        </w:rPr>
        <w:t xml:space="preserve"> remedial tuition and the educational institute should use Technology and provide flexibility in vacation education.  For educational purposes, the support of </w:t>
      </w:r>
      <w:r w:rsidR="00CB1E0B">
        <w:rPr>
          <w:color w:val="000000"/>
        </w:rPr>
        <w:t xml:space="preserve">the </w:t>
      </w:r>
      <w:r>
        <w:rPr>
          <w:color w:val="000000"/>
        </w:rPr>
        <w:t>Government is necessary for the children living in poverty</w:t>
      </w:r>
      <w:r w:rsidR="003E4D3B">
        <w:rPr>
          <w:color w:val="000000"/>
        </w:rPr>
        <w:t xml:space="preserve"> </w:t>
      </w:r>
      <w:r w:rsidR="003E4D3B">
        <w:rPr>
          <w:color w:val="000000"/>
        </w:rPr>
        <w:fldChar w:fldCharType="begin" w:fldLock="1"/>
      </w:r>
      <w:r w:rsidR="003E4D3B">
        <w:rPr>
          <w:color w:val="000000"/>
        </w:rPr>
        <w:instrText>ADDIN CSL_CITATION {"citationItems":[{"id":"ITEM-1","itemData":{"DOI":"10.1136/bmj.n376","ISSN":"17561833","PMID":"33579719","author":[{"dropping-particle":"","family":"Whitehead","given":"Margaret","non-dropping-particle":"","parse-names":false,"suffix":""},{"dropping-particle":"","family":"Taylor-Robinson","given":"David","non-dropping-particle":"","parse-names":false,"suffix":""},{"dropping-particle":"","family":"Barr","given":"Ben","non-dropping-particle":"","parse-names":false,"suffix":""}],"container-title":"The BMJ","id":"ITEM-1","issued":{"date-parts":[["2021"]]},"page":"1-2","title":"Poverty, health, and covid-19","type":"article-journal","volume":"372"},"uris":["http://www.mendeley.com/documents/?uuid=2a716467-05b7-4481-aaf9-7d23efde1e5e"]}],"mendeley":{"formattedCitation":"(Whitehead, Taylor-Robinson and Barr, 2021)","plainTextFormattedCitation":"(Whitehead, Taylor-Robinson and Barr, 2021)","previouslyFormattedCitation":"(Whitehead, Taylor-Robinson and Barr, 2021)"},"properties":{"noteIndex":0},"schema":"https://github.com/citation-style-language/schema/raw/master/csl-citation.json"}</w:instrText>
      </w:r>
      <w:r w:rsidR="003E4D3B">
        <w:rPr>
          <w:color w:val="000000"/>
        </w:rPr>
        <w:fldChar w:fldCharType="separate"/>
      </w:r>
      <w:r w:rsidR="003E4D3B" w:rsidRPr="003E4D3B">
        <w:rPr>
          <w:noProof/>
          <w:color w:val="000000"/>
        </w:rPr>
        <w:t>(Whitehead, Taylor-Robinson and Barr, 2021)</w:t>
      </w:r>
      <w:r w:rsidR="003E4D3B">
        <w:rPr>
          <w:color w:val="000000"/>
        </w:rPr>
        <w:fldChar w:fldCharType="end"/>
      </w:r>
      <w:r>
        <w:rPr>
          <w:color w:val="000000"/>
        </w:rPr>
        <w:t>.  The government should also provide training as well as job opportunities to the families living in two varieties so that they can earn and support their families to fulfill their needs of daily living and they will be able to survive through the crisis like covid-19. Children who are disabled and vulnerable children required special care, however, the families who lived in variety and their circumstances get worse when they were hit by the pandemic and their children were not able to find support from the social workers during that time which put a lot of pressure on the families.  Although the pandemic has both positive effects on the relationship of normal children with their parents with a moderate socioeconomic status, however, the children who have disabilities or </w:t>
      </w:r>
      <w:r w:rsidR="00CB1E0B">
        <w:rPr>
          <w:color w:val="000000"/>
        </w:rPr>
        <w:t xml:space="preserve">are </w:t>
      </w:r>
      <w:r>
        <w:rPr>
          <w:color w:val="000000"/>
        </w:rPr>
        <w:t>vulnerable have been significantly affected negatively by covid-19</w:t>
      </w:r>
      <w:r w:rsidR="003E4D3B">
        <w:rPr>
          <w:color w:val="000000"/>
        </w:rPr>
        <w:t xml:space="preserve"> </w:t>
      </w:r>
      <w:r w:rsidR="003E4D3B">
        <w:rPr>
          <w:color w:val="000000"/>
        </w:rPr>
        <w:fldChar w:fldCharType="begin" w:fldLock="1"/>
      </w:r>
      <w:r w:rsidR="003E4D3B">
        <w:rPr>
          <w:color w:val="000000"/>
        </w:rPr>
        <w:instrText>ADDIN CSL_CITATION {"citationItems":[{"id":"ITEM-1","itemData":{"DOI":"10.1111/jcv2.12005","ISSN":"2692-9384","abstract":"Background: The mental health consequences of school closure, social isolation,","author":[{"dropping-particle":"","family":"Adegboye","given":"Dolapo","non-dropping-particle":"","parse-names":false,"suffix":""},{"dropping-particle":"","family":"Williams","given":"Ffion","non-dropping-particle":"","parse-names":false,"suffix":""},{"dropping-particle":"","family":"Collishaw","given":"Stephan","non-dropping-particle":"","parse-names":false,"suffix":""},{"dropping-particle":"","family":"Shelton","given":"Katherine","non-dropping-particle":"","parse-names":false,"suffix":""},{"dropping-particle":"","family":"Langley","given":"Kate","non-dropping-particle":"","parse-names":false,"suffix":""},{"dropping-particle":"","family":"Hobson","given":"Christopher","non-dropping-particle":"","parse-names":false,"suffix":""},{"dropping-particle":"","family":"Burley","given":"Daniel","non-dropping-particle":"","parse-names":false,"suffix":""},{"dropping-particle":"","family":"Goozen","given":"Stephanie","non-dropping-particle":"van","parse-names":false,"suffix":""}],"container-title":"JCPP Advances","id":"ITEM-1","issue":"1","issued":{"date-parts":[["2021"]]},"title":"Understanding why the COVID</w:instrText>
      </w:r>
      <w:r w:rsidR="003E4D3B">
        <w:rPr>
          <w:rFonts w:ascii="Cambria Math" w:hAnsi="Cambria Math" w:cs="Cambria Math"/>
          <w:color w:val="000000"/>
        </w:rPr>
        <w:instrText>‐</w:instrText>
      </w:r>
      <w:r w:rsidR="003E4D3B">
        <w:rPr>
          <w:rFonts w:cs="Arial"/>
          <w:color w:val="000000"/>
        </w:rPr>
        <w:instrText>19 pandemic</w:instrText>
      </w:r>
      <w:r w:rsidR="003E4D3B">
        <w:rPr>
          <w:rFonts w:ascii="Cambria Math" w:hAnsi="Cambria Math" w:cs="Cambria Math"/>
          <w:color w:val="000000"/>
        </w:rPr>
        <w:instrText>‐</w:instrText>
      </w:r>
      <w:r w:rsidR="003E4D3B">
        <w:rPr>
          <w:rFonts w:cs="Arial"/>
          <w:color w:val="000000"/>
        </w:rPr>
        <w:instrText>related lockdown increases mental health difficulties in vulnerable young children","type":"article-journal","volume":"1"},"uris":["http://www.mendeley.com/documents/?uuid=0c6b9280-e981-49f3-b152-8a926</w:instrText>
      </w:r>
      <w:r w:rsidR="003E4D3B">
        <w:rPr>
          <w:color w:val="000000"/>
        </w:rPr>
        <w:instrText>e4ea0fe"]}],"mendeley":{"formattedCitation":"(Adegboye &lt;i&gt;et al.&lt;/i&gt;, 2021)","manualFormatting":"(Adegboye, 2021)","plainTextFormattedCitation":"(Adegboye et al., 2021)","previouslyFormattedCitation":"(Adegboye &lt;i&gt;et al.&lt;/i&gt;, 2021)"},"properties":{"noteIndex":0},"schema":"https://github.com/citation-style-language/schema/raw/master/csl-citation.json"}</w:instrText>
      </w:r>
      <w:r w:rsidR="003E4D3B">
        <w:rPr>
          <w:color w:val="000000"/>
        </w:rPr>
        <w:fldChar w:fldCharType="separate"/>
      </w:r>
      <w:r w:rsidR="003E4D3B">
        <w:rPr>
          <w:noProof/>
          <w:color w:val="000000"/>
        </w:rPr>
        <w:t>(Adegboye</w:t>
      </w:r>
      <w:r w:rsidR="003E4D3B" w:rsidRPr="003E4D3B">
        <w:rPr>
          <w:noProof/>
          <w:color w:val="000000"/>
        </w:rPr>
        <w:t>, 2021)</w:t>
      </w:r>
      <w:r w:rsidR="003E4D3B">
        <w:rPr>
          <w:color w:val="000000"/>
        </w:rPr>
        <w:fldChar w:fldCharType="end"/>
      </w:r>
      <w:r>
        <w:rPr>
          <w:color w:val="000000"/>
        </w:rPr>
        <w:t>.</w:t>
      </w:r>
    </w:p>
    <w:p w14:paraId="43B40021" w14:textId="77777777" w:rsidR="00644A25" w:rsidRDefault="00265503" w:rsidP="00265503">
      <w:pPr>
        <w:pStyle w:val="Heading1"/>
      </w:pPr>
      <w:bookmarkStart w:id="9" w:name="_Toc109429682"/>
      <w:r>
        <w:t xml:space="preserve">Concept of Diversity and Inclusion </w:t>
      </w:r>
      <w:r w:rsidR="00CB1E0B">
        <w:t>regarding</w:t>
      </w:r>
      <w:r>
        <w:t xml:space="preserve"> disabled Children in </w:t>
      </w:r>
      <w:r w:rsidR="00CB1E0B">
        <w:t xml:space="preserve">the </w:t>
      </w:r>
      <w:r>
        <w:t>UK:</w:t>
      </w:r>
      <w:bookmarkEnd w:id="9"/>
    </w:p>
    <w:p w14:paraId="6B75D1D2" w14:textId="77777777" w:rsidR="00B2343E" w:rsidRPr="00CB1E0B" w:rsidRDefault="00B2343E" w:rsidP="00B2343E">
      <w:r>
        <w:t xml:space="preserve">The diversity and inclusion strategy of the UK Government significantly focuses on equal treatment as well as the provision of equal opportunities to all members of the society regardless of any discrimination.  In a society, </w:t>
      </w:r>
      <w:r w:rsidR="00CB1E0B">
        <w:t>different people</w:t>
      </w:r>
      <w:r>
        <w:t xml:space="preserve"> belong to different cultures and religious backgrounds, there are vulnerable children and adults and disabled children as well in the society. They are also considered an active part and effective member of society and according to the law and rules of the UK Government; disabled people have access to all the necessary rights as human beings.  The government has provided them the rights off doing jobs, health as well as transportation</w:t>
      </w:r>
      <w:r w:rsidR="003E4D3B">
        <w:t xml:space="preserve"> </w:t>
      </w:r>
      <w:r w:rsidR="003E4D3B">
        <w:fldChar w:fldCharType="begin" w:fldLock="1"/>
      </w:r>
      <w:r w:rsidR="003E4D3B">
        <w:instrText>ADDIN CSL_CITATION {"citationItems":[{"id":"ITEM-1","itemData":{"abstract":"People with Disabilities (PWDs) defined as the world's largest minority stakeholder group, continue to face significant barriers to labor market entry and corporate inclusion. The associated social and economic costs of supporting non-working PWDs can be high and long-term. Yet, their potential contribution and impact on human capital, firm productivity and the innovative capacity of business entities is valuable but under-utilized. The employment of PWDs has institutional and managerial implications for equitable opportunities, social mobility and workplace diversity. This study assesses the quality of corporate disclosure on disability issues by firms in the United Kingdom (UK), as a stepping stone for mainstreaming integration of PWDs into labor markets under the scope of corporate social accountability. We benchmark 274 UK sustainability reports against PWDs-adapted indicators of the Global Reporting Initiative guidelines, highlighting trends pertaining to disability employment. The findings suggest corporate disclosures on the employment of PWDs are lacking. The implications for PWDs are highlighted considering firm employee and managerial policies, national and transnational regulatory frameworks, towards more meaningful reporting for better alignment between PWD expectations and firm practices. .","author":[{"dropping-particle":"","family":"Khan","given":"N.","non-dropping-particle":"","parse-names":false,"suffix":""},{"dropping-particle":"","family":"Korac","given":"Kakabadse","non-dropping-particle":"","parse-names":false,"suffix":""},{"dropping-particle":"","family":"Skouloudis","given":"Dimopoulos","non-dropping-particle":"","parse-names":false,"suffix":""}],"container-title":"Corporate Social Responsibility and Environmental Management, 26(1), 170-185.","id":"ITEM-1","issued":{"date-parts":[["2019"]]},"page":"1-38","title":"Corporate disability employment reporting: Stakeholder engagement in UK firms","type":"article-journal"},"uris":["http://www.mendeley.com/documents/?uuid=2aad3eff-9c2f-4dc6-80a6-427f842de8b6"]}],"mendeley":{"formattedCitation":"(Khan, Korac and Skouloudis, 2019)","plainTextFormattedCitation":"(Khan, Korac and Skouloudis, 2019)","previouslyFormattedCitation":"(Khan, Korac and Skouloudis, 2019)"},"properties":{"noteIndex":0},"schema":"https://github.com/citation-style-language/schema/raw/master/csl-citation.json"}</w:instrText>
      </w:r>
      <w:r w:rsidR="003E4D3B">
        <w:fldChar w:fldCharType="separate"/>
      </w:r>
      <w:r w:rsidR="003E4D3B" w:rsidRPr="003E4D3B">
        <w:rPr>
          <w:noProof/>
        </w:rPr>
        <w:t>(Khan, Korac and Skouloudis, 2019)</w:t>
      </w:r>
      <w:r w:rsidR="003E4D3B">
        <w:fldChar w:fldCharType="end"/>
      </w:r>
      <w:r>
        <w:t xml:space="preserve">.  There are several laws passed for disabled people by the UK Government to ensure that they are given equal opportunities to participate in a community and according to the diversity and inclusion strategy of the UK Government, it is not fair to discriminate </w:t>
      </w:r>
      <w:r w:rsidR="00CB1E0B">
        <w:t xml:space="preserve">against </w:t>
      </w:r>
      <w:r>
        <w:t xml:space="preserve">people regarding their background and health conditions.  It is important to stop discrimination and change the behavior of the community toward disabled people and considered them equal humans and </w:t>
      </w:r>
      <w:r w:rsidR="003E4D3B">
        <w:t>provides</w:t>
      </w:r>
      <w:r>
        <w:t xml:space="preserve"> them equal opportunities. The workplace inclusion in the UK illustrates that the people are valued and accepted in their significant teams within an organization without any discrimination and an inclusive organization support employees without any discrimination of background oral health conditions. Disabled children have the right </w:t>
      </w:r>
      <w:r w:rsidR="00CB1E0B">
        <w:t>to</w:t>
      </w:r>
      <w:r>
        <w:t xml:space="preserve"> education according to the employment act and they have the right to utilize technology in their educational institutions according to the </w:t>
      </w:r>
      <w:r>
        <w:rPr>
          <w:b/>
          <w:bCs/>
        </w:rPr>
        <w:t>Assistive technology Act 2004</w:t>
      </w:r>
      <w:r w:rsidR="003E4D3B">
        <w:rPr>
          <w:b/>
          <w:bCs/>
        </w:rPr>
        <w:t xml:space="preserve"> </w:t>
      </w:r>
      <w:r w:rsidR="003E4D3B">
        <w:rPr>
          <w:b/>
          <w:bCs/>
        </w:rPr>
        <w:fldChar w:fldCharType="begin" w:fldLock="1"/>
      </w:r>
      <w:r w:rsidR="003E4D3B">
        <w:rPr>
          <w:b/>
          <w:bCs/>
        </w:rPr>
        <w:instrText>ADDIN CSL_CITATION {"citationItems":[{"id":"ITEM-1","itemData":{"DOI":"10.1080/13603116.2018.1503347","ISSN":"14645173","abstract":"The study focuses on the importance of inclusive curriculum design in Higher Education (HE) and the impact of reasonable adjustments in ensuring inclusive practices. Although making reasonable adjustments attempts to ensure inclusivity, the data gathered suggests that some staff struggle to accommodate disabled students, due to a lack of knowledge, training and awareness of disability. The findings are drawn from qualitative data collected from five participants by way of in-depth interviews. The study explored the perceptions of staff members in a Law School, and attempts to offer practical recommendations to ensure HE institutions adopt inclusive practices in their curriculum design. The findings suggest that having an inclusive curriculum can in some cases minimise or obviate the need to make reasonable adjustments. It is suggested that HE institutions should now switch their focus to the social model of disability which focuses on attitudes, so as to transform the perception of staff towards disabled students. Additionally, practical solutions are provided in an attempt to recognise that disabled students may need to be treated differently, in order to achieve their full potential, which ultimately ensures inclusion within the curriculum.","author":[{"dropping-particle":"","family":"Bunbury","given":"Stephen","non-dropping-particle":"","parse-names":false,"suffix":""}],"container-title":"International Journal of Inclusive Education","id":"ITEM-1","issue":"9","issued":{"date-parts":[["2020"]]},"page":"964-979","publisher":"Taylor &amp; Francis","title":"Disability in higher education–do reasonable adjustments contribute to an inclusive curriculum?","type":"article-journal","volume":"24"},"uris":["http://www.mendeley.com/documents/?uuid=0a443b50-8f36-4c86-adeb-302de42ceaad"]}],"mendeley":{"formattedCitation":"(Bunbury, 2020)","plainTextFormattedCitation":"(Bunbury, 2020)","previouslyFormattedCitation":"(Bunbury, 2020)"},"properties":{"noteIndex":0},"schema":"https://github.com/citation-style-language/schema/raw/master/csl-citation.json"}</w:instrText>
      </w:r>
      <w:r w:rsidR="003E4D3B">
        <w:rPr>
          <w:b/>
          <w:bCs/>
        </w:rPr>
        <w:fldChar w:fldCharType="separate"/>
      </w:r>
      <w:r w:rsidR="003E4D3B" w:rsidRPr="003E4D3B">
        <w:rPr>
          <w:bCs/>
          <w:noProof/>
        </w:rPr>
        <w:t>(Bunbury, 2020)</w:t>
      </w:r>
      <w:r w:rsidR="003E4D3B">
        <w:rPr>
          <w:b/>
          <w:bCs/>
        </w:rPr>
        <w:fldChar w:fldCharType="end"/>
      </w:r>
      <w:r>
        <w:rPr>
          <w:b/>
          <w:bCs/>
        </w:rPr>
        <w:t>.</w:t>
      </w:r>
      <w:r>
        <w:t xml:space="preserve"> Moreover, the UK government has provided civic and educational rights. Disabled children have the right to use transportation according to the </w:t>
      </w:r>
      <w:r>
        <w:rPr>
          <w:b/>
          <w:bCs/>
        </w:rPr>
        <w:t>Over the Road Bus Transportation Accessibility Act. </w:t>
      </w:r>
      <w:r w:rsidR="00CB1E0B">
        <w:rPr>
          <w:bCs/>
        </w:rPr>
        <w:t>Moreover, disabled children are given equal education opportunities</w:t>
      </w:r>
      <w:r w:rsidR="003E4D3B">
        <w:rPr>
          <w:bCs/>
        </w:rPr>
        <w:t xml:space="preserve"> </w:t>
      </w:r>
      <w:r w:rsidR="003E4D3B">
        <w:rPr>
          <w:bCs/>
        </w:rPr>
        <w:fldChar w:fldCharType="begin" w:fldLock="1"/>
      </w:r>
      <w:r w:rsidR="003E4D3B">
        <w:rPr>
          <w:bCs/>
        </w:rPr>
        <w:instrText>ADDIN CSL_CITATION {"citationItems":[{"id":"ITEM-1","itemData":{"DOI":"10.1177/1468017307084734","ISBN":"9789813236493","ISSN":"1468-0173","abstract":"Copied in capital cities around the world in 2011, the Occupy Wall Street Movement reflected the rising concern among the youth about the global pattern of economic growth perceived as benefitting mainly the already affluent 1%. In many countries, including the Philippines, inclusive growth has become the mantra for leaders increasingly convinced that economic progress cannot be sustainable without the more equitable sharing of economic gains.","author":[{"dropping-particle":"","family":"Jesus","given":"Edilberto","non-dropping-particle":"De","parse-names":false,"suffix":""}],"container-title":"Building Inclusive Democracies in ASEAN","id":"ITEM-1","issue":"April","issued":{"date-parts":[["2018"]]},"page":"356-371","title":"Inclusive education","type":"article-journal"},"uris":["http://www.mendeley.com/documents/?uuid=c64d679d-5c64-4753-b99d-17108b6408be"]}],"mendeley":{"formattedCitation":"(De Jesus, 2018)","plainTextFormattedCitation":"(De Jesus, 2018)","previouslyFormattedCitation":"(De Jesus, 2018)"},"properties":{"noteIndex":0},"schema":"https://github.com/citation-style-language/schema/raw/master/csl-citation.json"}</w:instrText>
      </w:r>
      <w:r w:rsidR="003E4D3B">
        <w:rPr>
          <w:bCs/>
        </w:rPr>
        <w:fldChar w:fldCharType="separate"/>
      </w:r>
      <w:r w:rsidR="003E4D3B" w:rsidRPr="003E4D3B">
        <w:rPr>
          <w:bCs/>
          <w:noProof/>
        </w:rPr>
        <w:t>(De Jesus, 2018)</w:t>
      </w:r>
      <w:r w:rsidR="003E4D3B">
        <w:rPr>
          <w:bCs/>
        </w:rPr>
        <w:fldChar w:fldCharType="end"/>
      </w:r>
      <w:r w:rsidR="00CB1E0B">
        <w:rPr>
          <w:bCs/>
        </w:rPr>
        <w:t xml:space="preserve">. </w:t>
      </w:r>
    </w:p>
    <w:p w14:paraId="21FF4B58" w14:textId="77777777" w:rsidR="00265503" w:rsidRPr="00265503" w:rsidRDefault="00265503" w:rsidP="00265503"/>
    <w:p w14:paraId="59FA31BB" w14:textId="77777777" w:rsidR="00644A25" w:rsidRDefault="00644A25">
      <w:pPr>
        <w:spacing w:line="259" w:lineRule="auto"/>
        <w:jc w:val="left"/>
      </w:pPr>
      <w:r>
        <w:br w:type="page"/>
      </w:r>
    </w:p>
    <w:p w14:paraId="6E52A6B3" w14:textId="77777777" w:rsidR="00644A25" w:rsidRDefault="000A2C93" w:rsidP="000A2C93">
      <w:pPr>
        <w:pStyle w:val="Heading1"/>
      </w:pPr>
      <w:bookmarkStart w:id="10" w:name="_Toc109429683"/>
      <w:r>
        <w:t>Reference:</w:t>
      </w:r>
      <w:bookmarkEnd w:id="10"/>
    </w:p>
    <w:p w14:paraId="73D22413" w14:textId="77777777" w:rsidR="000A2C93" w:rsidRPr="000A2C93" w:rsidRDefault="000A2C93" w:rsidP="000A2C93">
      <w:pPr>
        <w:widowControl w:val="0"/>
        <w:autoSpaceDE w:val="0"/>
        <w:autoSpaceDN w:val="0"/>
        <w:adjustRightInd w:val="0"/>
        <w:rPr>
          <w:rFonts w:cs="Arial"/>
          <w:noProof/>
          <w:szCs w:val="24"/>
        </w:rPr>
      </w:pPr>
      <w:r>
        <w:fldChar w:fldCharType="begin" w:fldLock="1"/>
      </w:r>
      <w:r>
        <w:instrText xml:space="preserve">ADDIN Mendeley Bibliography CSL_BIBLIOGRAPHY </w:instrText>
      </w:r>
      <w:r>
        <w:fldChar w:fldCharType="separate"/>
      </w:r>
      <w:r w:rsidRPr="000A2C93">
        <w:rPr>
          <w:rFonts w:cs="Arial"/>
          <w:noProof/>
          <w:szCs w:val="24"/>
        </w:rPr>
        <w:t xml:space="preserve">Adegboye, D. </w:t>
      </w:r>
      <w:r w:rsidRPr="000A2C93">
        <w:rPr>
          <w:rFonts w:cs="Arial"/>
          <w:i/>
          <w:iCs/>
          <w:noProof/>
          <w:szCs w:val="24"/>
        </w:rPr>
        <w:t>et al.</w:t>
      </w:r>
      <w:r w:rsidRPr="000A2C93">
        <w:rPr>
          <w:rFonts w:cs="Arial"/>
          <w:noProof/>
          <w:szCs w:val="24"/>
        </w:rPr>
        <w:t xml:space="preserve"> (2021) ‘Understanding why the COVID‐19 pandemic‐related lockdown increases mental health difficulties in vulnerable young children’, </w:t>
      </w:r>
      <w:r w:rsidRPr="000A2C93">
        <w:rPr>
          <w:rFonts w:cs="Arial"/>
          <w:i/>
          <w:iCs/>
          <w:noProof/>
          <w:szCs w:val="24"/>
        </w:rPr>
        <w:t>JCPP Advances</w:t>
      </w:r>
      <w:r w:rsidRPr="000A2C93">
        <w:rPr>
          <w:rFonts w:cs="Arial"/>
          <w:noProof/>
          <w:szCs w:val="24"/>
        </w:rPr>
        <w:t>, 1(1). doi: 10.1111/jcv2.12005.</w:t>
      </w:r>
    </w:p>
    <w:p w14:paraId="5FBEE144"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Alexandre-Bailly, F. (2011) ‘Diversity management in the UK. Organizational and stakeholder experiences’, </w:t>
      </w:r>
      <w:r w:rsidRPr="000A2C93">
        <w:rPr>
          <w:rFonts w:cs="Arial"/>
          <w:i/>
          <w:iCs/>
          <w:noProof/>
          <w:szCs w:val="24"/>
        </w:rPr>
        <w:t>European Management Journal</w:t>
      </w:r>
      <w:r w:rsidRPr="000A2C93">
        <w:rPr>
          <w:rFonts w:cs="Arial"/>
          <w:noProof/>
          <w:szCs w:val="24"/>
        </w:rPr>
        <w:t>, 29(1), pp. 79–80. doi: 10.1016/j.emj.2010.10.001.</w:t>
      </w:r>
    </w:p>
    <w:p w14:paraId="38D4CAFD"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Bunbury, S. (2020) ‘Disability in higher education–do reasonable adjustments contribute to an inclusive curriculum?’, </w:t>
      </w:r>
      <w:r w:rsidRPr="000A2C93">
        <w:rPr>
          <w:rFonts w:cs="Arial"/>
          <w:i/>
          <w:iCs/>
          <w:noProof/>
          <w:szCs w:val="24"/>
        </w:rPr>
        <w:t>International Journal of Inclusive Education</w:t>
      </w:r>
      <w:r w:rsidRPr="000A2C93">
        <w:rPr>
          <w:rFonts w:cs="Arial"/>
          <w:noProof/>
          <w:szCs w:val="24"/>
        </w:rPr>
        <w:t>, 24(9), pp. 964–979. doi: 10.1080/13603116.2018.1503347.</w:t>
      </w:r>
    </w:p>
    <w:p w14:paraId="567C2B38"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Butler, L. and Manthorpe, J. (2016) ‘Putting people at the centre: Facilitating Making Safeguarding Personal approaches in the context of the Care Act 2014’, </w:t>
      </w:r>
      <w:r w:rsidRPr="000A2C93">
        <w:rPr>
          <w:rFonts w:cs="Arial"/>
          <w:i/>
          <w:iCs/>
          <w:noProof/>
          <w:szCs w:val="24"/>
        </w:rPr>
        <w:t>Journal of Adult Protection</w:t>
      </w:r>
      <w:r w:rsidRPr="000A2C93">
        <w:rPr>
          <w:rFonts w:cs="Arial"/>
          <w:noProof/>
          <w:szCs w:val="24"/>
        </w:rPr>
        <w:t>, 18(4), pp. 204–213. doi: 10.1108/JAP-03-2016-0003.</w:t>
      </w:r>
    </w:p>
    <w:p w14:paraId="7492DEFA"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Devaney, J. and Spratt, T. (2009) ‘Child abuse as a complex and wicked problem: Reflecting on policy developments in the United Kingdom in working with children and families with multiple problems’, </w:t>
      </w:r>
      <w:r w:rsidRPr="000A2C93">
        <w:rPr>
          <w:rFonts w:cs="Arial"/>
          <w:i/>
          <w:iCs/>
          <w:noProof/>
          <w:szCs w:val="24"/>
        </w:rPr>
        <w:t>Children and Youth Services Review</w:t>
      </w:r>
      <w:r w:rsidRPr="000A2C93">
        <w:rPr>
          <w:rFonts w:cs="Arial"/>
          <w:noProof/>
          <w:szCs w:val="24"/>
        </w:rPr>
        <w:t>, 31(6), pp. 635–641. doi: 10.1016/j.childyouth.2008.12.003.</w:t>
      </w:r>
    </w:p>
    <w:p w14:paraId="418122A4"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Gilbert, R. </w:t>
      </w:r>
      <w:r w:rsidRPr="000A2C93">
        <w:rPr>
          <w:rFonts w:cs="Arial"/>
          <w:i/>
          <w:iCs/>
          <w:noProof/>
          <w:szCs w:val="24"/>
        </w:rPr>
        <w:t>et al.</w:t>
      </w:r>
      <w:r w:rsidRPr="000A2C93">
        <w:rPr>
          <w:rFonts w:cs="Arial"/>
          <w:noProof/>
          <w:szCs w:val="24"/>
        </w:rPr>
        <w:t xml:space="preserve"> (2012) ‘Child maltreatment: Variation in trends and policies in six developed countries’, </w:t>
      </w:r>
      <w:r w:rsidRPr="000A2C93">
        <w:rPr>
          <w:rFonts w:cs="Arial"/>
          <w:i/>
          <w:iCs/>
          <w:noProof/>
          <w:szCs w:val="24"/>
        </w:rPr>
        <w:t>The Lancet</w:t>
      </w:r>
      <w:r w:rsidRPr="000A2C93">
        <w:rPr>
          <w:rFonts w:cs="Arial"/>
          <w:noProof/>
          <w:szCs w:val="24"/>
        </w:rPr>
        <w:t>, 379(9817), pp. 758–772. doi: 10.1016/S0140-6736(11)61087-8.</w:t>
      </w:r>
    </w:p>
    <w:p w14:paraId="121AD74E"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Holt, L. and Murray, L. (2021) ‘Children and Covid 19 in the UK’, </w:t>
      </w:r>
      <w:r w:rsidRPr="000A2C93">
        <w:rPr>
          <w:rFonts w:cs="Arial"/>
          <w:i/>
          <w:iCs/>
          <w:noProof/>
          <w:szCs w:val="24"/>
        </w:rPr>
        <w:t>Children’s Geographies</w:t>
      </w:r>
      <w:r w:rsidRPr="000A2C93">
        <w:rPr>
          <w:rFonts w:cs="Arial"/>
          <w:noProof/>
          <w:szCs w:val="24"/>
        </w:rPr>
        <w:t>, 0(0), pp. 1–8. doi: 10.1080/14733285.2021.1921699.</w:t>
      </w:r>
    </w:p>
    <w:p w14:paraId="2AC28A21"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De Jesus, E. (2018) ‘Inclusive education’, </w:t>
      </w:r>
      <w:r w:rsidRPr="000A2C93">
        <w:rPr>
          <w:rFonts w:cs="Arial"/>
          <w:i/>
          <w:iCs/>
          <w:noProof/>
          <w:szCs w:val="24"/>
        </w:rPr>
        <w:t>Building Inclusive Democracies in ASEAN</w:t>
      </w:r>
      <w:r w:rsidRPr="000A2C93">
        <w:rPr>
          <w:rFonts w:cs="Arial"/>
          <w:noProof/>
          <w:szCs w:val="24"/>
        </w:rPr>
        <w:t>, (April), pp. 356–371. doi: 10.1177/1468017307084734.</w:t>
      </w:r>
    </w:p>
    <w:p w14:paraId="0439CFB6"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Khan, N., Korac, K. and Skouloudis, D. (2019) ‘Corporate disability employment reporting: Stakeholder engagement in UK firms’, </w:t>
      </w:r>
      <w:r w:rsidRPr="000A2C93">
        <w:rPr>
          <w:rFonts w:cs="Arial"/>
          <w:i/>
          <w:iCs/>
          <w:noProof/>
          <w:szCs w:val="24"/>
        </w:rPr>
        <w:t>Corporate Social Responsibility and Environmental Management, 26(1), 170-185.</w:t>
      </w:r>
      <w:r w:rsidRPr="000A2C93">
        <w:rPr>
          <w:rFonts w:cs="Arial"/>
          <w:noProof/>
          <w:szCs w:val="24"/>
        </w:rPr>
        <w:t>, pp. 1–38.</w:t>
      </w:r>
    </w:p>
    <w:p w14:paraId="38E223AD"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McAlinden, A. M. (2014) ‘Deconstructing victim and offender Identites in discourses on child sexual abuse’, </w:t>
      </w:r>
      <w:r w:rsidRPr="000A2C93">
        <w:rPr>
          <w:rFonts w:cs="Arial"/>
          <w:i/>
          <w:iCs/>
          <w:noProof/>
          <w:szCs w:val="24"/>
        </w:rPr>
        <w:t>British Journal of Criminology</w:t>
      </w:r>
      <w:r w:rsidRPr="000A2C93">
        <w:rPr>
          <w:rFonts w:cs="Arial"/>
          <w:noProof/>
          <w:szCs w:val="24"/>
        </w:rPr>
        <w:t>, 54(2), pp. 180–198. doi: 10.1093/bjc/azt070.</w:t>
      </w:r>
    </w:p>
    <w:p w14:paraId="567F8448"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Mitchell, J. (2015) ‘Safeguarding Policy’, </w:t>
      </w:r>
      <w:r w:rsidRPr="000A2C93">
        <w:rPr>
          <w:rFonts w:cs="Arial"/>
          <w:i/>
          <w:iCs/>
          <w:noProof/>
          <w:szCs w:val="24"/>
        </w:rPr>
        <w:t>South East Coast Ambulance Service NHS Foundation Trust</w:t>
      </w:r>
      <w:r w:rsidRPr="000A2C93">
        <w:rPr>
          <w:rFonts w:cs="Arial"/>
          <w:noProof/>
          <w:szCs w:val="24"/>
        </w:rPr>
        <w:t>, V4.00(May), pp. 1–23.</w:t>
      </w:r>
    </w:p>
    <w:p w14:paraId="75028F3A"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Naylor, B. (2001) ‘Reporting Violence in the British Print Media: Gendered Stories’, </w:t>
      </w:r>
      <w:r w:rsidRPr="000A2C93">
        <w:rPr>
          <w:rFonts w:cs="Arial"/>
          <w:i/>
          <w:iCs/>
          <w:noProof/>
          <w:szCs w:val="24"/>
        </w:rPr>
        <w:t>The Howard Journal of Criminal Justice</w:t>
      </w:r>
      <w:r w:rsidRPr="000A2C93">
        <w:rPr>
          <w:rFonts w:cs="Arial"/>
          <w:noProof/>
          <w:szCs w:val="24"/>
        </w:rPr>
        <w:t>, 40(2), pp. 180–194. doi: 10.1111/1468-2311.00200.</w:t>
      </w:r>
    </w:p>
    <w:p w14:paraId="7E3D9270"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Reading, R. </w:t>
      </w:r>
      <w:r w:rsidRPr="000A2C93">
        <w:rPr>
          <w:rFonts w:cs="Arial"/>
          <w:i/>
          <w:iCs/>
          <w:noProof/>
          <w:szCs w:val="24"/>
        </w:rPr>
        <w:t>et al.</w:t>
      </w:r>
      <w:r w:rsidRPr="000A2C93">
        <w:rPr>
          <w:rFonts w:cs="Arial"/>
          <w:noProof/>
          <w:szCs w:val="24"/>
        </w:rPr>
        <w:t xml:space="preserve"> (2009) ‘Promotion of children’s rights and prevention of child maltreatment’, </w:t>
      </w:r>
      <w:r w:rsidRPr="000A2C93">
        <w:rPr>
          <w:rFonts w:cs="Arial"/>
          <w:i/>
          <w:iCs/>
          <w:noProof/>
          <w:szCs w:val="24"/>
        </w:rPr>
        <w:t>The Lancet</w:t>
      </w:r>
      <w:r w:rsidRPr="000A2C93">
        <w:rPr>
          <w:rFonts w:cs="Arial"/>
          <w:noProof/>
          <w:szCs w:val="24"/>
        </w:rPr>
        <w:t>, 373(9660), pp. 332–343. doi: 10.1016/S0140-6736(08)61709-2.</w:t>
      </w:r>
    </w:p>
    <w:p w14:paraId="1B27C1F5" w14:textId="77777777" w:rsidR="000A2C93" w:rsidRPr="000A2C93" w:rsidRDefault="000A2C93" w:rsidP="000A2C93">
      <w:pPr>
        <w:widowControl w:val="0"/>
        <w:autoSpaceDE w:val="0"/>
        <w:autoSpaceDN w:val="0"/>
        <w:adjustRightInd w:val="0"/>
        <w:rPr>
          <w:rFonts w:cs="Arial"/>
          <w:noProof/>
          <w:szCs w:val="24"/>
        </w:rPr>
      </w:pPr>
      <w:r w:rsidRPr="000A2C93">
        <w:rPr>
          <w:rFonts w:cs="Arial"/>
          <w:noProof/>
          <w:szCs w:val="24"/>
        </w:rPr>
        <w:t xml:space="preserve">Sinha, I., Bennett, D. and Taylor-Robinson, D. C. (2020) ‘Children are being sidelined by covid-19’, </w:t>
      </w:r>
      <w:r w:rsidRPr="000A2C93">
        <w:rPr>
          <w:rFonts w:cs="Arial"/>
          <w:i/>
          <w:iCs/>
          <w:noProof/>
          <w:szCs w:val="24"/>
        </w:rPr>
        <w:t>The BMJ</w:t>
      </w:r>
      <w:r w:rsidRPr="000A2C93">
        <w:rPr>
          <w:rFonts w:cs="Arial"/>
          <w:noProof/>
          <w:szCs w:val="24"/>
        </w:rPr>
        <w:t>, 369(May), pp. 1–2. doi: 10.1136/bmj.m2061.</w:t>
      </w:r>
    </w:p>
    <w:p w14:paraId="5F48A3CD" w14:textId="77777777" w:rsidR="000A2C93" w:rsidRPr="000A2C93" w:rsidRDefault="000A2C93" w:rsidP="000A2C93">
      <w:pPr>
        <w:widowControl w:val="0"/>
        <w:autoSpaceDE w:val="0"/>
        <w:autoSpaceDN w:val="0"/>
        <w:adjustRightInd w:val="0"/>
        <w:rPr>
          <w:rFonts w:cs="Arial"/>
          <w:noProof/>
        </w:rPr>
      </w:pPr>
      <w:r w:rsidRPr="000A2C93">
        <w:rPr>
          <w:rFonts w:cs="Arial"/>
          <w:noProof/>
          <w:szCs w:val="24"/>
        </w:rPr>
        <w:t xml:space="preserve">Whitehead, M., Taylor-Robinson, D. and Barr, B. (2021) ‘Poverty, health, and covid-19’, </w:t>
      </w:r>
      <w:r w:rsidRPr="000A2C93">
        <w:rPr>
          <w:rFonts w:cs="Arial"/>
          <w:i/>
          <w:iCs/>
          <w:noProof/>
          <w:szCs w:val="24"/>
        </w:rPr>
        <w:t>The BMJ</w:t>
      </w:r>
      <w:r w:rsidRPr="000A2C93">
        <w:rPr>
          <w:rFonts w:cs="Arial"/>
          <w:noProof/>
          <w:szCs w:val="24"/>
        </w:rPr>
        <w:t>, 372, pp. 1–2. doi: 10.1136/bmj.n376.</w:t>
      </w:r>
    </w:p>
    <w:p w14:paraId="00C0DA79" w14:textId="77777777" w:rsidR="000A2C93" w:rsidRPr="000A2C93" w:rsidRDefault="000A2C93" w:rsidP="000A2C93">
      <w:r>
        <w:fldChar w:fldCharType="end"/>
      </w:r>
    </w:p>
    <w:sectPr w:rsidR="000A2C93" w:rsidRPr="000A2C93" w:rsidSect="00BF18D3">
      <w:pgSz w:w="12240" w:h="15840"/>
      <w:pgMar w:top="1440" w:right="1440" w:bottom="1440" w:left="1440" w:header="720" w:footer="720" w:gutter="0"/>
      <w:pgBorders w:offsetFrom="page">
        <w:top w:val="thinThickThinLargeGap" w:sz="18" w:space="24" w:color="2F5496" w:themeColor="accent5" w:themeShade="BF"/>
        <w:left w:val="thinThickThinLargeGap" w:sz="18" w:space="24" w:color="2F5496" w:themeColor="accent5" w:themeShade="BF"/>
        <w:bottom w:val="thinThickThinLargeGap" w:sz="18" w:space="24" w:color="2F5496" w:themeColor="accent5" w:themeShade="BF"/>
        <w:right w:val="thinThickThinLargeGap" w:sz="18" w:space="24" w:color="2F5496" w:themeColor="accent5" w:themeShade="BF"/>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8A7C2" w14:textId="77777777" w:rsidR="000C46E1" w:rsidRDefault="000C46E1" w:rsidP="00BF18D3">
      <w:pPr>
        <w:spacing w:after="0" w:line="240" w:lineRule="auto"/>
      </w:pPr>
      <w:r>
        <w:separator/>
      </w:r>
    </w:p>
  </w:endnote>
  <w:endnote w:type="continuationSeparator" w:id="0">
    <w:p w14:paraId="5A34D73A" w14:textId="77777777" w:rsidR="000C46E1" w:rsidRDefault="000C46E1" w:rsidP="00BF1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61325"/>
      <w:docPartObj>
        <w:docPartGallery w:val="Page Numbers (Bottom of Page)"/>
        <w:docPartUnique/>
      </w:docPartObj>
    </w:sdtPr>
    <w:sdtEndPr>
      <w:rPr>
        <w:color w:val="7F7F7F" w:themeColor="background1" w:themeShade="7F"/>
        <w:spacing w:val="60"/>
      </w:rPr>
    </w:sdtEndPr>
    <w:sdtContent>
      <w:p w14:paraId="0FAE7D99" w14:textId="77777777" w:rsidR="00BF18D3" w:rsidRDefault="000C46E1">
        <w:pPr>
          <w:pStyle w:val="Footer"/>
          <w:pBdr>
            <w:top w:val="single" w:sz="4" w:space="1" w:color="D9D9D9" w:themeColor="background1" w:themeShade="D9"/>
          </w:pBdr>
          <w:rPr>
            <w:b/>
          </w:rPr>
        </w:pPr>
        <w:r>
          <w:fldChar w:fldCharType="begin"/>
        </w:r>
        <w:r>
          <w:instrText xml:space="preserve"> PAGE   \* MERGEFORMAT </w:instrText>
        </w:r>
        <w:r>
          <w:fldChar w:fldCharType="separate"/>
        </w:r>
        <w:r w:rsidR="000A2C93" w:rsidRPr="000A2C93">
          <w:rPr>
            <w:b/>
            <w:noProof/>
          </w:rPr>
          <w:t>2</w:t>
        </w:r>
        <w:r>
          <w:rPr>
            <w:b/>
            <w:noProof/>
          </w:rPr>
          <w:fldChar w:fldCharType="end"/>
        </w:r>
        <w:r w:rsidR="00BF18D3">
          <w:rPr>
            <w:b/>
          </w:rPr>
          <w:t xml:space="preserve"> | </w:t>
        </w:r>
        <w:r w:rsidR="00BF18D3">
          <w:rPr>
            <w:color w:val="7F7F7F" w:themeColor="background1" w:themeShade="7F"/>
            <w:spacing w:val="60"/>
          </w:rPr>
          <w:t>Page</w:t>
        </w:r>
      </w:p>
    </w:sdtContent>
  </w:sdt>
  <w:p w14:paraId="34151ED0" w14:textId="77777777" w:rsidR="00BF18D3" w:rsidRDefault="00BF1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6ED7D" w14:textId="77777777" w:rsidR="000C46E1" w:rsidRDefault="000C46E1" w:rsidP="00BF18D3">
      <w:pPr>
        <w:spacing w:after="0" w:line="240" w:lineRule="auto"/>
      </w:pPr>
      <w:r>
        <w:separator/>
      </w:r>
    </w:p>
  </w:footnote>
  <w:footnote w:type="continuationSeparator" w:id="0">
    <w:p w14:paraId="6AB1C762" w14:textId="77777777" w:rsidR="000C46E1" w:rsidRDefault="000C46E1" w:rsidP="00BF1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id w:val="69161384"/>
      <w:dataBinding w:prefixMappings="xmlns:ns0='http://schemas.openxmlformats.org/package/2006/metadata/core-properties' xmlns:ns1='http://purl.org/dc/elements/1.1/'" w:xpath="/ns0:coreProperties[1]/ns1:title[1]" w:storeItemID="{6C3C8BC8-F283-45AE-878A-BAB7291924A1}"/>
      <w:text/>
    </w:sdtPr>
    <w:sdtEndPr/>
    <w:sdtContent>
      <w:p w14:paraId="492EFAD4" w14:textId="77777777" w:rsidR="00BF18D3" w:rsidRDefault="00BF18D3">
        <w:pPr>
          <w:pStyle w:val="Header"/>
          <w:pBdr>
            <w:between w:val="single" w:sz="4" w:space="1" w:color="5B9BD5" w:themeColor="accent1"/>
          </w:pBdr>
          <w:spacing w:line="276" w:lineRule="auto"/>
          <w:jc w:val="center"/>
        </w:pPr>
        <w:r>
          <w:t>Children, Young People and Families</w:t>
        </w:r>
      </w:p>
    </w:sdtContent>
  </w:sdt>
  <w:sdt>
    <w:sdtPr>
      <w:alias w:val="Date"/>
      <w:id w:val="69161385"/>
      <w:dataBinding w:prefixMappings="xmlns:ns0='http://schemas.microsoft.com/office/2006/coverPageProps'" w:xpath="/ns0:CoverPageProperties[1]/ns0:PublishDate[1]" w:storeItemID="{55AF091B-3C7A-41E3-B477-F2FDAA23CFDA}"/>
      <w:date w:fullDate="2022-07-25T00:00:00Z">
        <w:dateFormat w:val="MMMM d, yyyy"/>
        <w:lid w:val="en-US"/>
        <w:storeMappedDataAs w:val="dateTime"/>
        <w:calendar w:val="gregorian"/>
      </w:date>
    </w:sdtPr>
    <w:sdtEndPr/>
    <w:sdtContent>
      <w:p w14:paraId="2A59610C" w14:textId="678E7C74" w:rsidR="00BF18D3" w:rsidRDefault="0090754E">
        <w:pPr>
          <w:pStyle w:val="Header"/>
          <w:pBdr>
            <w:between w:val="single" w:sz="4" w:space="1" w:color="5B9BD5" w:themeColor="accent1"/>
          </w:pBdr>
          <w:spacing w:line="276" w:lineRule="auto"/>
          <w:jc w:val="center"/>
        </w:pPr>
        <w:r>
          <w:t>July 25, 2022</w:t>
        </w:r>
      </w:p>
    </w:sdtContent>
  </w:sdt>
  <w:p w14:paraId="41ECCE85" w14:textId="77777777" w:rsidR="00BF18D3" w:rsidRDefault="00BF18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id w:val="77547040"/>
      <w:dataBinding w:prefixMappings="xmlns:ns0='http://schemas.openxmlformats.org/package/2006/metadata/core-properties' xmlns:ns1='http://purl.org/dc/elements/1.1/'" w:xpath="/ns0:coreProperties[1]/ns1:title[1]" w:storeItemID="{6C3C8BC8-F283-45AE-878A-BAB7291924A1}"/>
      <w:text/>
    </w:sdtPr>
    <w:sdtEndPr/>
    <w:sdtContent>
      <w:p w14:paraId="1AB26D19" w14:textId="77777777" w:rsidR="00BF18D3" w:rsidRDefault="00BF18D3">
        <w:pPr>
          <w:pStyle w:val="Header"/>
          <w:pBdr>
            <w:between w:val="single" w:sz="4" w:space="1" w:color="5B9BD5" w:themeColor="accent1"/>
          </w:pBdr>
          <w:spacing w:line="276" w:lineRule="auto"/>
          <w:jc w:val="center"/>
        </w:pPr>
        <w:r>
          <w:t>Children, Young People and Families</w:t>
        </w:r>
      </w:p>
    </w:sdtContent>
  </w:sdt>
  <w:sdt>
    <w:sdtPr>
      <w:alias w:val="Date"/>
      <w:id w:val="77547044"/>
      <w:dataBinding w:prefixMappings="xmlns:ns0='http://schemas.microsoft.com/office/2006/coverPageProps'" w:xpath="/ns0:CoverPageProperties[1]/ns0:PublishDate[1]" w:storeItemID="{55AF091B-3C7A-41E3-B477-F2FDAA23CFDA}"/>
      <w:date w:fullDate="2022-07-25T00:00:00Z">
        <w:dateFormat w:val="MMMM d, yyyy"/>
        <w:lid w:val="en-US"/>
        <w:storeMappedDataAs w:val="dateTime"/>
        <w:calendar w:val="gregorian"/>
      </w:date>
    </w:sdtPr>
    <w:sdtEndPr/>
    <w:sdtContent>
      <w:p w14:paraId="4A100BA2" w14:textId="7C0F7828" w:rsidR="00BF18D3" w:rsidRDefault="0090754E">
        <w:pPr>
          <w:pStyle w:val="Header"/>
          <w:pBdr>
            <w:between w:val="single" w:sz="4" w:space="1" w:color="5B9BD5" w:themeColor="accent1"/>
          </w:pBdr>
          <w:spacing w:line="276" w:lineRule="auto"/>
          <w:jc w:val="center"/>
        </w:pPr>
        <w:r>
          <w:t>July 25, 2022</w:t>
        </w:r>
      </w:p>
    </w:sdtContent>
  </w:sdt>
  <w:p w14:paraId="649B1E7D" w14:textId="77777777" w:rsidR="00BF18D3" w:rsidRDefault="00BF18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5pt;height:11.55pt" o:bullet="t">
        <v:imagedata r:id="rId1" o:title="mso8906"/>
      </v:shape>
    </w:pict>
  </w:numPicBullet>
  <w:abstractNum w:abstractNumId="0" w15:restartNumberingAfterBreak="0">
    <w:nsid w:val="0F253E8A"/>
    <w:multiLevelType w:val="hybridMultilevel"/>
    <w:tmpl w:val="E94C922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316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0N7E0MzMxMLA0tzBT0lEKTi0uzszPAykwrQUApdDO5SwAAAA="/>
  </w:docVars>
  <w:rsids>
    <w:rsidRoot w:val="00644A25"/>
    <w:rsid w:val="0000098C"/>
    <w:rsid w:val="000A2C93"/>
    <w:rsid w:val="000C46E1"/>
    <w:rsid w:val="002402B1"/>
    <w:rsid w:val="00265503"/>
    <w:rsid w:val="002D6A8B"/>
    <w:rsid w:val="00302A40"/>
    <w:rsid w:val="00360B06"/>
    <w:rsid w:val="003E4D3B"/>
    <w:rsid w:val="00520714"/>
    <w:rsid w:val="005B06E9"/>
    <w:rsid w:val="005B6B70"/>
    <w:rsid w:val="005D2F39"/>
    <w:rsid w:val="00644A25"/>
    <w:rsid w:val="007E6C91"/>
    <w:rsid w:val="00884A83"/>
    <w:rsid w:val="0090754E"/>
    <w:rsid w:val="00974EB5"/>
    <w:rsid w:val="00984060"/>
    <w:rsid w:val="009C3655"/>
    <w:rsid w:val="00B2343E"/>
    <w:rsid w:val="00BF18D3"/>
    <w:rsid w:val="00CA5155"/>
    <w:rsid w:val="00CB1E0B"/>
    <w:rsid w:val="00CC73AC"/>
    <w:rsid w:val="00E2453A"/>
    <w:rsid w:val="00E305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3D9D35"/>
  <w15:docId w15:val="{AAAAF714-0A91-4697-ADA4-01BFCECE1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25"/>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644A25"/>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44A25"/>
    <w:pPr>
      <w:keepNext/>
      <w:keepLines/>
      <w:spacing w:before="200" w:after="0"/>
      <w:jc w:val="left"/>
      <w:outlineLvl w:val="1"/>
    </w:pPr>
    <w:rPr>
      <w:rFonts w:eastAsiaTheme="majorEastAsia" w:cstheme="majorBidi"/>
      <w:b/>
      <w:bCs/>
      <w:color w:val="2F5496"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A25"/>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644A25"/>
    <w:rPr>
      <w:rFonts w:ascii="Arial" w:eastAsiaTheme="majorEastAsia" w:hAnsi="Arial" w:cstheme="majorBidi"/>
      <w:b/>
      <w:bCs/>
      <w:color w:val="2F5496" w:themeColor="accent5" w:themeShade="BF"/>
      <w:sz w:val="26"/>
      <w:szCs w:val="26"/>
    </w:rPr>
  </w:style>
  <w:style w:type="paragraph" w:styleId="BalloonText">
    <w:name w:val="Balloon Text"/>
    <w:basedOn w:val="Normal"/>
    <w:link w:val="BalloonTextChar"/>
    <w:uiPriority w:val="99"/>
    <w:semiHidden/>
    <w:unhideWhenUsed/>
    <w:rsid w:val="00644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A25"/>
    <w:rPr>
      <w:rFonts w:ascii="Tahoma" w:hAnsi="Tahoma" w:cs="Tahoma"/>
      <w:color w:val="000000" w:themeColor="text1"/>
      <w:sz w:val="16"/>
      <w:szCs w:val="16"/>
    </w:rPr>
  </w:style>
  <w:style w:type="paragraph" w:styleId="NoSpacing">
    <w:name w:val="No Spacing"/>
    <w:link w:val="NoSpacingChar"/>
    <w:uiPriority w:val="1"/>
    <w:qFormat/>
    <w:rsid w:val="00BF18D3"/>
    <w:pPr>
      <w:spacing w:after="0" w:line="240" w:lineRule="auto"/>
    </w:pPr>
    <w:rPr>
      <w:rFonts w:eastAsiaTheme="minorEastAsia"/>
    </w:rPr>
  </w:style>
  <w:style w:type="character" w:customStyle="1" w:styleId="NoSpacingChar">
    <w:name w:val="No Spacing Char"/>
    <w:basedOn w:val="DefaultParagraphFont"/>
    <w:link w:val="NoSpacing"/>
    <w:uiPriority w:val="1"/>
    <w:rsid w:val="00BF18D3"/>
    <w:rPr>
      <w:rFonts w:eastAsiaTheme="minorEastAsia"/>
    </w:rPr>
  </w:style>
  <w:style w:type="paragraph" w:styleId="Header">
    <w:name w:val="header"/>
    <w:basedOn w:val="Normal"/>
    <w:link w:val="HeaderChar"/>
    <w:uiPriority w:val="99"/>
    <w:unhideWhenUsed/>
    <w:rsid w:val="00BF18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18D3"/>
    <w:rPr>
      <w:rFonts w:ascii="Arial" w:hAnsi="Arial"/>
      <w:color w:val="000000" w:themeColor="text1"/>
    </w:rPr>
  </w:style>
  <w:style w:type="paragraph" w:styleId="Footer">
    <w:name w:val="footer"/>
    <w:basedOn w:val="Normal"/>
    <w:link w:val="FooterChar"/>
    <w:uiPriority w:val="99"/>
    <w:unhideWhenUsed/>
    <w:rsid w:val="00BF18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18D3"/>
    <w:rPr>
      <w:rFonts w:ascii="Arial" w:hAnsi="Arial"/>
      <w:color w:val="000000" w:themeColor="text1"/>
    </w:rPr>
  </w:style>
  <w:style w:type="paragraph" w:styleId="NormalWeb">
    <w:name w:val="Normal (Web)"/>
    <w:basedOn w:val="Normal"/>
    <w:uiPriority w:val="99"/>
    <w:semiHidden/>
    <w:unhideWhenUsed/>
    <w:rsid w:val="007E6C91"/>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paragraph" w:styleId="ListParagraph">
    <w:name w:val="List Paragraph"/>
    <w:basedOn w:val="Normal"/>
    <w:uiPriority w:val="34"/>
    <w:qFormat/>
    <w:rsid w:val="003E4D3B"/>
    <w:pPr>
      <w:ind w:left="720"/>
      <w:contextualSpacing/>
    </w:pPr>
  </w:style>
  <w:style w:type="paragraph" w:styleId="TOCHeading">
    <w:name w:val="TOC Heading"/>
    <w:basedOn w:val="Heading1"/>
    <w:next w:val="Normal"/>
    <w:uiPriority w:val="39"/>
    <w:semiHidden/>
    <w:unhideWhenUsed/>
    <w:qFormat/>
    <w:rsid w:val="000A2C93"/>
    <w:pPr>
      <w:spacing w:line="276" w:lineRule="auto"/>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0A2C93"/>
    <w:pPr>
      <w:spacing w:after="100"/>
    </w:pPr>
  </w:style>
  <w:style w:type="paragraph" w:styleId="TOC2">
    <w:name w:val="toc 2"/>
    <w:basedOn w:val="Normal"/>
    <w:next w:val="Normal"/>
    <w:autoRedefine/>
    <w:uiPriority w:val="39"/>
    <w:unhideWhenUsed/>
    <w:rsid w:val="000A2C93"/>
    <w:pPr>
      <w:spacing w:after="100"/>
      <w:ind w:left="220"/>
    </w:pPr>
  </w:style>
  <w:style w:type="character" w:styleId="Hyperlink">
    <w:name w:val="Hyperlink"/>
    <w:basedOn w:val="DefaultParagraphFont"/>
    <w:uiPriority w:val="99"/>
    <w:unhideWhenUsed/>
    <w:rsid w:val="000A2C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100398">
      <w:bodyDiv w:val="1"/>
      <w:marLeft w:val="0"/>
      <w:marRight w:val="0"/>
      <w:marTop w:val="0"/>
      <w:marBottom w:val="0"/>
      <w:divBdr>
        <w:top w:val="none" w:sz="0" w:space="0" w:color="auto"/>
        <w:left w:val="none" w:sz="0" w:space="0" w:color="auto"/>
        <w:bottom w:val="none" w:sz="0" w:space="0" w:color="auto"/>
        <w:right w:val="none" w:sz="0" w:space="0" w:color="auto"/>
      </w:divBdr>
    </w:div>
    <w:div w:id="156626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image" Target="media/image2.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header" Target="header2.xml" /><Relationship Id="rId4" Type="http://schemas.openxmlformats.org/officeDocument/2006/relationships/styles" Target="styles.xml" /><Relationship Id="rId9" Type="http://schemas.openxmlformats.org/officeDocument/2006/relationships/header" Target="header1.xml" /><Relationship Id="rId14" Type="http://schemas.openxmlformats.org/officeDocument/2006/relationships/glossaryDocument" Target="glossary/document.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942D63765F48FD83FA261460893B6D"/>
        <w:category>
          <w:name w:val="General"/>
          <w:gallery w:val="placeholder"/>
        </w:category>
        <w:types>
          <w:type w:val="bbPlcHdr"/>
        </w:types>
        <w:behaviors>
          <w:behavior w:val="content"/>
        </w:behaviors>
        <w:guid w:val="{EEBED105-7187-4AED-AE77-1FD03762F5DF}"/>
      </w:docPartPr>
      <w:docPartBody>
        <w:p w:rsidR="00430E42" w:rsidRDefault="00430E42">
          <w:pPr>
            <w:pStyle w:val="EE942D63765F48FD83FA261460893B6D"/>
          </w:pPr>
          <w:r>
            <w:rPr>
              <w:rFonts w:asciiTheme="majorHAnsi" w:eastAsiaTheme="majorEastAsia" w:hAnsiTheme="majorHAnsi" w:cstheme="majorBidi"/>
              <w:caps/>
            </w:rPr>
            <w:t>[Type the company name]</w:t>
          </w:r>
        </w:p>
      </w:docPartBody>
    </w:docPart>
    <w:docPart>
      <w:docPartPr>
        <w:name w:val="7974B91E28E9458F9ABC98F139BF2D31"/>
        <w:category>
          <w:name w:val="General"/>
          <w:gallery w:val="placeholder"/>
        </w:category>
        <w:types>
          <w:type w:val="bbPlcHdr"/>
        </w:types>
        <w:behaviors>
          <w:behavior w:val="content"/>
        </w:behaviors>
        <w:guid w:val="{B5D818AE-054B-4EF2-BAD0-E735A7E73D81}"/>
      </w:docPartPr>
      <w:docPartBody>
        <w:p w:rsidR="00430E42" w:rsidRDefault="00430E42">
          <w:pPr>
            <w:pStyle w:val="7974B91E28E9458F9ABC98F139BF2D31"/>
          </w:pPr>
          <w:r>
            <w:rPr>
              <w:rFonts w:asciiTheme="majorHAnsi" w:eastAsiaTheme="majorEastAsia" w:hAnsiTheme="majorHAnsi" w:cstheme="majorBidi"/>
              <w:sz w:val="80"/>
              <w:szCs w:val="80"/>
            </w:rPr>
            <w:t>[Type the document title]</w:t>
          </w:r>
        </w:p>
      </w:docPartBody>
    </w:docPart>
    <w:docPart>
      <w:docPartPr>
        <w:name w:val="424A3578931F4982A8D74ACF9E6BD831"/>
        <w:category>
          <w:name w:val="General"/>
          <w:gallery w:val="placeholder"/>
        </w:category>
        <w:types>
          <w:type w:val="bbPlcHdr"/>
        </w:types>
        <w:behaviors>
          <w:behavior w:val="content"/>
        </w:behaviors>
        <w:guid w:val="{61CF243D-4416-4982-B155-285469F59640}"/>
      </w:docPartPr>
      <w:docPartBody>
        <w:p w:rsidR="00430E42" w:rsidRDefault="00430E42">
          <w:pPr>
            <w:pStyle w:val="424A3578931F4982A8D74ACF9E6BD831"/>
          </w:pPr>
          <w:r>
            <w:rPr>
              <w:b/>
              <w:bCs/>
            </w:rPr>
            <w:t>[Type the author name]</w:t>
          </w:r>
        </w:p>
      </w:docPartBody>
    </w:docPart>
    <w:docPart>
      <w:docPartPr>
        <w:name w:val="4BA07B07D2F74A96891935AEF3CB9A03"/>
        <w:category>
          <w:name w:val="General"/>
          <w:gallery w:val="placeholder"/>
        </w:category>
        <w:types>
          <w:type w:val="bbPlcHdr"/>
        </w:types>
        <w:behaviors>
          <w:behavior w:val="content"/>
        </w:behaviors>
        <w:guid w:val="{0D9AC56E-A391-4147-AA22-4E11C5C3F122}"/>
      </w:docPartPr>
      <w:docPartBody>
        <w:p w:rsidR="00430E42" w:rsidRDefault="00430E42">
          <w:pPr>
            <w:pStyle w:val="4BA07B07D2F74A96891935AEF3CB9A03"/>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3318"/>
    <w:rsid w:val="001D7409"/>
    <w:rsid w:val="003C19B0"/>
    <w:rsid w:val="00430E42"/>
    <w:rsid w:val="005D40EF"/>
    <w:rsid w:val="006233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E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942D63765F48FD83FA261460893B6D">
    <w:name w:val="EE942D63765F48FD83FA261460893B6D"/>
    <w:rsid w:val="00430E42"/>
  </w:style>
  <w:style w:type="paragraph" w:customStyle="1" w:styleId="7974B91E28E9458F9ABC98F139BF2D31">
    <w:name w:val="7974B91E28E9458F9ABC98F139BF2D31"/>
    <w:rsid w:val="00430E42"/>
  </w:style>
  <w:style w:type="paragraph" w:customStyle="1" w:styleId="424A3578931F4982A8D74ACF9E6BD831">
    <w:name w:val="424A3578931F4982A8D74ACF9E6BD831"/>
    <w:rsid w:val="00430E42"/>
  </w:style>
  <w:style w:type="paragraph" w:customStyle="1" w:styleId="4BA07B07D2F74A96891935AEF3CB9A03">
    <w:name w:val="4BA07B07D2F74A96891935AEF3CB9A03"/>
    <w:rsid w:val="00430E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2022-07-25T00:00:00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C2161E-E4FD-43F1-AEAB-DC625E98ED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7651</Words>
  <Characters>43616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Health and Social Care</Company>
  <LinksUpToDate>false</LinksUpToDate>
  <CharactersWithSpaces>51165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Student Name:</dc:subject>
  <dc:creator>Date:</dc:creator>
  <cp:lastModifiedBy>Sweeba Altaf</cp:lastModifiedBy>
  <cp:revision>2</cp:revision>
  <dcterms:created xsi:type="dcterms:W3CDTF">2022-07-25T10:09:00Z</dcterms:created>
  <dcterms:modified xsi:type="dcterms:W3CDTF">2022-07-25T10:09:00Z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http://www.zotero.org/styles/harvard-cite-them-right</vt:lpwstr>
  </property>
  <property fmtid="{D5CDD505-2E9C-101B-9397-08002B2CF9AE}" pid="4" name="Mendeley Unique User Id_1">
    <vt:lpwstr>0d9ae90c-8910-3d10-a94a-59f18af563b2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