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06293" w14:textId="77777777" w:rsidR="006F05EC" w:rsidRDefault="006F05EC" w:rsidP="006F05EC">
      <w:pPr>
        <w:rPr>
          <w:rFonts w:ascii="Arial" w:hAnsi="Arial" w:cs="Arial"/>
        </w:rPr>
      </w:pPr>
      <w:r w:rsidRPr="00C001AB">
        <w:rPr>
          <w:rFonts w:ascii="Arial" w:hAnsi="Arial" w:cs="Arial"/>
          <w:b/>
          <w:bCs/>
        </w:rPr>
        <w:t xml:space="preserve">Name: </w:t>
      </w:r>
      <w:r>
        <w:rPr>
          <w:rFonts w:ascii="Arial" w:hAnsi="Arial" w:cs="Arial"/>
        </w:rPr>
        <w:t>Shazia Kausar</w:t>
      </w:r>
    </w:p>
    <w:p w14:paraId="70825B65" w14:textId="77777777" w:rsidR="006F05EC" w:rsidRDefault="006F05EC" w:rsidP="006F05EC">
      <w:pPr>
        <w:rPr>
          <w:rFonts w:ascii="Arial" w:hAnsi="Arial" w:cs="Arial"/>
        </w:rPr>
      </w:pPr>
      <w:r w:rsidRPr="00C001AB">
        <w:rPr>
          <w:rFonts w:ascii="Arial" w:hAnsi="Arial" w:cs="Arial"/>
          <w:b/>
          <w:bCs/>
        </w:rPr>
        <w:t>Student Number:</w:t>
      </w:r>
      <w:r>
        <w:rPr>
          <w:rFonts w:ascii="Arial" w:hAnsi="Arial" w:cs="Arial"/>
        </w:rPr>
        <w:t xml:space="preserve"> 2512942</w:t>
      </w:r>
    </w:p>
    <w:p w14:paraId="53F92228" w14:textId="77777777" w:rsidR="006F05EC" w:rsidRPr="00C001AB" w:rsidRDefault="006F05EC" w:rsidP="006F05EC">
      <w:pPr>
        <w:spacing w:before="120" w:after="120"/>
        <w:rPr>
          <w:rFonts w:ascii="Arial" w:hAnsi="Arial" w:cs="Arial"/>
          <w:bCs/>
        </w:rPr>
      </w:pPr>
      <w:r w:rsidRPr="00C001AB">
        <w:rPr>
          <w:rFonts w:ascii="Arial" w:hAnsi="Arial" w:cs="Arial"/>
          <w:b/>
          <w:bCs/>
        </w:rPr>
        <w:t xml:space="preserve">Module: </w:t>
      </w:r>
      <w:r w:rsidRPr="00C001AB">
        <w:rPr>
          <w:rFonts w:ascii="Arial" w:hAnsi="Arial" w:cs="Arial"/>
          <w:bCs/>
        </w:rPr>
        <w:t>Introduction to Public Health</w:t>
      </w:r>
      <w:r>
        <w:rPr>
          <w:rFonts w:ascii="Arial" w:hAnsi="Arial" w:cs="Arial"/>
          <w:bCs/>
        </w:rPr>
        <w:t xml:space="preserve"> (</w:t>
      </w:r>
      <w:r w:rsidRPr="00C001AB">
        <w:rPr>
          <w:rFonts w:ascii="Arial" w:hAnsi="Arial" w:cs="Arial"/>
          <w:bCs/>
        </w:rPr>
        <w:t>LCHS 4008</w:t>
      </w:r>
      <w:r>
        <w:rPr>
          <w:rFonts w:ascii="Arial" w:hAnsi="Arial" w:cs="Arial"/>
          <w:bCs/>
        </w:rPr>
        <w:t>)</w:t>
      </w:r>
    </w:p>
    <w:p w14:paraId="17A04B19" w14:textId="77777777" w:rsidR="006F05EC" w:rsidRPr="004A399A" w:rsidRDefault="006F05EC" w:rsidP="006F05EC">
      <w:pPr>
        <w:rPr>
          <w:rFonts w:ascii="Arial" w:hAnsi="Arial" w:cs="Arial"/>
        </w:rPr>
      </w:pPr>
      <w:r w:rsidRPr="00C001AB">
        <w:rPr>
          <w:rFonts w:ascii="Arial" w:hAnsi="Arial" w:cs="Arial"/>
          <w:b/>
          <w:bCs/>
        </w:rPr>
        <w:t xml:space="preserve">Lecturer: </w:t>
      </w:r>
      <w:r w:rsidRPr="004A399A">
        <w:rPr>
          <w:rFonts w:ascii="Arial" w:hAnsi="Arial" w:cs="Arial"/>
        </w:rPr>
        <w:t>Emmanuel Asante</w:t>
      </w:r>
    </w:p>
    <w:p w14:paraId="7B6DCD81" w14:textId="77777777" w:rsidR="006F05EC" w:rsidRPr="00C001AB" w:rsidRDefault="006F05EC" w:rsidP="006F05EC">
      <w:pPr>
        <w:rPr>
          <w:rFonts w:ascii="Arial" w:hAnsi="Arial" w:cs="Arial"/>
        </w:rPr>
      </w:pPr>
      <w:r w:rsidRPr="00C001AB">
        <w:rPr>
          <w:rFonts w:ascii="Arial" w:hAnsi="Arial" w:cs="Arial"/>
          <w:b/>
          <w:bCs/>
        </w:rPr>
        <w:t>Assignment Title:</w:t>
      </w:r>
      <w:r>
        <w:rPr>
          <w:rFonts w:ascii="Arial" w:hAnsi="Arial" w:cs="Arial"/>
        </w:rPr>
        <w:t xml:space="preserve"> </w:t>
      </w:r>
      <w:r w:rsidRPr="00C001AB">
        <w:t>Assessment</w:t>
      </w:r>
      <w:r w:rsidRPr="00C001AB">
        <w:rPr>
          <w:spacing w:val="-9"/>
        </w:rPr>
        <w:t xml:space="preserve"> </w:t>
      </w:r>
      <w:r w:rsidRPr="00C001AB">
        <w:t>2</w:t>
      </w:r>
      <w:r w:rsidRPr="00C001AB">
        <w:rPr>
          <w:spacing w:val="-11"/>
        </w:rPr>
        <w:t xml:space="preserve"> </w:t>
      </w:r>
      <w:r w:rsidRPr="00C001AB">
        <w:rPr>
          <w:spacing w:val="-10"/>
        </w:rPr>
        <w:t xml:space="preserve">- </w:t>
      </w:r>
      <w:r w:rsidRPr="00C001AB">
        <w:rPr>
          <w:rFonts w:ascii="Arial" w:hAnsi="Arial" w:cs="Arial"/>
          <w:spacing w:val="-2"/>
        </w:rPr>
        <w:t>Report on a Health Issue</w:t>
      </w:r>
    </w:p>
    <w:p w14:paraId="020AF911" w14:textId="77777777" w:rsidR="007B39D4" w:rsidRDefault="007B39D4" w:rsidP="00714D07">
      <w:pPr>
        <w:spacing w:line="360" w:lineRule="auto"/>
        <w:jc w:val="both"/>
        <w:rPr>
          <w:rFonts w:ascii="Arial" w:hAnsi="Arial" w:cs="Arial"/>
          <w:b/>
          <w:bCs/>
        </w:rPr>
      </w:pPr>
    </w:p>
    <w:p w14:paraId="5CF1BF00" w14:textId="77777777" w:rsidR="00103324" w:rsidRDefault="00103324">
      <w:pPr>
        <w:rPr>
          <w:rFonts w:ascii="Arial" w:hAnsi="Arial" w:cs="Arial"/>
          <w:b/>
          <w:bCs/>
        </w:rPr>
      </w:pPr>
    </w:p>
    <w:p w14:paraId="4BA9383C" w14:textId="77777777" w:rsidR="00103324" w:rsidRDefault="00103324">
      <w:pPr>
        <w:rPr>
          <w:rFonts w:ascii="Arial" w:hAnsi="Arial" w:cs="Arial"/>
          <w:b/>
          <w:bCs/>
        </w:rPr>
      </w:pPr>
      <w:r>
        <w:rPr>
          <w:rFonts w:ascii="Arial" w:hAnsi="Arial" w:cs="Arial"/>
          <w:b/>
          <w:bCs/>
        </w:rPr>
        <w:br w:type="page"/>
      </w:r>
    </w:p>
    <w:sdt>
      <w:sdtPr>
        <w:rPr>
          <w:rFonts w:asciiTheme="minorHAnsi" w:eastAsiaTheme="minorEastAsia" w:hAnsiTheme="minorHAnsi" w:cstheme="minorBidi"/>
          <w:color w:val="auto"/>
          <w:sz w:val="22"/>
          <w:szCs w:val="22"/>
        </w:rPr>
        <w:id w:val="988279752"/>
        <w:docPartObj>
          <w:docPartGallery w:val="Table of Contents"/>
          <w:docPartUnique/>
        </w:docPartObj>
      </w:sdtPr>
      <w:sdtEndPr>
        <w:rPr>
          <w:b/>
          <w:bCs/>
          <w:noProof/>
        </w:rPr>
      </w:sdtEndPr>
      <w:sdtContent>
        <w:p w14:paraId="681BFC33" w14:textId="0CC2E6E6" w:rsidR="00CE564F" w:rsidRDefault="00892820" w:rsidP="00CE564F">
          <w:pPr>
            <w:pStyle w:val="TOCHeading"/>
            <w:rPr>
              <w:color w:val="000000" w:themeColor="text1"/>
            </w:rPr>
          </w:pPr>
          <w:r w:rsidRPr="00CE564F">
            <w:rPr>
              <w:color w:val="000000" w:themeColor="text1"/>
            </w:rPr>
            <w:t>Contents</w:t>
          </w:r>
        </w:p>
        <w:p w14:paraId="7CC38C75" w14:textId="77777777" w:rsidR="00CE564F" w:rsidRPr="00CE564F" w:rsidRDefault="00CE564F" w:rsidP="00CE564F"/>
        <w:p w14:paraId="121B96ED" w14:textId="386AA041" w:rsidR="00CE564F" w:rsidRPr="00CE564F" w:rsidRDefault="00892820">
          <w:pPr>
            <w:pStyle w:val="TOC2"/>
            <w:tabs>
              <w:tab w:val="right" w:leader="dot" w:pos="9016"/>
            </w:tabs>
            <w:rPr>
              <w:rFonts w:ascii="Arial" w:hAnsi="Arial" w:cs="Arial"/>
              <w:noProof/>
              <w:kern w:val="2"/>
              <w:sz w:val="24"/>
              <w:szCs w:val="24"/>
              <w:lang w:eastAsia="en-GB"/>
              <w14:ligatures w14:val="standardContextual"/>
            </w:rPr>
          </w:pPr>
          <w:r w:rsidRPr="00CE564F">
            <w:rPr>
              <w:rFonts w:ascii="Arial" w:hAnsi="Arial" w:cs="Arial"/>
              <w:sz w:val="24"/>
              <w:szCs w:val="24"/>
            </w:rPr>
            <w:fldChar w:fldCharType="begin"/>
          </w:r>
          <w:r w:rsidRPr="00CE564F">
            <w:rPr>
              <w:rFonts w:ascii="Arial" w:hAnsi="Arial" w:cs="Arial"/>
              <w:sz w:val="24"/>
              <w:szCs w:val="24"/>
            </w:rPr>
            <w:instrText xml:space="preserve"> TOC \o "1-3" \h \z \u </w:instrText>
          </w:r>
          <w:r w:rsidRPr="00CE564F">
            <w:rPr>
              <w:rFonts w:ascii="Arial" w:hAnsi="Arial" w:cs="Arial"/>
              <w:sz w:val="24"/>
              <w:szCs w:val="24"/>
            </w:rPr>
            <w:fldChar w:fldCharType="separate"/>
          </w:r>
          <w:hyperlink w:anchor="_Toc222665617" w:history="1">
            <w:r w:rsidR="00CE564F" w:rsidRPr="00CE564F">
              <w:rPr>
                <w:rStyle w:val="Hyperlink"/>
                <w:rFonts w:ascii="Arial" w:hAnsi="Arial" w:cs="Arial"/>
                <w:noProof/>
                <w:sz w:val="24"/>
                <w:szCs w:val="24"/>
              </w:rPr>
              <w:t>Introduction</w:t>
            </w:r>
            <w:r w:rsidR="00CE564F" w:rsidRPr="00CE564F">
              <w:rPr>
                <w:rFonts w:ascii="Arial" w:hAnsi="Arial" w:cs="Arial"/>
                <w:noProof/>
                <w:webHidden/>
                <w:sz w:val="24"/>
                <w:szCs w:val="24"/>
              </w:rPr>
              <w:tab/>
            </w:r>
            <w:r w:rsidR="00CE564F" w:rsidRPr="00CE564F">
              <w:rPr>
                <w:rFonts w:ascii="Arial" w:hAnsi="Arial" w:cs="Arial"/>
                <w:noProof/>
                <w:webHidden/>
                <w:sz w:val="24"/>
                <w:szCs w:val="24"/>
              </w:rPr>
              <w:fldChar w:fldCharType="begin"/>
            </w:r>
            <w:r w:rsidR="00CE564F" w:rsidRPr="00CE564F">
              <w:rPr>
                <w:rFonts w:ascii="Arial" w:hAnsi="Arial" w:cs="Arial"/>
                <w:noProof/>
                <w:webHidden/>
                <w:sz w:val="24"/>
                <w:szCs w:val="24"/>
              </w:rPr>
              <w:instrText xml:space="preserve"> PAGEREF _Toc222665617 \h </w:instrText>
            </w:r>
            <w:r w:rsidR="00CE564F" w:rsidRPr="00CE564F">
              <w:rPr>
                <w:rFonts w:ascii="Arial" w:hAnsi="Arial" w:cs="Arial"/>
                <w:noProof/>
                <w:webHidden/>
                <w:sz w:val="24"/>
                <w:szCs w:val="24"/>
              </w:rPr>
            </w:r>
            <w:r w:rsidR="00CE564F" w:rsidRPr="00CE564F">
              <w:rPr>
                <w:rFonts w:ascii="Arial" w:hAnsi="Arial" w:cs="Arial"/>
                <w:noProof/>
                <w:webHidden/>
                <w:sz w:val="24"/>
                <w:szCs w:val="24"/>
              </w:rPr>
              <w:fldChar w:fldCharType="separate"/>
            </w:r>
            <w:r w:rsidR="00875BD3">
              <w:rPr>
                <w:rFonts w:ascii="Arial" w:hAnsi="Arial" w:cs="Arial"/>
                <w:noProof/>
                <w:webHidden/>
                <w:sz w:val="24"/>
                <w:szCs w:val="24"/>
              </w:rPr>
              <w:t>1</w:t>
            </w:r>
            <w:r w:rsidR="00CE564F" w:rsidRPr="00CE564F">
              <w:rPr>
                <w:rFonts w:ascii="Arial" w:hAnsi="Arial" w:cs="Arial"/>
                <w:noProof/>
                <w:webHidden/>
                <w:sz w:val="24"/>
                <w:szCs w:val="24"/>
              </w:rPr>
              <w:fldChar w:fldCharType="end"/>
            </w:r>
          </w:hyperlink>
        </w:p>
        <w:p w14:paraId="4779BF2A" w14:textId="2D0297F1"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18" w:history="1">
            <w:r w:rsidRPr="00CE564F">
              <w:rPr>
                <w:rStyle w:val="Hyperlink"/>
                <w:rFonts w:ascii="Arial" w:hAnsi="Arial" w:cs="Arial"/>
                <w:noProof/>
                <w:sz w:val="24"/>
                <w:szCs w:val="24"/>
              </w:rPr>
              <w:t>Measurement and Monitoring of Dementia</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_Toc222665618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1</w:t>
            </w:r>
            <w:r w:rsidRPr="00CE564F">
              <w:rPr>
                <w:rFonts w:ascii="Arial" w:hAnsi="Arial" w:cs="Arial"/>
                <w:noProof/>
                <w:webHidden/>
                <w:sz w:val="24"/>
                <w:szCs w:val="24"/>
              </w:rPr>
              <w:fldChar w:fldCharType="end"/>
            </w:r>
          </w:hyperlink>
        </w:p>
        <w:p w14:paraId="24A78986" w14:textId="252DD063"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19" w:history="1">
            <w:r w:rsidRPr="00CE564F">
              <w:rPr>
                <w:rStyle w:val="Hyperlink"/>
                <w:rFonts w:ascii="Arial" w:hAnsi="Arial" w:cs="Arial"/>
                <w:noProof/>
                <w:sz w:val="24"/>
                <w:szCs w:val="24"/>
              </w:rPr>
              <w:t>Management and Control of Dementia</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_Toc222665619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2</w:t>
            </w:r>
            <w:r w:rsidRPr="00CE564F">
              <w:rPr>
                <w:rFonts w:ascii="Arial" w:hAnsi="Arial" w:cs="Arial"/>
                <w:noProof/>
                <w:webHidden/>
                <w:sz w:val="24"/>
                <w:szCs w:val="24"/>
              </w:rPr>
              <w:fldChar w:fldCharType="end"/>
            </w:r>
          </w:hyperlink>
        </w:p>
        <w:p w14:paraId="4A53964C" w14:textId="42B9DF26"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20" w:history="1">
            <w:r w:rsidRPr="00CE564F">
              <w:rPr>
                <w:rStyle w:val="Hyperlink"/>
                <w:rFonts w:ascii="Arial" w:hAnsi="Arial" w:cs="Arial"/>
                <w:noProof/>
                <w:sz w:val="24"/>
                <w:szCs w:val="24"/>
              </w:rPr>
              <w:t>Impact on Individuals, Families, and Communities</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_Toc222665620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3</w:t>
            </w:r>
            <w:r w:rsidRPr="00CE564F">
              <w:rPr>
                <w:rFonts w:ascii="Arial" w:hAnsi="Arial" w:cs="Arial"/>
                <w:noProof/>
                <w:webHidden/>
                <w:sz w:val="24"/>
                <w:szCs w:val="24"/>
              </w:rPr>
              <w:fldChar w:fldCharType="end"/>
            </w:r>
          </w:hyperlink>
        </w:p>
        <w:p w14:paraId="03B9B96E" w14:textId="2E1D3860"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21" w:history="1">
            <w:r w:rsidRPr="00CE564F">
              <w:rPr>
                <w:rStyle w:val="Hyperlink"/>
                <w:rFonts w:ascii="Arial" w:hAnsi="Arial" w:cs="Arial"/>
                <w:noProof/>
                <w:sz w:val="24"/>
                <w:szCs w:val="24"/>
              </w:rPr>
              <w:t>Health and Social Care Services</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_Toc222665621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4</w:t>
            </w:r>
            <w:r w:rsidRPr="00CE564F">
              <w:rPr>
                <w:rFonts w:ascii="Arial" w:hAnsi="Arial" w:cs="Arial"/>
                <w:noProof/>
                <w:webHidden/>
                <w:sz w:val="24"/>
                <w:szCs w:val="24"/>
              </w:rPr>
              <w:fldChar w:fldCharType="end"/>
            </w:r>
          </w:hyperlink>
        </w:p>
        <w:p w14:paraId="070B5FF2" w14:textId="0DA888E1"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22" w:history="1">
            <w:r w:rsidRPr="00CE564F">
              <w:rPr>
                <w:rStyle w:val="Hyperlink"/>
                <w:rFonts w:ascii="Arial" w:hAnsi="Arial" w:cs="Arial"/>
                <w:noProof/>
                <w:sz w:val="24"/>
                <w:szCs w:val="24"/>
              </w:rPr>
              <w:t>Conclusion</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_Toc222665622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5</w:t>
            </w:r>
            <w:r w:rsidRPr="00CE564F">
              <w:rPr>
                <w:rFonts w:ascii="Arial" w:hAnsi="Arial" w:cs="Arial"/>
                <w:noProof/>
                <w:webHidden/>
                <w:sz w:val="24"/>
                <w:szCs w:val="24"/>
              </w:rPr>
              <w:fldChar w:fldCharType="end"/>
            </w:r>
          </w:hyperlink>
        </w:p>
        <w:p w14:paraId="5A6C761E" w14:textId="7FDBD0A0" w:rsidR="00CE564F" w:rsidRPr="00CE564F" w:rsidRDefault="00CE564F">
          <w:pPr>
            <w:pStyle w:val="TOC2"/>
            <w:tabs>
              <w:tab w:val="right" w:leader="dot" w:pos="9016"/>
            </w:tabs>
            <w:rPr>
              <w:rFonts w:ascii="Arial" w:hAnsi="Arial" w:cs="Arial"/>
              <w:noProof/>
              <w:kern w:val="2"/>
              <w:sz w:val="24"/>
              <w:szCs w:val="24"/>
              <w:lang w:eastAsia="en-GB"/>
              <w14:ligatures w14:val="standardContextual"/>
            </w:rPr>
          </w:pPr>
          <w:hyperlink w:anchor="_Toc222665623" w:history="1">
            <w:r w:rsidRPr="00CE564F">
              <w:rPr>
                <w:rStyle w:val="Hyperlink"/>
                <w:rFonts w:ascii="Arial" w:hAnsi="Arial" w:cs="Arial"/>
                <w:noProof/>
                <w:sz w:val="24"/>
                <w:szCs w:val="24"/>
              </w:rPr>
              <w:t>References</w:t>
            </w:r>
            <w:r w:rsidRPr="00CE564F">
              <w:rPr>
                <w:rFonts w:ascii="Arial" w:hAnsi="Arial" w:cs="Arial"/>
                <w:noProof/>
                <w:webHidden/>
                <w:sz w:val="24"/>
                <w:szCs w:val="24"/>
              </w:rPr>
              <w:tab/>
            </w:r>
            <w:r w:rsidRPr="00CE564F">
              <w:rPr>
                <w:rFonts w:ascii="Arial" w:hAnsi="Arial" w:cs="Arial"/>
                <w:noProof/>
                <w:webHidden/>
                <w:sz w:val="24"/>
                <w:szCs w:val="24"/>
              </w:rPr>
              <w:fldChar w:fldCharType="begin"/>
            </w:r>
            <w:r w:rsidRPr="00CE564F">
              <w:rPr>
                <w:rFonts w:ascii="Arial" w:hAnsi="Arial" w:cs="Arial"/>
                <w:noProof/>
                <w:webHidden/>
                <w:sz w:val="24"/>
                <w:szCs w:val="24"/>
              </w:rPr>
              <w:instrText xml:space="preserve"> PAGEREF _Toc222665623 \h </w:instrText>
            </w:r>
            <w:r w:rsidRPr="00CE564F">
              <w:rPr>
                <w:rFonts w:ascii="Arial" w:hAnsi="Arial" w:cs="Arial"/>
                <w:noProof/>
                <w:webHidden/>
                <w:sz w:val="24"/>
                <w:szCs w:val="24"/>
              </w:rPr>
            </w:r>
            <w:r w:rsidRPr="00CE564F">
              <w:rPr>
                <w:rFonts w:ascii="Arial" w:hAnsi="Arial" w:cs="Arial"/>
                <w:noProof/>
                <w:webHidden/>
                <w:sz w:val="24"/>
                <w:szCs w:val="24"/>
              </w:rPr>
              <w:fldChar w:fldCharType="separate"/>
            </w:r>
            <w:r w:rsidR="00875BD3">
              <w:rPr>
                <w:rFonts w:ascii="Arial" w:hAnsi="Arial" w:cs="Arial"/>
                <w:noProof/>
                <w:webHidden/>
                <w:sz w:val="24"/>
                <w:szCs w:val="24"/>
              </w:rPr>
              <w:t>6</w:t>
            </w:r>
            <w:r w:rsidRPr="00CE564F">
              <w:rPr>
                <w:rFonts w:ascii="Arial" w:hAnsi="Arial" w:cs="Arial"/>
                <w:noProof/>
                <w:webHidden/>
                <w:sz w:val="24"/>
                <w:szCs w:val="24"/>
              </w:rPr>
              <w:fldChar w:fldCharType="end"/>
            </w:r>
          </w:hyperlink>
        </w:p>
        <w:p w14:paraId="04B833E1" w14:textId="0DFC4760" w:rsidR="00892820" w:rsidRDefault="00892820">
          <w:r w:rsidRPr="00CE564F">
            <w:rPr>
              <w:rFonts w:ascii="Arial" w:hAnsi="Arial" w:cs="Arial"/>
              <w:b/>
              <w:bCs/>
              <w:noProof/>
              <w:sz w:val="24"/>
              <w:szCs w:val="24"/>
            </w:rPr>
            <w:fldChar w:fldCharType="end"/>
          </w:r>
        </w:p>
      </w:sdtContent>
    </w:sdt>
    <w:p w14:paraId="4C3474C5" w14:textId="04E18CF7" w:rsidR="002D5CE6" w:rsidRDefault="21FEFF4B" w:rsidP="00875BD3">
      <w:pPr>
        <w:rPr>
          <w:rFonts w:ascii="Arial" w:hAnsi="Arial" w:cs="Arial"/>
          <w:b/>
          <w:bCs/>
        </w:rPr>
        <w:sectPr w:rsidR="002D5CE6" w:rsidSect="008D2DA7">
          <w:footerReference w:type="default" r:id="rId10"/>
          <w:pgSz w:w="11906" w:h="16838"/>
          <w:pgMar w:top="1440" w:right="1440" w:bottom="1440" w:left="1440" w:header="709" w:footer="709" w:gutter="0"/>
          <w:pgNumType w:start="0"/>
          <w:cols w:space="708"/>
          <w:docGrid w:linePitch="360"/>
        </w:sectPr>
      </w:pPr>
      <w:r w:rsidRPr="2C13FA99">
        <w:rPr>
          <w:rFonts w:ascii="Arial" w:hAnsi="Arial" w:cs="Arial"/>
          <w:b/>
          <w:bCs/>
        </w:rPr>
        <w:t xml:space="preserve">                            </w:t>
      </w:r>
    </w:p>
    <w:p w14:paraId="21037075" w14:textId="70119180" w:rsidR="00714D07" w:rsidRDefault="06A92527" w:rsidP="0099437D">
      <w:pPr>
        <w:spacing w:line="360" w:lineRule="auto"/>
        <w:jc w:val="center"/>
        <w:rPr>
          <w:rFonts w:ascii="Arial" w:hAnsi="Arial" w:cs="Arial"/>
          <w:b/>
          <w:bCs/>
        </w:rPr>
      </w:pPr>
      <w:r w:rsidRPr="23E23CD4">
        <w:rPr>
          <w:rFonts w:ascii="Arial" w:eastAsia="Arial" w:hAnsi="Arial" w:cs="Arial"/>
          <w:b/>
          <w:bCs/>
          <w:sz w:val="36"/>
          <w:szCs w:val="36"/>
          <w:u w:val="single"/>
        </w:rPr>
        <w:lastRenderedPageBreak/>
        <w:t>Dementia</w:t>
      </w:r>
    </w:p>
    <w:p w14:paraId="6F9218AD" w14:textId="13DFFFD8" w:rsidR="002E0004" w:rsidRPr="00714D07" w:rsidRDefault="178A2EF4" w:rsidP="23E23CD4">
      <w:pPr>
        <w:spacing w:line="360" w:lineRule="auto"/>
        <w:rPr>
          <w:rFonts w:ascii="Arial" w:hAnsi="Arial" w:cs="Arial"/>
          <w:b/>
          <w:bCs/>
        </w:rPr>
      </w:pPr>
      <w:bookmarkStart w:id="0" w:name="_Toc222665617"/>
      <w:r w:rsidRPr="23E23CD4">
        <w:rPr>
          <w:rStyle w:val="Heading2Char"/>
          <w:rFonts w:ascii="Arial" w:hAnsi="Arial" w:cs="Arial"/>
          <w:color w:val="000000" w:themeColor="text1"/>
          <w:sz w:val="28"/>
          <w:szCs w:val="28"/>
          <w:u w:val="single"/>
        </w:rPr>
        <w:t>Introduction</w:t>
      </w:r>
      <w:bookmarkEnd w:id="0"/>
      <w:r w:rsidR="4A1B3264" w:rsidRPr="23E23CD4">
        <w:rPr>
          <w:rFonts w:ascii="Arial" w:hAnsi="Arial" w:cs="Arial"/>
          <w:sz w:val="28"/>
          <w:szCs w:val="28"/>
        </w:rPr>
        <w:t xml:space="preserve">                                                                                                 </w:t>
      </w:r>
      <w:r w:rsidR="00B82F98" w:rsidRPr="23E23CD4">
        <w:rPr>
          <w:rFonts w:ascii="Arial" w:hAnsi="Arial" w:cs="Arial"/>
        </w:rPr>
        <w:t>De</w:t>
      </w:r>
      <w:r w:rsidR="00682822" w:rsidRPr="23E23CD4">
        <w:rPr>
          <w:rFonts w:ascii="Arial" w:hAnsi="Arial" w:cs="Arial"/>
        </w:rPr>
        <w:t xml:space="preserve">mentia </w:t>
      </w:r>
      <w:r w:rsidRPr="23E23CD4">
        <w:rPr>
          <w:rFonts w:ascii="Arial" w:hAnsi="Arial" w:cs="Arial"/>
        </w:rPr>
        <w:t xml:space="preserve">is a progressive neurological disorder characterised by a decline in cognitive functions, including memory, reasoning, communication, and the ability to carry out daily activities </w:t>
      </w:r>
      <w:r w:rsidR="2D48B2DD" w:rsidRPr="23E23CD4">
        <w:rPr>
          <w:rFonts w:ascii="Arial" w:eastAsia="Times New Roman" w:hAnsi="Arial" w:cs="Arial"/>
        </w:rPr>
        <w:t>(WHO, 2017)</w:t>
      </w:r>
      <w:r w:rsidRPr="23E23CD4">
        <w:rPr>
          <w:rFonts w:ascii="Arial" w:hAnsi="Arial" w:cs="Arial"/>
        </w:rPr>
        <w:t xml:space="preserve">. It is a collective term for multiple brain conditions, with Alzheimer’s disease being the most common, accounting for 60–70% of cases. Other frequent forms include vascular dementia, dementia with Lewy bodies, and frontotemporal dementia </w:t>
      </w:r>
      <w:r w:rsidR="1018E763" w:rsidRPr="23E23CD4">
        <w:rPr>
          <w:rFonts w:ascii="Arial" w:eastAsia="Times New Roman" w:hAnsi="Arial" w:cs="Arial"/>
        </w:rPr>
        <w:t>(WHO, 2017)</w:t>
      </w:r>
      <w:r w:rsidR="48F16530" w:rsidRPr="23E23CD4">
        <w:rPr>
          <w:rFonts w:ascii="Arial" w:hAnsi="Arial" w:cs="Arial"/>
        </w:rPr>
        <w:t>.</w:t>
      </w:r>
    </w:p>
    <w:p w14:paraId="08442EA3" w14:textId="7962BC48" w:rsidR="002E0004" w:rsidRPr="00714D07" w:rsidRDefault="178A2EF4" w:rsidP="23E23CD4">
      <w:pPr>
        <w:spacing w:line="360" w:lineRule="auto"/>
        <w:rPr>
          <w:rFonts w:ascii="Arial" w:hAnsi="Arial" w:cs="Arial"/>
        </w:rPr>
      </w:pPr>
      <w:r w:rsidRPr="23E23CD4">
        <w:rPr>
          <w:rFonts w:ascii="Arial" w:hAnsi="Arial" w:cs="Arial"/>
        </w:rPr>
        <w:t xml:space="preserve">Early symptoms include memory loss, difficulty concentrating, language impairment, and changes in mood or behaviour </w:t>
      </w:r>
      <w:r w:rsidR="7081F053" w:rsidRPr="23E23CD4">
        <w:rPr>
          <w:rFonts w:ascii="Arial" w:eastAsia="Times New Roman" w:hAnsi="Arial" w:cs="Arial"/>
        </w:rPr>
        <w:t>(Murdoch, 2024)</w:t>
      </w:r>
      <w:r w:rsidRPr="23E23CD4">
        <w:rPr>
          <w:rFonts w:ascii="Arial" w:hAnsi="Arial" w:cs="Arial"/>
        </w:rPr>
        <w:t xml:space="preserve">. As the condition progresses, individuals often experience challenges in decision-making, communication, and personal care, requiring support with activities such as washing, dressing, and eating. In the UK, approximately 982,000 people are currently affected, with numbers projected to reach 1.4 million by 2040 due to an ageing population (Alzheimer’s Society, 2024; </w:t>
      </w:r>
      <w:r w:rsidR="34727097" w:rsidRPr="23E23CD4">
        <w:rPr>
          <w:rFonts w:ascii="Arial" w:eastAsia="Times New Roman" w:hAnsi="Arial" w:cs="Arial"/>
        </w:rPr>
        <w:t>WHO, 2017)</w:t>
      </w:r>
      <w:r w:rsidRPr="23E23CD4">
        <w:rPr>
          <w:rFonts w:ascii="Arial" w:hAnsi="Arial" w:cs="Arial"/>
        </w:rPr>
        <w:t>. These figures highlight the growing impact of dementia on individuals, families, and health and social care systems.</w:t>
      </w:r>
    </w:p>
    <w:p w14:paraId="40A51210" w14:textId="6D6C4170" w:rsidR="002E0004" w:rsidRPr="00714D07" w:rsidRDefault="178A2EF4" w:rsidP="23E23CD4">
      <w:pPr>
        <w:spacing w:line="360" w:lineRule="auto"/>
        <w:rPr>
          <w:rFonts w:ascii="Arial" w:hAnsi="Arial" w:cs="Arial"/>
          <w:b/>
          <w:bCs/>
        </w:rPr>
      </w:pPr>
      <w:bookmarkStart w:id="1" w:name="_Toc222665618"/>
      <w:r w:rsidRPr="23E23CD4">
        <w:rPr>
          <w:rStyle w:val="Heading2Char"/>
          <w:rFonts w:ascii="Arial" w:hAnsi="Arial" w:cs="Arial"/>
          <w:color w:val="000000" w:themeColor="text1"/>
          <w:sz w:val="28"/>
          <w:szCs w:val="28"/>
          <w:u w:val="single"/>
        </w:rPr>
        <w:t>Measurement and Monitoring of Dementia</w:t>
      </w:r>
      <w:bookmarkEnd w:id="1"/>
      <w:r w:rsidR="470A734E" w:rsidRPr="23E23CD4">
        <w:rPr>
          <w:rStyle w:val="Heading2Char"/>
          <w:rFonts w:ascii="Arial" w:hAnsi="Arial" w:cs="Arial"/>
          <w:color w:val="000000" w:themeColor="text1"/>
          <w:sz w:val="28"/>
          <w:szCs w:val="28"/>
          <w:u w:val="single"/>
        </w:rPr>
        <w:t xml:space="preserve">   </w:t>
      </w:r>
      <w:r w:rsidR="470A734E" w:rsidRPr="23E23CD4">
        <w:rPr>
          <w:rStyle w:val="Heading2Char"/>
          <w:rFonts w:ascii="Arial" w:hAnsi="Arial" w:cs="Arial"/>
          <w:color w:val="000000" w:themeColor="text1"/>
          <w:sz w:val="28"/>
          <w:szCs w:val="28"/>
        </w:rPr>
        <w:t xml:space="preserve">                               </w:t>
      </w:r>
      <w:r w:rsidR="21EB7ED2" w:rsidRPr="23E23CD4">
        <w:rPr>
          <w:rStyle w:val="Heading2Char"/>
          <w:rFonts w:ascii="Arial" w:hAnsi="Arial" w:cs="Arial"/>
          <w:color w:val="000000" w:themeColor="text1"/>
          <w:sz w:val="28"/>
          <w:szCs w:val="28"/>
        </w:rPr>
        <w:t xml:space="preserve">    </w:t>
      </w:r>
      <w:r w:rsidRPr="23E23CD4">
        <w:rPr>
          <w:rFonts w:ascii="Arial" w:hAnsi="Arial" w:cs="Arial"/>
        </w:rPr>
        <w:t xml:space="preserve">Accurate monitoring is essential to understand dementia prevalence and plan appropriate services. In the UK, data is gathered from GP records, hospital admissions, care homes, and national health surveys to provide insights into regional and national trends </w:t>
      </w:r>
      <w:r w:rsidR="0E64920C" w:rsidRPr="23E23CD4">
        <w:rPr>
          <w:rFonts w:ascii="Arial" w:eastAsia="Times New Roman" w:hAnsi="Arial" w:cs="Arial"/>
        </w:rPr>
        <w:t>(England, 2025)</w:t>
      </w:r>
      <w:r w:rsidRPr="23E23CD4">
        <w:rPr>
          <w:rFonts w:ascii="Arial" w:hAnsi="Arial" w:cs="Arial"/>
        </w:rPr>
        <w:t>.</w:t>
      </w:r>
    </w:p>
    <w:p w14:paraId="17B2C9E1" w14:textId="77777777" w:rsidR="002E0004" w:rsidRPr="00714D07" w:rsidRDefault="448FCB24" w:rsidP="23E23CD4">
      <w:pPr>
        <w:spacing w:line="360" w:lineRule="auto"/>
        <w:rPr>
          <w:rFonts w:ascii="Arial" w:hAnsi="Arial" w:cs="Arial"/>
        </w:rPr>
      </w:pPr>
      <w:r w:rsidRPr="23E23CD4">
        <w:rPr>
          <w:rFonts w:ascii="Arial" w:hAnsi="Arial" w:cs="Arial"/>
        </w:rPr>
        <w:t>The dementia diagnosis rate, indicating the proportion of estimated cases that receive a formal diagnosis, is an important metric (Alzheimer’s Society, 2024). Early diagnosis enables care planning and access to support services; however, many cases remain undiagnosed, particularly in the early stages.</w:t>
      </w:r>
    </w:p>
    <w:p w14:paraId="40F77CF4" w14:textId="48CF549C" w:rsidR="002E0004" w:rsidRPr="00714D07" w:rsidRDefault="178A2EF4" w:rsidP="23E23CD4">
      <w:pPr>
        <w:spacing w:line="360" w:lineRule="auto"/>
        <w:rPr>
          <w:rFonts w:ascii="Arial" w:hAnsi="Arial" w:cs="Arial"/>
        </w:rPr>
      </w:pPr>
      <w:r w:rsidRPr="23E23CD4">
        <w:rPr>
          <w:rFonts w:ascii="Arial" w:hAnsi="Arial" w:cs="Arial"/>
        </w:rPr>
        <w:t>Internationally, the World Health Organi</w:t>
      </w:r>
      <w:r w:rsidR="43BBE930" w:rsidRPr="23E23CD4">
        <w:rPr>
          <w:rFonts w:ascii="Arial" w:hAnsi="Arial" w:cs="Arial"/>
        </w:rPr>
        <w:t>s</w:t>
      </w:r>
      <w:r w:rsidRPr="23E23CD4">
        <w:rPr>
          <w:rFonts w:ascii="Arial" w:hAnsi="Arial" w:cs="Arial"/>
        </w:rPr>
        <w:t xml:space="preserve">ation collects data from member states to track trends and forecast future prevalence </w:t>
      </w:r>
      <w:r w:rsidR="3A6CFCFD" w:rsidRPr="23E23CD4">
        <w:rPr>
          <w:rFonts w:ascii="Arial" w:eastAsia="Times New Roman" w:hAnsi="Arial" w:cs="Arial"/>
        </w:rPr>
        <w:t>(WHO, 2017)</w:t>
      </w:r>
      <w:r w:rsidRPr="23E23CD4">
        <w:rPr>
          <w:rFonts w:ascii="Arial" w:hAnsi="Arial" w:cs="Arial"/>
        </w:rPr>
        <w:t>. Monitoring is complicated by delayed diagnosis, low awareness, and stigma, which can result in under-reporting, particularly among disadvantaged populations.</w:t>
      </w:r>
    </w:p>
    <w:p w14:paraId="718169AA" w14:textId="146EB12F" w:rsidR="002E0004" w:rsidRPr="00714D07" w:rsidRDefault="448FCB24" w:rsidP="23E23CD4">
      <w:pPr>
        <w:spacing w:line="360" w:lineRule="auto"/>
        <w:rPr>
          <w:rFonts w:ascii="Arial" w:hAnsi="Arial" w:cs="Arial"/>
        </w:rPr>
      </w:pPr>
      <w:r w:rsidRPr="23E23CD4">
        <w:rPr>
          <w:rFonts w:ascii="Arial" w:hAnsi="Arial" w:cs="Arial"/>
        </w:rPr>
        <w:t>Cognitive assessments, including memory tests and mental state examinations, support early detection and consistent data recording, allowing comparisons across regions and over time</w:t>
      </w:r>
      <w:r w:rsidR="2D5F74D8" w:rsidRPr="23E23CD4">
        <w:rPr>
          <w:rFonts w:ascii="Arial" w:hAnsi="Arial" w:cs="Arial"/>
        </w:rPr>
        <w:t xml:space="preserve"> </w:t>
      </w:r>
      <w:r w:rsidR="2D5F74D8" w:rsidRPr="23E23CD4">
        <w:rPr>
          <w:rFonts w:ascii="Arial" w:eastAsia="Times New Roman" w:hAnsi="Arial" w:cs="Arial"/>
        </w:rPr>
        <w:t>(England, 2025)</w:t>
      </w:r>
      <w:r w:rsidRPr="23E23CD4">
        <w:rPr>
          <w:rFonts w:ascii="Arial" w:hAnsi="Arial" w:cs="Arial"/>
        </w:rPr>
        <w:t xml:space="preserve">. Demographic factors such as age, ethnicity, socioeconomic status, and </w:t>
      </w:r>
      <w:r w:rsidR="00A33681" w:rsidRPr="23E23CD4">
        <w:rPr>
          <w:rFonts w:ascii="Arial" w:hAnsi="Arial" w:cs="Arial"/>
        </w:rPr>
        <w:t>pre-existing</w:t>
      </w:r>
      <w:r w:rsidRPr="23E23CD4">
        <w:rPr>
          <w:rFonts w:ascii="Arial" w:hAnsi="Arial" w:cs="Arial"/>
        </w:rPr>
        <w:t xml:space="preserve"> conditions help identify high-risk groups and address inequalities in care (Alzheimer’s Society, 2024).</w:t>
      </w:r>
    </w:p>
    <w:p w14:paraId="2CAFA739" w14:textId="7C20EFC9" w:rsidR="002E0004" w:rsidRPr="00714D07" w:rsidRDefault="448FCB24" w:rsidP="23E23CD4">
      <w:pPr>
        <w:spacing w:line="360" w:lineRule="auto"/>
        <w:rPr>
          <w:rFonts w:ascii="Arial" w:hAnsi="Arial" w:cs="Arial"/>
        </w:rPr>
      </w:pPr>
      <w:r w:rsidRPr="23E23CD4">
        <w:rPr>
          <w:rFonts w:ascii="Arial" w:hAnsi="Arial" w:cs="Arial"/>
        </w:rPr>
        <w:lastRenderedPageBreak/>
        <w:t xml:space="preserve">National dementia strategies also include performance indicators, such as waiting times for memory clinics, post-diagnostic support uptake, and care plan reviews, ensuring that services deliver </w:t>
      </w:r>
      <w:r w:rsidR="3D79F588" w:rsidRPr="23E23CD4">
        <w:rPr>
          <w:rFonts w:ascii="Arial" w:hAnsi="Arial" w:cs="Arial"/>
        </w:rPr>
        <w:t>high-quality, person-centred</w:t>
      </w:r>
      <w:r w:rsidRPr="23E23CD4">
        <w:rPr>
          <w:rFonts w:ascii="Arial" w:hAnsi="Arial" w:cs="Arial"/>
        </w:rPr>
        <w:t xml:space="preserve"> care</w:t>
      </w:r>
      <w:r w:rsidR="3E016C45" w:rsidRPr="23E23CD4">
        <w:rPr>
          <w:rFonts w:ascii="Arial" w:hAnsi="Arial" w:cs="Arial"/>
        </w:rPr>
        <w:t xml:space="preserve"> </w:t>
      </w:r>
      <w:r w:rsidR="3E016C45" w:rsidRPr="23E23CD4">
        <w:rPr>
          <w:rFonts w:ascii="Arial" w:eastAsia="Times New Roman" w:hAnsi="Arial" w:cs="Arial"/>
        </w:rPr>
        <w:t>(Cqc.org.uk, 2025)</w:t>
      </w:r>
      <w:r w:rsidRPr="23E23CD4">
        <w:rPr>
          <w:rFonts w:ascii="Arial" w:hAnsi="Arial" w:cs="Arial"/>
        </w:rPr>
        <w:t>.</w:t>
      </w:r>
    </w:p>
    <w:p w14:paraId="7550B35F" w14:textId="7A72B900" w:rsidR="0014017E" w:rsidRPr="00714D07" w:rsidRDefault="488DE53A" w:rsidP="23E23CD4">
      <w:pPr>
        <w:spacing w:line="360" w:lineRule="auto"/>
        <w:rPr>
          <w:rFonts w:ascii="Arial" w:hAnsi="Arial" w:cs="Arial"/>
        </w:rPr>
      </w:pPr>
      <w:r w:rsidRPr="23E23CD4">
        <w:rPr>
          <w:rFonts w:ascii="Arial" w:hAnsi="Arial" w:cs="Arial"/>
        </w:rPr>
        <w:t>Advancements in technology and data analytics have improved the measurement and monitoring of dementia. Electronic health records, linked datasets, and digital assessment tools allow for more precise tracking of prevalence, diagnosis rates, and disease progression. These technologies enable health authorities to identify trends, evaluate interventions, and target high-risk populations more effectively, enhancing planning and service delivery</w:t>
      </w:r>
      <w:r w:rsidR="2B5007E3" w:rsidRPr="23E23CD4">
        <w:rPr>
          <w:rFonts w:ascii="Arial" w:hAnsi="Arial" w:cs="Arial"/>
        </w:rPr>
        <w:t xml:space="preserve"> </w:t>
      </w:r>
      <w:r w:rsidR="2B5007E3" w:rsidRPr="23E23CD4">
        <w:rPr>
          <w:rFonts w:ascii="Arial" w:eastAsia="Times New Roman" w:hAnsi="Arial" w:cs="Arial"/>
        </w:rPr>
        <w:t>(England, 2025)</w:t>
      </w:r>
      <w:r w:rsidRPr="23E23CD4">
        <w:rPr>
          <w:rFonts w:ascii="Arial" w:hAnsi="Arial" w:cs="Arial"/>
        </w:rPr>
        <w:t>.</w:t>
      </w:r>
    </w:p>
    <w:p w14:paraId="27D26454" w14:textId="4F8A409E" w:rsidR="0014017E" w:rsidRPr="00714D07" w:rsidRDefault="15780E3B" w:rsidP="23E23CD4">
      <w:pPr>
        <w:spacing w:line="360" w:lineRule="auto"/>
        <w:rPr>
          <w:rFonts w:ascii="Arial" w:hAnsi="Arial" w:cs="Arial"/>
        </w:rPr>
      </w:pPr>
      <w:r w:rsidRPr="23E23CD4">
        <w:rPr>
          <w:rFonts w:ascii="Arial" w:hAnsi="Arial" w:cs="Arial"/>
        </w:rPr>
        <w:t xml:space="preserve">Longitudinal studies and epidemiological research also contribute significantly to understanding dementia. Cohort studies following individuals over time help identify early predictors of cognitive decline and evaluate the effectiveness of interventions. This evidence informs national strategies and guides policy decisions, ensuring resources are allocated efficiently to areas with the greatest need </w:t>
      </w:r>
      <w:r w:rsidR="6F27FE31" w:rsidRPr="23E23CD4">
        <w:rPr>
          <w:rFonts w:ascii="Arial" w:eastAsia="Times New Roman" w:hAnsi="Arial" w:cs="Arial"/>
        </w:rPr>
        <w:t>(WHO, 2017)</w:t>
      </w:r>
      <w:r w:rsidRPr="23E23CD4">
        <w:rPr>
          <w:rFonts w:ascii="Arial" w:hAnsi="Arial" w:cs="Arial"/>
        </w:rPr>
        <w:t>.</w:t>
      </w:r>
    </w:p>
    <w:p w14:paraId="776813E8" w14:textId="6E406FB7" w:rsidR="002E0004" w:rsidRPr="00714D07" w:rsidRDefault="178A2EF4" w:rsidP="23E23CD4">
      <w:pPr>
        <w:spacing w:line="360" w:lineRule="auto"/>
        <w:rPr>
          <w:rFonts w:ascii="Arial" w:hAnsi="Arial" w:cs="Arial"/>
        </w:rPr>
      </w:pPr>
      <w:bookmarkStart w:id="2" w:name="_Toc222665619"/>
      <w:r w:rsidRPr="23E23CD4">
        <w:rPr>
          <w:rStyle w:val="Heading2Char"/>
          <w:rFonts w:ascii="Arial" w:hAnsi="Arial" w:cs="Arial"/>
          <w:color w:val="000000" w:themeColor="text1"/>
          <w:sz w:val="28"/>
          <w:szCs w:val="28"/>
          <w:u w:val="single"/>
        </w:rPr>
        <w:t>Management and Control of Dementia</w:t>
      </w:r>
      <w:bookmarkEnd w:id="2"/>
      <w:r w:rsidR="27D06CFC" w:rsidRPr="23E23CD4">
        <w:rPr>
          <w:rFonts w:ascii="Arial" w:hAnsi="Arial" w:cs="Arial"/>
          <w:sz w:val="28"/>
          <w:szCs w:val="28"/>
          <w:u w:val="single"/>
        </w:rPr>
        <w:t xml:space="preserve">    </w:t>
      </w:r>
      <w:r w:rsidR="27D06CFC" w:rsidRPr="23E23CD4">
        <w:rPr>
          <w:rFonts w:ascii="Arial" w:hAnsi="Arial" w:cs="Arial"/>
          <w:b/>
          <w:bCs/>
        </w:rPr>
        <w:t xml:space="preserve">                                                            </w:t>
      </w:r>
      <w:r w:rsidR="709EE291" w:rsidRPr="23E23CD4">
        <w:rPr>
          <w:rFonts w:ascii="Arial" w:hAnsi="Arial" w:cs="Arial"/>
          <w:b/>
          <w:bCs/>
        </w:rPr>
        <w:t xml:space="preserve"> </w:t>
      </w:r>
      <w:r w:rsidRPr="23E23CD4">
        <w:rPr>
          <w:rFonts w:ascii="Arial" w:hAnsi="Arial" w:cs="Arial"/>
        </w:rPr>
        <w:t xml:space="preserve">As there is no cure, dementia management focuses on prevention, early diagnosis, symptom control, and support for individuals and carers. Public health approaches target modifiable risk factors, including smoking, obesity, physical inactivity, high blood pressure, and diabetes </w:t>
      </w:r>
      <w:r w:rsidR="72B25738" w:rsidRPr="23E23CD4">
        <w:rPr>
          <w:rFonts w:ascii="Arial" w:eastAsia="Times New Roman" w:hAnsi="Arial" w:cs="Arial"/>
        </w:rPr>
        <w:t>(Gov.uk, 2022)</w:t>
      </w:r>
      <w:r w:rsidRPr="23E23CD4">
        <w:rPr>
          <w:rFonts w:ascii="Arial" w:hAnsi="Arial" w:cs="Arial"/>
        </w:rPr>
        <w:t>.</w:t>
      </w:r>
    </w:p>
    <w:p w14:paraId="6ED09813" w14:textId="19571AA0" w:rsidR="002E0004" w:rsidRPr="00714D07" w:rsidRDefault="448FCB24" w:rsidP="23E23CD4">
      <w:pPr>
        <w:spacing w:line="360" w:lineRule="auto"/>
        <w:rPr>
          <w:rFonts w:ascii="Arial" w:hAnsi="Arial" w:cs="Arial"/>
        </w:rPr>
      </w:pPr>
      <w:r w:rsidRPr="23E23CD4">
        <w:rPr>
          <w:rFonts w:ascii="Arial" w:hAnsi="Arial" w:cs="Arial"/>
        </w:rPr>
        <w:t xml:space="preserve">Managing cardiovascular and other chronic conditions during midlife can lower the risk of developing dementia later in life </w:t>
      </w:r>
      <w:r w:rsidR="2BC33F73" w:rsidRPr="23E23CD4">
        <w:rPr>
          <w:rFonts w:ascii="Arial" w:eastAsia="Times New Roman" w:hAnsi="Arial" w:cs="Arial"/>
        </w:rPr>
        <w:t>(Gov.uk, 2022)</w:t>
      </w:r>
      <w:r w:rsidRPr="23E23CD4">
        <w:rPr>
          <w:rFonts w:ascii="Arial" w:hAnsi="Arial" w:cs="Arial"/>
        </w:rPr>
        <w:t>. Public health campaigns encourage healthy lifestyles, including regular physical activity, balanced diets, and cognitive stimulation.</w:t>
      </w:r>
    </w:p>
    <w:p w14:paraId="53670737" w14:textId="77777777" w:rsidR="002E0004" w:rsidRPr="00714D07" w:rsidRDefault="448FCB24" w:rsidP="23E23CD4">
      <w:pPr>
        <w:spacing w:line="360" w:lineRule="auto"/>
        <w:rPr>
          <w:rFonts w:ascii="Arial" w:hAnsi="Arial" w:cs="Arial"/>
        </w:rPr>
      </w:pPr>
      <w:r w:rsidRPr="23E23CD4">
        <w:rPr>
          <w:rFonts w:ascii="Arial" w:hAnsi="Arial" w:cs="Arial"/>
        </w:rPr>
        <w:t>Clinical management involves early diagnosis through memory clinics, ongoing monitoring, and the use of medication when appropriate, with the primary aim of maintaining independence and quality of life (Alzheimer’s Society, 2024).</w:t>
      </w:r>
    </w:p>
    <w:p w14:paraId="328C9BA1" w14:textId="6E98A301" w:rsidR="002E0004" w:rsidRPr="00714D07" w:rsidRDefault="448FCB24" w:rsidP="23E23CD4">
      <w:pPr>
        <w:spacing w:line="360" w:lineRule="auto"/>
        <w:rPr>
          <w:rFonts w:ascii="Arial" w:hAnsi="Arial" w:cs="Arial"/>
        </w:rPr>
      </w:pPr>
      <w:r w:rsidRPr="23E23CD4">
        <w:rPr>
          <w:rFonts w:ascii="Arial" w:hAnsi="Arial" w:cs="Arial"/>
        </w:rPr>
        <w:t>Community</w:t>
      </w:r>
      <w:r w:rsidR="00A33681" w:rsidRPr="23E23CD4">
        <w:rPr>
          <w:rFonts w:ascii="Arial" w:hAnsi="Arial" w:cs="Arial"/>
        </w:rPr>
        <w:t xml:space="preserve"> </w:t>
      </w:r>
      <w:r w:rsidRPr="23E23CD4">
        <w:rPr>
          <w:rFonts w:ascii="Arial" w:hAnsi="Arial" w:cs="Arial"/>
        </w:rPr>
        <w:t>based interventions, such as memory caf</w:t>
      </w:r>
      <w:r w:rsidR="00A33681" w:rsidRPr="23E23CD4">
        <w:rPr>
          <w:rFonts w:ascii="Arial" w:hAnsi="Arial" w:cs="Arial"/>
        </w:rPr>
        <w:t>e</w:t>
      </w:r>
      <w:r w:rsidRPr="23E23CD4">
        <w:rPr>
          <w:rFonts w:ascii="Arial" w:hAnsi="Arial" w:cs="Arial"/>
        </w:rPr>
        <w:t>s, structured activities, and social engagement programmes, provide cognitive stimulation, emotional support, and opportunities for social interaction. Dementia-friendly communities, including trained staff and accessible environments, help reduce stigma and support inclusion (Alzheimer’s Society, 2024).</w:t>
      </w:r>
    </w:p>
    <w:p w14:paraId="573B3060" w14:textId="1F0BAE01" w:rsidR="002E0004" w:rsidRPr="00714D07" w:rsidRDefault="178A2EF4" w:rsidP="23E23CD4">
      <w:pPr>
        <w:spacing w:line="360" w:lineRule="auto"/>
        <w:rPr>
          <w:rFonts w:ascii="Arial" w:hAnsi="Arial" w:cs="Arial"/>
        </w:rPr>
      </w:pPr>
      <w:r w:rsidRPr="23E23CD4">
        <w:rPr>
          <w:rFonts w:ascii="Arial" w:hAnsi="Arial" w:cs="Arial"/>
        </w:rPr>
        <w:t xml:space="preserve">Public awareness initiatives are essential to improve recognition of early symptoms and encourage timely help-seeking. They also help challenge societal stigma and promote healthy lifestyle behaviours </w:t>
      </w:r>
      <w:r w:rsidR="49843B46" w:rsidRPr="23E23CD4">
        <w:rPr>
          <w:rFonts w:ascii="Arial" w:eastAsia="Times New Roman" w:hAnsi="Arial" w:cs="Arial"/>
        </w:rPr>
        <w:t>(WHO, 2017)</w:t>
      </w:r>
      <w:r w:rsidRPr="23E23CD4">
        <w:rPr>
          <w:rFonts w:ascii="Arial" w:hAnsi="Arial" w:cs="Arial"/>
        </w:rPr>
        <w:t>.</w:t>
      </w:r>
      <w:r w:rsidR="022AE389" w:rsidRPr="23E23CD4">
        <w:rPr>
          <w:rFonts w:ascii="Arial" w:hAnsi="Arial" w:cs="Arial"/>
        </w:rPr>
        <w:t xml:space="preserve"> </w:t>
      </w:r>
    </w:p>
    <w:p w14:paraId="14BBB842" w14:textId="40D235A3" w:rsidR="002E0004" w:rsidRPr="00714D07" w:rsidRDefault="448FCB24" w:rsidP="23E23CD4">
      <w:pPr>
        <w:spacing w:line="360" w:lineRule="auto"/>
        <w:rPr>
          <w:rFonts w:ascii="Arial" w:hAnsi="Arial" w:cs="Arial"/>
        </w:rPr>
      </w:pPr>
      <w:r w:rsidRPr="23E23CD4">
        <w:rPr>
          <w:rFonts w:ascii="Arial" w:hAnsi="Arial" w:cs="Arial"/>
        </w:rPr>
        <w:lastRenderedPageBreak/>
        <w:t xml:space="preserve">Psychological support is equally important. Counselling, cognitive behavioural therapy, and mindfulness techniques assist individuals in managing anxiety, depression, and frustration linked to cognitive decline. Supporting emotional wellbeing benefits both individuals and carers </w:t>
      </w:r>
      <w:r w:rsidR="7053C39E" w:rsidRPr="23E23CD4">
        <w:rPr>
          <w:rFonts w:ascii="Arial" w:eastAsia="Times New Roman" w:hAnsi="Arial" w:cs="Arial"/>
        </w:rPr>
        <w:t>(Cqc.org.uk, 2025)</w:t>
      </w:r>
      <w:r w:rsidRPr="23E23CD4">
        <w:rPr>
          <w:rFonts w:ascii="Arial" w:hAnsi="Arial" w:cs="Arial"/>
        </w:rPr>
        <w:t>.</w:t>
      </w:r>
    </w:p>
    <w:p w14:paraId="0098663E" w14:textId="77777777" w:rsidR="002E0004" w:rsidRPr="00714D07" w:rsidRDefault="448FCB24" w:rsidP="23E23CD4">
      <w:pPr>
        <w:spacing w:line="360" w:lineRule="auto"/>
        <w:rPr>
          <w:rFonts w:ascii="Arial" w:hAnsi="Arial" w:cs="Arial"/>
        </w:rPr>
      </w:pPr>
      <w:r w:rsidRPr="23E23CD4">
        <w:rPr>
          <w:rFonts w:ascii="Arial" w:hAnsi="Arial" w:cs="Arial"/>
        </w:rPr>
        <w:t>Volunteer schemes and peer support programmes within communities enhance social engagement, reduce isolation, and foster a sense of belonging. Involving families, neighbours, and local groups strengthens support networks and complements clinical care (Alzheimer’s Society, 2024).</w:t>
      </w:r>
    </w:p>
    <w:p w14:paraId="7196F6B8" w14:textId="64037EA3" w:rsidR="002E0004" w:rsidRPr="00714D07" w:rsidRDefault="448FCB24" w:rsidP="23E23CD4">
      <w:pPr>
        <w:spacing w:line="360" w:lineRule="auto"/>
        <w:rPr>
          <w:rFonts w:ascii="Arial" w:hAnsi="Arial" w:cs="Arial"/>
        </w:rPr>
      </w:pPr>
      <w:r w:rsidRPr="23E23CD4">
        <w:rPr>
          <w:rFonts w:ascii="Arial" w:hAnsi="Arial" w:cs="Arial"/>
        </w:rPr>
        <w:t xml:space="preserve">Technology also plays a role in dementia management. GPS trackers, smart home systems, digital reminders, telehealth, and online support platforms increase safety, promote independence, and enable remote monitoring, particularly in rural areas </w:t>
      </w:r>
      <w:r w:rsidR="72168E75" w:rsidRPr="23E23CD4">
        <w:rPr>
          <w:rFonts w:ascii="Arial" w:eastAsia="Times New Roman" w:hAnsi="Arial" w:cs="Arial"/>
        </w:rPr>
        <w:t>(England, 2025)</w:t>
      </w:r>
      <w:r w:rsidRPr="23E23CD4">
        <w:rPr>
          <w:rFonts w:ascii="Arial" w:hAnsi="Arial" w:cs="Arial"/>
        </w:rPr>
        <w:t>.</w:t>
      </w:r>
    </w:p>
    <w:p w14:paraId="272B8B77" w14:textId="7B4B19FC" w:rsidR="002E0004" w:rsidRPr="00714D07" w:rsidRDefault="178A2EF4" w:rsidP="23E23CD4">
      <w:pPr>
        <w:spacing w:line="360" w:lineRule="auto"/>
        <w:rPr>
          <w:rFonts w:ascii="Arial" w:hAnsi="Arial" w:cs="Arial"/>
        </w:rPr>
      </w:pPr>
      <w:r w:rsidRPr="23E23CD4">
        <w:rPr>
          <w:rFonts w:ascii="Arial" w:hAnsi="Arial" w:cs="Arial"/>
        </w:rPr>
        <w:t xml:space="preserve">Ongoing research into genetics, biomarkers, and neuroimaging contributes to earlier and more accurate diagnoses, while clinical trials explore pharmacological, cognitive, and lifestyle interventions. Health services research informs policy and improves targeted care delivery </w:t>
      </w:r>
      <w:r w:rsidR="1DDCB8D7" w:rsidRPr="23E23CD4">
        <w:rPr>
          <w:rFonts w:ascii="Arial" w:eastAsia="Times New Roman" w:hAnsi="Arial" w:cs="Arial"/>
        </w:rPr>
        <w:t>(WHO, 2017)</w:t>
      </w:r>
      <w:r w:rsidRPr="23E23CD4">
        <w:rPr>
          <w:rFonts w:ascii="Arial" w:hAnsi="Arial" w:cs="Arial"/>
        </w:rPr>
        <w:t>.</w:t>
      </w:r>
    </w:p>
    <w:p w14:paraId="02F4FD63" w14:textId="493086CB" w:rsidR="009F0BB3" w:rsidRPr="00714D07" w:rsidRDefault="6DFCEF21" w:rsidP="23E23CD4">
      <w:pPr>
        <w:spacing w:line="360" w:lineRule="auto"/>
        <w:rPr>
          <w:rFonts w:ascii="Arial" w:hAnsi="Arial" w:cs="Arial"/>
        </w:rPr>
      </w:pPr>
      <w:r w:rsidRPr="23E23CD4">
        <w:rPr>
          <w:rFonts w:ascii="Arial" w:hAnsi="Arial" w:cs="Arial"/>
        </w:rPr>
        <w:t>Community</w:t>
      </w:r>
      <w:r w:rsidR="00A33681" w:rsidRPr="23E23CD4">
        <w:rPr>
          <w:rFonts w:ascii="Arial" w:hAnsi="Arial" w:cs="Arial"/>
        </w:rPr>
        <w:t xml:space="preserve"> </w:t>
      </w:r>
      <w:r w:rsidRPr="23E23CD4">
        <w:rPr>
          <w:rFonts w:ascii="Arial" w:hAnsi="Arial" w:cs="Arial"/>
        </w:rPr>
        <w:t xml:space="preserve">level prevention initiatives are also vital. Programs that encourage social participation, lifelong learning, regular physical activity, and mental stimulation help maintain cognitive function and promote healthy ageing. Nutrition education, access to recreational facilities, and exercise programmes support brain health, particularly in vulnerable populations, complementing clinical interventions and reducing pressure on health services </w:t>
      </w:r>
      <w:r w:rsidR="3AA2443F" w:rsidRPr="23E23CD4">
        <w:rPr>
          <w:rFonts w:ascii="Arial" w:eastAsia="Times New Roman" w:hAnsi="Arial" w:cs="Arial"/>
        </w:rPr>
        <w:t>(Gov.uk, 2022)</w:t>
      </w:r>
      <w:r w:rsidRPr="23E23CD4">
        <w:rPr>
          <w:rFonts w:ascii="Arial" w:hAnsi="Arial" w:cs="Arial"/>
        </w:rPr>
        <w:t>.</w:t>
      </w:r>
    </w:p>
    <w:p w14:paraId="1E65E111" w14:textId="4C4FEC34" w:rsidR="002E0004" w:rsidRPr="00714D07" w:rsidRDefault="178A2EF4" w:rsidP="23E23CD4">
      <w:pPr>
        <w:spacing w:line="360" w:lineRule="auto"/>
        <w:rPr>
          <w:rFonts w:ascii="Arial" w:hAnsi="Arial" w:cs="Arial"/>
        </w:rPr>
      </w:pPr>
      <w:bookmarkStart w:id="3" w:name="_Toc222665620"/>
      <w:r w:rsidRPr="23E23CD4">
        <w:rPr>
          <w:rStyle w:val="Heading2Char"/>
          <w:rFonts w:ascii="Arial" w:hAnsi="Arial" w:cs="Arial"/>
          <w:color w:val="000000" w:themeColor="text1"/>
          <w:sz w:val="28"/>
          <w:szCs w:val="28"/>
          <w:u w:val="single"/>
        </w:rPr>
        <w:t>Impact on Individuals, Families, and Communities</w:t>
      </w:r>
      <w:bookmarkEnd w:id="3"/>
      <w:r w:rsidR="20EFDF83" w:rsidRPr="23E23CD4">
        <w:rPr>
          <w:rFonts w:ascii="Arial" w:hAnsi="Arial" w:cs="Arial"/>
          <w:sz w:val="28"/>
          <w:szCs w:val="28"/>
          <w:u w:val="single"/>
        </w:rPr>
        <w:t xml:space="preserve"> </w:t>
      </w:r>
      <w:r w:rsidR="20EFDF83" w:rsidRPr="23E23CD4">
        <w:rPr>
          <w:rFonts w:ascii="Arial" w:hAnsi="Arial" w:cs="Arial"/>
          <w:b/>
          <w:bCs/>
        </w:rPr>
        <w:t xml:space="preserve">                          </w:t>
      </w:r>
      <w:r w:rsidR="5A004399" w:rsidRPr="23E23CD4">
        <w:rPr>
          <w:rFonts w:ascii="Arial" w:hAnsi="Arial" w:cs="Arial"/>
          <w:b/>
          <w:bCs/>
        </w:rPr>
        <w:t xml:space="preserve">    </w:t>
      </w:r>
      <w:r w:rsidR="00835077">
        <w:rPr>
          <w:rFonts w:ascii="Arial" w:hAnsi="Arial" w:cs="Arial"/>
          <w:b/>
          <w:bCs/>
        </w:rPr>
        <w:t xml:space="preserve"> </w:t>
      </w:r>
      <w:r w:rsidRPr="23E23CD4">
        <w:rPr>
          <w:rFonts w:ascii="Arial" w:hAnsi="Arial" w:cs="Arial"/>
        </w:rPr>
        <w:t>Dementia has profound effects on individuals, families, and communities. Cognitive decline leads to reduced independence, difficulties with communication and mobility, and psychological impacts such as anxiety, depression, and social isolation</w:t>
      </w:r>
      <w:r w:rsidR="4565BCB1" w:rsidRPr="23E23CD4">
        <w:rPr>
          <w:rFonts w:ascii="Arial" w:hAnsi="Arial" w:cs="Arial"/>
        </w:rPr>
        <w:t xml:space="preserve"> </w:t>
      </w:r>
      <w:r w:rsidR="4565BCB1" w:rsidRPr="23E23CD4">
        <w:rPr>
          <w:rFonts w:ascii="Arial" w:eastAsia="Times New Roman" w:hAnsi="Arial" w:cs="Arial"/>
        </w:rPr>
        <w:t>(Cqc.org.uk, 2025)</w:t>
      </w:r>
      <w:r w:rsidRPr="23E23CD4">
        <w:rPr>
          <w:rFonts w:ascii="Arial" w:hAnsi="Arial" w:cs="Arial"/>
        </w:rPr>
        <w:t>.</w:t>
      </w:r>
    </w:p>
    <w:p w14:paraId="457816CD" w14:textId="512DDEC5" w:rsidR="002E0004" w:rsidRPr="00714D07" w:rsidRDefault="448FCB24" w:rsidP="23E23CD4">
      <w:pPr>
        <w:spacing w:line="360" w:lineRule="auto"/>
        <w:rPr>
          <w:rFonts w:ascii="Arial" w:hAnsi="Arial" w:cs="Arial"/>
        </w:rPr>
      </w:pPr>
      <w:r w:rsidRPr="23E23CD4">
        <w:rPr>
          <w:rFonts w:ascii="Arial" w:hAnsi="Arial" w:cs="Arial"/>
        </w:rPr>
        <w:t xml:space="preserve">Family members and informal carers often face emotional stress, physical exhaustion, and financial pressures. Caring responsibilities can disrupt employment and social life, leading to further isolation </w:t>
      </w:r>
      <w:r w:rsidR="4A4B8110" w:rsidRPr="23E23CD4">
        <w:rPr>
          <w:rFonts w:ascii="Arial" w:eastAsia="Times New Roman" w:hAnsi="Arial" w:cs="Arial"/>
        </w:rPr>
        <w:t>(Murdoch, 2024)</w:t>
      </w:r>
      <w:r w:rsidRPr="23E23CD4">
        <w:rPr>
          <w:rFonts w:ascii="Arial" w:hAnsi="Arial" w:cs="Arial"/>
        </w:rPr>
        <w:t>.</w:t>
      </w:r>
    </w:p>
    <w:p w14:paraId="2B0F9735" w14:textId="77777777" w:rsidR="002E0004" w:rsidRPr="00714D07" w:rsidRDefault="448FCB24" w:rsidP="23E23CD4">
      <w:pPr>
        <w:spacing w:line="360" w:lineRule="auto"/>
        <w:rPr>
          <w:rFonts w:ascii="Arial" w:hAnsi="Arial" w:cs="Arial"/>
        </w:rPr>
      </w:pPr>
      <w:r w:rsidRPr="23E23CD4">
        <w:rPr>
          <w:rFonts w:ascii="Arial" w:hAnsi="Arial" w:cs="Arial"/>
        </w:rPr>
        <w:t>People with dementia may also experience reduced participation in work, volunteering, and community activities, resulting in smaller social networks and marginalisation. Structured community support is crucial to maintain social inclusion and engagement (Alzheimer’s Society, 2024).</w:t>
      </w:r>
    </w:p>
    <w:p w14:paraId="52F7F538" w14:textId="34B11F26" w:rsidR="0014017E" w:rsidRPr="00714D07" w:rsidRDefault="488DE53A" w:rsidP="23E23CD4">
      <w:pPr>
        <w:spacing w:line="360" w:lineRule="auto"/>
        <w:rPr>
          <w:rFonts w:ascii="Arial" w:hAnsi="Arial" w:cs="Arial"/>
        </w:rPr>
      </w:pPr>
      <w:r w:rsidRPr="23E23CD4">
        <w:rPr>
          <w:rFonts w:ascii="Arial" w:hAnsi="Arial" w:cs="Arial"/>
        </w:rPr>
        <w:lastRenderedPageBreak/>
        <w:t>Dementia additionally affects individuals’ social and occupational lives. Many people experience loss of employment or reduced work capacity due to cognitive decline, leading to financial insecurity and decreased social interaction. Participation in hobbies, volunteering, and community activities often declines, increasing isolation and reducing overall quality of life. Providing opportunities for engagement helps maintain identity, purpose, and emotional wellbeing for those living with dementia (Alzheimer’s Society, 2024).</w:t>
      </w:r>
    </w:p>
    <w:p w14:paraId="7F95F9A0" w14:textId="127844A2" w:rsidR="002E0004" w:rsidRPr="00714D07" w:rsidRDefault="448FCB24" w:rsidP="23E23CD4">
      <w:pPr>
        <w:spacing w:line="360" w:lineRule="auto"/>
        <w:rPr>
          <w:rFonts w:ascii="Arial" w:hAnsi="Arial" w:cs="Arial"/>
        </w:rPr>
      </w:pPr>
      <w:r w:rsidRPr="23E23CD4">
        <w:rPr>
          <w:rFonts w:ascii="Arial" w:hAnsi="Arial" w:cs="Arial"/>
        </w:rPr>
        <w:t>The economic burden of dementia is significant. In the UK, it is estimated to cost over £42 billion per year, encompassing healthcare, social care, and unpaid informal care (Alzheimer’s Society, 2024).</w:t>
      </w:r>
      <w:r w:rsidR="45CF83B4" w:rsidRPr="23E23CD4">
        <w:rPr>
          <w:rFonts w:ascii="Arial" w:hAnsi="Arial" w:cs="Arial"/>
        </w:rPr>
        <w:t xml:space="preserve"> </w:t>
      </w:r>
    </w:p>
    <w:p w14:paraId="1EE6B5F6" w14:textId="32844845" w:rsidR="002E0004" w:rsidRPr="00714D07" w:rsidRDefault="178A2EF4" w:rsidP="23E23CD4">
      <w:pPr>
        <w:spacing w:line="360" w:lineRule="auto"/>
        <w:rPr>
          <w:rFonts w:ascii="Arial" w:hAnsi="Arial" w:cs="Arial"/>
        </w:rPr>
      </w:pPr>
      <w:bookmarkStart w:id="4" w:name="_Toc222665621"/>
      <w:r w:rsidRPr="23E23CD4">
        <w:rPr>
          <w:rStyle w:val="Heading2Char"/>
          <w:rFonts w:ascii="Arial" w:hAnsi="Arial" w:cs="Arial"/>
          <w:color w:val="000000" w:themeColor="text1"/>
          <w:sz w:val="28"/>
          <w:szCs w:val="28"/>
          <w:u w:val="single"/>
        </w:rPr>
        <w:t>Health and Social Care</w:t>
      </w:r>
      <w:r w:rsidR="3FF4EFDE" w:rsidRPr="23E23CD4">
        <w:rPr>
          <w:rStyle w:val="Heading2Char"/>
          <w:rFonts w:ascii="Arial" w:hAnsi="Arial" w:cs="Arial"/>
          <w:color w:val="000000" w:themeColor="text1"/>
          <w:sz w:val="28"/>
          <w:szCs w:val="28"/>
          <w:u w:val="single"/>
        </w:rPr>
        <w:t xml:space="preserve"> </w:t>
      </w:r>
      <w:r w:rsidRPr="23E23CD4">
        <w:rPr>
          <w:rStyle w:val="Heading2Char"/>
          <w:rFonts w:ascii="Arial" w:hAnsi="Arial" w:cs="Arial"/>
          <w:color w:val="000000" w:themeColor="text1"/>
          <w:sz w:val="28"/>
          <w:szCs w:val="28"/>
          <w:u w:val="single"/>
        </w:rPr>
        <w:t>Services</w:t>
      </w:r>
      <w:bookmarkEnd w:id="4"/>
      <w:r w:rsidR="26D0423D" w:rsidRPr="23E23CD4">
        <w:rPr>
          <w:rFonts w:ascii="Arial" w:hAnsi="Arial" w:cs="Arial"/>
          <w:b/>
          <w:bCs/>
        </w:rPr>
        <w:t xml:space="preserve"> </w:t>
      </w:r>
      <w:r w:rsidR="5A8BC799" w:rsidRPr="23E23CD4">
        <w:rPr>
          <w:rFonts w:ascii="Arial" w:hAnsi="Arial" w:cs="Arial"/>
          <w:b/>
          <w:bCs/>
        </w:rPr>
        <w:t xml:space="preserve">                                                                  </w:t>
      </w:r>
      <w:r w:rsidR="12F6CDB1" w:rsidRPr="23E23CD4">
        <w:rPr>
          <w:rFonts w:ascii="Arial" w:hAnsi="Arial" w:cs="Arial"/>
          <w:b/>
          <w:bCs/>
        </w:rPr>
        <w:t xml:space="preserve">             </w:t>
      </w:r>
      <w:r w:rsidRPr="23E23CD4">
        <w:rPr>
          <w:rFonts w:ascii="Arial" w:hAnsi="Arial" w:cs="Arial"/>
        </w:rPr>
        <w:t xml:space="preserve">A wide range of health and social care services is essential to meet the needs of people with dementia. GPs and memory clinics are central to diagnosis, treatment, and care planning </w:t>
      </w:r>
      <w:r w:rsidR="0561E661" w:rsidRPr="23E23CD4">
        <w:rPr>
          <w:rFonts w:ascii="Arial" w:eastAsia="Times New Roman" w:hAnsi="Arial" w:cs="Arial"/>
        </w:rPr>
        <w:t>(Murdoch, 2024)</w:t>
      </w:r>
      <w:r w:rsidRPr="23E23CD4">
        <w:rPr>
          <w:rFonts w:ascii="Arial" w:hAnsi="Arial" w:cs="Arial"/>
        </w:rPr>
        <w:t>.</w:t>
      </w:r>
    </w:p>
    <w:p w14:paraId="13DF5A76" w14:textId="38324667" w:rsidR="002E0004" w:rsidRPr="00714D07" w:rsidRDefault="178A2EF4" w:rsidP="23E23CD4">
      <w:pPr>
        <w:spacing w:line="360" w:lineRule="auto"/>
        <w:rPr>
          <w:rFonts w:ascii="Arial" w:eastAsia="Arial" w:hAnsi="Arial" w:cs="Arial"/>
        </w:rPr>
      </w:pPr>
      <w:r w:rsidRPr="23E23CD4">
        <w:rPr>
          <w:rFonts w:ascii="Arial" w:hAnsi="Arial" w:cs="Arial"/>
        </w:rPr>
        <w:t>Community</w:t>
      </w:r>
      <w:r w:rsidR="4D82856A" w:rsidRPr="23E23CD4">
        <w:rPr>
          <w:rFonts w:ascii="Arial" w:hAnsi="Arial" w:cs="Arial"/>
        </w:rPr>
        <w:t xml:space="preserve"> </w:t>
      </w:r>
      <w:r w:rsidRPr="23E23CD4">
        <w:rPr>
          <w:rFonts w:ascii="Arial" w:hAnsi="Arial" w:cs="Arial"/>
        </w:rPr>
        <w:t>based services, including home care, day centres, and respite care, allow individuals to remain in their homes for longer, while residential and nursing care facilities provide specialist support when independent living is no longer safe</w:t>
      </w:r>
      <w:r w:rsidR="5D9E1A5E" w:rsidRPr="23E23CD4">
        <w:rPr>
          <w:rFonts w:ascii="Arial" w:hAnsi="Arial" w:cs="Arial"/>
        </w:rPr>
        <w:t xml:space="preserve"> </w:t>
      </w:r>
      <w:r w:rsidR="5D9E1A5E" w:rsidRPr="23E23CD4">
        <w:rPr>
          <w:rFonts w:ascii="Arial" w:eastAsia="Times New Roman" w:hAnsi="Arial" w:cs="Arial"/>
        </w:rPr>
        <w:t>(State of Care, n.d.).</w:t>
      </w:r>
    </w:p>
    <w:p w14:paraId="7A9E2E44" w14:textId="2A4AACC6" w:rsidR="002E0004" w:rsidRPr="00714D07" w:rsidRDefault="448FCB24" w:rsidP="23E23CD4">
      <w:pPr>
        <w:spacing w:line="360" w:lineRule="auto"/>
        <w:rPr>
          <w:rFonts w:ascii="Arial" w:eastAsia="Arial" w:hAnsi="Arial" w:cs="Arial"/>
        </w:rPr>
      </w:pPr>
      <w:r w:rsidRPr="23E23CD4">
        <w:rPr>
          <w:rFonts w:ascii="Arial" w:hAnsi="Arial" w:cs="Arial"/>
        </w:rPr>
        <w:t>Supporting carers through education, emotional support, and access to respite services is critical. Voluntary organisations provide guidance and support networks to help families manage care responsibilities</w:t>
      </w:r>
      <w:r w:rsidR="1BDE624F" w:rsidRPr="23E23CD4">
        <w:rPr>
          <w:rFonts w:ascii="Arial" w:hAnsi="Arial" w:cs="Arial"/>
        </w:rPr>
        <w:t xml:space="preserve"> </w:t>
      </w:r>
      <w:r w:rsidR="1BDE624F" w:rsidRPr="23E23CD4">
        <w:rPr>
          <w:rFonts w:ascii="Arial" w:eastAsia="Times New Roman" w:hAnsi="Arial" w:cs="Arial"/>
        </w:rPr>
        <w:t>(Cqc.org.uk, 2025).</w:t>
      </w:r>
    </w:p>
    <w:p w14:paraId="2161D8E5" w14:textId="1DE7ED7F" w:rsidR="002E0004" w:rsidRPr="00714D07" w:rsidRDefault="448FCB24" w:rsidP="23E23CD4">
      <w:pPr>
        <w:spacing w:line="360" w:lineRule="auto"/>
        <w:rPr>
          <w:rFonts w:ascii="Arial" w:hAnsi="Arial" w:cs="Arial"/>
        </w:rPr>
      </w:pPr>
      <w:r w:rsidRPr="23E23CD4">
        <w:rPr>
          <w:rFonts w:ascii="Arial" w:hAnsi="Arial" w:cs="Arial"/>
        </w:rPr>
        <w:t>Integrated service planning links health, social care, and voluntary sectors to ensure continuity of care, early intervention, and equitable access to specialised services. Workforce training and service innovation, including digital tools, enhance support for both individuals and carers</w:t>
      </w:r>
      <w:r w:rsidR="695D00F3" w:rsidRPr="23E23CD4">
        <w:rPr>
          <w:rFonts w:ascii="Arial" w:hAnsi="Arial" w:cs="Arial"/>
        </w:rPr>
        <w:t xml:space="preserve"> </w:t>
      </w:r>
      <w:r w:rsidR="695D00F3" w:rsidRPr="23E23CD4">
        <w:rPr>
          <w:rFonts w:ascii="Arial" w:eastAsia="Times New Roman" w:hAnsi="Arial" w:cs="Arial"/>
        </w:rPr>
        <w:t>(Murdoch, 2024)</w:t>
      </w:r>
      <w:r w:rsidRPr="23E23CD4">
        <w:rPr>
          <w:rFonts w:ascii="Arial" w:hAnsi="Arial" w:cs="Arial"/>
        </w:rPr>
        <w:t>.</w:t>
      </w:r>
    </w:p>
    <w:p w14:paraId="41CA9C23" w14:textId="77777777" w:rsidR="002E0004" w:rsidRPr="00714D07" w:rsidRDefault="448FCB24" w:rsidP="23E23CD4">
      <w:pPr>
        <w:spacing w:line="360" w:lineRule="auto"/>
        <w:rPr>
          <w:rFonts w:ascii="Arial" w:hAnsi="Arial" w:cs="Arial"/>
        </w:rPr>
      </w:pPr>
      <w:r w:rsidRPr="23E23CD4">
        <w:rPr>
          <w:rFonts w:ascii="Arial" w:hAnsi="Arial" w:cs="Arial"/>
        </w:rPr>
        <w:t>Multidisciplinary teams, comprising GPs, geriatricians, psychologists, occupational therapists, social workers, and care staff, deliver holistic care. Collaborative planning addresses physical, cognitive, and emotional needs while improving communication between professionals, patients, and families (Alzheimer’s Society, 2024).</w:t>
      </w:r>
    </w:p>
    <w:p w14:paraId="14D4C77B" w14:textId="083A5CC9" w:rsidR="002E0004" w:rsidRPr="00714D07" w:rsidRDefault="448FCB24" w:rsidP="23E23CD4">
      <w:pPr>
        <w:spacing w:line="360" w:lineRule="auto"/>
        <w:rPr>
          <w:rFonts w:ascii="Arial" w:hAnsi="Arial" w:cs="Arial"/>
        </w:rPr>
      </w:pPr>
      <w:r w:rsidRPr="23E23CD4">
        <w:rPr>
          <w:rFonts w:ascii="Arial" w:hAnsi="Arial" w:cs="Arial"/>
        </w:rPr>
        <w:t xml:space="preserve">Economic and policy considerations are essential for sustainable dementia care. National strategies and funding frameworks support early diagnosis, service expansion, and reduction of inequalities </w:t>
      </w:r>
      <w:r w:rsidR="2A200F60" w:rsidRPr="23E23CD4">
        <w:rPr>
          <w:rFonts w:ascii="Arial" w:eastAsia="Times New Roman" w:hAnsi="Arial" w:cs="Arial"/>
        </w:rPr>
        <w:t>(Gov.uk, 2022)</w:t>
      </w:r>
      <w:r w:rsidRPr="23E23CD4">
        <w:rPr>
          <w:rFonts w:ascii="Arial" w:hAnsi="Arial" w:cs="Arial"/>
        </w:rPr>
        <w:t>.</w:t>
      </w:r>
    </w:p>
    <w:p w14:paraId="7EABD819" w14:textId="626906A0" w:rsidR="002E0004" w:rsidRPr="00714D07" w:rsidRDefault="448FCB24" w:rsidP="23E23CD4">
      <w:pPr>
        <w:spacing w:line="360" w:lineRule="auto"/>
        <w:rPr>
          <w:rFonts w:ascii="Arial" w:hAnsi="Arial" w:cs="Arial"/>
        </w:rPr>
      </w:pPr>
      <w:r w:rsidRPr="23E23CD4">
        <w:rPr>
          <w:rFonts w:ascii="Arial" w:hAnsi="Arial" w:cs="Arial"/>
        </w:rPr>
        <w:t xml:space="preserve">Developing person-centred care pathways ensures services can anticipate the growing needs of the dementia population, promoting efficient, equitable, and </w:t>
      </w:r>
      <w:proofErr w:type="gramStart"/>
      <w:r w:rsidRPr="23E23CD4">
        <w:rPr>
          <w:rFonts w:ascii="Arial" w:hAnsi="Arial" w:cs="Arial"/>
        </w:rPr>
        <w:t>high</w:t>
      </w:r>
      <w:r w:rsidR="003D4A59" w:rsidRPr="23E23CD4">
        <w:rPr>
          <w:rFonts w:ascii="Arial" w:hAnsi="Arial" w:cs="Arial"/>
        </w:rPr>
        <w:t xml:space="preserve"> </w:t>
      </w:r>
      <w:r w:rsidRPr="23E23CD4">
        <w:rPr>
          <w:rFonts w:ascii="Arial" w:hAnsi="Arial" w:cs="Arial"/>
        </w:rPr>
        <w:t>quality</w:t>
      </w:r>
      <w:proofErr w:type="gramEnd"/>
      <w:r w:rsidRPr="23E23CD4">
        <w:rPr>
          <w:rFonts w:ascii="Arial" w:hAnsi="Arial" w:cs="Arial"/>
        </w:rPr>
        <w:t xml:space="preserve"> care.</w:t>
      </w:r>
    </w:p>
    <w:p w14:paraId="5984C758" w14:textId="648AD954" w:rsidR="009F0BB3" w:rsidRPr="00714D07" w:rsidRDefault="178A2EF4" w:rsidP="23E23CD4">
      <w:pPr>
        <w:spacing w:line="360" w:lineRule="auto"/>
        <w:rPr>
          <w:rFonts w:ascii="Arial" w:hAnsi="Arial" w:cs="Arial"/>
        </w:rPr>
      </w:pPr>
      <w:bookmarkStart w:id="5" w:name="_Toc222665622"/>
      <w:r w:rsidRPr="23E23CD4">
        <w:rPr>
          <w:rStyle w:val="Heading2Char"/>
          <w:rFonts w:ascii="Arial" w:hAnsi="Arial" w:cs="Arial"/>
          <w:color w:val="000000" w:themeColor="text1"/>
          <w:sz w:val="28"/>
          <w:szCs w:val="28"/>
          <w:u w:val="single"/>
        </w:rPr>
        <w:lastRenderedPageBreak/>
        <w:t>Conclusion</w:t>
      </w:r>
      <w:bookmarkEnd w:id="5"/>
      <w:r w:rsidR="71AEA90D" w:rsidRPr="23E23CD4">
        <w:rPr>
          <w:rFonts w:ascii="Arial" w:hAnsi="Arial" w:cs="Arial"/>
          <w:sz w:val="28"/>
          <w:szCs w:val="28"/>
          <w:u w:val="single"/>
        </w:rPr>
        <w:t xml:space="preserve">   </w:t>
      </w:r>
      <w:r w:rsidR="71AEA90D" w:rsidRPr="23E23CD4">
        <w:rPr>
          <w:rFonts w:ascii="Arial" w:hAnsi="Arial" w:cs="Arial"/>
          <w:b/>
          <w:bCs/>
        </w:rPr>
        <w:t xml:space="preserve">                                                                                                                          </w:t>
      </w:r>
      <w:r w:rsidR="7EF5C936" w:rsidRPr="23E23CD4">
        <w:rPr>
          <w:rFonts w:ascii="Arial" w:hAnsi="Arial" w:cs="Arial"/>
        </w:rPr>
        <w:t xml:space="preserve">Dementia is an escalating public health challenge with serious consequences for individuals, families, and society. Rising prevalence in the UK and globally increases demand on health and social care services </w:t>
      </w:r>
      <w:r w:rsidR="089C397A" w:rsidRPr="23E23CD4">
        <w:rPr>
          <w:rFonts w:ascii="Arial" w:eastAsia="Times New Roman" w:hAnsi="Arial" w:cs="Arial"/>
        </w:rPr>
        <w:t>(WHO, 2017</w:t>
      </w:r>
      <w:r w:rsidR="7EF5C936" w:rsidRPr="23E23CD4">
        <w:rPr>
          <w:rFonts w:ascii="Arial" w:hAnsi="Arial" w:cs="Arial"/>
        </w:rPr>
        <w:t xml:space="preserve">; Alzheimer’s Society, 2024). While there </w:t>
      </w:r>
      <w:r w:rsidR="735A23DF" w:rsidRPr="23E23CD4">
        <w:rPr>
          <w:rFonts w:ascii="Arial" w:hAnsi="Arial" w:cs="Arial"/>
        </w:rPr>
        <w:t>are</w:t>
      </w:r>
      <w:r w:rsidR="7EF5C936" w:rsidRPr="23E23CD4">
        <w:rPr>
          <w:rFonts w:ascii="Arial" w:hAnsi="Arial" w:cs="Arial"/>
        </w:rPr>
        <w:t xml:space="preserve"> no cure, prevention, early diagnosis, symptom management, and social support are crucial to maintaining quality of life.</w:t>
      </w:r>
    </w:p>
    <w:p w14:paraId="55E07194" w14:textId="77777777" w:rsidR="009F0BB3" w:rsidRPr="00714D07" w:rsidRDefault="6DFCEF21" w:rsidP="23E23CD4">
      <w:pPr>
        <w:spacing w:line="360" w:lineRule="auto"/>
        <w:rPr>
          <w:rFonts w:ascii="Arial" w:hAnsi="Arial" w:cs="Arial"/>
        </w:rPr>
      </w:pPr>
      <w:r w:rsidRPr="23E23CD4">
        <w:rPr>
          <w:rFonts w:ascii="Arial" w:hAnsi="Arial" w:cs="Arial"/>
        </w:rPr>
        <w:t>Community engagement, technological innovation, and ongoing research enhance care delivery and slow disease progression. Supporting carers helps mitigate emotional, physical, and financial pressures.</w:t>
      </w:r>
    </w:p>
    <w:p w14:paraId="482D7C2D" w14:textId="77777777" w:rsidR="009F0BB3" w:rsidRPr="00714D07" w:rsidRDefault="6DFCEF21" w:rsidP="23E23CD4">
      <w:pPr>
        <w:spacing w:line="360" w:lineRule="auto"/>
        <w:rPr>
          <w:rFonts w:ascii="Arial" w:hAnsi="Arial" w:cs="Arial"/>
        </w:rPr>
      </w:pPr>
      <w:r w:rsidRPr="23E23CD4">
        <w:rPr>
          <w:rFonts w:ascii="Arial" w:hAnsi="Arial" w:cs="Arial"/>
        </w:rPr>
        <w:t>Integrated, person-centred approaches, early intervention, workforce development, and public awareness are essential to meet the growing number of dementia cases. Strengthening support networks and promoting social inclusion are key to improving wellbeing and empowering individuals living with dementia.</w:t>
      </w:r>
    </w:p>
    <w:p w14:paraId="1CA3CC6B" w14:textId="15EA02E3" w:rsidR="009F0BB3" w:rsidRPr="00714D07" w:rsidRDefault="6DFCEF21" w:rsidP="23E23CD4">
      <w:pPr>
        <w:spacing w:line="360" w:lineRule="auto"/>
        <w:rPr>
          <w:rFonts w:ascii="Arial" w:hAnsi="Arial" w:cs="Arial"/>
        </w:rPr>
      </w:pPr>
      <w:r w:rsidRPr="23E23CD4">
        <w:rPr>
          <w:rFonts w:ascii="Arial" w:hAnsi="Arial" w:cs="Arial"/>
        </w:rPr>
        <w:t>Advancing dementia care will require continued investment in research for innovative treatments and care strategies. Finally, raising societal awareness and fostering dementia</w:t>
      </w:r>
      <w:r w:rsidR="003D4A59" w:rsidRPr="23E23CD4">
        <w:rPr>
          <w:rFonts w:ascii="Arial" w:hAnsi="Arial" w:cs="Arial"/>
        </w:rPr>
        <w:t xml:space="preserve"> </w:t>
      </w:r>
      <w:r w:rsidRPr="23E23CD4">
        <w:rPr>
          <w:rFonts w:ascii="Arial" w:hAnsi="Arial" w:cs="Arial"/>
        </w:rPr>
        <w:t>friendly environments will help reduce stigma and promote dignity for all affected individuals.</w:t>
      </w:r>
    </w:p>
    <w:p w14:paraId="18700855" w14:textId="77777777" w:rsidR="009F0BB3" w:rsidRPr="009F0BB3" w:rsidRDefault="009F0BB3" w:rsidP="009F0BB3">
      <w:pPr>
        <w:spacing w:line="360" w:lineRule="auto"/>
        <w:rPr>
          <w:rFonts w:ascii="Arial" w:hAnsi="Arial" w:cs="Arial"/>
        </w:rPr>
      </w:pPr>
    </w:p>
    <w:p w14:paraId="79ABAE7B" w14:textId="77777777" w:rsidR="009F0BB3" w:rsidRPr="002E0004" w:rsidRDefault="009F0BB3" w:rsidP="002E0004">
      <w:pPr>
        <w:spacing w:line="360" w:lineRule="auto"/>
        <w:rPr>
          <w:rFonts w:ascii="Arial" w:hAnsi="Arial" w:cs="Arial"/>
        </w:rPr>
      </w:pPr>
    </w:p>
    <w:p w14:paraId="715AC9F3" w14:textId="77777777" w:rsidR="002E0004" w:rsidRDefault="002E0004" w:rsidP="002E0004">
      <w:pPr>
        <w:spacing w:line="360" w:lineRule="auto"/>
        <w:rPr>
          <w:rFonts w:ascii="Arial" w:hAnsi="Arial" w:cs="Arial"/>
          <w:b/>
          <w:bCs/>
        </w:rPr>
      </w:pPr>
    </w:p>
    <w:p w14:paraId="4BEC5C80" w14:textId="77777777" w:rsidR="002E0004" w:rsidRDefault="002E0004" w:rsidP="002E0004">
      <w:pPr>
        <w:spacing w:line="360" w:lineRule="auto"/>
        <w:rPr>
          <w:rFonts w:ascii="Arial" w:hAnsi="Arial" w:cs="Arial"/>
          <w:b/>
          <w:bCs/>
        </w:rPr>
      </w:pPr>
    </w:p>
    <w:p w14:paraId="79C00481" w14:textId="77777777" w:rsidR="002E0004" w:rsidRDefault="002E0004" w:rsidP="002E0004">
      <w:pPr>
        <w:spacing w:line="360" w:lineRule="auto"/>
        <w:rPr>
          <w:rFonts w:ascii="Arial" w:hAnsi="Arial" w:cs="Arial"/>
          <w:b/>
          <w:bCs/>
        </w:rPr>
      </w:pPr>
    </w:p>
    <w:p w14:paraId="1904B0D4" w14:textId="27087CA0" w:rsidR="50982371" w:rsidRDefault="50982371" w:rsidP="50982371">
      <w:pPr>
        <w:pStyle w:val="Heading2"/>
        <w:spacing w:line="360" w:lineRule="auto"/>
        <w:rPr>
          <w:rFonts w:ascii="Arial" w:hAnsi="Arial" w:cs="Arial"/>
          <w:color w:val="000000" w:themeColor="text1"/>
          <w:sz w:val="28"/>
          <w:szCs w:val="28"/>
          <w:u w:val="single"/>
        </w:rPr>
      </w:pPr>
    </w:p>
    <w:p w14:paraId="51D80B36" w14:textId="0BBE7193" w:rsidR="002E0004" w:rsidRDefault="178A2EF4" w:rsidP="23E23CD4">
      <w:pPr>
        <w:pStyle w:val="Heading2"/>
        <w:spacing w:line="360" w:lineRule="auto"/>
        <w:rPr>
          <w:rFonts w:ascii="Arial" w:hAnsi="Arial" w:cs="Arial"/>
          <w:color w:val="000000" w:themeColor="text1"/>
          <w:sz w:val="28"/>
          <w:szCs w:val="28"/>
          <w:u w:val="single" w:color="000000" w:themeColor="text1"/>
        </w:rPr>
      </w:pPr>
      <w:bookmarkStart w:id="6" w:name="_Toc222665623"/>
      <w:r w:rsidRPr="50982371">
        <w:rPr>
          <w:rFonts w:ascii="Arial" w:hAnsi="Arial" w:cs="Arial"/>
          <w:color w:val="000000" w:themeColor="text1"/>
          <w:sz w:val="28"/>
          <w:szCs w:val="28"/>
          <w:u w:val="single"/>
        </w:rPr>
        <w:t>Reference</w:t>
      </w:r>
      <w:r w:rsidR="03CA0D9C" w:rsidRPr="50982371">
        <w:rPr>
          <w:rFonts w:ascii="Arial" w:hAnsi="Arial" w:cs="Arial"/>
          <w:color w:val="000000" w:themeColor="text1"/>
          <w:sz w:val="28"/>
          <w:szCs w:val="28"/>
          <w:u w:val="single"/>
        </w:rPr>
        <w:t>s</w:t>
      </w:r>
      <w:bookmarkEnd w:id="6"/>
    </w:p>
    <w:p w14:paraId="763C3460" w14:textId="31F3DC89" w:rsidR="002E0004" w:rsidRPr="002E0004" w:rsidRDefault="31CA6A34" w:rsidP="50982371">
      <w:pPr>
        <w:spacing w:after="240" w:line="360" w:lineRule="auto"/>
      </w:pPr>
      <w:r w:rsidRPr="50982371">
        <w:rPr>
          <w:rFonts w:ascii="Times New Roman" w:eastAsia="Times New Roman" w:hAnsi="Times New Roman" w:cs="Times New Roman"/>
          <w:sz w:val="24"/>
          <w:szCs w:val="24"/>
        </w:rPr>
        <w:t xml:space="preserve">Alzheimer’s Society. (2024). </w:t>
      </w:r>
      <w:r w:rsidRPr="50982371">
        <w:rPr>
          <w:rFonts w:ascii="Times New Roman" w:eastAsia="Times New Roman" w:hAnsi="Times New Roman" w:cs="Times New Roman"/>
          <w:i/>
          <w:iCs/>
          <w:sz w:val="24"/>
          <w:szCs w:val="24"/>
        </w:rPr>
        <w:t>What are the costs of dementia diagnosis and care in the UK?</w:t>
      </w:r>
      <w:r w:rsidRPr="50982371">
        <w:rPr>
          <w:rFonts w:ascii="Times New Roman" w:eastAsia="Times New Roman" w:hAnsi="Times New Roman" w:cs="Times New Roman"/>
          <w:sz w:val="24"/>
          <w:szCs w:val="24"/>
        </w:rPr>
        <w:t xml:space="preserve"> [online] Available at: </w:t>
      </w:r>
      <w:hyperlink r:id="rId11">
        <w:r w:rsidRPr="50982371">
          <w:rPr>
            <w:rStyle w:val="Hyperlink"/>
            <w:rFonts w:ascii="Times New Roman" w:eastAsia="Times New Roman" w:hAnsi="Times New Roman" w:cs="Times New Roman"/>
            <w:sz w:val="24"/>
            <w:szCs w:val="24"/>
          </w:rPr>
          <w:t>https://www.alzheimers.org.uk/what-we-do/policy-and-influencing/dementia-scale-impact-numbers</w:t>
        </w:r>
      </w:hyperlink>
      <w:r w:rsidRPr="50982371">
        <w:rPr>
          <w:rFonts w:ascii="Times New Roman" w:eastAsia="Times New Roman" w:hAnsi="Times New Roman" w:cs="Times New Roman"/>
          <w:sz w:val="24"/>
          <w:szCs w:val="24"/>
        </w:rPr>
        <w:t xml:space="preserve"> [Accessed 18 Feb. 2026].</w:t>
      </w:r>
    </w:p>
    <w:p w14:paraId="114C5684" w14:textId="2E536B6A" w:rsidR="002E0004" w:rsidRPr="002E0004" w:rsidRDefault="764ADED8" w:rsidP="2C13FA99">
      <w:pPr>
        <w:spacing w:after="240" w:line="360" w:lineRule="auto"/>
      </w:pPr>
      <w:r w:rsidRPr="2C13FA99">
        <w:rPr>
          <w:rFonts w:ascii="Times New Roman" w:eastAsia="Times New Roman" w:hAnsi="Times New Roman" w:cs="Times New Roman"/>
          <w:sz w:val="24"/>
          <w:szCs w:val="24"/>
        </w:rPr>
        <w:t xml:space="preserve">Cqc.org.uk. (2025). </w:t>
      </w:r>
      <w:r w:rsidRPr="2C13FA99">
        <w:rPr>
          <w:rFonts w:ascii="Times New Roman" w:eastAsia="Times New Roman" w:hAnsi="Times New Roman" w:cs="Times New Roman"/>
          <w:i/>
          <w:iCs/>
          <w:sz w:val="24"/>
          <w:szCs w:val="24"/>
        </w:rPr>
        <w:t>People with Dementia - Care Quality Commission</w:t>
      </w:r>
      <w:r w:rsidRPr="2C13FA99">
        <w:rPr>
          <w:rFonts w:ascii="Times New Roman" w:eastAsia="Times New Roman" w:hAnsi="Times New Roman" w:cs="Times New Roman"/>
          <w:sz w:val="24"/>
          <w:szCs w:val="24"/>
        </w:rPr>
        <w:t xml:space="preserve">. [online] Available at: </w:t>
      </w:r>
      <w:hyperlink r:id="rId12">
        <w:r w:rsidRPr="2C13FA99">
          <w:rPr>
            <w:rStyle w:val="Hyperlink"/>
            <w:rFonts w:ascii="Times New Roman" w:eastAsia="Times New Roman" w:hAnsi="Times New Roman" w:cs="Times New Roman"/>
            <w:sz w:val="24"/>
            <w:szCs w:val="24"/>
          </w:rPr>
          <w:t>https://www.cqc.org.uk/publications/major-report/state-care/2024-2025/focus/dementia</w:t>
        </w:r>
      </w:hyperlink>
      <w:r w:rsidRPr="2C13FA99">
        <w:rPr>
          <w:rFonts w:ascii="Times New Roman" w:eastAsia="Times New Roman" w:hAnsi="Times New Roman" w:cs="Times New Roman"/>
          <w:sz w:val="24"/>
          <w:szCs w:val="24"/>
        </w:rPr>
        <w:t xml:space="preserve"> [Accessed 18 Feb. 2026].</w:t>
      </w:r>
    </w:p>
    <w:p w14:paraId="315D01DC" w14:textId="29CDC6FA" w:rsidR="002E0004" w:rsidRPr="002E0004" w:rsidRDefault="2542AF11" w:rsidP="2C13FA99">
      <w:pPr>
        <w:spacing w:after="240" w:line="360" w:lineRule="auto"/>
      </w:pPr>
      <w:r w:rsidRPr="2C13FA99">
        <w:rPr>
          <w:rFonts w:ascii="Times New Roman" w:eastAsia="Times New Roman" w:hAnsi="Times New Roman" w:cs="Times New Roman"/>
          <w:sz w:val="24"/>
          <w:szCs w:val="24"/>
        </w:rPr>
        <w:lastRenderedPageBreak/>
        <w:t xml:space="preserve">State of Care. (n.d.). Available at: </w:t>
      </w:r>
      <w:hyperlink r:id="rId13">
        <w:r w:rsidRPr="2C13FA99">
          <w:rPr>
            <w:rStyle w:val="Hyperlink"/>
            <w:rFonts w:ascii="Times New Roman" w:eastAsia="Times New Roman" w:hAnsi="Times New Roman" w:cs="Times New Roman"/>
            <w:sz w:val="24"/>
            <w:szCs w:val="24"/>
          </w:rPr>
          <w:t>https://assets.publishing.service.gov.uk/media/68fa3b4fe200d653d8b63735/care-quality-commission-state-of-health-care-and-adult-social-care-England-2024-2025.pdf</w:t>
        </w:r>
      </w:hyperlink>
      <w:r w:rsidRPr="2C13FA99">
        <w:rPr>
          <w:rFonts w:ascii="Times New Roman" w:eastAsia="Times New Roman" w:hAnsi="Times New Roman" w:cs="Times New Roman"/>
          <w:sz w:val="24"/>
          <w:szCs w:val="24"/>
        </w:rPr>
        <w:t xml:space="preserve"> [Accessed 19 Feb. 2026].</w:t>
      </w:r>
    </w:p>
    <w:p w14:paraId="0DE4CB39" w14:textId="432A71EC" w:rsidR="002E0004" w:rsidRPr="002E0004" w:rsidRDefault="4F93EDCD" w:rsidP="2C13FA99">
      <w:pPr>
        <w:spacing w:after="240" w:line="360" w:lineRule="auto"/>
      </w:pPr>
      <w:r w:rsidRPr="2C13FA99">
        <w:rPr>
          <w:rFonts w:ascii="Times New Roman" w:eastAsia="Times New Roman" w:hAnsi="Times New Roman" w:cs="Times New Roman"/>
          <w:sz w:val="24"/>
          <w:szCs w:val="24"/>
        </w:rPr>
        <w:t xml:space="preserve">England, N. (2025). </w:t>
      </w:r>
      <w:r w:rsidRPr="2C13FA99">
        <w:rPr>
          <w:rFonts w:ascii="Times New Roman" w:eastAsia="Times New Roman" w:hAnsi="Times New Roman" w:cs="Times New Roman"/>
          <w:i/>
          <w:iCs/>
          <w:sz w:val="24"/>
          <w:szCs w:val="24"/>
        </w:rPr>
        <w:t>NHS England» NHS supporting record numbers of people living with dementia</w:t>
      </w:r>
      <w:r w:rsidRPr="2C13FA99">
        <w:rPr>
          <w:rFonts w:ascii="Times New Roman" w:eastAsia="Times New Roman" w:hAnsi="Times New Roman" w:cs="Times New Roman"/>
          <w:sz w:val="24"/>
          <w:szCs w:val="24"/>
        </w:rPr>
        <w:t xml:space="preserve">. [online] England.nhs.uk. Available at: </w:t>
      </w:r>
      <w:hyperlink r:id="rId14">
        <w:r w:rsidRPr="2C13FA99">
          <w:rPr>
            <w:rStyle w:val="Hyperlink"/>
            <w:rFonts w:ascii="Times New Roman" w:eastAsia="Times New Roman" w:hAnsi="Times New Roman" w:cs="Times New Roman"/>
            <w:sz w:val="24"/>
            <w:szCs w:val="24"/>
          </w:rPr>
          <w:t>https://www.england.nhs.uk/2025/08/nhs-supporting-record-numbers-of-people-living-with-dementia/</w:t>
        </w:r>
      </w:hyperlink>
      <w:r w:rsidRPr="2C13FA99">
        <w:rPr>
          <w:rFonts w:ascii="Times New Roman" w:eastAsia="Times New Roman" w:hAnsi="Times New Roman" w:cs="Times New Roman"/>
          <w:sz w:val="24"/>
          <w:szCs w:val="24"/>
        </w:rPr>
        <w:t xml:space="preserve"> [Accessed 19 Feb. 2026].</w:t>
      </w:r>
    </w:p>
    <w:p w14:paraId="2293ED56" w14:textId="347A7017" w:rsidR="002E0004" w:rsidRPr="002E0004" w:rsidRDefault="12A20B93" w:rsidP="2C13FA99">
      <w:pPr>
        <w:spacing w:after="240" w:line="360" w:lineRule="auto"/>
      </w:pPr>
      <w:r w:rsidRPr="2C13FA99">
        <w:rPr>
          <w:rFonts w:ascii="Times New Roman" w:eastAsia="Times New Roman" w:hAnsi="Times New Roman" w:cs="Times New Roman"/>
          <w:sz w:val="24"/>
          <w:szCs w:val="24"/>
        </w:rPr>
        <w:t xml:space="preserve">Murdoch, C. (2024). </w:t>
      </w:r>
      <w:r w:rsidRPr="2C13FA99">
        <w:rPr>
          <w:rFonts w:ascii="Times New Roman" w:eastAsia="Times New Roman" w:hAnsi="Times New Roman" w:cs="Times New Roman"/>
          <w:i/>
          <w:iCs/>
          <w:sz w:val="24"/>
          <w:szCs w:val="24"/>
        </w:rPr>
        <w:t>NHS England» Dementia programme and preparation for new Alzheimer’s disease modifying treatments</w:t>
      </w:r>
      <w:r w:rsidRPr="2C13FA99">
        <w:rPr>
          <w:rFonts w:ascii="Times New Roman" w:eastAsia="Times New Roman" w:hAnsi="Times New Roman" w:cs="Times New Roman"/>
          <w:sz w:val="24"/>
          <w:szCs w:val="24"/>
        </w:rPr>
        <w:t xml:space="preserve">. [online] </w:t>
      </w:r>
      <w:hyperlink r:id="rId15">
        <w:r w:rsidRPr="2C13FA99">
          <w:rPr>
            <w:rStyle w:val="Hyperlink"/>
            <w:rFonts w:ascii="Times New Roman" w:eastAsia="Times New Roman" w:hAnsi="Times New Roman" w:cs="Times New Roman"/>
            <w:sz w:val="24"/>
            <w:szCs w:val="24"/>
          </w:rPr>
          <w:t>www.england.nhs.uk</w:t>
        </w:r>
      </w:hyperlink>
      <w:r w:rsidRPr="2C13FA99">
        <w:rPr>
          <w:rFonts w:ascii="Times New Roman" w:eastAsia="Times New Roman" w:hAnsi="Times New Roman" w:cs="Times New Roman"/>
          <w:sz w:val="24"/>
          <w:szCs w:val="24"/>
        </w:rPr>
        <w:t xml:space="preserve">. Available at: </w:t>
      </w:r>
      <w:hyperlink r:id="rId16">
        <w:r w:rsidRPr="2C13FA99">
          <w:rPr>
            <w:rStyle w:val="Hyperlink"/>
            <w:rFonts w:ascii="Times New Roman" w:eastAsia="Times New Roman" w:hAnsi="Times New Roman" w:cs="Times New Roman"/>
            <w:sz w:val="24"/>
            <w:szCs w:val="24"/>
          </w:rPr>
          <w:t>https://www.england.nhs.uk/long-read/dementia-programme-and-preparation-for-new-alzheimers-disease-modifying-treatments/</w:t>
        </w:r>
      </w:hyperlink>
      <w:r w:rsidRPr="2C13FA99">
        <w:rPr>
          <w:rFonts w:ascii="Times New Roman" w:eastAsia="Times New Roman" w:hAnsi="Times New Roman" w:cs="Times New Roman"/>
          <w:sz w:val="24"/>
          <w:szCs w:val="24"/>
        </w:rPr>
        <w:t xml:space="preserve"> [Accessed 20 Feb. 2026].</w:t>
      </w:r>
    </w:p>
    <w:p w14:paraId="42C4EFB5" w14:textId="03E098CE" w:rsidR="002E0004" w:rsidRPr="002E0004" w:rsidRDefault="00A08E44" w:rsidP="2C13FA99">
      <w:pPr>
        <w:spacing w:after="240" w:line="360" w:lineRule="auto"/>
      </w:pPr>
      <w:r w:rsidRPr="2C13FA99">
        <w:rPr>
          <w:rFonts w:ascii="Times New Roman" w:eastAsia="Times New Roman" w:hAnsi="Times New Roman" w:cs="Times New Roman"/>
          <w:sz w:val="24"/>
          <w:szCs w:val="24"/>
        </w:rPr>
        <w:t xml:space="preserve">Gov.uk (2022). </w:t>
      </w:r>
      <w:r w:rsidRPr="2C13FA99">
        <w:rPr>
          <w:rFonts w:ascii="Times New Roman" w:eastAsia="Times New Roman" w:hAnsi="Times New Roman" w:cs="Times New Roman"/>
          <w:i/>
          <w:iCs/>
          <w:sz w:val="24"/>
          <w:szCs w:val="24"/>
        </w:rPr>
        <w:t>Dementia: Applying All Our Health</w:t>
      </w:r>
      <w:r w:rsidRPr="2C13FA99">
        <w:rPr>
          <w:rFonts w:ascii="Times New Roman" w:eastAsia="Times New Roman" w:hAnsi="Times New Roman" w:cs="Times New Roman"/>
          <w:sz w:val="24"/>
          <w:szCs w:val="24"/>
        </w:rPr>
        <w:t xml:space="preserve">. [online] GOV.UK. Available at: </w:t>
      </w:r>
      <w:hyperlink r:id="rId17">
        <w:r w:rsidRPr="2C13FA99">
          <w:rPr>
            <w:rStyle w:val="Hyperlink"/>
            <w:rFonts w:ascii="Times New Roman" w:eastAsia="Times New Roman" w:hAnsi="Times New Roman" w:cs="Times New Roman"/>
            <w:sz w:val="24"/>
            <w:szCs w:val="24"/>
          </w:rPr>
          <w:t>https://www.gov.uk/government/publications/dementia-applying-all-our-health/dementia-applying-all-our-health</w:t>
        </w:r>
      </w:hyperlink>
      <w:r w:rsidRPr="2C13FA99">
        <w:rPr>
          <w:rFonts w:ascii="Times New Roman" w:eastAsia="Times New Roman" w:hAnsi="Times New Roman" w:cs="Times New Roman"/>
          <w:sz w:val="24"/>
          <w:szCs w:val="24"/>
        </w:rPr>
        <w:t xml:space="preserve"> [Accessed 20 Feb. 2026].</w:t>
      </w:r>
    </w:p>
    <w:p w14:paraId="67B31C4F" w14:textId="798748CC" w:rsidR="002E0004" w:rsidRPr="002E0004" w:rsidRDefault="7192E43D" w:rsidP="2C13FA99">
      <w:pPr>
        <w:spacing w:after="240" w:line="360" w:lineRule="auto"/>
      </w:pPr>
      <w:r w:rsidRPr="2C13FA99">
        <w:rPr>
          <w:rFonts w:ascii="Times New Roman" w:eastAsia="Times New Roman" w:hAnsi="Times New Roman" w:cs="Times New Roman"/>
          <w:sz w:val="24"/>
          <w:szCs w:val="24"/>
        </w:rPr>
        <w:t xml:space="preserve">WHO (2017). </w:t>
      </w:r>
      <w:r w:rsidRPr="2C13FA99">
        <w:rPr>
          <w:rFonts w:ascii="Times New Roman" w:eastAsia="Times New Roman" w:hAnsi="Times New Roman" w:cs="Times New Roman"/>
          <w:i/>
          <w:iCs/>
          <w:sz w:val="24"/>
          <w:szCs w:val="24"/>
        </w:rPr>
        <w:t>Global Action Plan on the Public Health Response to Dementia 2017 - 2025</w:t>
      </w:r>
      <w:r w:rsidRPr="2C13FA99">
        <w:rPr>
          <w:rFonts w:ascii="Times New Roman" w:eastAsia="Times New Roman" w:hAnsi="Times New Roman" w:cs="Times New Roman"/>
          <w:sz w:val="24"/>
          <w:szCs w:val="24"/>
        </w:rPr>
        <w:t xml:space="preserve">. [online] </w:t>
      </w:r>
      <w:hyperlink r:id="rId18">
        <w:r w:rsidRPr="2C13FA99">
          <w:rPr>
            <w:rStyle w:val="Hyperlink"/>
            <w:rFonts w:ascii="Times New Roman" w:eastAsia="Times New Roman" w:hAnsi="Times New Roman" w:cs="Times New Roman"/>
            <w:sz w:val="24"/>
            <w:szCs w:val="24"/>
          </w:rPr>
          <w:t>www.who.int</w:t>
        </w:r>
      </w:hyperlink>
      <w:r w:rsidRPr="2C13FA99">
        <w:rPr>
          <w:rFonts w:ascii="Times New Roman" w:eastAsia="Times New Roman" w:hAnsi="Times New Roman" w:cs="Times New Roman"/>
          <w:sz w:val="24"/>
          <w:szCs w:val="24"/>
        </w:rPr>
        <w:t xml:space="preserve">. Available at: </w:t>
      </w:r>
      <w:hyperlink r:id="rId19">
        <w:r w:rsidRPr="2C13FA99">
          <w:rPr>
            <w:rStyle w:val="Hyperlink"/>
            <w:rFonts w:ascii="Times New Roman" w:eastAsia="Times New Roman" w:hAnsi="Times New Roman" w:cs="Times New Roman"/>
            <w:sz w:val="24"/>
            <w:szCs w:val="24"/>
          </w:rPr>
          <w:t>https://www.who.int/publications/i/item/global-action-plan-on-the-public-health-response-to-dementia-2017---2025</w:t>
        </w:r>
      </w:hyperlink>
      <w:r w:rsidRPr="2C13FA99">
        <w:rPr>
          <w:rFonts w:ascii="Times New Roman" w:eastAsia="Times New Roman" w:hAnsi="Times New Roman" w:cs="Times New Roman"/>
          <w:sz w:val="24"/>
          <w:szCs w:val="24"/>
        </w:rPr>
        <w:t xml:space="preserve"> [Accessed 20 Feb. 2026].</w:t>
      </w:r>
    </w:p>
    <w:p w14:paraId="6E0D6968" w14:textId="2AB93D17" w:rsidR="002E0004" w:rsidRPr="002E0004" w:rsidRDefault="002E0004" w:rsidP="2C13FA99">
      <w:pPr>
        <w:spacing w:after="240" w:line="360" w:lineRule="auto"/>
        <w:rPr>
          <w:rFonts w:ascii="Times New Roman" w:eastAsia="Times New Roman" w:hAnsi="Times New Roman" w:cs="Times New Roman"/>
        </w:rPr>
      </w:pPr>
    </w:p>
    <w:p w14:paraId="34E68E6E" w14:textId="28D4F5FE" w:rsidR="5EFCA15D" w:rsidRDefault="5EFCA15D" w:rsidP="23E23CD4">
      <w:pPr>
        <w:spacing w:after="240" w:line="360" w:lineRule="auto"/>
        <w:rPr>
          <w:rFonts w:ascii="Times New Roman" w:eastAsia="Times New Roman" w:hAnsi="Times New Roman" w:cs="Times New Roman"/>
        </w:rPr>
      </w:pPr>
    </w:p>
    <w:sectPr w:rsidR="5EFCA15D" w:rsidSect="00FC408F">
      <w:footerReference w:type="default" r:id="rId20"/>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183C8" w14:textId="77777777" w:rsidR="009B1A62" w:rsidRDefault="009B1A62" w:rsidP="00450866">
      <w:pPr>
        <w:spacing w:after="0" w:line="240" w:lineRule="auto"/>
      </w:pPr>
      <w:r>
        <w:separator/>
      </w:r>
    </w:p>
  </w:endnote>
  <w:endnote w:type="continuationSeparator" w:id="0">
    <w:p w14:paraId="1CB22F62" w14:textId="77777777" w:rsidR="009B1A62" w:rsidRDefault="009B1A62" w:rsidP="00450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F5B4" w14:textId="3BEB6EB4" w:rsidR="003C253A" w:rsidRDefault="003C25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155897"/>
      <w:docPartObj>
        <w:docPartGallery w:val="Page Numbers (Bottom of Page)"/>
        <w:docPartUnique/>
      </w:docPartObj>
    </w:sdtPr>
    <w:sdtEndPr>
      <w:rPr>
        <w:noProof/>
      </w:rPr>
    </w:sdtEndPr>
    <w:sdtContent>
      <w:p w14:paraId="78191E50" w14:textId="77777777" w:rsidR="001F6640" w:rsidRDefault="001F66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ACDD91" w14:textId="77777777" w:rsidR="001F6640" w:rsidRDefault="001F6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3F790" w14:textId="77777777" w:rsidR="009B1A62" w:rsidRDefault="009B1A62" w:rsidP="00450866">
      <w:pPr>
        <w:spacing w:after="0" w:line="240" w:lineRule="auto"/>
      </w:pPr>
      <w:r>
        <w:separator/>
      </w:r>
    </w:p>
  </w:footnote>
  <w:footnote w:type="continuationSeparator" w:id="0">
    <w:p w14:paraId="285FF782" w14:textId="77777777" w:rsidR="009B1A62" w:rsidRDefault="009B1A62" w:rsidP="004508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04"/>
    <w:rsid w:val="000361E4"/>
    <w:rsid w:val="00103324"/>
    <w:rsid w:val="0014017E"/>
    <w:rsid w:val="001663F8"/>
    <w:rsid w:val="001B1677"/>
    <w:rsid w:val="001D6736"/>
    <w:rsid w:val="001F6640"/>
    <w:rsid w:val="002B73BB"/>
    <w:rsid w:val="002D4B6C"/>
    <w:rsid w:val="002D5CE6"/>
    <w:rsid w:val="002E0004"/>
    <w:rsid w:val="003C253A"/>
    <w:rsid w:val="003D4A59"/>
    <w:rsid w:val="00422841"/>
    <w:rsid w:val="00450866"/>
    <w:rsid w:val="00481C93"/>
    <w:rsid w:val="005B572E"/>
    <w:rsid w:val="00682822"/>
    <w:rsid w:val="00690701"/>
    <w:rsid w:val="006978EA"/>
    <w:rsid w:val="006A06EB"/>
    <w:rsid w:val="006F05EC"/>
    <w:rsid w:val="00714D07"/>
    <w:rsid w:val="00771A63"/>
    <w:rsid w:val="00791135"/>
    <w:rsid w:val="007B07C3"/>
    <w:rsid w:val="007B39D4"/>
    <w:rsid w:val="00835077"/>
    <w:rsid w:val="0083590D"/>
    <w:rsid w:val="00875BD3"/>
    <w:rsid w:val="00892820"/>
    <w:rsid w:val="008A3A69"/>
    <w:rsid w:val="008D2DA7"/>
    <w:rsid w:val="009607C6"/>
    <w:rsid w:val="0099437D"/>
    <w:rsid w:val="009B1A62"/>
    <w:rsid w:val="009F0BB3"/>
    <w:rsid w:val="00A08E44"/>
    <w:rsid w:val="00A33681"/>
    <w:rsid w:val="00B338AD"/>
    <w:rsid w:val="00B340E3"/>
    <w:rsid w:val="00B82F98"/>
    <w:rsid w:val="00CE564F"/>
    <w:rsid w:val="00CFDCDE"/>
    <w:rsid w:val="00D56237"/>
    <w:rsid w:val="00E04D47"/>
    <w:rsid w:val="00E44741"/>
    <w:rsid w:val="00EF77FB"/>
    <w:rsid w:val="00FC408F"/>
    <w:rsid w:val="0203C840"/>
    <w:rsid w:val="022AE389"/>
    <w:rsid w:val="034D2263"/>
    <w:rsid w:val="034DC77B"/>
    <w:rsid w:val="03CA0D9C"/>
    <w:rsid w:val="03EF5D09"/>
    <w:rsid w:val="0466BC76"/>
    <w:rsid w:val="04F46360"/>
    <w:rsid w:val="0561E661"/>
    <w:rsid w:val="068992A2"/>
    <w:rsid w:val="06A92527"/>
    <w:rsid w:val="085C7958"/>
    <w:rsid w:val="087E620D"/>
    <w:rsid w:val="089C397A"/>
    <w:rsid w:val="09ADB7A3"/>
    <w:rsid w:val="0BA1F18A"/>
    <w:rsid w:val="0CF5B174"/>
    <w:rsid w:val="0E64920C"/>
    <w:rsid w:val="0E92943F"/>
    <w:rsid w:val="0EAD6521"/>
    <w:rsid w:val="0F1E4424"/>
    <w:rsid w:val="1018E763"/>
    <w:rsid w:val="105D1589"/>
    <w:rsid w:val="107EEE2A"/>
    <w:rsid w:val="10EA645D"/>
    <w:rsid w:val="12024F03"/>
    <w:rsid w:val="12A20B93"/>
    <w:rsid w:val="12F6CDB1"/>
    <w:rsid w:val="1391754C"/>
    <w:rsid w:val="13C7094F"/>
    <w:rsid w:val="1418E2B0"/>
    <w:rsid w:val="15780E3B"/>
    <w:rsid w:val="16154190"/>
    <w:rsid w:val="16E30364"/>
    <w:rsid w:val="178A2EF4"/>
    <w:rsid w:val="198F6ADB"/>
    <w:rsid w:val="19F3E3F5"/>
    <w:rsid w:val="1A38DEEA"/>
    <w:rsid w:val="1AD524F2"/>
    <w:rsid w:val="1AE80CB2"/>
    <w:rsid w:val="1BDE624F"/>
    <w:rsid w:val="1C250329"/>
    <w:rsid w:val="1DDCB8D7"/>
    <w:rsid w:val="1E81FD0D"/>
    <w:rsid w:val="1F3AC1D7"/>
    <w:rsid w:val="1F635B3B"/>
    <w:rsid w:val="1F6EABFC"/>
    <w:rsid w:val="1F7A2C56"/>
    <w:rsid w:val="20BDEA35"/>
    <w:rsid w:val="20EFDF83"/>
    <w:rsid w:val="20F6FA56"/>
    <w:rsid w:val="210D067A"/>
    <w:rsid w:val="21915104"/>
    <w:rsid w:val="21EB7ED2"/>
    <w:rsid w:val="21FEFF4B"/>
    <w:rsid w:val="227D3E84"/>
    <w:rsid w:val="23E23CD4"/>
    <w:rsid w:val="2425BD57"/>
    <w:rsid w:val="24650600"/>
    <w:rsid w:val="2542AF11"/>
    <w:rsid w:val="25D880B5"/>
    <w:rsid w:val="26D0423D"/>
    <w:rsid w:val="27A1C098"/>
    <w:rsid w:val="27B17E23"/>
    <w:rsid w:val="27D06CFC"/>
    <w:rsid w:val="286C6F34"/>
    <w:rsid w:val="290B62C6"/>
    <w:rsid w:val="298E717C"/>
    <w:rsid w:val="2A200F60"/>
    <w:rsid w:val="2B5007E3"/>
    <w:rsid w:val="2B563E59"/>
    <w:rsid w:val="2BC33F73"/>
    <w:rsid w:val="2C13FA99"/>
    <w:rsid w:val="2D48B2DD"/>
    <w:rsid w:val="2D5F74D8"/>
    <w:rsid w:val="2FC46FE6"/>
    <w:rsid w:val="30865A69"/>
    <w:rsid w:val="30FD7ADB"/>
    <w:rsid w:val="31CA6A34"/>
    <w:rsid w:val="31FD297A"/>
    <w:rsid w:val="3237661F"/>
    <w:rsid w:val="324FF561"/>
    <w:rsid w:val="3263BA5B"/>
    <w:rsid w:val="3347DA11"/>
    <w:rsid w:val="34727097"/>
    <w:rsid w:val="34949785"/>
    <w:rsid w:val="363F90F6"/>
    <w:rsid w:val="371EFB06"/>
    <w:rsid w:val="38BB025A"/>
    <w:rsid w:val="39525704"/>
    <w:rsid w:val="396A535A"/>
    <w:rsid w:val="3A6CFCFD"/>
    <w:rsid w:val="3AA2443F"/>
    <w:rsid w:val="3ABC9A23"/>
    <w:rsid w:val="3BB1ABCF"/>
    <w:rsid w:val="3D2300DA"/>
    <w:rsid w:val="3D495090"/>
    <w:rsid w:val="3D798666"/>
    <w:rsid w:val="3D79F588"/>
    <w:rsid w:val="3E016C45"/>
    <w:rsid w:val="3E0C5921"/>
    <w:rsid w:val="3FA26DD6"/>
    <w:rsid w:val="3FEB7041"/>
    <w:rsid w:val="3FF4EFDE"/>
    <w:rsid w:val="418AC17E"/>
    <w:rsid w:val="42264E25"/>
    <w:rsid w:val="4274AD3F"/>
    <w:rsid w:val="42972007"/>
    <w:rsid w:val="43996067"/>
    <w:rsid w:val="43BBE930"/>
    <w:rsid w:val="448FCB24"/>
    <w:rsid w:val="44A48B4E"/>
    <w:rsid w:val="44E98416"/>
    <w:rsid w:val="4565BCB1"/>
    <w:rsid w:val="45896B46"/>
    <w:rsid w:val="45CF83B4"/>
    <w:rsid w:val="470A734E"/>
    <w:rsid w:val="47975008"/>
    <w:rsid w:val="47C1914A"/>
    <w:rsid w:val="483B4750"/>
    <w:rsid w:val="488DE53A"/>
    <w:rsid w:val="48F16530"/>
    <w:rsid w:val="49489ED3"/>
    <w:rsid w:val="49772967"/>
    <w:rsid w:val="4982BB1A"/>
    <w:rsid w:val="49843B46"/>
    <w:rsid w:val="49E28AD8"/>
    <w:rsid w:val="4A019E90"/>
    <w:rsid w:val="4A1B3264"/>
    <w:rsid w:val="4A4B8110"/>
    <w:rsid w:val="4C3E842F"/>
    <w:rsid w:val="4D15B64D"/>
    <w:rsid w:val="4D701FBE"/>
    <w:rsid w:val="4D82856A"/>
    <w:rsid w:val="4DCAEE4E"/>
    <w:rsid w:val="4EB36F7B"/>
    <w:rsid w:val="4F93EDCD"/>
    <w:rsid w:val="50982371"/>
    <w:rsid w:val="51989D96"/>
    <w:rsid w:val="520A94B4"/>
    <w:rsid w:val="5378F5A6"/>
    <w:rsid w:val="54ADD0F9"/>
    <w:rsid w:val="54F1E33A"/>
    <w:rsid w:val="558EE2B8"/>
    <w:rsid w:val="565D9006"/>
    <w:rsid w:val="56D5DC61"/>
    <w:rsid w:val="5849424B"/>
    <w:rsid w:val="58EFB4F5"/>
    <w:rsid w:val="59C56FC3"/>
    <w:rsid w:val="5A004399"/>
    <w:rsid w:val="5A1EAC64"/>
    <w:rsid w:val="5A8BC799"/>
    <w:rsid w:val="5B15E3E3"/>
    <w:rsid w:val="5C83BEFE"/>
    <w:rsid w:val="5CAF3078"/>
    <w:rsid w:val="5D9E1A5E"/>
    <w:rsid w:val="5EF63B0A"/>
    <w:rsid w:val="5EFCA15D"/>
    <w:rsid w:val="5F517396"/>
    <w:rsid w:val="5FD69A9B"/>
    <w:rsid w:val="6017F58E"/>
    <w:rsid w:val="6104B20F"/>
    <w:rsid w:val="61346207"/>
    <w:rsid w:val="61A66240"/>
    <w:rsid w:val="61BB0790"/>
    <w:rsid w:val="61D0B621"/>
    <w:rsid w:val="63135D3E"/>
    <w:rsid w:val="6358730A"/>
    <w:rsid w:val="64AF0578"/>
    <w:rsid w:val="68336513"/>
    <w:rsid w:val="695D00F3"/>
    <w:rsid w:val="6A2070CD"/>
    <w:rsid w:val="6C2F38DF"/>
    <w:rsid w:val="6CA12463"/>
    <w:rsid w:val="6CB68E4A"/>
    <w:rsid w:val="6D97ED9F"/>
    <w:rsid w:val="6DA859FE"/>
    <w:rsid w:val="6DC12A08"/>
    <w:rsid w:val="6DFCEF21"/>
    <w:rsid w:val="6F27FE31"/>
    <w:rsid w:val="6F71C452"/>
    <w:rsid w:val="7053C39E"/>
    <w:rsid w:val="7081F053"/>
    <w:rsid w:val="709EE291"/>
    <w:rsid w:val="7192E43D"/>
    <w:rsid w:val="71A18E61"/>
    <w:rsid w:val="71AEA90D"/>
    <w:rsid w:val="72168E75"/>
    <w:rsid w:val="726278D2"/>
    <w:rsid w:val="72A51628"/>
    <w:rsid w:val="72B25738"/>
    <w:rsid w:val="735A23DF"/>
    <w:rsid w:val="73C7938F"/>
    <w:rsid w:val="73F8E168"/>
    <w:rsid w:val="764ADED8"/>
    <w:rsid w:val="76EA95A5"/>
    <w:rsid w:val="788D8BB4"/>
    <w:rsid w:val="791AD2F4"/>
    <w:rsid w:val="79AD5E15"/>
    <w:rsid w:val="7BDD0318"/>
    <w:rsid w:val="7DCEB11D"/>
    <w:rsid w:val="7E938C78"/>
    <w:rsid w:val="7EF5C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C48E9"/>
  <w15:chartTrackingRefBased/>
  <w15:docId w15:val="{A275D32A-1EFE-44C8-B1A9-48B2F382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820"/>
  </w:style>
  <w:style w:type="paragraph" w:styleId="Heading1">
    <w:name w:val="heading 1"/>
    <w:basedOn w:val="Normal"/>
    <w:next w:val="Normal"/>
    <w:link w:val="Heading1Char"/>
    <w:uiPriority w:val="9"/>
    <w:qFormat/>
    <w:rsid w:val="00892820"/>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892820"/>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820"/>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820"/>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892820"/>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892820"/>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892820"/>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892820"/>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892820"/>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820"/>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892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820"/>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820"/>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892820"/>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892820"/>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892820"/>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892820"/>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892820"/>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892820"/>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892820"/>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892820"/>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892820"/>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892820"/>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892820"/>
    <w:rPr>
      <w:color w:val="0E2841" w:themeColor="text2"/>
      <w:sz w:val="24"/>
      <w:szCs w:val="24"/>
    </w:rPr>
  </w:style>
  <w:style w:type="paragraph" w:styleId="ListParagraph">
    <w:name w:val="List Paragraph"/>
    <w:basedOn w:val="Normal"/>
    <w:uiPriority w:val="34"/>
    <w:qFormat/>
    <w:rsid w:val="2C13FA99"/>
    <w:pPr>
      <w:ind w:left="720"/>
      <w:contextualSpacing/>
    </w:pPr>
  </w:style>
  <w:style w:type="character" w:styleId="IntenseEmphasis">
    <w:name w:val="Intense Emphasis"/>
    <w:basedOn w:val="DefaultParagraphFont"/>
    <w:uiPriority w:val="21"/>
    <w:qFormat/>
    <w:rsid w:val="00892820"/>
    <w:rPr>
      <w:b/>
      <w:bCs/>
      <w:i/>
      <w:iCs/>
    </w:rPr>
  </w:style>
  <w:style w:type="paragraph" w:styleId="IntenseQuote">
    <w:name w:val="Intense Quote"/>
    <w:basedOn w:val="Normal"/>
    <w:next w:val="Normal"/>
    <w:link w:val="IntenseQuoteChar"/>
    <w:uiPriority w:val="30"/>
    <w:qFormat/>
    <w:rsid w:val="00892820"/>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892820"/>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892820"/>
    <w:rPr>
      <w:b/>
      <w:bCs/>
      <w:smallCaps/>
      <w:color w:val="0E2841" w:themeColor="text2"/>
      <w:u w:val="single"/>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450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866"/>
  </w:style>
  <w:style w:type="paragraph" w:styleId="Footer">
    <w:name w:val="footer"/>
    <w:basedOn w:val="Normal"/>
    <w:link w:val="FooterChar"/>
    <w:uiPriority w:val="99"/>
    <w:unhideWhenUsed/>
    <w:rsid w:val="00450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866"/>
  </w:style>
  <w:style w:type="paragraph" w:styleId="TOCHeading">
    <w:name w:val="TOC Heading"/>
    <w:basedOn w:val="Heading1"/>
    <w:next w:val="Normal"/>
    <w:uiPriority w:val="39"/>
    <w:unhideWhenUsed/>
    <w:qFormat/>
    <w:rsid w:val="00892820"/>
    <w:pPr>
      <w:outlineLvl w:val="9"/>
    </w:pPr>
  </w:style>
  <w:style w:type="paragraph" w:styleId="Caption">
    <w:name w:val="caption"/>
    <w:basedOn w:val="Normal"/>
    <w:next w:val="Normal"/>
    <w:uiPriority w:val="35"/>
    <w:semiHidden/>
    <w:unhideWhenUsed/>
    <w:qFormat/>
    <w:rsid w:val="00892820"/>
    <w:pPr>
      <w:spacing w:line="240" w:lineRule="auto"/>
    </w:pPr>
    <w:rPr>
      <w:b/>
      <w:bCs/>
      <w:smallCaps/>
      <w:color w:val="0E2841" w:themeColor="text2"/>
    </w:rPr>
  </w:style>
  <w:style w:type="character" w:styleId="Strong">
    <w:name w:val="Strong"/>
    <w:basedOn w:val="DefaultParagraphFont"/>
    <w:uiPriority w:val="22"/>
    <w:qFormat/>
    <w:rsid w:val="00892820"/>
    <w:rPr>
      <w:b/>
      <w:bCs/>
    </w:rPr>
  </w:style>
  <w:style w:type="character" w:styleId="Emphasis">
    <w:name w:val="Emphasis"/>
    <w:basedOn w:val="DefaultParagraphFont"/>
    <w:uiPriority w:val="20"/>
    <w:qFormat/>
    <w:rsid w:val="00892820"/>
    <w:rPr>
      <w:i/>
      <w:iCs/>
    </w:rPr>
  </w:style>
  <w:style w:type="paragraph" w:styleId="NoSpacing">
    <w:name w:val="No Spacing"/>
    <w:uiPriority w:val="1"/>
    <w:qFormat/>
    <w:rsid w:val="00892820"/>
    <w:pPr>
      <w:spacing w:after="0" w:line="240" w:lineRule="auto"/>
    </w:pPr>
  </w:style>
  <w:style w:type="character" w:styleId="SubtleEmphasis">
    <w:name w:val="Subtle Emphasis"/>
    <w:basedOn w:val="DefaultParagraphFont"/>
    <w:uiPriority w:val="19"/>
    <w:qFormat/>
    <w:rsid w:val="00892820"/>
    <w:rPr>
      <w:i/>
      <w:iCs/>
      <w:color w:val="595959" w:themeColor="text1" w:themeTint="A6"/>
    </w:rPr>
  </w:style>
  <w:style w:type="character" w:styleId="SubtleReference">
    <w:name w:val="Subtle Reference"/>
    <w:basedOn w:val="DefaultParagraphFont"/>
    <w:uiPriority w:val="31"/>
    <w:qFormat/>
    <w:rsid w:val="00892820"/>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892820"/>
    <w:rPr>
      <w:b/>
      <w:bCs/>
      <w:smallCaps/>
      <w:spacing w:val="10"/>
    </w:rPr>
  </w:style>
  <w:style w:type="paragraph" w:styleId="TOC1">
    <w:name w:val="toc 1"/>
    <w:basedOn w:val="Normal"/>
    <w:next w:val="Normal"/>
    <w:autoRedefine/>
    <w:uiPriority w:val="39"/>
    <w:unhideWhenUsed/>
    <w:rsid w:val="00B340E3"/>
    <w:pPr>
      <w:spacing w:after="100"/>
    </w:pPr>
  </w:style>
  <w:style w:type="paragraph" w:styleId="TOC2">
    <w:name w:val="toc 2"/>
    <w:basedOn w:val="Normal"/>
    <w:next w:val="Normal"/>
    <w:autoRedefine/>
    <w:uiPriority w:val="39"/>
    <w:unhideWhenUsed/>
    <w:rsid w:val="00B338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8fa3b4fe200d653d8b63735/care-quality-commission-state-of-health-care-and-adult-social-care-England-2024-2025.pdf" TargetMode="External"/><Relationship Id="rId18" Type="http://schemas.openxmlformats.org/officeDocument/2006/relationships/hyperlink" Target="https://www.who.in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qc.org.uk/publications/major-report/state-care/2024-2025/focus/dementia" TargetMode="External"/><Relationship Id="rId17" Type="http://schemas.openxmlformats.org/officeDocument/2006/relationships/hyperlink" Target="https://www.gov.uk/government/publications/dementia-applying-all-our-health/dementia-applying-all-our-health" TargetMode="External"/><Relationship Id="rId2" Type="http://schemas.openxmlformats.org/officeDocument/2006/relationships/customXml" Target="../customXml/item2.xml"/><Relationship Id="rId16" Type="http://schemas.openxmlformats.org/officeDocument/2006/relationships/hyperlink" Target="https://www.england.nhs.uk/long-read/dementia-programme-and-preparation-for-new-alzheimers-disease-modifying-treatment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what-we-do/policy-and-influencing/dementia-scale-impact-numbers" TargetMode="External"/><Relationship Id="rId5" Type="http://schemas.openxmlformats.org/officeDocument/2006/relationships/styles" Target="styles.xml"/><Relationship Id="rId15" Type="http://schemas.openxmlformats.org/officeDocument/2006/relationships/hyperlink" Target="https://www.england.nhs.uk" TargetMode="External"/><Relationship Id="rId10" Type="http://schemas.openxmlformats.org/officeDocument/2006/relationships/footer" Target="footer1.xml"/><Relationship Id="rId19" Type="http://schemas.openxmlformats.org/officeDocument/2006/relationships/hyperlink" Target="https://www.who.int/publications/i/item/global-action-plan-on-the-public-health-response-to-dementia-2017---2025"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ngland.nhs.uk/2025/08/nhs-supporting-record-numbers-of-people-living-with-dementi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b69ea5b64c89cee17ca67c83bc55803e">
  <xsd:schema xmlns:xsd="http://www.w3.org/2001/XMLSchema" xmlns:xs="http://www.w3.org/2001/XMLSchema" xmlns:p="http://schemas.microsoft.com/office/2006/metadata/properties" xmlns:ns3="3ef5847a-e696-4fee-a2c0-6c3f87568321" targetNamespace="http://schemas.microsoft.com/office/2006/metadata/properties" ma:root="true" ma:fieldsID="347791bb8424c42c77ba0bce9496e24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D8317-A303-46A5-A60A-ACC884131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59116A-1681-4880-9F8D-D6639C4053BA}">
  <ds:schemaRefs>
    <ds:schemaRef ds:uri="http://schemas.microsoft.com/sharepoint/v3/contenttype/forms"/>
  </ds:schemaRefs>
</ds:datastoreItem>
</file>

<file path=customXml/itemProps3.xml><?xml version="1.0" encoding="utf-8"?>
<ds:datastoreItem xmlns:ds="http://schemas.openxmlformats.org/officeDocument/2006/customXml" ds:itemID="{D7855D1F-C537-42D0-8FA0-1C33675272B3}">
  <ds:schemaRefs>
    <ds:schemaRef ds:uri="http://schemas.microsoft.com/office/2006/metadata/properties"/>
    <ds:schemaRef ds:uri="http://schemas.microsoft.com/office/infopath/2007/PartnerControls"/>
    <ds:schemaRef ds:uri="3ef5847a-e696-4fee-a2c0-6c3f87568321"/>
  </ds:schemaRefs>
</ds:datastoreItem>
</file>

<file path=customXml/itemProps4.xml><?xml version="1.0" encoding="utf-8"?>
<ds:datastoreItem xmlns:ds="http://schemas.openxmlformats.org/officeDocument/2006/customXml" ds:itemID="{B139F29B-38F1-4277-9C7A-4BD679AA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2243</Words>
  <Characters>12788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Kausar</dc:creator>
  <cp:keywords/>
  <dc:description/>
  <cp:lastModifiedBy>Shazia Kausar (2512942)</cp:lastModifiedBy>
  <cp:revision>6</cp:revision>
  <dcterms:created xsi:type="dcterms:W3CDTF">2026-03-01T12:03:00Z</dcterms:created>
  <dcterms:modified xsi:type="dcterms:W3CDTF">2026-03-16T13:36:00Z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