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7E2A3" w14:textId="76061F21" w:rsidR="0009203A" w:rsidRPr="008B4C9A" w:rsidRDefault="0009203A" w:rsidP="00E40035">
      <w:pPr>
        <w:ind w:firstLine="0"/>
        <w:jc w:val="center"/>
        <w:rPr>
          <w:b/>
          <w:bCs/>
        </w:rPr>
      </w:pPr>
    </w:p>
    <w:p w14:paraId="22F2320D" w14:textId="77777777" w:rsidR="0009203A" w:rsidRPr="008B4C9A" w:rsidRDefault="0009203A" w:rsidP="00E40035">
      <w:pPr>
        <w:ind w:firstLine="0"/>
        <w:jc w:val="center"/>
        <w:rPr>
          <w:b/>
          <w:bCs/>
        </w:rPr>
      </w:pPr>
    </w:p>
    <w:p w14:paraId="29C79E92" w14:textId="5FCAB4EF" w:rsidR="0009203A" w:rsidRPr="008B4C9A" w:rsidRDefault="008B4C9A" w:rsidP="00E40035">
      <w:pPr>
        <w:ind w:firstLine="0"/>
        <w:jc w:val="center"/>
        <w:rPr>
          <w:b/>
          <w:bCs/>
        </w:rPr>
      </w:pPr>
      <w:r w:rsidRPr="008B4C9A">
        <w:rPr>
          <w:noProof/>
        </w:rPr>
        <w:drawing>
          <wp:inline distT="0" distB="0" distL="0" distR="0" wp14:anchorId="7E8C2E6E" wp14:editId="62DE2A98">
            <wp:extent cx="5715000" cy="18954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15000" cy="1895475"/>
                    </a:xfrm>
                    <a:prstGeom prst="rect">
                      <a:avLst/>
                    </a:prstGeom>
                    <a:ln/>
                  </pic:spPr>
                </pic:pic>
              </a:graphicData>
            </a:graphic>
          </wp:inline>
        </w:drawing>
      </w:r>
    </w:p>
    <w:p w14:paraId="511FAD9E" w14:textId="77777777" w:rsidR="0009203A" w:rsidRPr="008B4C9A" w:rsidRDefault="0009203A" w:rsidP="00E40035">
      <w:pPr>
        <w:ind w:firstLine="0"/>
        <w:jc w:val="center"/>
        <w:rPr>
          <w:b/>
          <w:bCs/>
        </w:rPr>
      </w:pPr>
    </w:p>
    <w:p w14:paraId="0973078E" w14:textId="77777777" w:rsidR="0009203A" w:rsidRPr="008B4C9A" w:rsidRDefault="0009203A" w:rsidP="00E40035">
      <w:pPr>
        <w:ind w:firstLine="0"/>
        <w:jc w:val="center"/>
        <w:rPr>
          <w:b/>
          <w:bCs/>
        </w:rPr>
      </w:pPr>
    </w:p>
    <w:p w14:paraId="1E0C5D38" w14:textId="7A1CB512" w:rsidR="008B4C9A" w:rsidRPr="008B4C9A" w:rsidRDefault="008B4C9A" w:rsidP="008B4C9A">
      <w:pPr>
        <w:ind w:firstLine="0"/>
        <w:rPr>
          <w:rFonts w:eastAsia="Arial"/>
          <w:b/>
          <w:bCs/>
          <w:sz w:val="32"/>
          <w:szCs w:val="32"/>
        </w:rPr>
      </w:pPr>
      <w:r w:rsidRPr="008B4C9A">
        <w:rPr>
          <w:rFonts w:eastAsia="Arial"/>
          <w:b/>
          <w:bCs/>
          <w:sz w:val="32"/>
          <w:szCs w:val="32"/>
        </w:rPr>
        <w:t>BA (Hons) Leadership and Management Skills for the Workplace</w:t>
      </w:r>
    </w:p>
    <w:p w14:paraId="5B60E371" w14:textId="77777777" w:rsidR="008B4C9A" w:rsidRPr="008B4C9A" w:rsidRDefault="008B4C9A" w:rsidP="008B4C9A">
      <w:pPr>
        <w:spacing w:line="600" w:lineRule="auto"/>
        <w:rPr>
          <w:rFonts w:eastAsia="Arial"/>
          <w:i/>
          <w:iCs/>
        </w:rPr>
      </w:pPr>
    </w:p>
    <w:p w14:paraId="2F024570" w14:textId="79CBD452" w:rsidR="008B4C9A" w:rsidRPr="008B4C9A" w:rsidRDefault="008B4C9A" w:rsidP="008B4C9A">
      <w:pPr>
        <w:spacing w:line="600" w:lineRule="auto"/>
        <w:ind w:firstLine="0"/>
        <w:rPr>
          <w:rFonts w:eastAsia="Arial"/>
        </w:rPr>
      </w:pPr>
      <w:r w:rsidRPr="008B4C9A">
        <w:rPr>
          <w:rFonts w:eastAsia="Arial"/>
          <w:b/>
          <w:bCs/>
        </w:rPr>
        <w:t xml:space="preserve">Student Name: </w:t>
      </w:r>
      <w:r w:rsidRPr="008B4C9A">
        <w:rPr>
          <w:rFonts w:eastAsia="Arial"/>
        </w:rPr>
        <w:t>Tedy Sam</w:t>
      </w:r>
    </w:p>
    <w:p w14:paraId="052E95EF" w14:textId="43D27ECF" w:rsidR="008B4C9A" w:rsidRPr="008B4C9A" w:rsidRDefault="008B4C9A" w:rsidP="008B4C9A">
      <w:pPr>
        <w:spacing w:line="600" w:lineRule="auto"/>
        <w:ind w:firstLine="0"/>
        <w:rPr>
          <w:rFonts w:eastAsia="Arial"/>
          <w:b/>
          <w:bCs/>
        </w:rPr>
      </w:pPr>
      <w:r w:rsidRPr="008B4C9A">
        <w:rPr>
          <w:rFonts w:eastAsia="Arial"/>
          <w:b/>
          <w:bCs/>
        </w:rPr>
        <w:t>Student Number:</w:t>
      </w:r>
      <w:r>
        <w:rPr>
          <w:rFonts w:eastAsia="Arial"/>
          <w:b/>
          <w:bCs/>
        </w:rPr>
        <w:t xml:space="preserve"> </w:t>
      </w:r>
      <w:r w:rsidRPr="008B4C9A">
        <w:rPr>
          <w:rFonts w:eastAsia="Arial"/>
        </w:rPr>
        <w:t>2418189</w:t>
      </w:r>
    </w:p>
    <w:p w14:paraId="673AA6CC" w14:textId="03E51D65" w:rsidR="008B4C9A" w:rsidRPr="008B4C9A" w:rsidRDefault="00AD7585" w:rsidP="008B4C9A">
      <w:pPr>
        <w:spacing w:line="600" w:lineRule="auto"/>
        <w:ind w:firstLine="0"/>
        <w:rPr>
          <w:rFonts w:eastAsia="Arial"/>
        </w:rPr>
      </w:pPr>
      <w:r>
        <w:rPr>
          <w:rFonts w:eastAsia="Arial"/>
          <w:b/>
          <w:bCs/>
        </w:rPr>
        <w:t>Module</w:t>
      </w:r>
      <w:r w:rsidR="008B4C9A" w:rsidRPr="008B4C9A">
        <w:rPr>
          <w:rFonts w:eastAsia="Arial"/>
          <w:b/>
          <w:bCs/>
        </w:rPr>
        <w:t>:</w:t>
      </w:r>
      <w:r w:rsidR="008B4C9A" w:rsidRPr="008B4C9A">
        <w:rPr>
          <w:rFonts w:eastAsia="Arial"/>
        </w:rPr>
        <w:t xml:space="preserve"> </w:t>
      </w:r>
      <w:r w:rsidR="00CF3134" w:rsidRPr="008B4C9A">
        <w:rPr>
          <w:rFonts w:eastAsia="Arial"/>
        </w:rPr>
        <w:t xml:space="preserve"> LCLM5002</w:t>
      </w:r>
      <w:r w:rsidR="00CF3134">
        <w:rPr>
          <w:rFonts w:eastAsia="Arial"/>
        </w:rPr>
        <w:t xml:space="preserve">: </w:t>
      </w:r>
      <w:r w:rsidRPr="00AD7585">
        <w:rPr>
          <w:rFonts w:eastAsia="Arial"/>
        </w:rPr>
        <w:t>Developing, Managing, Leading Individual and Teams</w:t>
      </w:r>
    </w:p>
    <w:p w14:paraId="6C3DBAA8" w14:textId="5BC0EBCE" w:rsidR="008B4C9A" w:rsidRPr="008B4C9A" w:rsidRDefault="008B4C9A" w:rsidP="008B4C9A">
      <w:pPr>
        <w:spacing w:line="600" w:lineRule="auto"/>
        <w:ind w:firstLine="0"/>
        <w:rPr>
          <w:rFonts w:eastAsia="Arial"/>
        </w:rPr>
      </w:pPr>
      <w:r w:rsidRPr="008B4C9A">
        <w:rPr>
          <w:rFonts w:eastAsia="Arial"/>
          <w:b/>
          <w:bCs/>
        </w:rPr>
        <w:t xml:space="preserve">Lecturer Name: </w:t>
      </w:r>
      <w:r w:rsidRPr="008B4C9A">
        <w:rPr>
          <w:rFonts w:eastAsia="Arial"/>
        </w:rPr>
        <w:t xml:space="preserve">Gregory </w:t>
      </w:r>
      <w:r w:rsidR="00AD7585">
        <w:rPr>
          <w:rFonts w:eastAsia="Arial"/>
        </w:rPr>
        <w:t>C</w:t>
      </w:r>
      <w:r w:rsidRPr="008B4C9A">
        <w:rPr>
          <w:rFonts w:eastAsia="Arial"/>
        </w:rPr>
        <w:t>owan</w:t>
      </w:r>
    </w:p>
    <w:p w14:paraId="5BBFC176" w14:textId="5AAAF9CB" w:rsidR="0009203A" w:rsidRPr="008B4C9A" w:rsidRDefault="0009203A" w:rsidP="008B4C9A">
      <w:pPr>
        <w:spacing w:line="600" w:lineRule="auto"/>
        <w:ind w:firstLine="0"/>
      </w:pPr>
      <w:r w:rsidRPr="008B4C9A">
        <w:rPr>
          <w:b/>
          <w:bCs/>
        </w:rPr>
        <w:t>Date</w:t>
      </w:r>
      <w:r w:rsidRPr="008B4C9A">
        <w:t xml:space="preserve">: </w:t>
      </w:r>
      <w:r w:rsidR="00623D14" w:rsidRPr="008B4C9A">
        <w:t>12</w:t>
      </w:r>
      <w:r w:rsidR="00623D14" w:rsidRPr="008B4C9A">
        <w:rPr>
          <w:vertAlign w:val="superscript"/>
        </w:rPr>
        <w:t>th</w:t>
      </w:r>
      <w:r w:rsidR="00623D14" w:rsidRPr="008B4C9A">
        <w:t xml:space="preserve"> December 2025</w:t>
      </w:r>
    </w:p>
    <w:p w14:paraId="0681E045" w14:textId="77777777" w:rsidR="0009203A" w:rsidRPr="008B4C9A" w:rsidRDefault="0009203A">
      <w:pPr>
        <w:rPr>
          <w:b/>
          <w:bCs/>
        </w:rPr>
      </w:pPr>
      <w:r w:rsidRPr="008B4C9A">
        <w:rPr>
          <w:b/>
          <w:bCs/>
        </w:rPr>
        <w:br w:type="page"/>
      </w:r>
    </w:p>
    <w:p w14:paraId="25823D74" w14:textId="091EBC7C" w:rsidR="009F73A4" w:rsidRPr="008B4C9A" w:rsidRDefault="009F73A4" w:rsidP="009F73A4">
      <w:pPr>
        <w:ind w:firstLine="0"/>
        <w:jc w:val="center"/>
        <w:rPr>
          <w:b/>
          <w:bCs/>
        </w:rPr>
      </w:pPr>
      <w:r w:rsidRPr="008B4C9A">
        <w:rPr>
          <w:b/>
          <w:bCs/>
        </w:rPr>
        <w:lastRenderedPageBreak/>
        <w:t>HR TRANSFORMATION REPORT</w:t>
      </w:r>
    </w:p>
    <w:p w14:paraId="107C61A6" w14:textId="77777777" w:rsidR="009F73A4" w:rsidRPr="008B4C9A" w:rsidRDefault="009F73A4" w:rsidP="0092688B">
      <w:pPr>
        <w:ind w:firstLine="0"/>
        <w:rPr>
          <w:b/>
          <w:bCs/>
        </w:rPr>
      </w:pPr>
      <w:r w:rsidRPr="008B4C9A">
        <w:rPr>
          <w:b/>
          <w:bCs/>
        </w:rPr>
        <w:t>Introduction</w:t>
      </w:r>
    </w:p>
    <w:p w14:paraId="34273FC7" w14:textId="42B93527" w:rsidR="00672B41" w:rsidRPr="008B4C9A" w:rsidRDefault="00672B41" w:rsidP="00672B41">
      <w:r w:rsidRPr="008B4C9A">
        <w:t>Barclays United Kingdom is experiencing a massive organisational reorganisation, which is manifested in increased digitalisation and greater use of artificial intelligence, as well as more hybrid work models. Such changes reflect the current tendencies in the financial sector of the United Kingdom, in which the use of digital human resource software and decision-making based on algorithms and flexible work organisation have become main themes in the company values (Wu, 2024</w:t>
      </w:r>
      <w:r w:rsidR="005C2729">
        <w:t>, p. 179</w:t>
      </w:r>
      <w:r w:rsidRPr="008B4C9A">
        <w:t>). However, empirical research suggests that changes that are not supported with a strong human resource system may create employee confusion, work pressure, and role ambiguity</w:t>
      </w:r>
      <w:r w:rsidR="00D66118">
        <w:t xml:space="preserve"> which may affect the formation of employee skills and behaviour</w:t>
      </w:r>
      <w:r w:rsidRPr="008B4C9A">
        <w:t xml:space="preserve"> (Al Harazneh </w:t>
      </w:r>
      <w:r w:rsidR="00D66118">
        <w:t>&amp;</w:t>
      </w:r>
      <w:r w:rsidRPr="008B4C9A">
        <w:t xml:space="preserve"> Sila, 2021</w:t>
      </w:r>
      <w:r w:rsidR="00D66118">
        <w:t>, p.119</w:t>
      </w:r>
      <w:r w:rsidRPr="008B4C9A">
        <w:t>). Similarly, the presence of a major technological change can often upset the already familiar patterns and may increase the level of resistance or anxiety within the staff, particularly when the process of change is not sufficiently clear or communicated (Kotter, 2012</w:t>
      </w:r>
      <w:r w:rsidR="00100592">
        <w:t>, p. 6</w:t>
      </w:r>
      <w:r w:rsidRPr="008B4C9A">
        <w:t>).</w:t>
      </w:r>
    </w:p>
    <w:p w14:paraId="4C61C272" w14:textId="203A1115" w:rsidR="008C273F" w:rsidRPr="008B4C9A" w:rsidRDefault="00672B41" w:rsidP="00672B41">
      <w:r w:rsidRPr="008B4C9A">
        <w:t>The hybrid and flexible working present other challenges. There are indications that, although hybrid models could contribute to higher employee retention and are not always incompatible with performance, they require careful administration to prevent imbalances and the existence of an imbalance in perception (Bloom et al., 2024</w:t>
      </w:r>
      <w:r w:rsidR="00100592">
        <w:t>, p. 922</w:t>
      </w:r>
      <w:r w:rsidRPr="008B4C9A">
        <w:t>). Simultaneously, these models have created health-related risks related to digitally mediated work, such as musculoskeletal strains and psychophysical discomfort (Roquelaure et al., 2024</w:t>
      </w:r>
      <w:r w:rsidR="006539F3">
        <w:t>, p. 2</w:t>
      </w:r>
      <w:r w:rsidRPr="008B4C9A">
        <w:t>). This situation is the cause of many complaints in Barclays, especially from those employees who feel they are not justly supported in the transition.</w:t>
      </w:r>
      <w:r w:rsidR="00FA1EAC" w:rsidRPr="008B4C9A">
        <w:t xml:space="preserve"> </w:t>
      </w:r>
      <w:r w:rsidR="008C273F" w:rsidRPr="008B4C9A">
        <w:t xml:space="preserve">To this end, this report discusses the major causes </w:t>
      </w:r>
      <w:r w:rsidR="008C273F" w:rsidRPr="008B4C9A">
        <w:lastRenderedPageBreak/>
        <w:t xml:space="preserve">of such grievances, reviews the relevant HR practices, and determines how managers within the various departments can see to it that </w:t>
      </w:r>
      <w:r w:rsidR="00FA1EAC" w:rsidRPr="008B4C9A">
        <w:t>these changes are</w:t>
      </w:r>
      <w:r w:rsidR="008C273F" w:rsidRPr="008B4C9A">
        <w:t xml:space="preserve"> effectively and timely implemented.</w:t>
      </w:r>
    </w:p>
    <w:p w14:paraId="5D6D62CF" w14:textId="77777777" w:rsidR="008C273F" w:rsidRPr="008B4C9A" w:rsidRDefault="008C273F" w:rsidP="0092688B">
      <w:pPr>
        <w:ind w:firstLine="0"/>
        <w:rPr>
          <w:b/>
          <w:bCs/>
        </w:rPr>
      </w:pPr>
      <w:r w:rsidRPr="008B4C9A">
        <w:rPr>
          <w:b/>
          <w:bCs/>
        </w:rPr>
        <w:t>Factors Related to Business Transformation, Digital Trends and Flexible Working</w:t>
      </w:r>
    </w:p>
    <w:p w14:paraId="48747F68" w14:textId="61FD80B5" w:rsidR="008C273F" w:rsidRPr="008B4C9A" w:rsidRDefault="008C273F" w:rsidP="008C273F">
      <w:r w:rsidRPr="008B4C9A">
        <w:t>Barclays is undertaking a large-scale business change programme fuelled by the need to modernise systems, reduce operational inefficiencies, and remain competitive in the financial services industry. Changes this large tend to destabilise established work patterns and create uncertainty among employees. The popular organisational change work by Kotter (2012</w:t>
      </w:r>
      <w:r w:rsidR="006539F3">
        <w:t>, p. 6</w:t>
      </w:r>
      <w:r w:rsidRPr="008B4C9A">
        <w:t>) argues that many such initiatives fail because organisations often underestimate the emotional pressures on employees, lack proper communication channels, or unleash processes too quickly without necessarily providing the necessary support. Workers in Barclays have complained about confusion over role modifications, reorganisation choices, and the reason behind novel strategic plans- all of which fuel dissatisfaction.</w:t>
      </w:r>
    </w:p>
    <w:p w14:paraId="1511F218" w14:textId="3ED8DE44" w:rsidR="00F611EE" w:rsidRPr="008B4C9A" w:rsidRDefault="008C273F" w:rsidP="00F611EE">
      <w:r w:rsidRPr="008B4C9A">
        <w:t xml:space="preserve">A second driver in shaping employee experiences is digital technology trends. </w:t>
      </w:r>
      <w:r w:rsidR="00F611EE" w:rsidRPr="008B4C9A">
        <w:t>Barclays has increased the use of electronic human resource management (e-HRM) systems to maximise executive services and reduce administrative overheads. As Al-Harazneh and Sila (2021</w:t>
      </w:r>
      <w:r w:rsidR="00D66118">
        <w:t>, p. 119</w:t>
      </w:r>
      <w:r w:rsidR="00F611EE" w:rsidRPr="008B4C9A">
        <w:t>) note, e-HRM may indeed increase the efficiency and accuracy in operations; however, it depends on the acceptance and training of personnel. Displeasure increases when an employee feels unprepared or overwhelmed with digital platforms. There were a number of grievances that circulated through Barclays suggesting that a few employees feel confused by the new HR portals; the rest feel that the shift to digital self-service is leading to a loss of personal interaction and creating barriers to the fulfilment of customer service.</w:t>
      </w:r>
    </w:p>
    <w:p w14:paraId="6C81366B" w14:textId="77777777" w:rsidR="00F611EE" w:rsidRPr="008B4C9A" w:rsidRDefault="00F611EE" w:rsidP="00F611EE">
      <w:r w:rsidRPr="008B4C9A">
        <w:t xml:space="preserve">Another major development is the incorporation of artificial intelligence (AI). Banks and other financial companies are using AI tools to guide decision-making processes, recruit, provide </w:t>
      </w:r>
      <w:r w:rsidRPr="008B4C9A">
        <w:lastRenderedPageBreak/>
        <w:t>customer support, and detect risks. Davenport and Ronanki (2018) argue that AI can offer significant value when implemented in a pragmatic, non-secretive manner, but the workforce is often highly concerned about the possibility of losing jobs to robots or algorithms or having its actions controlled by algorithms. Issues of fairness, transparency, and job security in Barclays, where AI-based tools are tested, have risen in the scope of AI technologies.</w:t>
      </w:r>
    </w:p>
    <w:p w14:paraId="12980A09" w14:textId="2F2F2296" w:rsidR="008C273F" w:rsidRPr="008B4C9A" w:rsidRDefault="008C273F" w:rsidP="008C273F">
      <w:r w:rsidRPr="008B4C9A">
        <w:t>Hybrid and flexible working arrangements also affect employee experience. Post-pandemic, Barclays implemented hybrid work arrangements that allowed employees to work half a day at home and half a day in the office. The authors found that hybrid working positively impacts retention without negatively affecting performance, highlighting the significance of organisational gains (Bloom</w:t>
      </w:r>
      <w:r w:rsidR="00100592">
        <w:t xml:space="preserve"> et al.</w:t>
      </w:r>
      <w:r w:rsidRPr="008B4C9A">
        <w:t>, 2024</w:t>
      </w:r>
      <w:r w:rsidR="00100592">
        <w:t>, p. 921</w:t>
      </w:r>
      <w:r w:rsidRPr="008B4C9A">
        <w:t>). However, to ensure hybrid work, strong policies and managerial uniformity are essential. Barclays employees have complained about unequal access to flexible working arrangements, ambiguity about what is expected of them in terms of performance and reduced visibility on how their career path can be nurtured.</w:t>
      </w:r>
    </w:p>
    <w:p w14:paraId="3C655905" w14:textId="084CD93C" w:rsidR="00D3463D" w:rsidRPr="008B4C9A" w:rsidRDefault="00D3463D" w:rsidP="00D3463D">
      <w:r w:rsidRPr="008B4C9A">
        <w:t>Remote and hybrid working also pose wellbeing issues. Wells et al. (2023</w:t>
      </w:r>
      <w:r w:rsidR="00C23F5B">
        <w:t>, p. 506</w:t>
      </w:r>
      <w:r w:rsidRPr="008B4C9A">
        <w:t>) show that remote work can confuse work and personal life, which result in stress, physical load, and a decrease in social contact. Roquelaure et al. (2024</w:t>
      </w:r>
      <w:r w:rsidR="006539F3">
        <w:t>, p. 2</w:t>
      </w:r>
      <w:r w:rsidRPr="008B4C9A">
        <w:t>) also posit that hybrid employment elevates the risks of musculoskeletal and indicates the need to revise compensation and ergonomic assistance policies. These results complement complaints made by Barclays employees regarding discomfort, anxiety, and a lack of understanding of entitlements when working at home.</w:t>
      </w:r>
    </w:p>
    <w:p w14:paraId="1714F2DB" w14:textId="77777777" w:rsidR="00D3463D" w:rsidRPr="008B4C9A" w:rsidRDefault="00D3463D" w:rsidP="00D3463D">
      <w:r w:rsidRPr="008B4C9A">
        <w:t xml:space="preserve">Each of these points suggests that business change, accelerated digitalisation, and hybrid working are redefining the employee experience at Barclays. Unless strong HR responses are </w:t>
      </w:r>
      <w:r w:rsidRPr="008B4C9A">
        <w:lastRenderedPageBreak/>
        <w:t>exhibited, employees will still feel unsupported, leading to increased grievance rates and weakened organisational trust.</w:t>
      </w:r>
    </w:p>
    <w:p w14:paraId="19B56D77" w14:textId="77777777" w:rsidR="00D3463D" w:rsidRPr="008B4C9A" w:rsidRDefault="00D3463D" w:rsidP="0092688B">
      <w:pPr>
        <w:ind w:firstLine="0"/>
        <w:rPr>
          <w:b/>
          <w:bCs/>
        </w:rPr>
      </w:pPr>
      <w:r w:rsidRPr="008B4C9A">
        <w:rPr>
          <w:b/>
          <w:bCs/>
        </w:rPr>
        <w:t>Evaluation of Contemporary HR Practices Addressing the Identified Factors</w:t>
      </w:r>
    </w:p>
    <w:p w14:paraId="603520A8" w14:textId="76C4796F" w:rsidR="00D3463D" w:rsidRPr="008B4C9A" w:rsidRDefault="00D3463D" w:rsidP="00D3463D">
      <w:r w:rsidRPr="008B4C9A">
        <w:t>HR needs to be forward-looking, supportive, and evidence-based to manage organisational transformation. Change management is crucial. The eight-step model proposed by Kotter (2012</w:t>
      </w:r>
      <w:r w:rsidR="006539F3">
        <w:t>, p. 4</w:t>
      </w:r>
      <w:r w:rsidRPr="008B4C9A">
        <w:t>) emphasi</w:t>
      </w:r>
      <w:r w:rsidR="003B2C27" w:rsidRPr="008B4C9A">
        <w:t>s</w:t>
      </w:r>
      <w:r w:rsidRPr="008B4C9A">
        <w:t>es the significance of good communication, employee participation, observable leadership, and sustained reinforcement of change goals. Practically, to enhance communication channels, Barclays can provide regular briefings, departmental meetings, and open forums where employees can ask questions and express their concerns. This method generates less confusion, fosters a feeling of belonging and limits the chances of being misled.</w:t>
      </w:r>
    </w:p>
    <w:p w14:paraId="7132B03C" w14:textId="048C5981" w:rsidR="00D3463D" w:rsidRPr="008B4C9A" w:rsidRDefault="00D3463D" w:rsidP="00D3463D">
      <w:r w:rsidRPr="008B4C9A">
        <w:t>In managing digital transformation, especially E-HRM implementation, HR must focus on individual employee capacity and confidence. Al-Harazneh and Sila (2021</w:t>
      </w:r>
      <w:r w:rsidR="00D66118">
        <w:t>, p. 136</w:t>
      </w:r>
      <w:r w:rsidRPr="008B4C9A">
        <w:t>) note that digital HR systems are most effective when employees are thoroughly trained and when designs are user-friendly. Barclays is then able to offer practical training in digital literacy, create easy-to-follow user manuals, and have support teams available in case of technical trouble. Adoption of transparency with respect to the impact of digital systems on such activities as leave approvals, performance reviews, and reporting further helps to reduce frustration and confusion.</w:t>
      </w:r>
    </w:p>
    <w:p w14:paraId="409FDA85" w14:textId="77777777" w:rsidR="00D3463D" w:rsidRPr="008B4C9A" w:rsidRDefault="00D3463D" w:rsidP="00D3463D">
      <w:r w:rsidRPr="008B4C9A">
        <w:t>The development of AI should be ethically and procedurally supervised. As Davenport and Ronanki (2018) state, it is crucial that workers comprehend the intent and constraints of AI tools. Barclays can run AI governance rules, answering how information will be utilised, how discrimination will be maintained, and how human reasoning will be central in decision-making. The AI awareness training sessions may serve to de-myth and reduce employee fear of automation.</w:t>
      </w:r>
    </w:p>
    <w:p w14:paraId="4F8EE95F" w14:textId="1A2D7C83" w:rsidR="00D3463D" w:rsidRPr="008B4C9A" w:rsidRDefault="00D3463D" w:rsidP="00D3463D">
      <w:r w:rsidRPr="008B4C9A">
        <w:lastRenderedPageBreak/>
        <w:t>Flexible work also demands modern HR practices based on equity and transparency. Bloom</w:t>
      </w:r>
      <w:r w:rsidR="00100592">
        <w:t xml:space="preserve"> et al, </w:t>
      </w:r>
      <w:r w:rsidRPr="008B4C9A">
        <w:t>(2024</w:t>
      </w:r>
      <w:r w:rsidR="00100592">
        <w:t>, p. 921</w:t>
      </w:r>
      <w:r w:rsidRPr="008B4C9A">
        <w:t>) indicate that hybrid work contributes to increased retention when done in a continuous way. HR at Barclays can facilitate this by formulating clear policies that explain eligibility, expectations to be present in the office, communication procedures, and performance indicators. Uniformity means that employees will feel equally appreciated no matter where they work.</w:t>
      </w:r>
    </w:p>
    <w:p w14:paraId="389BBF2C" w14:textId="520784B5" w:rsidR="00D3463D" w:rsidRPr="008B4C9A" w:rsidRDefault="00D3463D" w:rsidP="00D3463D">
      <w:r w:rsidRPr="008B4C9A">
        <w:t>HR should also focus on employee wellbeing. Wells et al. (2023</w:t>
      </w:r>
      <w:r w:rsidR="00F64481">
        <w:t>, p. 508</w:t>
      </w:r>
      <w:r w:rsidRPr="008B4C9A">
        <w:t>) emphasise numerous psychological and physical risks of remote work, and Roquelaure et al. (2024</w:t>
      </w:r>
      <w:r w:rsidR="006539F3">
        <w:t>, p. 2</w:t>
      </w:r>
      <w:r w:rsidRPr="008B4C9A">
        <w:t>) present the necessity of new ergonomic support policies. Barclays can counteract this by providing mental health support, ergonomic tests, equipment allowances and training for managers on wellbeing. Another way to reinforce support systems would be to incorporate wellbeing into performance discussions and explicitly reporting procedures when musculoskeletal issues are raised.</w:t>
      </w:r>
    </w:p>
    <w:p w14:paraId="4A01D6C5" w14:textId="77777777" w:rsidR="00D3463D" w:rsidRPr="008B4C9A" w:rsidRDefault="00D3463D" w:rsidP="00D3463D">
      <w:r w:rsidRPr="008B4C9A">
        <w:t>The following table outlines the relationship between each organisational challenge and major HR practices supported by literature. Such a table is a clear inclusion as the paragraphs around it provide further elaborations.</w:t>
      </w:r>
    </w:p>
    <w:p w14:paraId="23BB06BA" w14:textId="77777777" w:rsidR="009F73A4" w:rsidRPr="008B4C9A" w:rsidRDefault="009F73A4" w:rsidP="009F73A4">
      <w:pPr>
        <w:rPr>
          <w:b/>
          <w:bCs/>
        </w:rPr>
      </w:pPr>
      <w:r w:rsidRPr="008B4C9A">
        <w:rPr>
          <w:b/>
          <w:bCs/>
        </w:rPr>
        <w:t>Table 1: Summary of Organisational Challenges and HR Practices</w:t>
      </w:r>
    </w:p>
    <w:tbl>
      <w:tblPr>
        <w:tblStyle w:val="GridTable4-Accent1"/>
        <w:tblW w:w="0" w:type="auto"/>
        <w:tblLook w:val="04A0" w:firstRow="1" w:lastRow="0" w:firstColumn="1" w:lastColumn="0" w:noHBand="0" w:noVBand="1"/>
      </w:tblPr>
      <w:tblGrid>
        <w:gridCol w:w="2204"/>
        <w:gridCol w:w="4374"/>
        <w:gridCol w:w="2772"/>
      </w:tblGrid>
      <w:tr w:rsidR="009F73A4" w:rsidRPr="008B4C9A" w14:paraId="3AFB8F9E" w14:textId="77777777" w:rsidTr="009F73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FDD550" w14:textId="77777777" w:rsidR="009F73A4" w:rsidRPr="008B4C9A" w:rsidRDefault="009F73A4" w:rsidP="009F73A4">
            <w:pPr>
              <w:ind w:firstLine="0"/>
            </w:pPr>
            <w:r w:rsidRPr="008B4C9A">
              <w:t>Organisational Factor</w:t>
            </w:r>
          </w:p>
        </w:tc>
        <w:tc>
          <w:tcPr>
            <w:tcW w:w="0" w:type="auto"/>
            <w:hideMark/>
          </w:tcPr>
          <w:p w14:paraId="1CED480D" w14:textId="77777777" w:rsidR="009F73A4" w:rsidRPr="008B4C9A" w:rsidRDefault="009F73A4" w:rsidP="009F73A4">
            <w:pPr>
              <w:ind w:firstLine="0"/>
              <w:cnfStyle w:val="100000000000" w:firstRow="1" w:lastRow="0" w:firstColumn="0" w:lastColumn="0" w:oddVBand="0" w:evenVBand="0" w:oddHBand="0" w:evenHBand="0" w:firstRowFirstColumn="0" w:firstRowLastColumn="0" w:lastRowFirstColumn="0" w:lastRowLastColumn="0"/>
            </w:pPr>
            <w:r w:rsidRPr="008B4C9A">
              <w:t>Evidence-Based HR Practice</w:t>
            </w:r>
          </w:p>
        </w:tc>
        <w:tc>
          <w:tcPr>
            <w:tcW w:w="0" w:type="auto"/>
            <w:hideMark/>
          </w:tcPr>
          <w:p w14:paraId="55F1DEC2" w14:textId="77777777" w:rsidR="009F73A4" w:rsidRPr="008B4C9A" w:rsidRDefault="009F73A4" w:rsidP="009F73A4">
            <w:pPr>
              <w:ind w:firstLine="0"/>
              <w:cnfStyle w:val="100000000000" w:firstRow="1" w:lastRow="0" w:firstColumn="0" w:lastColumn="0" w:oddVBand="0" w:evenVBand="0" w:oddHBand="0" w:evenHBand="0" w:firstRowFirstColumn="0" w:firstRowLastColumn="0" w:lastRowFirstColumn="0" w:lastRowLastColumn="0"/>
            </w:pPr>
            <w:r w:rsidRPr="008B4C9A">
              <w:t>Supporting Source</w:t>
            </w:r>
          </w:p>
        </w:tc>
      </w:tr>
      <w:tr w:rsidR="009F73A4" w:rsidRPr="008B4C9A" w14:paraId="1B97108C" w14:textId="77777777" w:rsidTr="009F73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C183C0" w14:textId="77777777" w:rsidR="009F73A4" w:rsidRPr="008B4C9A" w:rsidRDefault="009F73A4" w:rsidP="009F73A4">
            <w:pPr>
              <w:ind w:firstLine="0"/>
            </w:pPr>
            <w:r w:rsidRPr="008B4C9A">
              <w:t>Business transformation</w:t>
            </w:r>
          </w:p>
        </w:tc>
        <w:tc>
          <w:tcPr>
            <w:tcW w:w="0" w:type="auto"/>
            <w:hideMark/>
          </w:tcPr>
          <w:p w14:paraId="1DE85769" w14:textId="77777777" w:rsidR="009F73A4" w:rsidRPr="008B4C9A" w:rsidRDefault="009F73A4" w:rsidP="009F73A4">
            <w:pPr>
              <w:ind w:firstLine="0"/>
              <w:cnfStyle w:val="000000100000" w:firstRow="0" w:lastRow="0" w:firstColumn="0" w:lastColumn="0" w:oddVBand="0" w:evenVBand="0" w:oddHBand="1" w:evenHBand="0" w:firstRowFirstColumn="0" w:firstRowLastColumn="0" w:lastRowFirstColumn="0" w:lastRowLastColumn="0"/>
            </w:pPr>
            <w:r w:rsidRPr="008B4C9A">
              <w:t>Clear communication, change management training, employee involvement</w:t>
            </w:r>
          </w:p>
        </w:tc>
        <w:tc>
          <w:tcPr>
            <w:tcW w:w="0" w:type="auto"/>
            <w:hideMark/>
          </w:tcPr>
          <w:p w14:paraId="756E17E1" w14:textId="77777777" w:rsidR="009F73A4" w:rsidRPr="008B4C9A" w:rsidRDefault="009F73A4" w:rsidP="009F73A4">
            <w:pPr>
              <w:ind w:firstLine="0"/>
              <w:cnfStyle w:val="000000100000" w:firstRow="0" w:lastRow="0" w:firstColumn="0" w:lastColumn="0" w:oddVBand="0" w:evenVBand="0" w:oddHBand="1" w:evenHBand="0" w:firstRowFirstColumn="0" w:firstRowLastColumn="0" w:lastRowFirstColumn="0" w:lastRowLastColumn="0"/>
            </w:pPr>
            <w:r w:rsidRPr="008B4C9A">
              <w:t>Kotter (2012)</w:t>
            </w:r>
          </w:p>
        </w:tc>
      </w:tr>
      <w:tr w:rsidR="009F73A4" w:rsidRPr="008B4C9A" w14:paraId="0D1B20DA" w14:textId="77777777" w:rsidTr="009F73A4">
        <w:tc>
          <w:tcPr>
            <w:cnfStyle w:val="001000000000" w:firstRow="0" w:lastRow="0" w:firstColumn="1" w:lastColumn="0" w:oddVBand="0" w:evenVBand="0" w:oddHBand="0" w:evenHBand="0" w:firstRowFirstColumn="0" w:firstRowLastColumn="0" w:lastRowFirstColumn="0" w:lastRowLastColumn="0"/>
            <w:tcW w:w="0" w:type="auto"/>
            <w:hideMark/>
          </w:tcPr>
          <w:p w14:paraId="0D627D70" w14:textId="77777777" w:rsidR="009F73A4" w:rsidRPr="008B4C9A" w:rsidRDefault="009F73A4" w:rsidP="009F73A4">
            <w:pPr>
              <w:ind w:firstLine="0"/>
            </w:pPr>
            <w:r w:rsidRPr="008B4C9A">
              <w:t>E-HRM adoption</w:t>
            </w:r>
          </w:p>
        </w:tc>
        <w:tc>
          <w:tcPr>
            <w:tcW w:w="0" w:type="auto"/>
            <w:hideMark/>
          </w:tcPr>
          <w:p w14:paraId="1672FC78" w14:textId="77777777" w:rsidR="009F73A4" w:rsidRPr="008B4C9A" w:rsidRDefault="009F73A4" w:rsidP="009F73A4">
            <w:pPr>
              <w:ind w:firstLine="0"/>
              <w:cnfStyle w:val="000000000000" w:firstRow="0" w:lastRow="0" w:firstColumn="0" w:lastColumn="0" w:oddVBand="0" w:evenVBand="0" w:oddHBand="0" w:evenHBand="0" w:firstRowFirstColumn="0" w:firstRowLastColumn="0" w:lastRowFirstColumn="0" w:lastRowLastColumn="0"/>
            </w:pPr>
            <w:r w:rsidRPr="008B4C9A">
              <w:t>Digital training, user-friendly design, accessible support</w:t>
            </w:r>
          </w:p>
        </w:tc>
        <w:tc>
          <w:tcPr>
            <w:tcW w:w="0" w:type="auto"/>
            <w:hideMark/>
          </w:tcPr>
          <w:p w14:paraId="544C45B5" w14:textId="77777777" w:rsidR="009F73A4" w:rsidRPr="008B4C9A" w:rsidRDefault="009F73A4" w:rsidP="009F73A4">
            <w:pPr>
              <w:ind w:firstLine="0"/>
              <w:cnfStyle w:val="000000000000" w:firstRow="0" w:lastRow="0" w:firstColumn="0" w:lastColumn="0" w:oddVBand="0" w:evenVBand="0" w:oddHBand="0" w:evenHBand="0" w:firstRowFirstColumn="0" w:firstRowLastColumn="0" w:lastRowFirstColumn="0" w:lastRowLastColumn="0"/>
            </w:pPr>
            <w:r w:rsidRPr="008B4C9A">
              <w:t>Al-Harazneh &amp; Sila (2021)</w:t>
            </w:r>
          </w:p>
        </w:tc>
      </w:tr>
      <w:tr w:rsidR="009F73A4" w:rsidRPr="008B4C9A" w14:paraId="4444F962" w14:textId="77777777" w:rsidTr="009F73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C7F47B" w14:textId="77777777" w:rsidR="009F73A4" w:rsidRPr="008B4C9A" w:rsidRDefault="009F73A4" w:rsidP="009F73A4">
            <w:pPr>
              <w:ind w:firstLine="0"/>
            </w:pPr>
            <w:r w:rsidRPr="008B4C9A">
              <w:t>AI integration</w:t>
            </w:r>
          </w:p>
        </w:tc>
        <w:tc>
          <w:tcPr>
            <w:tcW w:w="0" w:type="auto"/>
            <w:hideMark/>
          </w:tcPr>
          <w:p w14:paraId="65FAEFBE" w14:textId="77777777" w:rsidR="009F73A4" w:rsidRPr="008B4C9A" w:rsidRDefault="009F73A4" w:rsidP="009F73A4">
            <w:pPr>
              <w:ind w:firstLine="0"/>
              <w:cnfStyle w:val="000000100000" w:firstRow="0" w:lastRow="0" w:firstColumn="0" w:lastColumn="0" w:oddVBand="0" w:evenVBand="0" w:oddHBand="1" w:evenHBand="0" w:firstRowFirstColumn="0" w:firstRowLastColumn="0" w:lastRowFirstColumn="0" w:lastRowLastColumn="0"/>
            </w:pPr>
            <w:r w:rsidRPr="008B4C9A">
              <w:t>Ethical guidelines, transparency, AI literacy programmes</w:t>
            </w:r>
          </w:p>
        </w:tc>
        <w:tc>
          <w:tcPr>
            <w:tcW w:w="0" w:type="auto"/>
            <w:hideMark/>
          </w:tcPr>
          <w:p w14:paraId="66CC3CCA" w14:textId="77777777" w:rsidR="009F73A4" w:rsidRPr="008B4C9A" w:rsidRDefault="009F73A4" w:rsidP="009F73A4">
            <w:pPr>
              <w:ind w:firstLine="0"/>
              <w:cnfStyle w:val="000000100000" w:firstRow="0" w:lastRow="0" w:firstColumn="0" w:lastColumn="0" w:oddVBand="0" w:evenVBand="0" w:oddHBand="1" w:evenHBand="0" w:firstRowFirstColumn="0" w:firstRowLastColumn="0" w:lastRowFirstColumn="0" w:lastRowLastColumn="0"/>
            </w:pPr>
            <w:r w:rsidRPr="008B4C9A">
              <w:t>Davenport &amp; Ronanki (2018)</w:t>
            </w:r>
          </w:p>
        </w:tc>
      </w:tr>
      <w:tr w:rsidR="009F73A4" w:rsidRPr="008B4C9A" w14:paraId="579B47F9" w14:textId="77777777" w:rsidTr="009F73A4">
        <w:tc>
          <w:tcPr>
            <w:cnfStyle w:val="001000000000" w:firstRow="0" w:lastRow="0" w:firstColumn="1" w:lastColumn="0" w:oddVBand="0" w:evenVBand="0" w:oddHBand="0" w:evenHBand="0" w:firstRowFirstColumn="0" w:firstRowLastColumn="0" w:lastRowFirstColumn="0" w:lastRowLastColumn="0"/>
            <w:tcW w:w="0" w:type="auto"/>
            <w:hideMark/>
          </w:tcPr>
          <w:p w14:paraId="252002F0" w14:textId="77777777" w:rsidR="009F73A4" w:rsidRPr="008B4C9A" w:rsidRDefault="009F73A4" w:rsidP="009F73A4">
            <w:pPr>
              <w:ind w:firstLine="0"/>
            </w:pPr>
            <w:r w:rsidRPr="008B4C9A">
              <w:t>Hybrid working</w:t>
            </w:r>
          </w:p>
        </w:tc>
        <w:tc>
          <w:tcPr>
            <w:tcW w:w="0" w:type="auto"/>
            <w:hideMark/>
          </w:tcPr>
          <w:p w14:paraId="581D7EF6" w14:textId="77777777" w:rsidR="009F73A4" w:rsidRPr="008B4C9A" w:rsidRDefault="009F73A4" w:rsidP="009F73A4">
            <w:pPr>
              <w:ind w:firstLine="0"/>
              <w:cnfStyle w:val="000000000000" w:firstRow="0" w:lastRow="0" w:firstColumn="0" w:lastColumn="0" w:oddVBand="0" w:evenVBand="0" w:oddHBand="0" w:evenHBand="0" w:firstRowFirstColumn="0" w:firstRowLastColumn="0" w:lastRowFirstColumn="0" w:lastRowLastColumn="0"/>
            </w:pPr>
            <w:r w:rsidRPr="008B4C9A">
              <w:t>Clear policies, consistent managerial implementation</w:t>
            </w:r>
          </w:p>
        </w:tc>
        <w:tc>
          <w:tcPr>
            <w:tcW w:w="0" w:type="auto"/>
            <w:hideMark/>
          </w:tcPr>
          <w:p w14:paraId="7E9C9208" w14:textId="77777777" w:rsidR="009F73A4" w:rsidRPr="008B4C9A" w:rsidRDefault="009F73A4" w:rsidP="009F73A4">
            <w:pPr>
              <w:ind w:firstLine="0"/>
              <w:cnfStyle w:val="000000000000" w:firstRow="0" w:lastRow="0" w:firstColumn="0" w:lastColumn="0" w:oddVBand="0" w:evenVBand="0" w:oddHBand="0" w:evenHBand="0" w:firstRowFirstColumn="0" w:firstRowLastColumn="0" w:lastRowFirstColumn="0" w:lastRowLastColumn="0"/>
            </w:pPr>
            <w:r w:rsidRPr="008B4C9A">
              <w:t>Bloom et al. (2024)</w:t>
            </w:r>
          </w:p>
        </w:tc>
      </w:tr>
      <w:tr w:rsidR="009F73A4" w:rsidRPr="008B4C9A" w14:paraId="2E4732CE" w14:textId="77777777" w:rsidTr="009F73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24FA17" w14:textId="77777777" w:rsidR="009F73A4" w:rsidRPr="008B4C9A" w:rsidRDefault="009F73A4" w:rsidP="009F73A4">
            <w:pPr>
              <w:ind w:firstLine="0"/>
            </w:pPr>
            <w:r w:rsidRPr="008B4C9A">
              <w:lastRenderedPageBreak/>
              <w:t>Remote work wellbeing</w:t>
            </w:r>
          </w:p>
        </w:tc>
        <w:tc>
          <w:tcPr>
            <w:tcW w:w="0" w:type="auto"/>
            <w:hideMark/>
          </w:tcPr>
          <w:p w14:paraId="549B2E01" w14:textId="77777777" w:rsidR="009F73A4" w:rsidRPr="008B4C9A" w:rsidRDefault="009F73A4" w:rsidP="009F73A4">
            <w:pPr>
              <w:ind w:firstLine="0"/>
              <w:cnfStyle w:val="000000100000" w:firstRow="0" w:lastRow="0" w:firstColumn="0" w:lastColumn="0" w:oddVBand="0" w:evenVBand="0" w:oddHBand="1" w:evenHBand="0" w:firstRowFirstColumn="0" w:firstRowLastColumn="0" w:lastRowFirstColumn="0" w:lastRowLastColumn="0"/>
            </w:pPr>
            <w:r w:rsidRPr="008B4C9A">
              <w:t>Mental health support, ergonomic resources</w:t>
            </w:r>
          </w:p>
        </w:tc>
        <w:tc>
          <w:tcPr>
            <w:tcW w:w="0" w:type="auto"/>
            <w:hideMark/>
          </w:tcPr>
          <w:p w14:paraId="6040BAB2" w14:textId="77777777" w:rsidR="009F73A4" w:rsidRPr="008B4C9A" w:rsidRDefault="009F73A4" w:rsidP="009F73A4">
            <w:pPr>
              <w:ind w:firstLine="0"/>
              <w:cnfStyle w:val="000000100000" w:firstRow="0" w:lastRow="0" w:firstColumn="0" w:lastColumn="0" w:oddVBand="0" w:evenVBand="0" w:oddHBand="1" w:evenHBand="0" w:firstRowFirstColumn="0" w:firstRowLastColumn="0" w:lastRowFirstColumn="0" w:lastRowLastColumn="0"/>
            </w:pPr>
            <w:r w:rsidRPr="008B4C9A">
              <w:t>Wells et al. (2023); Roquelaure et al. (2024)</w:t>
            </w:r>
          </w:p>
        </w:tc>
      </w:tr>
    </w:tbl>
    <w:p w14:paraId="66F8F3C7" w14:textId="77777777" w:rsidR="00FC7543" w:rsidRPr="008B4C9A" w:rsidRDefault="00FC7543" w:rsidP="00FC7543">
      <w:r w:rsidRPr="008B4C9A">
        <w:t>These practices represent the modernisation of HR thinking that focuses on empowerment, clarity, and employee-centred design. They can help to mitigate grievances and sustain transformation when applied holistically.</w:t>
      </w:r>
    </w:p>
    <w:p w14:paraId="77ACFCCB" w14:textId="77777777" w:rsidR="00FC7543" w:rsidRPr="008B4C9A" w:rsidRDefault="00FC7543" w:rsidP="0092688B">
      <w:pPr>
        <w:ind w:firstLine="0"/>
        <w:rPr>
          <w:b/>
          <w:bCs/>
        </w:rPr>
      </w:pPr>
      <w:r w:rsidRPr="008B4C9A">
        <w:rPr>
          <w:b/>
          <w:bCs/>
        </w:rPr>
        <w:t>Critical Evaluation of How Managers Can Ensure Implementation</w:t>
      </w:r>
    </w:p>
    <w:p w14:paraId="426B0057" w14:textId="77777777" w:rsidR="00FC7543" w:rsidRPr="008B4C9A" w:rsidRDefault="00FC7543" w:rsidP="00FC7543">
      <w:r w:rsidRPr="008B4C9A">
        <w:t>Although HR may formulate robust policies and structures, day-to-day execution is left to departmental managers. Policies can be perceived by employees in fair, understandable and supportive ways depending on their attitudes, competencies and communication behaviours. One of the most frequent causes of grievances in the workplace is managerial inconsistency; thus, alignment of HR strategy and managerial behaviour is fundamental.</w:t>
      </w:r>
    </w:p>
    <w:p w14:paraId="1DF8E88B" w14:textId="638A9E81" w:rsidR="00FC7543" w:rsidRPr="008B4C9A" w:rsidRDefault="00FC7543" w:rsidP="00FC7543">
      <w:r w:rsidRPr="008B4C9A">
        <w:t>Managers should take a central role in conveying business change. According to Kotter (2012</w:t>
      </w:r>
      <w:r w:rsidR="006539F3">
        <w:t>, p. 5</w:t>
      </w:r>
      <w:r w:rsidRPr="008B4C9A">
        <w:t>), during times of change, employees first seek an explanation of the change from their immediate supervisor. Without confidence or understanding among managers, employees soon gain anxiety or mistrust. In response to it, Barclays should offer change-leadership training to managers that will teach them how to articulate the logic of transformation, address employee anxieties with empathy and demonstrate flexibility.</w:t>
      </w:r>
    </w:p>
    <w:p w14:paraId="70FDD54A" w14:textId="7A9B5596" w:rsidR="00FC7543" w:rsidRPr="008B4C9A" w:rsidRDefault="00FC7543" w:rsidP="00FC7543">
      <w:r w:rsidRPr="008B4C9A">
        <w:t>In order to facilitate digital transformation, managers play a crucial role in influencing employee attitudes towards new systems. Al-Harazneh and Sila (2021</w:t>
      </w:r>
      <w:r w:rsidR="00D66118">
        <w:t>, p. 121</w:t>
      </w:r>
      <w:r w:rsidRPr="008B4C9A">
        <w:t xml:space="preserve">) stress that E-HRM acceptance relies in part on the support of the </w:t>
      </w:r>
      <w:r w:rsidR="00D66118">
        <w:t>leaders and hr professionals</w:t>
      </w:r>
      <w:r w:rsidRPr="008B4C9A">
        <w:t>. Managers who are competent in digital tools, who promote their use and informal coaching normalise new systems. Digitally-resistant managers, on the other hand, risk mocking themselves and demonstrating a lack of credibility by not using the digital systems themselves. Digital proficiency should thus be incorporated into managerial performance expectations at Barclays.</w:t>
      </w:r>
    </w:p>
    <w:p w14:paraId="54EC6BF2" w14:textId="77777777" w:rsidR="00FC7543" w:rsidRPr="008B4C9A" w:rsidRDefault="00FC7543" w:rsidP="00FC7543">
      <w:r w:rsidRPr="008B4C9A">
        <w:lastRenderedPageBreak/>
        <w:t>The integration of AI also demands effective management and leadership. As Davenport and Ronanki (2018) observe, effective AI endeavours rely on transparency and teamwork. Managers should articulate the use of AI tools in decision-making, reassure them that human judgment will be the main focus and invite questions or feedback when employees are unsure. They must be prepared to raise eyebrows over bias, mistakes, or improper use or dependence on the automation. AI tools may create more grounds for unfairness without robust managerial supervision.</w:t>
      </w:r>
    </w:p>
    <w:p w14:paraId="0CF60AB1" w14:textId="6015DADA" w:rsidR="00FC7543" w:rsidRPr="008B4C9A" w:rsidRDefault="00FC7543" w:rsidP="00FC7543">
      <w:r w:rsidRPr="008B4C9A">
        <w:t>Managers can decide what is fair in flexible working arrangements. Even with the presence of hybrid work policies, inconsistent application at the level of teams can result in resentment and grievances. According to the research of Bloom</w:t>
      </w:r>
      <w:r w:rsidR="00100592">
        <w:t xml:space="preserve"> et al, </w:t>
      </w:r>
      <w:r w:rsidRPr="008B4C9A">
        <w:t>(2024</w:t>
      </w:r>
      <w:r w:rsidR="00100592">
        <w:t>, p. 924</w:t>
      </w:r>
      <w:r w:rsidRPr="008B4C9A">
        <w:t>), the success of hybrid work depends on its fairness. It is thus important that managers make decisions grounded in clear criteria and not on personal preference. They should also make sure remote staff are involved in meetings, opportunities and team communication. A flexible course of training around inclusive remote leadership would enhance managerial capacity in these spheres.</w:t>
      </w:r>
    </w:p>
    <w:p w14:paraId="5604F1BB" w14:textId="064CFDF4" w:rsidR="00FC7543" w:rsidRPr="008B4C9A" w:rsidRDefault="00FC7543" w:rsidP="00FC7543">
      <w:r w:rsidRPr="008B4C9A">
        <w:t>Another crucial managerial task is the support of employee well-being. Wells et al. (2023</w:t>
      </w:r>
      <w:r w:rsidR="00F64481">
        <w:t>, p. 516</w:t>
      </w:r>
      <w:r w:rsidRPr="008B4C9A">
        <w:t>) prove the idea that well-being issues are aggravated as managers do not track workload or prompt breaks. Equally, Roquelaure et al. (2024</w:t>
      </w:r>
      <w:r w:rsidR="002161CC">
        <w:t>, p. 2</w:t>
      </w:r>
      <w:r w:rsidRPr="008B4C9A">
        <w:t>) emphasise that musculoskeletal risks in digital settings should be detected through managerial focus. Managers should thus engage in frequent well-being discussions, identify early stress symptoms and direct employees to relevant resources. Barclays would benefit by arming managers with how to engage in supportive conversations and build well-being into regular check-ins.</w:t>
      </w:r>
    </w:p>
    <w:p w14:paraId="16BA6D13" w14:textId="77777777" w:rsidR="00FC7543" w:rsidRPr="008B4C9A" w:rsidRDefault="00FC7543" w:rsidP="00FC7543">
      <w:r w:rsidRPr="008B4C9A">
        <w:t xml:space="preserve">Nonetheless, more than just training is necessary to warrant urgent implementation. Barclays needs to implement accountability systems that hold managers accountable for policy </w:t>
      </w:r>
      <w:r w:rsidRPr="008B4C9A">
        <w:lastRenderedPageBreak/>
        <w:t>compliance. The effectiveness of HR practices carried out by managers should be monitored through clear reporting structures, monitoring systems and feedback loops. Expectations should be reaffirmed by senior leadership and recognised when managers demonstrate positive behaviour. Employees will feel fairly supported and treated in the course of organisational change only when managerial behaviour is consistent with HR strategy.</w:t>
      </w:r>
    </w:p>
    <w:p w14:paraId="08F73917" w14:textId="77777777" w:rsidR="00FC7543" w:rsidRPr="008B4C9A" w:rsidRDefault="00FC7543" w:rsidP="0092688B">
      <w:pPr>
        <w:ind w:firstLine="0"/>
        <w:rPr>
          <w:b/>
          <w:bCs/>
        </w:rPr>
      </w:pPr>
      <w:r w:rsidRPr="008B4C9A">
        <w:rPr>
          <w:b/>
          <w:bCs/>
        </w:rPr>
        <w:t>Conclusion and Recommendations</w:t>
      </w:r>
    </w:p>
    <w:p w14:paraId="0F55C9E7" w14:textId="77777777" w:rsidR="00FC7543" w:rsidRPr="008B4C9A" w:rsidRDefault="00FC7543" w:rsidP="00FC7543">
      <w:r w:rsidRPr="008B4C9A">
        <w:t>To sum up, increased grievances at Barclays UK have been highly connected to the quick business transformation, digitalisation and adoption of flexible working arrangements. These changes have altered employee experiences, introducing confusion and problems that need to be addressed through integrated HR and management efforts. Recent studies show that effective change must rely on effective communication, effective digital and artificial intelligence literacy, an equitable policy in hybrid work, and well-being support. Although HR can devise comprehensive plans, its effectiveness hinges on how well managers are consistent and committed.</w:t>
      </w:r>
    </w:p>
    <w:p w14:paraId="09B2C7F8" w14:textId="56C3DCF7" w:rsidR="009F73A4" w:rsidRPr="008B4C9A" w:rsidRDefault="00FC7543" w:rsidP="00FC7543">
      <w:r w:rsidRPr="008B4C9A">
        <w:t>In order to minimise complaints and facilitate sustainable change, Barclays must reinforce communication in change processes, offer digital and artificial intelligence education to employees and managers and make sure that flexible working policies are enforced in a consistent manner across departments. Wellbeing should be integrated into day-to-day management, backed by ergonomic resources, mental health services and policies revised over the occupational health guidelines. Lastly, the organisation ought to adopt mechanisms of tracking management performance in these fields to uphold accountability and constant enhancement. By pursuing these strategies, Barclays can establish a more consistent, transparent and enabling work environment in the context of continuous organisational change.</w:t>
      </w:r>
    </w:p>
    <w:p w14:paraId="29DB4CE2" w14:textId="24F0E969" w:rsidR="009D32C0" w:rsidRPr="008B4C9A" w:rsidRDefault="009D32C0"/>
    <w:p w14:paraId="49371C56" w14:textId="77777777" w:rsidR="009D32C0" w:rsidRPr="008B4C9A" w:rsidRDefault="009D32C0">
      <w:r w:rsidRPr="008B4C9A">
        <w:br w:type="page"/>
      </w:r>
    </w:p>
    <w:p w14:paraId="28DF98AD" w14:textId="5DA3624C" w:rsidR="00BB2A42" w:rsidRPr="008B4C9A" w:rsidRDefault="00654F0F" w:rsidP="00654F0F">
      <w:pPr>
        <w:ind w:firstLine="0"/>
        <w:jc w:val="center"/>
      </w:pPr>
      <w:r w:rsidRPr="008B4C9A">
        <w:lastRenderedPageBreak/>
        <w:t>Bibliography</w:t>
      </w:r>
    </w:p>
    <w:p w14:paraId="27689559" w14:textId="77777777" w:rsidR="00654F0F" w:rsidRPr="008B4C9A" w:rsidRDefault="00654F0F" w:rsidP="00654F0F">
      <w:pPr>
        <w:ind w:left="720" w:hanging="720"/>
      </w:pPr>
      <w:r w:rsidRPr="008B4C9A">
        <w:t xml:space="preserve">Al-Harazneh, Y.M. and Sila, I. (2021) ‘The impact of E-HRM usage on HRM effectiveness’, </w:t>
      </w:r>
      <w:r w:rsidRPr="008B4C9A">
        <w:rPr>
          <w:i/>
          <w:iCs/>
        </w:rPr>
        <w:t>Journal of Global Information Management</w:t>
      </w:r>
      <w:r w:rsidRPr="008B4C9A">
        <w:t xml:space="preserve">, 29(2), pp. 118–147. doi:10.4018/jgim.2021030107. </w:t>
      </w:r>
    </w:p>
    <w:p w14:paraId="72364E19" w14:textId="77777777" w:rsidR="00654F0F" w:rsidRPr="008B4C9A" w:rsidRDefault="00654F0F" w:rsidP="00654F0F">
      <w:pPr>
        <w:ind w:left="720" w:hanging="720"/>
      </w:pPr>
      <w:r w:rsidRPr="008B4C9A">
        <w:t xml:space="preserve">Bloom, N., Han, R. and Liang, J. (2024) ‘Hybrid working from home improves retention without damaging performance’, </w:t>
      </w:r>
      <w:r w:rsidRPr="008B4C9A">
        <w:rPr>
          <w:i/>
          <w:iCs/>
        </w:rPr>
        <w:t>Nature</w:t>
      </w:r>
      <w:r w:rsidRPr="008B4C9A">
        <w:t xml:space="preserve">, 630(8018), pp. 920–925. doi:10.1038/s41586-024-07500-2. </w:t>
      </w:r>
    </w:p>
    <w:p w14:paraId="285EFBF6" w14:textId="77777777" w:rsidR="00654F0F" w:rsidRPr="008B4C9A" w:rsidRDefault="00654F0F" w:rsidP="00654F0F">
      <w:pPr>
        <w:ind w:left="720" w:hanging="720"/>
      </w:pPr>
      <w:r w:rsidRPr="008B4C9A">
        <w:t xml:space="preserve">Davenport, T.H. and Ronanki, R. (2018) </w:t>
      </w:r>
      <w:r w:rsidRPr="008B4C9A">
        <w:rPr>
          <w:i/>
          <w:iCs/>
        </w:rPr>
        <w:t>Artificial Intelligence for the real world</w:t>
      </w:r>
      <w:r w:rsidRPr="008B4C9A">
        <w:t xml:space="preserve">, </w:t>
      </w:r>
      <w:r w:rsidRPr="008B4C9A">
        <w:rPr>
          <w:i/>
          <w:iCs/>
        </w:rPr>
        <w:t>Harvard Business Review</w:t>
      </w:r>
      <w:r w:rsidRPr="008B4C9A">
        <w:t xml:space="preserve">. Available at: https://hbr.org/2018/01/artificial-intelligence-for-the-real-world (Accessed: 08 December 2025). </w:t>
      </w:r>
    </w:p>
    <w:p w14:paraId="5EF4CEFA" w14:textId="77777777" w:rsidR="00654F0F" w:rsidRPr="008B4C9A" w:rsidRDefault="00654F0F" w:rsidP="00654F0F">
      <w:pPr>
        <w:ind w:left="720" w:hanging="720"/>
      </w:pPr>
      <w:r w:rsidRPr="008B4C9A">
        <w:t xml:space="preserve">Kotter, J.P. (2012) ‘Leading change’, </w:t>
      </w:r>
      <w:r w:rsidRPr="008B4C9A">
        <w:rPr>
          <w:i/>
          <w:iCs/>
        </w:rPr>
        <w:t>Harvard Business Review Press</w:t>
      </w:r>
      <w:r w:rsidRPr="008B4C9A">
        <w:t xml:space="preserve"> [Preprint]. doi:10.15358/9783800646159. </w:t>
      </w:r>
    </w:p>
    <w:p w14:paraId="70B53904" w14:textId="77777777" w:rsidR="00654F0F" w:rsidRPr="008B4C9A" w:rsidRDefault="00654F0F" w:rsidP="00654F0F">
      <w:pPr>
        <w:ind w:left="720" w:hanging="720"/>
      </w:pPr>
      <w:r w:rsidRPr="008B4C9A">
        <w:t xml:space="preserve">Roquelaure, Y. </w:t>
      </w:r>
      <w:r w:rsidRPr="008B4C9A">
        <w:rPr>
          <w:i/>
          <w:iCs/>
        </w:rPr>
        <w:t>et al.</w:t>
      </w:r>
      <w:r w:rsidRPr="008B4C9A">
        <w:t xml:space="preserve"> (2024) ‘The Digital Economy and hybrid work call for a review of compensation criteria for musculoskeletal disorders’, </w:t>
      </w:r>
      <w:r w:rsidRPr="008B4C9A">
        <w:rPr>
          <w:i/>
          <w:iCs/>
        </w:rPr>
        <w:t>La Medicina del Lavoro</w:t>
      </w:r>
      <w:r w:rsidRPr="008B4C9A">
        <w:t xml:space="preserve">, 115(3). doi:10.23749/mdl.v115i3.16072. </w:t>
      </w:r>
    </w:p>
    <w:p w14:paraId="73593361" w14:textId="77777777" w:rsidR="00654F0F" w:rsidRPr="008B4C9A" w:rsidRDefault="00654F0F" w:rsidP="00654F0F">
      <w:pPr>
        <w:ind w:left="720" w:hanging="720"/>
      </w:pPr>
      <w:r w:rsidRPr="008B4C9A">
        <w:t xml:space="preserve">Wells, J. </w:t>
      </w:r>
      <w:r w:rsidRPr="008B4C9A">
        <w:rPr>
          <w:i/>
          <w:iCs/>
        </w:rPr>
        <w:t>et al.</w:t>
      </w:r>
      <w:r w:rsidRPr="008B4C9A">
        <w:t xml:space="preserve"> (2023) ‘A systematic review of the impact of remote working referenced to the concept of work–life flow on physical and psychological health’, </w:t>
      </w:r>
      <w:r w:rsidRPr="008B4C9A">
        <w:rPr>
          <w:i/>
          <w:iCs/>
        </w:rPr>
        <w:t>Workplace Health &amp;amp; Safety</w:t>
      </w:r>
      <w:r w:rsidRPr="008B4C9A">
        <w:t xml:space="preserve">, 71(11), pp. 507–521. doi:10.1177/21650799231176397. </w:t>
      </w:r>
    </w:p>
    <w:p w14:paraId="3EC88EF7" w14:textId="24EA26F7" w:rsidR="00654F0F" w:rsidRPr="008B4C9A" w:rsidRDefault="00654F0F" w:rsidP="00654F0F">
      <w:pPr>
        <w:ind w:left="720" w:hanging="720"/>
      </w:pPr>
      <w:r w:rsidRPr="008B4C9A">
        <w:t xml:space="preserve">Wu, Z. (2024) ‘The rise of digital banking in the UK financial sector and its impact on commercial banks’, </w:t>
      </w:r>
      <w:r w:rsidRPr="008B4C9A">
        <w:rPr>
          <w:i/>
          <w:iCs/>
        </w:rPr>
        <w:t>Advances in Economics, Management and Political Sciences</w:t>
      </w:r>
      <w:r w:rsidRPr="008B4C9A">
        <w:t>, 120(1)</w:t>
      </w:r>
      <w:r w:rsidR="005C2729">
        <w:t xml:space="preserve">, pp. 179-184. </w:t>
      </w:r>
      <w:r w:rsidRPr="008B4C9A">
        <w:t xml:space="preserve">doi:10.54254/2754-1169/120/20242553. </w:t>
      </w:r>
    </w:p>
    <w:p w14:paraId="0F6A1F39" w14:textId="77777777" w:rsidR="009D32C0" w:rsidRPr="008B4C9A" w:rsidRDefault="009D32C0" w:rsidP="00654F0F">
      <w:pPr>
        <w:ind w:left="720" w:hanging="720"/>
      </w:pPr>
    </w:p>
    <w:sectPr w:rsidR="009D32C0" w:rsidRPr="008B4C9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15216" w14:textId="77777777" w:rsidR="00687BEB" w:rsidRDefault="00687BEB" w:rsidP="00B132E6">
      <w:pPr>
        <w:spacing w:line="240" w:lineRule="auto"/>
      </w:pPr>
      <w:r>
        <w:separator/>
      </w:r>
    </w:p>
  </w:endnote>
  <w:endnote w:type="continuationSeparator" w:id="0">
    <w:p w14:paraId="4C435C43" w14:textId="77777777" w:rsidR="00687BEB" w:rsidRDefault="00687BEB" w:rsidP="00B132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9081960"/>
      <w:docPartObj>
        <w:docPartGallery w:val="Page Numbers (Bottom of Page)"/>
        <w:docPartUnique/>
      </w:docPartObj>
    </w:sdtPr>
    <w:sdtEndPr>
      <w:rPr>
        <w:noProof/>
      </w:rPr>
    </w:sdtEndPr>
    <w:sdtContent>
      <w:p w14:paraId="418EE230" w14:textId="00FC3018" w:rsidR="00B132E6" w:rsidRDefault="00B132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5AAFB1" w14:textId="77777777" w:rsidR="00B132E6" w:rsidRDefault="00B132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608AA" w14:textId="77777777" w:rsidR="00687BEB" w:rsidRDefault="00687BEB" w:rsidP="00B132E6">
      <w:pPr>
        <w:spacing w:line="240" w:lineRule="auto"/>
      </w:pPr>
      <w:r>
        <w:separator/>
      </w:r>
    </w:p>
  </w:footnote>
  <w:footnote w:type="continuationSeparator" w:id="0">
    <w:p w14:paraId="7C7F3FD7" w14:textId="77777777" w:rsidR="00687BEB" w:rsidRDefault="00687BEB" w:rsidP="00B132E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3A4"/>
    <w:rsid w:val="000207C5"/>
    <w:rsid w:val="0002466E"/>
    <w:rsid w:val="0009203A"/>
    <w:rsid w:val="000942FC"/>
    <w:rsid w:val="00100592"/>
    <w:rsid w:val="001664A3"/>
    <w:rsid w:val="002161CC"/>
    <w:rsid w:val="003B2C27"/>
    <w:rsid w:val="003C2CF7"/>
    <w:rsid w:val="00553E5B"/>
    <w:rsid w:val="00554900"/>
    <w:rsid w:val="00597701"/>
    <w:rsid w:val="005C2729"/>
    <w:rsid w:val="00616245"/>
    <w:rsid w:val="00623D14"/>
    <w:rsid w:val="006539F3"/>
    <w:rsid w:val="00654F0F"/>
    <w:rsid w:val="00672B41"/>
    <w:rsid w:val="00687BEB"/>
    <w:rsid w:val="00862ECE"/>
    <w:rsid w:val="008B4C9A"/>
    <w:rsid w:val="008C273F"/>
    <w:rsid w:val="0092688B"/>
    <w:rsid w:val="009B6B7E"/>
    <w:rsid w:val="009D32C0"/>
    <w:rsid w:val="009F105D"/>
    <w:rsid w:val="009F73A4"/>
    <w:rsid w:val="00AB5E48"/>
    <w:rsid w:val="00AD7585"/>
    <w:rsid w:val="00B132E6"/>
    <w:rsid w:val="00B46A15"/>
    <w:rsid w:val="00BB2A42"/>
    <w:rsid w:val="00C23F5B"/>
    <w:rsid w:val="00CF3134"/>
    <w:rsid w:val="00D3463D"/>
    <w:rsid w:val="00D66118"/>
    <w:rsid w:val="00D73545"/>
    <w:rsid w:val="00E40035"/>
    <w:rsid w:val="00EB6CA5"/>
    <w:rsid w:val="00F611EE"/>
    <w:rsid w:val="00F64481"/>
    <w:rsid w:val="00FA1EAC"/>
    <w:rsid w:val="00FC7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E7EB53"/>
  <w15:chartTrackingRefBased/>
  <w15:docId w15:val="{D2B18657-E275-495C-908E-96644A0D5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3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F73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F73A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73A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F73A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F73A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F73A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F73A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F73A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3A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F73A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F73A4"/>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73A4"/>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9F73A4"/>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9F73A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F73A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F73A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F73A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F73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73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73A4"/>
    <w:pPr>
      <w:numPr>
        <w:ilvl w:val="1"/>
      </w:numPr>
      <w:spacing w:after="160"/>
      <w:ind w:firstLine="72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73A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F73A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F73A4"/>
    <w:rPr>
      <w:i/>
      <w:iCs/>
      <w:color w:val="404040" w:themeColor="text1" w:themeTint="BF"/>
    </w:rPr>
  </w:style>
  <w:style w:type="paragraph" w:styleId="ListParagraph">
    <w:name w:val="List Paragraph"/>
    <w:basedOn w:val="Normal"/>
    <w:uiPriority w:val="34"/>
    <w:qFormat/>
    <w:rsid w:val="009F73A4"/>
    <w:pPr>
      <w:ind w:left="720"/>
      <w:contextualSpacing/>
    </w:pPr>
  </w:style>
  <w:style w:type="character" w:styleId="IntenseEmphasis">
    <w:name w:val="Intense Emphasis"/>
    <w:basedOn w:val="DefaultParagraphFont"/>
    <w:uiPriority w:val="21"/>
    <w:qFormat/>
    <w:rsid w:val="009F73A4"/>
    <w:rPr>
      <w:i/>
      <w:iCs/>
      <w:color w:val="2F5496" w:themeColor="accent1" w:themeShade="BF"/>
    </w:rPr>
  </w:style>
  <w:style w:type="paragraph" w:styleId="IntenseQuote">
    <w:name w:val="Intense Quote"/>
    <w:basedOn w:val="Normal"/>
    <w:next w:val="Normal"/>
    <w:link w:val="IntenseQuoteChar"/>
    <w:uiPriority w:val="30"/>
    <w:qFormat/>
    <w:rsid w:val="009F73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73A4"/>
    <w:rPr>
      <w:i/>
      <w:iCs/>
      <w:color w:val="2F5496" w:themeColor="accent1" w:themeShade="BF"/>
    </w:rPr>
  </w:style>
  <w:style w:type="character" w:styleId="IntenseReference">
    <w:name w:val="Intense Reference"/>
    <w:basedOn w:val="DefaultParagraphFont"/>
    <w:uiPriority w:val="32"/>
    <w:qFormat/>
    <w:rsid w:val="009F73A4"/>
    <w:rPr>
      <w:b/>
      <w:bCs/>
      <w:smallCaps/>
      <w:color w:val="2F5496" w:themeColor="accent1" w:themeShade="BF"/>
      <w:spacing w:val="5"/>
    </w:rPr>
  </w:style>
  <w:style w:type="table" w:styleId="GridTable4-Accent1">
    <w:name w:val="Grid Table 4 Accent 1"/>
    <w:basedOn w:val="TableNormal"/>
    <w:uiPriority w:val="49"/>
    <w:rsid w:val="009F73A4"/>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B132E6"/>
    <w:pPr>
      <w:tabs>
        <w:tab w:val="center" w:pos="4680"/>
        <w:tab w:val="right" w:pos="9360"/>
      </w:tabs>
      <w:spacing w:line="240" w:lineRule="auto"/>
    </w:pPr>
  </w:style>
  <w:style w:type="character" w:customStyle="1" w:styleId="HeaderChar">
    <w:name w:val="Header Char"/>
    <w:basedOn w:val="DefaultParagraphFont"/>
    <w:link w:val="Header"/>
    <w:uiPriority w:val="99"/>
    <w:rsid w:val="00B132E6"/>
  </w:style>
  <w:style w:type="paragraph" w:styleId="Footer">
    <w:name w:val="footer"/>
    <w:basedOn w:val="Normal"/>
    <w:link w:val="FooterChar"/>
    <w:uiPriority w:val="99"/>
    <w:unhideWhenUsed/>
    <w:rsid w:val="00B132E6"/>
    <w:pPr>
      <w:tabs>
        <w:tab w:val="center" w:pos="4680"/>
        <w:tab w:val="right" w:pos="9360"/>
      </w:tabs>
      <w:spacing w:line="240" w:lineRule="auto"/>
    </w:pPr>
  </w:style>
  <w:style w:type="character" w:customStyle="1" w:styleId="FooterChar">
    <w:name w:val="Footer Char"/>
    <w:basedOn w:val="DefaultParagraphFont"/>
    <w:link w:val="Footer"/>
    <w:uiPriority w:val="99"/>
    <w:rsid w:val="00B132E6"/>
  </w:style>
  <w:style w:type="paragraph" w:styleId="NormalWeb">
    <w:name w:val="Normal (Web)"/>
    <w:basedOn w:val="Normal"/>
    <w:uiPriority w:val="99"/>
    <w:semiHidden/>
    <w:unhideWhenUsed/>
    <w:rsid w:val="00F611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11</Pages>
  <Words>2537</Words>
  <Characters>14461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44</cp:revision>
  <dcterms:created xsi:type="dcterms:W3CDTF">2025-12-08T14:22:00Z</dcterms:created>
  <dcterms:modified xsi:type="dcterms:W3CDTF">2025-12-12T12:14:00Z</dcterms:modified>
</cp:coreProperties>
</file>