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94C4DD" w14:textId="410E6D75" w:rsidR="00B71D1D" w:rsidRDefault="00B71D1D" w:rsidP="00B71D1D">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14:anchorId="71C83B38" wp14:editId="78C88E77">
            <wp:extent cx="2880995" cy="1052195"/>
            <wp:effectExtent l="19050" t="19050" r="14605" b="1460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80995" cy="1052195"/>
                    </a:xfrm>
                    <a:prstGeom prst="rect">
                      <a:avLst/>
                    </a:prstGeom>
                    <a:noFill/>
                    <a:ln w="19050" cmpd="sng">
                      <a:solidFill>
                        <a:srgbClr val="000000"/>
                      </a:solidFill>
                      <a:miter lim="800000"/>
                      <a:headEnd/>
                      <a:tailEnd/>
                    </a:ln>
                    <a:effectLst/>
                  </pic:spPr>
                </pic:pic>
              </a:graphicData>
            </a:graphic>
          </wp:inline>
        </w:drawing>
      </w:r>
    </w:p>
    <w:p w14:paraId="4B510CF4" w14:textId="77777777" w:rsidR="00B71D1D" w:rsidRDefault="00B71D1D" w:rsidP="00B71D1D">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7F6ACF18" w14:textId="77777777" w:rsidR="00B71D1D" w:rsidRPr="001E50BB" w:rsidRDefault="00B71D1D" w:rsidP="00B71D1D">
      <w:pPr>
        <w:jc w:val="center"/>
        <w:rPr>
          <w:rFonts w:ascii="Arial" w:hAnsi="Arial" w:cs="Arial"/>
          <w:b/>
          <w:lang w:val="cy-GB"/>
        </w:rPr>
      </w:pPr>
      <w:r w:rsidRPr="001E50BB">
        <w:rPr>
          <w:rFonts w:ascii="Arial" w:hAnsi="Arial" w:cs="Arial"/>
          <w:b/>
          <w:lang w:val="cy-GB"/>
        </w:rPr>
        <w:t>(to be completed by marker)</w:t>
      </w:r>
    </w:p>
    <w:p w14:paraId="3F97BF7C" w14:textId="77777777" w:rsidR="00B71D1D" w:rsidRPr="001E50BB" w:rsidRDefault="00B71D1D" w:rsidP="00B71D1D">
      <w:pPr>
        <w:jc w:val="center"/>
        <w:rPr>
          <w:rFonts w:ascii="Arial" w:hAnsi="Arial" w:cs="Arial"/>
          <w:b/>
          <w:lang w:val="cy-GB"/>
        </w:rPr>
      </w:pPr>
    </w:p>
    <w:p w14:paraId="3B99C3F3" w14:textId="77777777" w:rsidR="00B71D1D" w:rsidRDefault="00B71D1D" w:rsidP="00B71D1D">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B71D1D" w:rsidRPr="0065654E" w14:paraId="68CE6751" w14:textId="77777777" w:rsidTr="00CA3356">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14FF1B32" w14:textId="77777777" w:rsidR="00B71D1D" w:rsidRDefault="00B71D1D" w:rsidP="00CA3356">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Daegan Simpson</w:t>
            </w:r>
          </w:p>
          <w:p w14:paraId="19C2FF72" w14:textId="77777777" w:rsidR="00B71D1D" w:rsidRPr="0065654E" w:rsidRDefault="00B71D1D" w:rsidP="00CA3356">
            <w:pPr>
              <w:pStyle w:val="NormalWeb"/>
              <w:spacing w:before="0" w:beforeAutospacing="0" w:after="0" w:afterAutospacing="0"/>
              <w:ind w:right="34"/>
              <w:rPr>
                <w:rFonts w:ascii="Calibri" w:hAnsi="Calibri" w:cs="Tahoma"/>
                <w:i/>
                <w:sz w:val="24"/>
                <w:szCs w:val="24"/>
              </w:rPr>
            </w:pPr>
          </w:p>
        </w:tc>
      </w:tr>
      <w:tr w:rsidR="00B71D1D" w:rsidRPr="0065654E" w14:paraId="092CC7E9" w14:textId="77777777" w:rsidTr="00CA3356">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515E8363" w14:textId="77777777" w:rsidR="00B71D1D" w:rsidRDefault="00B71D1D" w:rsidP="00CA3356">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Module Code: HPHI6008</w:t>
            </w:r>
          </w:p>
          <w:p w14:paraId="31E35B8F" w14:textId="77777777" w:rsidR="00B71D1D" w:rsidRDefault="00B71D1D" w:rsidP="00CA3356">
            <w:pPr>
              <w:pStyle w:val="NormalWeb"/>
              <w:spacing w:before="0" w:beforeAutospacing="0" w:after="0" w:afterAutospacing="0"/>
              <w:ind w:right="34"/>
              <w:rPr>
                <w:rFonts w:ascii="Calibri" w:hAnsi="Calibri" w:cs="Tahoma"/>
                <w:i/>
                <w:sz w:val="24"/>
                <w:szCs w:val="24"/>
              </w:rPr>
            </w:pPr>
          </w:p>
          <w:p w14:paraId="7A3C5AAE" w14:textId="77777777" w:rsidR="00B71D1D" w:rsidRDefault="00B71D1D" w:rsidP="00CA3356">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Urban Sounds and Visions</w:t>
            </w:r>
          </w:p>
          <w:p w14:paraId="786FCE54" w14:textId="77777777" w:rsidR="00B71D1D" w:rsidRPr="0065654E" w:rsidRDefault="00B71D1D" w:rsidP="00CA3356">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14:paraId="744B55F0" w14:textId="77777777" w:rsidR="00B71D1D" w:rsidRPr="0065654E" w:rsidRDefault="00B71D1D" w:rsidP="00CA3356">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1003107</w:t>
            </w:r>
          </w:p>
        </w:tc>
      </w:tr>
      <w:tr w:rsidR="00B71D1D" w:rsidRPr="0065654E" w14:paraId="01947897" w14:textId="77777777" w:rsidTr="00CA3356">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15FDE288" w14:textId="77777777" w:rsidR="00B71D1D" w:rsidRPr="0065654E" w:rsidRDefault="00B71D1D" w:rsidP="00CA3356">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47E82750" w14:textId="77777777" w:rsidR="00B71D1D" w:rsidRDefault="00B71D1D" w:rsidP="00CA3356">
            <w:pPr>
              <w:pStyle w:val="NormalWeb"/>
              <w:rPr>
                <w:rFonts w:ascii="Calibri" w:hAnsi="Calibri" w:cs="Tahoma"/>
                <w:i/>
                <w:sz w:val="24"/>
                <w:szCs w:val="24"/>
              </w:rPr>
            </w:pPr>
            <w:r w:rsidRPr="0065654E">
              <w:rPr>
                <w:rFonts w:ascii="Calibri" w:hAnsi="Calibri" w:cs="Tahoma"/>
                <w:i/>
                <w:sz w:val="24"/>
                <w:szCs w:val="24"/>
              </w:rPr>
              <w:t>Comments:</w:t>
            </w:r>
          </w:p>
          <w:p w14:paraId="303912D6" w14:textId="77777777" w:rsidR="00B71D1D" w:rsidRDefault="00B71D1D" w:rsidP="00CA3356">
            <w:pPr>
              <w:pStyle w:val="NormalWeb"/>
              <w:rPr>
                <w:rFonts w:ascii="Calibri" w:hAnsi="Calibri" w:cs="Tahoma"/>
                <w:i/>
                <w:sz w:val="24"/>
                <w:szCs w:val="24"/>
              </w:rPr>
            </w:pPr>
          </w:p>
          <w:p w14:paraId="18946F5D" w14:textId="77777777" w:rsidR="00B71D1D" w:rsidRDefault="00B71D1D" w:rsidP="00CA3356">
            <w:pPr>
              <w:pStyle w:val="NormalWeb"/>
              <w:rPr>
                <w:rFonts w:ascii="Calibri" w:hAnsi="Calibri" w:cs="Tahoma"/>
                <w:i/>
                <w:sz w:val="24"/>
                <w:szCs w:val="24"/>
              </w:rPr>
            </w:pPr>
          </w:p>
          <w:p w14:paraId="1181118A" w14:textId="77777777" w:rsidR="00B71D1D" w:rsidRDefault="00B71D1D" w:rsidP="00CA3356">
            <w:pPr>
              <w:pStyle w:val="NormalWeb"/>
              <w:rPr>
                <w:rFonts w:ascii="Calibri" w:hAnsi="Calibri" w:cs="Tahoma"/>
                <w:i/>
                <w:sz w:val="24"/>
                <w:szCs w:val="24"/>
              </w:rPr>
            </w:pPr>
          </w:p>
          <w:p w14:paraId="1F8A8AF0" w14:textId="77777777" w:rsidR="00B71D1D" w:rsidRDefault="00B71D1D" w:rsidP="00CA3356">
            <w:pPr>
              <w:pStyle w:val="NormalWeb"/>
              <w:rPr>
                <w:rFonts w:ascii="Calibri" w:hAnsi="Calibri" w:cs="Tahoma"/>
                <w:i/>
                <w:sz w:val="24"/>
                <w:szCs w:val="24"/>
              </w:rPr>
            </w:pPr>
          </w:p>
          <w:p w14:paraId="2100EEAF" w14:textId="77777777" w:rsidR="00B71D1D" w:rsidRDefault="00B71D1D" w:rsidP="00CA3356">
            <w:pPr>
              <w:pStyle w:val="NormalWeb"/>
              <w:rPr>
                <w:rFonts w:ascii="Calibri" w:hAnsi="Calibri" w:cs="Tahoma"/>
                <w:i/>
                <w:sz w:val="24"/>
                <w:szCs w:val="24"/>
              </w:rPr>
            </w:pPr>
          </w:p>
          <w:p w14:paraId="3BD16CB7" w14:textId="77777777" w:rsidR="00B71D1D" w:rsidRDefault="00B71D1D" w:rsidP="00CA3356">
            <w:pPr>
              <w:pStyle w:val="NormalWeb"/>
              <w:rPr>
                <w:rFonts w:ascii="Calibri" w:hAnsi="Calibri" w:cs="Tahoma"/>
                <w:i/>
                <w:sz w:val="24"/>
                <w:szCs w:val="24"/>
              </w:rPr>
            </w:pPr>
          </w:p>
          <w:p w14:paraId="6C448AB6" w14:textId="77777777" w:rsidR="00B71D1D" w:rsidRDefault="00B71D1D" w:rsidP="00CA3356">
            <w:pPr>
              <w:pStyle w:val="NormalWeb"/>
              <w:rPr>
                <w:rFonts w:ascii="Calibri" w:hAnsi="Calibri" w:cs="Tahoma"/>
                <w:i/>
                <w:sz w:val="24"/>
                <w:szCs w:val="24"/>
              </w:rPr>
            </w:pPr>
          </w:p>
          <w:p w14:paraId="1C8A46FB" w14:textId="77777777" w:rsidR="00B71D1D" w:rsidRDefault="00B71D1D" w:rsidP="00CA3356">
            <w:pPr>
              <w:pStyle w:val="NormalWeb"/>
              <w:rPr>
                <w:rFonts w:ascii="Calibri" w:hAnsi="Calibri" w:cs="Tahoma"/>
                <w:i/>
                <w:sz w:val="24"/>
                <w:szCs w:val="24"/>
              </w:rPr>
            </w:pPr>
          </w:p>
          <w:p w14:paraId="7FD1BD28" w14:textId="77777777" w:rsidR="00B71D1D" w:rsidRDefault="00B71D1D" w:rsidP="00CA3356">
            <w:pPr>
              <w:pStyle w:val="NormalWeb"/>
              <w:rPr>
                <w:rFonts w:ascii="Calibri" w:hAnsi="Calibri" w:cs="Tahoma"/>
                <w:i/>
                <w:sz w:val="24"/>
                <w:szCs w:val="24"/>
              </w:rPr>
            </w:pPr>
          </w:p>
          <w:p w14:paraId="2C52ADA8" w14:textId="77777777" w:rsidR="00B71D1D" w:rsidRDefault="00B71D1D" w:rsidP="00CA3356">
            <w:pPr>
              <w:pStyle w:val="NormalWeb"/>
              <w:rPr>
                <w:rFonts w:ascii="Calibri" w:hAnsi="Calibri" w:cs="Tahoma"/>
                <w:i/>
                <w:sz w:val="24"/>
                <w:szCs w:val="24"/>
              </w:rPr>
            </w:pPr>
          </w:p>
          <w:p w14:paraId="7ADCBEE6" w14:textId="77777777" w:rsidR="00B71D1D" w:rsidRPr="0065654E" w:rsidRDefault="00B71D1D" w:rsidP="00CA3356">
            <w:pPr>
              <w:pStyle w:val="NormalWeb"/>
              <w:rPr>
                <w:rFonts w:ascii="Calibri" w:hAnsi="Calibri" w:cs="Tahoma"/>
                <w:i/>
                <w:sz w:val="24"/>
                <w:szCs w:val="24"/>
              </w:rPr>
            </w:pPr>
          </w:p>
        </w:tc>
      </w:tr>
      <w:tr w:rsidR="00B71D1D" w:rsidRPr="0065654E" w14:paraId="183481A5" w14:textId="77777777" w:rsidTr="00CA3356">
        <w:trPr>
          <w:trHeight w:val="492"/>
        </w:trPr>
        <w:tc>
          <w:tcPr>
            <w:tcW w:w="6768" w:type="dxa"/>
            <w:gridSpan w:val="2"/>
            <w:tcBorders>
              <w:top w:val="single" w:sz="4" w:space="0" w:color="auto"/>
            </w:tcBorders>
            <w:vAlign w:val="center"/>
          </w:tcPr>
          <w:p w14:paraId="37E2F639" w14:textId="77777777" w:rsidR="00B71D1D" w:rsidRPr="0065654E" w:rsidRDefault="00B71D1D" w:rsidP="00CA3356">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190CB97C" w14:textId="77777777" w:rsidR="00B71D1D" w:rsidRPr="0065654E" w:rsidRDefault="00B71D1D" w:rsidP="00CA3356">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B71D1D" w:rsidRPr="0065654E" w14:paraId="441B9A5F" w14:textId="77777777" w:rsidTr="00CA3356">
        <w:tc>
          <w:tcPr>
            <w:tcW w:w="8755" w:type="dxa"/>
            <w:gridSpan w:val="3"/>
            <w:vAlign w:val="center"/>
          </w:tcPr>
          <w:p w14:paraId="315E683D" w14:textId="77777777" w:rsidR="00B71D1D" w:rsidRDefault="00B71D1D" w:rsidP="00CA3356">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0DD1C913" w14:textId="77777777" w:rsidR="00B71D1D" w:rsidRPr="0065654E" w:rsidRDefault="00B71D1D" w:rsidP="00CA3356">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71FDF863" w14:textId="77777777" w:rsidR="00B71D1D" w:rsidRPr="0065654E" w:rsidRDefault="00B71D1D" w:rsidP="00B71D1D">
      <w:pPr>
        <w:pStyle w:val="NormalWeb"/>
        <w:spacing w:before="0" w:beforeAutospacing="0" w:after="0" w:afterAutospacing="0"/>
        <w:ind w:right="-334"/>
        <w:rPr>
          <w:rFonts w:ascii="Trebuchet MS" w:hAnsi="Trebuchet MS" w:cs="Tahoma"/>
          <w:b/>
          <w:bCs/>
          <w:sz w:val="24"/>
          <w:szCs w:val="24"/>
        </w:rPr>
      </w:pPr>
    </w:p>
    <w:p w14:paraId="52A03A9E" w14:textId="7522A26C" w:rsidR="00C67251" w:rsidRPr="00C67251" w:rsidRDefault="00A46740" w:rsidP="00C67251">
      <w:bookmarkStart w:id="0" w:name="_GoBack"/>
      <w:bookmarkEnd w:id="0"/>
      <w:proofErr w:type="spellStart"/>
      <w:r>
        <w:lastRenderedPageBreak/>
        <w:t>Cagayous</w:t>
      </w:r>
      <w:proofErr w:type="spellEnd"/>
      <w:r>
        <w:t xml:space="preserve"> is a literary character created by Auguste Robinet (1862-1930). </w:t>
      </w:r>
      <w:r w:rsidR="00C67251">
        <w:t xml:space="preserve">Robinet was born near the </w:t>
      </w:r>
      <w:r w:rsidR="00C67251">
        <w:rPr>
          <w:i/>
        </w:rPr>
        <w:t xml:space="preserve">Place du </w:t>
      </w:r>
      <w:proofErr w:type="spellStart"/>
      <w:r w:rsidR="00C67251">
        <w:rPr>
          <w:i/>
        </w:rPr>
        <w:t>Gouvernement</w:t>
      </w:r>
      <w:proofErr w:type="spellEnd"/>
      <w:r w:rsidR="00C67251">
        <w:rPr>
          <w:i/>
        </w:rPr>
        <w:t>,</w:t>
      </w:r>
      <w:r w:rsidR="00C67251">
        <w:t xml:space="preserve"> in one of the oldest areas in Algiers.  At </w:t>
      </w:r>
      <w:r>
        <w:t xml:space="preserve">the time, Algiers had a diverse ethnic population, which lived apart from one another. Eventually moving to Bab el Oued, which was predominantly Spanish, </w:t>
      </w:r>
      <w:r w:rsidR="00C67251">
        <w:t>Robinet</w:t>
      </w:r>
      <w:r>
        <w:t xml:space="preserve"> wrote on the residential </w:t>
      </w:r>
      <w:proofErr w:type="spellStart"/>
      <w:r>
        <w:rPr>
          <w:i/>
        </w:rPr>
        <w:t>pieds</w:t>
      </w:r>
      <w:proofErr w:type="spellEnd"/>
      <w:r>
        <w:rPr>
          <w:i/>
        </w:rPr>
        <w:t xml:space="preserve">-noirs. </w:t>
      </w:r>
      <w:r w:rsidR="00C67251">
        <w:t xml:space="preserve">The </w:t>
      </w:r>
      <w:proofErr w:type="spellStart"/>
      <w:r w:rsidR="00C67251">
        <w:rPr>
          <w:i/>
        </w:rPr>
        <w:t>pieds</w:t>
      </w:r>
      <w:proofErr w:type="spellEnd"/>
      <w:r w:rsidR="00C67251">
        <w:rPr>
          <w:i/>
        </w:rPr>
        <w:t>-noirs</w:t>
      </w:r>
      <w:r w:rsidR="00C67251">
        <w:t xml:space="preserve"> was a nickname for the Algerian-born people of foreign descent under French rule. The origin of the term is unclear, there are many theories behind it. Some sources claim it to be a reference to the commonly Algerian sailors working barefoot in ships coal rooms, some attribute it to the stained feed of those stamping on grapes for wine</w:t>
      </w:r>
      <w:r w:rsidR="00C51CA8">
        <w:t xml:space="preserve"> </w:t>
      </w:r>
      <w:r w:rsidR="00C51CA8">
        <w:fldChar w:fldCharType="begin"/>
      </w:r>
      <w:r w:rsidR="00C51CA8">
        <w:instrText xml:space="preserve"> ADDIN ZOTERO_ITEM CSL_CITATION {"citationID":"FaUCaP2p","properties":{"formattedCitation":"(Prochaska, 1996)","plainCitation":"(Prochaska, 1996)","noteIndex":0},"citationItems":[{"id":333,"uris":["http://zotero.org/users/local/fHDFbT8E/items/CX6H5PLA"],"uri":["http://zotero.org/users/local/fHDFbT8E/items/CX6H5PLA"],"itemData":{"id":333,"type":"article-journal","title":"History as Literature, Literature as History: Cagayous of Algiers","container-title":"The American Historical Review","page":"671-711","volume":"101","issue":"3","source":"JSTOR","DOI":"10.2307/2169419","ISSN":"0002-8762","shortTitle":"History as Literature, Literature as History","author":[{"family":"Prochaska","given":"David"}],"issued":{"date-parts":[["1996"]]}}}],"schema":"https://github.com/citation-style-language/schema/raw/master/csl-citation.json"} </w:instrText>
      </w:r>
      <w:r w:rsidR="00C51CA8">
        <w:fldChar w:fldCharType="separate"/>
      </w:r>
      <w:r w:rsidR="00C51CA8" w:rsidRPr="00C51CA8">
        <w:rPr>
          <w:rFonts w:ascii="Calibri" w:hAnsi="Calibri" w:cs="Calibri"/>
        </w:rPr>
        <w:t>(Prochaska, 1996)</w:t>
      </w:r>
      <w:r w:rsidR="00C51CA8">
        <w:fldChar w:fldCharType="end"/>
      </w:r>
      <w:r w:rsidR="00C51CA8">
        <w:t>.</w:t>
      </w:r>
      <w:r w:rsidR="00C67251" w:rsidRPr="00C67251">
        <w:t xml:space="preserve"> </w:t>
      </w:r>
      <w:r w:rsidR="00C67251">
        <w:t xml:space="preserve">The </w:t>
      </w:r>
      <w:proofErr w:type="spellStart"/>
      <w:r w:rsidR="00C67251">
        <w:t>Cagayous</w:t>
      </w:r>
      <w:proofErr w:type="spellEnd"/>
      <w:r w:rsidR="00C67251">
        <w:t xml:space="preserve"> tales show the </w:t>
      </w:r>
      <w:proofErr w:type="spellStart"/>
      <w:r w:rsidR="00C67251">
        <w:rPr>
          <w:i/>
        </w:rPr>
        <w:t>pieds</w:t>
      </w:r>
      <w:proofErr w:type="spellEnd"/>
      <w:r w:rsidR="00C67251">
        <w:rPr>
          <w:i/>
        </w:rPr>
        <w:t>-noirs</w:t>
      </w:r>
      <w:r w:rsidR="00C67251">
        <w:t>;</w:t>
      </w:r>
      <w:r w:rsidR="00C67251">
        <w:t xml:space="preserve"> the Spanish, Maltese, Italians</w:t>
      </w:r>
      <w:r w:rsidR="00C67251">
        <w:t xml:space="preserve">, and some other races. They were also known as the </w:t>
      </w:r>
      <w:r w:rsidR="00C67251">
        <w:rPr>
          <w:i/>
        </w:rPr>
        <w:t xml:space="preserve">petit </w:t>
      </w:r>
      <w:proofErr w:type="spellStart"/>
      <w:r w:rsidR="00C67251">
        <w:rPr>
          <w:i/>
        </w:rPr>
        <w:t>blancs</w:t>
      </w:r>
      <w:proofErr w:type="spellEnd"/>
      <w:r w:rsidR="00C67251">
        <w:t xml:space="preserve">, the ‘poor whites’, in reference to the French being wealthier, and the native Algerians being typically darker-skinned. </w:t>
      </w:r>
      <w:proofErr w:type="spellStart"/>
      <w:r w:rsidR="00C67251">
        <w:t>Cagayous</w:t>
      </w:r>
      <w:proofErr w:type="spellEnd"/>
      <w:r w:rsidR="00C67251">
        <w:t xml:space="preserve"> was introduced in 1895 in </w:t>
      </w:r>
      <w:r w:rsidR="00C67251">
        <w:rPr>
          <w:i/>
        </w:rPr>
        <w:t>Le Turco</w:t>
      </w:r>
      <w:r w:rsidR="00C67251">
        <w:t xml:space="preserve"> weekly newspaper; the instant success brought the next stories out in pamphlets. 12,000 copies sold one afternoon, and </w:t>
      </w:r>
      <w:r w:rsidR="00C67251">
        <w:t>the character</w:t>
      </w:r>
      <w:r w:rsidR="00C67251">
        <w:t xml:space="preserve">, in rising popularity, made his way into advertisements and merchandise; caps, theatre skits, songs, anisette, etc. Much of his success can likely be attributed to the appeal he had to the group he represented; the </w:t>
      </w:r>
      <w:r w:rsidR="00C67251">
        <w:rPr>
          <w:i/>
        </w:rPr>
        <w:t xml:space="preserve">petits </w:t>
      </w:r>
      <w:proofErr w:type="spellStart"/>
      <w:r w:rsidR="00C67251">
        <w:rPr>
          <w:i/>
        </w:rPr>
        <w:t>blancs</w:t>
      </w:r>
      <w:proofErr w:type="spellEnd"/>
      <w:r w:rsidR="00C67251">
        <w:rPr>
          <w:i/>
        </w:rPr>
        <w:t xml:space="preserve"> – </w:t>
      </w:r>
      <w:r w:rsidR="00C67251">
        <w:t xml:space="preserve">or at least the </w:t>
      </w:r>
      <w:r w:rsidR="00C67251">
        <w:rPr>
          <w:i/>
        </w:rPr>
        <w:t>petits</w:t>
      </w:r>
      <w:r w:rsidR="00C67251">
        <w:t xml:space="preserve"> </w:t>
      </w:r>
      <w:proofErr w:type="spellStart"/>
      <w:r w:rsidR="00C67251">
        <w:rPr>
          <w:i/>
        </w:rPr>
        <w:t>blancs</w:t>
      </w:r>
      <w:proofErr w:type="spellEnd"/>
      <w:r w:rsidR="00C67251">
        <w:rPr>
          <w:i/>
        </w:rPr>
        <w:t xml:space="preserve"> </w:t>
      </w:r>
      <w:r w:rsidR="00C67251">
        <w:t xml:space="preserve">who could read. </w:t>
      </w:r>
      <w:r w:rsidR="00C67251">
        <w:t xml:space="preserve">His satirical </w:t>
      </w:r>
      <w:proofErr w:type="spellStart"/>
      <w:r w:rsidR="00C67251">
        <w:t>humor</w:t>
      </w:r>
      <w:proofErr w:type="spellEnd"/>
      <w:r w:rsidR="00C67251">
        <w:t xml:space="preserve"> poked fun at the class issues of the time and was used to smooth tensions between Algerians and European settlers.</w:t>
      </w:r>
    </w:p>
    <w:p w14:paraId="08E0A647" w14:textId="12E7F064" w:rsidR="00C67251" w:rsidRDefault="00C67251" w:rsidP="00C67251">
      <w:r>
        <w:t xml:space="preserve">The </w:t>
      </w:r>
      <w:proofErr w:type="spellStart"/>
      <w:r>
        <w:t>Cagayous</w:t>
      </w:r>
      <w:proofErr w:type="spellEnd"/>
      <w:r>
        <w:t xml:space="preserve"> tales examine the world and inhabitants of colonial Algeria, where the European population was three times that of the Algerians</w:t>
      </w:r>
      <w:r>
        <w:t>, at approximately 110,000 to 35,000</w:t>
      </w:r>
      <w:r w:rsidR="00C51CA8">
        <w:t xml:space="preserve"> </w:t>
      </w:r>
      <w:r w:rsidR="00C51CA8">
        <w:fldChar w:fldCharType="begin"/>
      </w:r>
      <w:r w:rsidR="00C51CA8">
        <w:instrText xml:space="preserve"> ADDIN ZOTERO_ITEM CSL_CITATION {"citationID":"pjUflbxs","properties":{"formattedCitation":"(Prochaska, 1996, 1996)","plainCitation":"(Prochaska, 1996, 1996)","noteIndex":0},"citationItems":[{"id":333,"uris":["http://zotero.org/users/local/fHDFbT8E/items/CX6H5PLA"],"uri":["http://zotero.org/users/local/fHDFbT8E/items/CX6H5PLA"],"itemData":{"id":333,"type":"article-journal","title":"History as Literature, Literature as History: Cagayous of Algiers","container-title":"The American Historical Review","page":"671-711","volume":"101","issue":"3","source":"JSTOR","DOI":"10.2307/2169419","ISSN":"0002-8762","shortTitle":"History as Literature, Literature as History","author":[{"family":"Prochaska","given":"David"}],"issued":{"date-parts":[["1996"]]}}},{"id":333,"uris":["http://zotero.org/users/local/fHDFbT8E/items/CX6H5PLA"],"uri":["http://zotero.org/users/local/fHDFbT8E/items/CX6H5PLA"],"itemData":{"id":333,"type":"article-journal","title":"History as Literature, Literature as History: Cagayous of Algiers","container-title":"The American Historical Review","page":"671-711","volume":"101","issue":"3","source":"JSTOR","DOI":"10.2307/2169419","ISSN":"0002-8762","shortTitle":"History as Literature, Literature as History","author":[{"family":"Prochaska","given":"David"}],"issued":{"date-parts":[["1996"]]}}}],"schema":"https://github.com/citation-style-language/schema/raw/master/csl-citation.json"} </w:instrText>
      </w:r>
      <w:r w:rsidR="00C51CA8">
        <w:fldChar w:fldCharType="separate"/>
      </w:r>
      <w:r w:rsidR="00C51CA8" w:rsidRPr="00C51CA8">
        <w:rPr>
          <w:rFonts w:ascii="Calibri" w:hAnsi="Calibri" w:cs="Calibri"/>
        </w:rPr>
        <w:t>(Prochaska, 1996)</w:t>
      </w:r>
      <w:r w:rsidR="00C51CA8">
        <w:fldChar w:fldCharType="end"/>
      </w:r>
      <w:r>
        <w:t>.</w:t>
      </w:r>
      <w:r w:rsidRPr="00C67251">
        <w:t xml:space="preserve"> </w:t>
      </w:r>
      <w:r>
        <w:t xml:space="preserve">The language </w:t>
      </w:r>
      <w:proofErr w:type="spellStart"/>
      <w:r>
        <w:t>Cagayous</w:t>
      </w:r>
      <w:proofErr w:type="spellEnd"/>
      <w:r>
        <w:t xml:space="preserve"> uses is significant; he s</w:t>
      </w:r>
      <w:r>
        <w:t xml:space="preserve">peaks </w:t>
      </w:r>
      <w:proofErr w:type="spellStart"/>
      <w:r w:rsidRPr="00D830D8">
        <w:rPr>
          <w:i/>
        </w:rPr>
        <w:t>patauoete</w:t>
      </w:r>
      <w:proofErr w:type="spellEnd"/>
      <w:r>
        <w:t>, a French-based dialect invented for use by the European settlers.</w:t>
      </w:r>
      <w:r w:rsidRPr="00D830D8">
        <w:t xml:space="preserve"> </w:t>
      </w:r>
      <w:r>
        <w:t>As the common language</w:t>
      </w:r>
      <w:r>
        <w:t xml:space="preserve"> in Algiers</w:t>
      </w:r>
      <w:r>
        <w:t xml:space="preserve"> began to move from </w:t>
      </w:r>
      <w:proofErr w:type="spellStart"/>
      <w:r>
        <w:rPr>
          <w:i/>
        </w:rPr>
        <w:t>sabir</w:t>
      </w:r>
      <w:proofErr w:type="spellEnd"/>
      <w:r>
        <w:t xml:space="preserve">, a mix of French, Spanish, Italian and Arabic, to French, the </w:t>
      </w:r>
      <w:proofErr w:type="spellStart"/>
      <w:r>
        <w:rPr>
          <w:i/>
        </w:rPr>
        <w:t>pieds</w:t>
      </w:r>
      <w:proofErr w:type="spellEnd"/>
      <w:r>
        <w:rPr>
          <w:i/>
        </w:rPr>
        <w:t xml:space="preserve">-noirs </w:t>
      </w:r>
      <w:r>
        <w:t xml:space="preserve">invented </w:t>
      </w:r>
      <w:proofErr w:type="spellStart"/>
      <w:r w:rsidRPr="00C67251">
        <w:rPr>
          <w:i/>
        </w:rPr>
        <w:t>pataouete</w:t>
      </w:r>
      <w:proofErr w:type="spellEnd"/>
      <w:r>
        <w:rPr>
          <w:i/>
        </w:rPr>
        <w:t xml:space="preserve"> </w:t>
      </w:r>
      <w:r>
        <w:t>rather than become fluent in French</w:t>
      </w:r>
      <w:r>
        <w:t xml:space="preserve">. Originating as a spoken </w:t>
      </w:r>
      <w:r>
        <w:t>patois</w:t>
      </w:r>
      <w:r>
        <w:t xml:space="preserve">, </w:t>
      </w:r>
      <w:proofErr w:type="spellStart"/>
      <w:r>
        <w:t>pataouete</w:t>
      </w:r>
      <w:proofErr w:type="spellEnd"/>
      <w:r>
        <w:t xml:space="preserve"> is “a language of gestures, it cannot be fully comprehended without the gesticulations that accompany the words and complete the thoughts.” (Prochaska, </w:t>
      </w:r>
      <w:r w:rsidR="00C51CA8">
        <w:t>1996, p.686</w:t>
      </w:r>
      <w:r>
        <w:t>)</w:t>
      </w:r>
      <w:r w:rsidR="00C51CA8">
        <w:t>.</w:t>
      </w:r>
    </w:p>
    <w:p w14:paraId="50112F5E" w14:textId="64D41176" w:rsidR="00C67251" w:rsidRPr="00C67251" w:rsidRDefault="00C67251" w:rsidP="00C67251">
      <w:r>
        <w:t xml:space="preserve">According to Prochaska, </w:t>
      </w:r>
      <w:proofErr w:type="spellStart"/>
      <w:r>
        <w:t>Cagayous</w:t>
      </w:r>
      <w:proofErr w:type="spellEnd"/>
      <w:r>
        <w:t xml:space="preserve"> is the most recognisable European representation of Alg</w:t>
      </w:r>
      <w:r>
        <w:t xml:space="preserve">iers; the </w:t>
      </w:r>
      <w:proofErr w:type="spellStart"/>
      <w:r w:rsidRPr="00C67251">
        <w:rPr>
          <w:i/>
        </w:rPr>
        <w:t>Cagayous</w:t>
      </w:r>
      <w:proofErr w:type="spellEnd"/>
      <w:r>
        <w:t xml:space="preserve"> </w:t>
      </w:r>
      <w:proofErr w:type="spellStart"/>
      <w:r w:rsidRPr="00C67251">
        <w:rPr>
          <w:i/>
        </w:rPr>
        <w:t>antijuif</w:t>
      </w:r>
      <w:proofErr w:type="spellEnd"/>
      <w:r>
        <w:t xml:space="preserve"> tales are often referred to as objective factual sources. The political troubles with anti-Semitism and the formation of the </w:t>
      </w:r>
      <w:proofErr w:type="spellStart"/>
      <w:r>
        <w:t>pataouete</w:t>
      </w:r>
      <w:proofErr w:type="spellEnd"/>
      <w:r>
        <w:t xml:space="preserve"> are</w:t>
      </w:r>
      <w:r>
        <w:t xml:space="preserve"> </w:t>
      </w:r>
      <w:r>
        <w:t xml:space="preserve">almost documentarily represented here, although in the following series of </w:t>
      </w:r>
      <w:proofErr w:type="spellStart"/>
      <w:r>
        <w:rPr>
          <w:i/>
        </w:rPr>
        <w:t>Cagayous</w:t>
      </w:r>
      <w:proofErr w:type="spellEnd"/>
      <w:r>
        <w:rPr>
          <w:i/>
        </w:rPr>
        <w:t xml:space="preserve"> </w:t>
      </w:r>
      <w:proofErr w:type="spellStart"/>
      <w:r>
        <w:rPr>
          <w:i/>
        </w:rPr>
        <w:t>antitoute</w:t>
      </w:r>
      <w:proofErr w:type="spellEnd"/>
      <w:r>
        <w:rPr>
          <w:i/>
        </w:rPr>
        <w:t xml:space="preserve">, </w:t>
      </w:r>
      <w:r>
        <w:t xml:space="preserve">the tales become more fictional. </w:t>
      </w:r>
    </w:p>
    <w:p w14:paraId="009CA899" w14:textId="29EDF7FF" w:rsidR="00C67251" w:rsidRDefault="00A46740">
      <w:r>
        <w:t xml:space="preserve">The name </w:t>
      </w:r>
      <w:proofErr w:type="spellStart"/>
      <w:r>
        <w:t>Cagayous</w:t>
      </w:r>
      <w:proofErr w:type="spellEnd"/>
      <w:r>
        <w:t xml:space="preserve"> comes from the Provencal </w:t>
      </w:r>
      <w:proofErr w:type="spellStart"/>
      <w:r>
        <w:rPr>
          <w:i/>
        </w:rPr>
        <w:t>cagaille</w:t>
      </w:r>
      <w:proofErr w:type="spellEnd"/>
      <w:r>
        <w:rPr>
          <w:i/>
        </w:rPr>
        <w:t xml:space="preserve">, </w:t>
      </w:r>
      <w:r>
        <w:t>meaning the runs/the shits</w:t>
      </w:r>
      <w:r w:rsidR="00C67251">
        <w:t xml:space="preserve">, and </w:t>
      </w:r>
      <w:proofErr w:type="spellStart"/>
      <w:r w:rsidR="00C67251">
        <w:rPr>
          <w:i/>
        </w:rPr>
        <w:t>lagagnous</w:t>
      </w:r>
      <w:proofErr w:type="spellEnd"/>
      <w:r w:rsidR="00C67251">
        <w:t>, meaning gummy. He has a filthy mouth and makes dirty jokes, which although to the casual reader seems to be simply a character trait, is used to reveal and make light of social tensions; it ‘undercuts the validity of the existing order’</w:t>
      </w:r>
      <w:r w:rsidR="00C51CA8">
        <w:t xml:space="preserve"> (Prochaska, 1996, p.701)</w:t>
      </w:r>
    </w:p>
    <w:p w14:paraId="3DB36083" w14:textId="3C28296F" w:rsidR="005B63E8" w:rsidRDefault="00E81DBB">
      <w:proofErr w:type="spellStart"/>
      <w:r>
        <w:t>Cagayous</w:t>
      </w:r>
      <w:proofErr w:type="spellEnd"/>
      <w:r>
        <w:t xml:space="preserve"> is interested by life on the street, not at home or his workplaces, which we see little of. By frequently foraying into certain parts of the city while almost ignoring others, he creates “his own sort of s</w:t>
      </w:r>
      <w:r w:rsidR="00C51CA8">
        <w:t>patia</w:t>
      </w:r>
      <w:r>
        <w:t>l segregation”</w:t>
      </w:r>
      <w:r w:rsidR="00C51CA8">
        <w:t xml:space="preserve"> (Prochaska, 1996, p.688)</w:t>
      </w:r>
      <w:r>
        <w:t>, which follows the self-segregation between ethnic groups in the city.</w:t>
      </w:r>
      <w:r w:rsidR="00C67251">
        <w:t xml:space="preserve"> </w:t>
      </w:r>
      <w:proofErr w:type="spellStart"/>
      <w:r w:rsidR="003D082C">
        <w:t>Cagayous</w:t>
      </w:r>
      <w:proofErr w:type="spellEnd"/>
      <w:r w:rsidR="003D082C">
        <w:t xml:space="preserve"> also draws an unequal separation between the spheres occupied by men and by women, </w:t>
      </w:r>
      <w:r w:rsidR="003A023C">
        <w:t>placing w</w:t>
      </w:r>
      <w:r w:rsidR="005B63E8">
        <w:t xml:space="preserve">omen within the domesticated family home and men in the world of work. He also holds strongly anti-Semitic views, which was not uncommon at the time. A strong portion of this prejudice relates to the </w:t>
      </w:r>
      <w:proofErr w:type="spellStart"/>
      <w:r w:rsidR="005B63E8">
        <w:t>Cremieux</w:t>
      </w:r>
      <w:proofErr w:type="spellEnd"/>
      <w:r w:rsidR="005B63E8">
        <w:t xml:space="preserve"> decree of 1</w:t>
      </w:r>
      <w:r w:rsidR="00C67251">
        <w:t>8</w:t>
      </w:r>
      <w:r w:rsidR="005B63E8">
        <w:t>70, that granted French citizenship to the Jews</w:t>
      </w:r>
      <w:r w:rsidR="00C67251">
        <w:t xml:space="preserve"> and other European settlers,</w:t>
      </w:r>
      <w:r w:rsidR="005B63E8">
        <w:t xml:space="preserve"> and allowed them to vote</w:t>
      </w:r>
      <w:r w:rsidR="0044110E">
        <w:t>, which they often did in a bloc. This caused resentment as th</w:t>
      </w:r>
      <w:r w:rsidR="00C67251">
        <w:t>eir mostly unified vote</w:t>
      </w:r>
      <w:r w:rsidR="0044110E">
        <w:t xml:space="preserve"> </w:t>
      </w:r>
      <w:r w:rsidR="00C67251">
        <w:t>could</w:t>
      </w:r>
      <w:r w:rsidR="0044110E">
        <w:t xml:space="preserve"> able to tilt the balance in a close election.</w:t>
      </w:r>
      <w:r w:rsidR="00C67251">
        <w:t xml:space="preserve"> This resentment was fuelled by what Prochaska refers to as ‘status anxiety’</w:t>
      </w:r>
      <w:r w:rsidR="00C51CA8">
        <w:t xml:space="preserve"> </w:t>
      </w:r>
      <w:r w:rsidR="00C51CA8">
        <w:t>(Prochaska, 1996,</w:t>
      </w:r>
      <w:r w:rsidR="00C51CA8">
        <w:t xml:space="preserve"> p.697</w:t>
      </w:r>
      <w:r w:rsidR="00C51CA8">
        <w:t>)</w:t>
      </w:r>
      <w:r w:rsidR="00C67251">
        <w:t xml:space="preserve">. </w:t>
      </w:r>
      <w:proofErr w:type="spellStart"/>
      <w:r w:rsidR="00C67251">
        <w:t>Cagayous</w:t>
      </w:r>
      <w:proofErr w:type="spellEnd"/>
      <w:r w:rsidR="00C67251">
        <w:t xml:space="preserve"> and the like were economically no better than the Algerians or Jews, but ethnically, they were classed as colonisers.</w:t>
      </w:r>
    </w:p>
    <w:p w14:paraId="0FB1B8F7" w14:textId="04ED9462" w:rsidR="00C67251" w:rsidRDefault="00C67251" w:rsidP="00C67251">
      <w:proofErr w:type="spellStart"/>
      <w:r>
        <w:lastRenderedPageBreak/>
        <w:t>Homi</w:t>
      </w:r>
      <w:proofErr w:type="spellEnd"/>
      <w:r>
        <w:t xml:space="preserve"> Bhabha studied extensively on the colonial experience, and his work has provided scholars with the vocabulary with which to discuss colonial contexts. He identified several key concepts that he believed to be related to the colonial experience; hybridity</w:t>
      </w:r>
      <w:r>
        <w:t>, ambivalence</w:t>
      </w:r>
      <w:r>
        <w:t xml:space="preserve">, mimicry, and the Third Space. The tales of </w:t>
      </w:r>
      <w:proofErr w:type="spellStart"/>
      <w:r>
        <w:t>Cagayous</w:t>
      </w:r>
      <w:proofErr w:type="spellEnd"/>
      <w:r>
        <w:t xml:space="preserve"> are a tale of the colonial experience from the perspective of the </w:t>
      </w:r>
      <w:proofErr w:type="spellStart"/>
      <w:r>
        <w:rPr>
          <w:i/>
        </w:rPr>
        <w:t>pieds</w:t>
      </w:r>
      <w:proofErr w:type="spellEnd"/>
      <w:r>
        <w:rPr>
          <w:i/>
        </w:rPr>
        <w:t>-noirs</w:t>
      </w:r>
      <w:r>
        <w:t xml:space="preserve">, and </w:t>
      </w:r>
      <w:proofErr w:type="gramStart"/>
      <w:r>
        <w:t>all of</w:t>
      </w:r>
      <w:proofErr w:type="gramEnd"/>
      <w:r>
        <w:t xml:space="preserve"> </w:t>
      </w:r>
      <w:proofErr w:type="spellStart"/>
      <w:r>
        <w:t>Homi</w:t>
      </w:r>
      <w:proofErr w:type="spellEnd"/>
      <w:r>
        <w:t xml:space="preserve"> Bhabha’s concepts can be seen in the tales. </w:t>
      </w:r>
      <w:proofErr w:type="spellStart"/>
      <w:r>
        <w:t>Cagayous</w:t>
      </w:r>
      <w:proofErr w:type="spellEnd"/>
      <w:r>
        <w:t xml:space="preserve"> at his core is a symbol of cultural hybridity; he is an amalgam of Algiers street life and French colonialism, and speaks </w:t>
      </w:r>
      <w:proofErr w:type="spellStart"/>
      <w:r>
        <w:t>pataouete</w:t>
      </w:r>
      <w:proofErr w:type="spellEnd"/>
      <w:r>
        <w:t xml:space="preserve">, a dialect based on French and Arabic, spoken by Europeans, originating in Algiers, in response to the rising use of French language. Prochaska says of </w:t>
      </w:r>
      <w:proofErr w:type="spellStart"/>
      <w:r>
        <w:t>Cagayous</w:t>
      </w:r>
      <w:proofErr w:type="spellEnd"/>
      <w:r>
        <w:t xml:space="preserve"> that h</w:t>
      </w:r>
      <w:r>
        <w:t>e is “firmly anchored in Algiers; he cannot be understood aside from his particular place</w:t>
      </w:r>
      <w:r>
        <w:t>.”</w:t>
      </w:r>
      <w:r w:rsidR="00C51CA8">
        <w:t xml:space="preserve"> </w:t>
      </w:r>
      <w:r w:rsidR="00C51CA8">
        <w:t>(Prochaska, 1996, p.6</w:t>
      </w:r>
      <w:r w:rsidR="00C51CA8">
        <w:t>88</w:t>
      </w:r>
      <w:r w:rsidR="00C51CA8">
        <w:t>)</w:t>
      </w:r>
      <w:r w:rsidR="00C51CA8">
        <w:t>.</w:t>
      </w:r>
      <w:r>
        <w:t xml:space="preserve"> Bhabha’s concept of ambivalence lends itself here; the hybrid cultural identity of </w:t>
      </w:r>
      <w:proofErr w:type="spellStart"/>
      <w:r>
        <w:t>Cagayous</w:t>
      </w:r>
      <w:proofErr w:type="spellEnd"/>
      <w:r>
        <w:t xml:space="preserve"> and the </w:t>
      </w:r>
      <w:r>
        <w:softHyphen/>
      </w:r>
      <w:proofErr w:type="spellStart"/>
      <w:r w:rsidRPr="00C67251">
        <w:rPr>
          <w:i/>
        </w:rPr>
        <w:t>pieds</w:t>
      </w:r>
      <w:proofErr w:type="spellEnd"/>
      <w:r w:rsidRPr="00C67251">
        <w:rPr>
          <w:i/>
        </w:rPr>
        <w:t>-noirs</w:t>
      </w:r>
      <w:r>
        <w:rPr>
          <w:i/>
        </w:rPr>
        <w:t xml:space="preserve"> </w:t>
      </w:r>
      <w:r>
        <w:t xml:space="preserve">is split between Algerian-born and French ethnicity, and his identity cannot be truly understood without understanding the cultural context behind it. On top of this, one could debate whether the </w:t>
      </w:r>
      <w:proofErr w:type="spellStart"/>
      <w:r>
        <w:rPr>
          <w:i/>
        </w:rPr>
        <w:t>pieds</w:t>
      </w:r>
      <w:proofErr w:type="spellEnd"/>
      <w:r>
        <w:rPr>
          <w:i/>
        </w:rPr>
        <w:t xml:space="preserve">-noirs </w:t>
      </w:r>
      <w:r>
        <w:t xml:space="preserve">are a part of the colonised Algerians at all, as they were typically of foreign ethnicity (though born in Algiers) Although he contains such a cultural variation within his identity, </w:t>
      </w:r>
      <w:proofErr w:type="spellStart"/>
      <w:r>
        <w:t>Cagayous</w:t>
      </w:r>
      <w:proofErr w:type="spellEnd"/>
      <w:r>
        <w:t xml:space="preserve">, when asked if he was French, proclaimed “Nous </w:t>
      </w:r>
      <w:proofErr w:type="spellStart"/>
      <w:r>
        <w:t>sommes</w:t>
      </w:r>
      <w:proofErr w:type="spellEnd"/>
      <w:r>
        <w:t xml:space="preserve"> </w:t>
      </w:r>
      <w:proofErr w:type="spellStart"/>
      <w:r>
        <w:t>Algeriens</w:t>
      </w:r>
      <w:proofErr w:type="spellEnd"/>
      <w:r>
        <w:t>!” (We are Algerians!)</w:t>
      </w:r>
      <w:r w:rsidR="005D3FDA">
        <w:t xml:space="preserve"> </w:t>
      </w:r>
      <w:r w:rsidR="005D3FDA">
        <w:fldChar w:fldCharType="begin"/>
      </w:r>
      <w:r w:rsidR="005D3FDA">
        <w:instrText xml:space="preserve"> ADDIN ZOTERO_ITEM CSL_CITATION {"citationID":"ob8JxMeD","properties":{"formattedCitation":"(Prochaska, 2002)","plainCitation":"(Prochaska, 2002)","noteIndex":0},"citationItems":[{"id":334,"uris":["http://zotero.org/users/local/fHDFbT8E/items/L9I2NVCL"],"uri":["http://zotero.org/users/local/fHDFbT8E/items/L9I2NVCL"],"itemData":{"id":334,"type":"book","title":"Making Algeria French: Colonialism in Bône, 1870-1920","publisher":"Cambridge University Press","number-of-pages":"356","ISBN":"978-0-521-53128-3","shortTitle":"Making Algeria French","language":"en","author":[{"family":"Prochaska","given":"David"}],"issued":{"date-parts":[["2002"]]}}}],"schema":"https://github.com/citation-style-language/schema/raw/master/csl-citation.json"} </w:instrText>
      </w:r>
      <w:r w:rsidR="005D3FDA">
        <w:fldChar w:fldCharType="separate"/>
      </w:r>
      <w:r w:rsidR="005D3FDA" w:rsidRPr="005D3FDA">
        <w:rPr>
          <w:rFonts w:ascii="Calibri" w:hAnsi="Calibri" w:cs="Calibri"/>
        </w:rPr>
        <w:t>(Prochaska, 2002</w:t>
      </w:r>
      <w:r w:rsidR="005D3FDA">
        <w:rPr>
          <w:rFonts w:ascii="Calibri" w:hAnsi="Calibri" w:cs="Calibri"/>
        </w:rPr>
        <w:t>, p.224</w:t>
      </w:r>
      <w:r w:rsidR="005D3FDA" w:rsidRPr="005D3FDA">
        <w:rPr>
          <w:rFonts w:ascii="Calibri" w:hAnsi="Calibri" w:cs="Calibri"/>
        </w:rPr>
        <w:t>)</w:t>
      </w:r>
      <w:r w:rsidR="005D3FDA">
        <w:fldChar w:fldCharType="end"/>
      </w:r>
    </w:p>
    <w:p w14:paraId="11371C6A" w14:textId="335A14C5" w:rsidR="00C67251" w:rsidRDefault="00C67251">
      <w:proofErr w:type="spellStart"/>
      <w:r>
        <w:t>Homi</w:t>
      </w:r>
      <w:proofErr w:type="spellEnd"/>
      <w:r>
        <w:t xml:space="preserve"> Bhabha’s concept of the cultural Third Space involves three imagined places. First is the indigenous cultural home; in this case, Algiers. Second are the imposed structures placed by the French. The Third Space comes from these two spaces meeting, where the inhabitants of the indigenous cultural home must carve out a way to express themselves, at least in part, amongst the structures now attempting to define their cultural identity. </w:t>
      </w:r>
      <w:proofErr w:type="spellStart"/>
      <w:r>
        <w:t>Cagayous</w:t>
      </w:r>
      <w:proofErr w:type="spellEnd"/>
      <w:r>
        <w:t xml:space="preserve"> and the </w:t>
      </w:r>
      <w:proofErr w:type="spellStart"/>
      <w:r>
        <w:rPr>
          <w:i/>
        </w:rPr>
        <w:t>pieds</w:t>
      </w:r>
      <w:proofErr w:type="spellEnd"/>
      <w:r>
        <w:rPr>
          <w:i/>
        </w:rPr>
        <w:t>-noirs</w:t>
      </w:r>
      <w:r>
        <w:t xml:space="preserve"> inhabit this Third space, this cultural mix of French and African heritage, and indeed, are creations of it. </w:t>
      </w:r>
    </w:p>
    <w:p w14:paraId="21DB9492" w14:textId="7FDF780E" w:rsidR="005D3FDA" w:rsidRDefault="005D3FDA"/>
    <w:p w14:paraId="3B0DBB2E" w14:textId="18D2A490" w:rsidR="005D3FDA" w:rsidRDefault="005D3FDA"/>
    <w:p w14:paraId="63FFDB69" w14:textId="699146B3" w:rsidR="005D3FDA" w:rsidRDefault="005D3FDA"/>
    <w:p w14:paraId="05522F07" w14:textId="3CE2C588" w:rsidR="005D3FDA" w:rsidRDefault="005D3FDA"/>
    <w:p w14:paraId="62C0CFC4" w14:textId="19EF787C" w:rsidR="005D3FDA" w:rsidRDefault="005D3FDA"/>
    <w:p w14:paraId="12EDDE34" w14:textId="4A722A5C" w:rsidR="005D3FDA" w:rsidRDefault="005D3FDA"/>
    <w:p w14:paraId="18CFF17A" w14:textId="7C6F97EE" w:rsidR="005D3FDA" w:rsidRDefault="005D3FDA"/>
    <w:p w14:paraId="602471A8" w14:textId="71291EF5" w:rsidR="005D3FDA" w:rsidRDefault="005D3FDA"/>
    <w:p w14:paraId="5195908B" w14:textId="71D701EE" w:rsidR="005D3FDA" w:rsidRDefault="005D3FDA"/>
    <w:p w14:paraId="6071F4B4" w14:textId="0EC5974D" w:rsidR="005D3FDA" w:rsidRDefault="005D3FDA"/>
    <w:p w14:paraId="4D4A2CC1" w14:textId="31A3C267" w:rsidR="005D3FDA" w:rsidRDefault="005D3FDA"/>
    <w:p w14:paraId="7265BE89" w14:textId="444B74CC" w:rsidR="005D3FDA" w:rsidRDefault="005D3FDA"/>
    <w:p w14:paraId="1DCC86A9" w14:textId="4A56BEFC" w:rsidR="005D3FDA" w:rsidRDefault="005D3FDA"/>
    <w:p w14:paraId="7CE9AF39" w14:textId="2BF40A34" w:rsidR="005D3FDA" w:rsidRDefault="005D3FDA"/>
    <w:p w14:paraId="4C384754" w14:textId="26154493" w:rsidR="005D3FDA" w:rsidRDefault="005D3FDA"/>
    <w:p w14:paraId="7299C1B0" w14:textId="0FA860E5" w:rsidR="005D3FDA" w:rsidRDefault="005D3FDA"/>
    <w:p w14:paraId="02A456C1" w14:textId="77777777" w:rsidR="005D3FDA" w:rsidRPr="005D3FDA" w:rsidRDefault="005D3FDA" w:rsidP="005D3FDA">
      <w:pPr>
        <w:spacing w:after="0" w:line="240" w:lineRule="auto"/>
        <w:ind w:hanging="480"/>
        <w:rPr>
          <w:rFonts w:ascii="Times New Roman" w:eastAsia="Times New Roman" w:hAnsi="Times New Roman" w:cs="Times New Roman"/>
          <w:sz w:val="24"/>
          <w:szCs w:val="24"/>
          <w:lang w:eastAsia="en-GB"/>
        </w:rPr>
      </w:pPr>
      <w:r w:rsidRPr="005D3FDA">
        <w:rPr>
          <w:rFonts w:ascii="Times New Roman" w:eastAsia="Times New Roman" w:hAnsi="Times New Roman" w:cs="Times New Roman"/>
          <w:sz w:val="24"/>
          <w:szCs w:val="24"/>
          <w:lang w:eastAsia="en-GB"/>
        </w:rPr>
        <w:lastRenderedPageBreak/>
        <w:t xml:space="preserve">Prochaska, D., 2002. Making Algeria French: Colonialism in </w:t>
      </w:r>
      <w:proofErr w:type="spellStart"/>
      <w:r w:rsidRPr="005D3FDA">
        <w:rPr>
          <w:rFonts w:ascii="Times New Roman" w:eastAsia="Times New Roman" w:hAnsi="Times New Roman" w:cs="Times New Roman"/>
          <w:sz w:val="24"/>
          <w:szCs w:val="24"/>
          <w:lang w:eastAsia="en-GB"/>
        </w:rPr>
        <w:t>Bône</w:t>
      </w:r>
      <w:proofErr w:type="spellEnd"/>
      <w:r w:rsidRPr="005D3FDA">
        <w:rPr>
          <w:rFonts w:ascii="Times New Roman" w:eastAsia="Times New Roman" w:hAnsi="Times New Roman" w:cs="Times New Roman"/>
          <w:sz w:val="24"/>
          <w:szCs w:val="24"/>
          <w:lang w:eastAsia="en-GB"/>
        </w:rPr>
        <w:t>, 1870-1920. Cambridge University Press.</w:t>
      </w:r>
    </w:p>
    <w:p w14:paraId="75A0DFAF" w14:textId="77777777" w:rsidR="005D3FDA" w:rsidRPr="005D3FDA" w:rsidRDefault="005D3FDA" w:rsidP="005D3FDA">
      <w:pPr>
        <w:spacing w:after="0" w:line="240" w:lineRule="auto"/>
        <w:ind w:hanging="480"/>
        <w:rPr>
          <w:rFonts w:ascii="Times New Roman" w:eastAsia="Times New Roman" w:hAnsi="Times New Roman" w:cs="Times New Roman"/>
          <w:sz w:val="24"/>
          <w:szCs w:val="24"/>
          <w:lang w:eastAsia="en-GB"/>
        </w:rPr>
      </w:pPr>
      <w:r w:rsidRPr="005D3FDA">
        <w:rPr>
          <w:rFonts w:ascii="Times New Roman" w:eastAsia="Times New Roman" w:hAnsi="Times New Roman" w:cs="Times New Roman"/>
          <w:sz w:val="24"/>
          <w:szCs w:val="24"/>
          <w:lang w:eastAsia="en-GB"/>
        </w:rPr>
        <w:t xml:space="preserve">Prochaska, D., 1996. History as Literature, Literature as History: </w:t>
      </w:r>
      <w:proofErr w:type="spellStart"/>
      <w:r w:rsidRPr="005D3FDA">
        <w:rPr>
          <w:rFonts w:ascii="Times New Roman" w:eastAsia="Times New Roman" w:hAnsi="Times New Roman" w:cs="Times New Roman"/>
          <w:sz w:val="24"/>
          <w:szCs w:val="24"/>
          <w:lang w:eastAsia="en-GB"/>
        </w:rPr>
        <w:t>Cagayous</w:t>
      </w:r>
      <w:proofErr w:type="spellEnd"/>
      <w:r w:rsidRPr="005D3FDA">
        <w:rPr>
          <w:rFonts w:ascii="Times New Roman" w:eastAsia="Times New Roman" w:hAnsi="Times New Roman" w:cs="Times New Roman"/>
          <w:sz w:val="24"/>
          <w:szCs w:val="24"/>
          <w:lang w:eastAsia="en-GB"/>
        </w:rPr>
        <w:t xml:space="preserve"> of Algiers. The American Historical Review 101, 671–711. </w:t>
      </w:r>
      <w:hyperlink r:id="rId7" w:history="1">
        <w:r w:rsidRPr="005D3FDA">
          <w:rPr>
            <w:rFonts w:ascii="Times New Roman" w:eastAsia="Times New Roman" w:hAnsi="Times New Roman" w:cs="Times New Roman"/>
            <w:color w:val="0000FF"/>
            <w:sz w:val="24"/>
            <w:szCs w:val="24"/>
            <w:u w:val="single"/>
            <w:lang w:eastAsia="en-GB"/>
          </w:rPr>
          <w:t>https://doi.org/10.2307/2169419</w:t>
        </w:r>
      </w:hyperlink>
    </w:p>
    <w:p w14:paraId="4999F0A8" w14:textId="77777777" w:rsidR="005D3FDA" w:rsidRPr="00C67251" w:rsidRDefault="005D3FDA"/>
    <w:sectPr w:rsidR="005D3FDA" w:rsidRPr="00C672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382546" w14:textId="77777777" w:rsidR="00170E2D" w:rsidRDefault="00170E2D" w:rsidP="00A46740">
      <w:pPr>
        <w:spacing w:after="0" w:line="240" w:lineRule="auto"/>
      </w:pPr>
      <w:r>
        <w:separator/>
      </w:r>
    </w:p>
  </w:endnote>
  <w:endnote w:type="continuationSeparator" w:id="0">
    <w:p w14:paraId="198C99AE" w14:textId="77777777" w:rsidR="00170E2D" w:rsidRDefault="00170E2D" w:rsidP="00A46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6FBC0" w14:textId="77777777" w:rsidR="00170E2D" w:rsidRDefault="00170E2D" w:rsidP="00A46740">
      <w:pPr>
        <w:spacing w:after="0" w:line="240" w:lineRule="auto"/>
      </w:pPr>
      <w:r>
        <w:separator/>
      </w:r>
    </w:p>
  </w:footnote>
  <w:footnote w:type="continuationSeparator" w:id="0">
    <w:p w14:paraId="62E00E4F" w14:textId="77777777" w:rsidR="00170E2D" w:rsidRDefault="00170E2D" w:rsidP="00A467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312"/>
    <w:rsid w:val="00170E2D"/>
    <w:rsid w:val="00252AFB"/>
    <w:rsid w:val="002C697C"/>
    <w:rsid w:val="003A023C"/>
    <w:rsid w:val="003D082C"/>
    <w:rsid w:val="00426E49"/>
    <w:rsid w:val="0044110E"/>
    <w:rsid w:val="00542A4C"/>
    <w:rsid w:val="005B63E8"/>
    <w:rsid w:val="005D3FDA"/>
    <w:rsid w:val="0073128F"/>
    <w:rsid w:val="00741461"/>
    <w:rsid w:val="008C5312"/>
    <w:rsid w:val="00A46740"/>
    <w:rsid w:val="00B17895"/>
    <w:rsid w:val="00B71D1D"/>
    <w:rsid w:val="00C30FEB"/>
    <w:rsid w:val="00C51CA8"/>
    <w:rsid w:val="00C67251"/>
    <w:rsid w:val="00E81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7894E"/>
  <w15:chartTrackingRefBased/>
  <w15:docId w15:val="{59D60D61-A8A5-4B22-9074-85D4AB249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6740"/>
  </w:style>
  <w:style w:type="paragraph" w:styleId="Heading1">
    <w:name w:val="heading 1"/>
    <w:basedOn w:val="Normal"/>
    <w:next w:val="Normal"/>
    <w:link w:val="Heading1Char"/>
    <w:qFormat/>
    <w:rsid w:val="00B71D1D"/>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B71D1D"/>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67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740"/>
  </w:style>
  <w:style w:type="paragraph" w:styleId="Footer">
    <w:name w:val="footer"/>
    <w:basedOn w:val="Normal"/>
    <w:link w:val="FooterChar"/>
    <w:uiPriority w:val="99"/>
    <w:unhideWhenUsed/>
    <w:rsid w:val="00A467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740"/>
  </w:style>
  <w:style w:type="character" w:styleId="Hyperlink">
    <w:name w:val="Hyperlink"/>
    <w:basedOn w:val="DefaultParagraphFont"/>
    <w:uiPriority w:val="99"/>
    <w:semiHidden/>
    <w:unhideWhenUsed/>
    <w:rsid w:val="005D3FDA"/>
    <w:rPr>
      <w:color w:val="0000FF"/>
      <w:u w:val="single"/>
    </w:rPr>
  </w:style>
  <w:style w:type="character" w:customStyle="1" w:styleId="Heading1Char">
    <w:name w:val="Heading 1 Char"/>
    <w:basedOn w:val="DefaultParagraphFont"/>
    <w:link w:val="Heading1"/>
    <w:rsid w:val="00B71D1D"/>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B71D1D"/>
    <w:rPr>
      <w:rFonts w:ascii="Tahoma" w:eastAsia="SimSun" w:hAnsi="Tahoma" w:cs="Tahoma"/>
      <w:b/>
      <w:bCs/>
      <w:sz w:val="20"/>
      <w:szCs w:val="20"/>
      <w:lang w:eastAsia="zh-CN"/>
    </w:rPr>
  </w:style>
  <w:style w:type="paragraph" w:styleId="NormalWeb">
    <w:name w:val="Normal (Web)"/>
    <w:basedOn w:val="Normal"/>
    <w:rsid w:val="00B71D1D"/>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8631920">
      <w:bodyDiv w:val="1"/>
      <w:marLeft w:val="0"/>
      <w:marRight w:val="0"/>
      <w:marTop w:val="0"/>
      <w:marBottom w:val="0"/>
      <w:divBdr>
        <w:top w:val="none" w:sz="0" w:space="0" w:color="auto"/>
        <w:left w:val="none" w:sz="0" w:space="0" w:color="auto"/>
        <w:bottom w:val="none" w:sz="0" w:space="0" w:color="auto"/>
        <w:right w:val="none" w:sz="0" w:space="0" w:color="auto"/>
      </w:divBdr>
      <w:divsChild>
        <w:div w:id="57442118">
          <w:marLeft w:val="480"/>
          <w:marRight w:val="0"/>
          <w:marTop w:val="0"/>
          <w:marBottom w:val="0"/>
          <w:divBdr>
            <w:top w:val="none" w:sz="0" w:space="0" w:color="auto"/>
            <w:left w:val="none" w:sz="0" w:space="0" w:color="auto"/>
            <w:bottom w:val="none" w:sz="0" w:space="0" w:color="auto"/>
            <w:right w:val="none" w:sz="0" w:space="0" w:color="auto"/>
          </w:divBdr>
          <w:divsChild>
            <w:div w:id="225917279">
              <w:marLeft w:val="0"/>
              <w:marRight w:val="0"/>
              <w:marTop w:val="0"/>
              <w:marBottom w:val="0"/>
              <w:divBdr>
                <w:top w:val="none" w:sz="0" w:space="0" w:color="auto"/>
                <w:left w:val="none" w:sz="0" w:space="0" w:color="auto"/>
                <w:bottom w:val="none" w:sz="0" w:space="0" w:color="auto"/>
                <w:right w:val="none" w:sz="0" w:space="0" w:color="auto"/>
              </w:divBdr>
            </w:div>
            <w:div w:id="46801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2307/21694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4504</TotalTime>
  <Pages>4</Pages>
  <Words>1486</Words>
  <Characters>8473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Daegan Simpson (1003107)</dc:creator>
  <cp:keywords/>
  <dc:description/>
  <cp:lastModifiedBy>Daegan Simpson (1003107)</cp:lastModifiedBy>
  <cp:revision>4</cp:revision>
  <dcterms:created xsi:type="dcterms:W3CDTF">2018-12-14T14:54:00Z</dcterms:created>
  <dcterms:modified xsi:type="dcterms:W3CDTF">2018-12-23T23:58:00Z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zotero-version="5.0.59"&gt;&lt;session id="Gf00e3iD"/&gt;&lt;style id="http://www.zotero.org/styles/elsevier-harvard" hasBibliography="1" bibliographyStyleHasBeenSet="0"/&gt;&lt;prefs&gt;&lt;pref name="fieldType" value="Field"/&gt;&lt;pref name="automaticJournal</vt:lpwstr>
  </property>
  <property fmtid="{D5CDD505-2E9C-101B-9397-08002B2CF9AE}" pid="3" name="ZOTERO_PREF_2">
    <vt:lpwstr>Abbreviations" value="true"/&gt;&lt;/prefs&gt;&lt;/data&gt;</vt:lpwstr>
  </property>
</Properties>
</file>