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40"/>
          <w:lang w:val="en-GB"/>
        </w:rPr>
      </w:pPr>
      <w:r>
        <w:rPr>
          <w:b/>
          <w:sz w:val="40"/>
          <w:lang w:val="en-GB"/>
        </w:rPr>
        <w:t>Module Code: LCCB4005</w:t>
      </w:r>
    </w:p>
    <w:p>
      <w:pPr>
        <w:jc w:val="center"/>
        <w:rPr>
          <w:b/>
          <w:sz w:val="40"/>
          <w:lang w:val="en-GB"/>
        </w:rPr>
      </w:pPr>
      <w:r>
        <w:rPr>
          <w:b/>
          <w:sz w:val="40"/>
          <w:lang w:val="en-GB"/>
        </w:rPr>
        <w:t>Module Title: The Global Business Environment</w:t>
      </w:r>
    </w:p>
    <w:p>
      <w:pPr>
        <w:jc w:val="center"/>
        <w:rPr>
          <w:b/>
          <w:sz w:val="40"/>
        </w:rPr>
      </w:pPr>
      <w:r>
        <w:rPr>
          <w:b/>
          <w:sz w:val="40"/>
        </w:rPr>
        <w:t>Environmental Analysis of an Industry</w:t>
      </w:r>
      <w:bookmarkStart w:id="14" w:name="_GoBack"/>
      <w:bookmarkEnd w:id="14"/>
    </w:p>
    <w:p>
      <w:pPr>
        <w:jc w:val="center"/>
        <w:rPr>
          <w:b/>
          <w:sz w:val="40"/>
          <w:lang w:val="en-GB"/>
        </w:rPr>
      </w:pPr>
      <w:r>
        <w:rPr>
          <w:b/>
          <w:sz w:val="40"/>
          <w:lang w:val="en-GB"/>
        </w:rPr>
        <w:t>Assignment 2</w:t>
      </w:r>
    </w:p>
    <w:p>
      <w:pPr>
        <w:jc w:val="center"/>
        <w:rPr>
          <w:b/>
          <w:sz w:val="40"/>
          <w:lang w:val="en-GB"/>
        </w:rPr>
      </w:pPr>
    </w:p>
    <w:p>
      <w:pPr>
        <w:jc w:val="both"/>
        <w:rPr>
          <w:rFonts w:hint="default" w:ascii="Times New Roman Regular" w:hAnsi="Times New Roman Regular" w:cs="Times New Roman Regular"/>
          <w:sz w:val="40"/>
          <w:szCs w:val="40"/>
        </w:rPr>
      </w:pPr>
      <w:r>
        <w:rPr>
          <w:rFonts w:hint="default" w:ascii="Times New Roman Regular" w:hAnsi="Times New Roman Regular" w:cs="Times New Roman Regular"/>
          <w:sz w:val="40"/>
          <w:szCs w:val="40"/>
        </w:rPr>
        <w:t>Student Name: Stanislav Dragov</w:t>
      </w:r>
    </w:p>
    <w:p>
      <w:pPr>
        <w:jc w:val="both"/>
        <w:rPr>
          <w:lang w:val="en-GB"/>
        </w:rPr>
      </w:pPr>
      <w:r>
        <w:rPr>
          <w:rFonts w:hint="default" w:ascii="Times New Roman Regular" w:hAnsi="Times New Roman Regular" w:cs="Times New Roman Regular"/>
          <w:sz w:val="40"/>
          <w:szCs w:val="40"/>
        </w:rPr>
        <w:t>Student ID    :  1919084</w:t>
      </w:r>
      <w:r>
        <w:rPr>
          <w:lang w:val="en-GB"/>
        </w:rPr>
        <w:br w:type="page"/>
      </w:r>
    </w:p>
    <w:sdt>
      <w:sdtPr>
        <w:rPr>
          <w:rFonts w:ascii="Times New Roman" w:hAnsi="Times New Roman" w:eastAsiaTheme="minorHAnsi" w:cstheme="minorBidi"/>
          <w:sz w:val="24"/>
          <w:szCs w:val="22"/>
          <w:lang w:val="en-GB"/>
        </w:rPr>
        <w:id w:val="0"/>
      </w:sdtPr>
      <w:sdtEndPr>
        <w:rPr>
          <w:rFonts w:ascii="Times New Roman" w:hAnsi="Times New Roman" w:eastAsiaTheme="minorHAnsi" w:cstheme="minorBidi"/>
          <w:b/>
          <w:bCs/>
          <w:sz w:val="24"/>
          <w:szCs w:val="22"/>
          <w:lang w:val="en-GB"/>
        </w:rPr>
      </w:sdtEndPr>
      <w:sdtContent>
        <w:p>
          <w:pPr>
            <w:pStyle w:val="19"/>
            <w:spacing w:line="360" w:lineRule="auto"/>
            <w:rPr>
              <w:lang w:val="en-GB"/>
            </w:rPr>
          </w:pPr>
          <w:r>
            <w:rPr>
              <w:lang w:val="en-GB"/>
            </w:rPr>
            <w:t>Contents</w:t>
          </w:r>
        </w:p>
        <w:p>
          <w:pPr>
            <w:pStyle w:val="9"/>
            <w:tabs>
              <w:tab w:val="right" w:leader="dot" w:pos="9350"/>
            </w:tabs>
            <w:rPr>
              <w:lang w:val="en-GB"/>
            </w:rPr>
          </w:pPr>
          <w:r>
            <w:rPr>
              <w:lang w:val="en-GB"/>
            </w:rPr>
            <w:fldChar w:fldCharType="begin"/>
          </w:r>
          <w:r>
            <w:rPr>
              <w:lang w:val="en-GB"/>
            </w:rPr>
            <w:instrText xml:space="preserve"> TOC \o "1-3" \h \z \u </w:instrText>
          </w:r>
          <w:r>
            <w:rPr>
              <w:lang w:val="en-GB"/>
            </w:rPr>
            <w:fldChar w:fldCharType="separate"/>
          </w:r>
          <w:r>
            <w:fldChar w:fldCharType="begin"/>
          </w:r>
          <w:r>
            <w:instrText xml:space="preserve"> HYPERLINK \l "_Toc69858347" </w:instrText>
          </w:r>
          <w:r>
            <w:fldChar w:fldCharType="separate"/>
          </w:r>
          <w:r>
            <w:rPr>
              <w:rStyle w:val="13"/>
              <w:lang w:val="en-GB"/>
            </w:rPr>
            <w:t>Introduction</w:t>
          </w:r>
          <w:r>
            <w:rPr>
              <w:lang w:val="en-GB"/>
            </w:rPr>
            <w:tab/>
          </w:r>
          <w:r>
            <w:rPr>
              <w:lang w:val="en-GB"/>
            </w:rPr>
            <w:fldChar w:fldCharType="begin"/>
          </w:r>
          <w:r>
            <w:rPr>
              <w:lang w:val="en-GB"/>
            </w:rPr>
            <w:instrText xml:space="preserve"> PAGEREF _Toc69858347 \h </w:instrText>
          </w:r>
          <w:r>
            <w:rPr>
              <w:lang w:val="en-GB"/>
            </w:rPr>
            <w:fldChar w:fldCharType="separate"/>
          </w:r>
          <w:r>
            <w:rPr>
              <w:lang w:val="en-GB"/>
            </w:rPr>
            <w:t>3</w:t>
          </w:r>
          <w:r>
            <w:rPr>
              <w:lang w:val="en-GB"/>
            </w:rPr>
            <w:fldChar w:fldCharType="end"/>
          </w:r>
          <w:r>
            <w:rPr>
              <w:lang w:val="en-GB"/>
            </w:rPr>
            <w:fldChar w:fldCharType="end"/>
          </w:r>
        </w:p>
        <w:p>
          <w:pPr>
            <w:pStyle w:val="9"/>
            <w:tabs>
              <w:tab w:val="right" w:leader="dot" w:pos="9350"/>
            </w:tabs>
            <w:rPr>
              <w:lang w:val="en-GB"/>
            </w:rPr>
          </w:pPr>
          <w:r>
            <w:fldChar w:fldCharType="begin"/>
          </w:r>
          <w:r>
            <w:instrText xml:space="preserve"> HYPERLINK \l "_Toc69858348" </w:instrText>
          </w:r>
          <w:r>
            <w:fldChar w:fldCharType="separate"/>
          </w:r>
          <w:r>
            <w:rPr>
              <w:rStyle w:val="13"/>
              <w:lang w:val="en-GB"/>
            </w:rPr>
            <w:t>Changes made by the company to self-regulate and adapt to some of the concerns raised by the different stakeholders above</w:t>
          </w:r>
          <w:r>
            <w:rPr>
              <w:lang w:val="en-GB"/>
            </w:rPr>
            <w:tab/>
          </w:r>
          <w:r>
            <w:rPr>
              <w:lang w:val="en-GB"/>
            </w:rPr>
            <w:fldChar w:fldCharType="begin"/>
          </w:r>
          <w:r>
            <w:rPr>
              <w:lang w:val="en-GB"/>
            </w:rPr>
            <w:instrText xml:space="preserve"> PAGEREF _Toc69858348 \h </w:instrText>
          </w:r>
          <w:r>
            <w:rPr>
              <w:lang w:val="en-GB"/>
            </w:rPr>
            <w:fldChar w:fldCharType="separate"/>
          </w:r>
          <w:r>
            <w:rPr>
              <w:lang w:val="en-GB"/>
            </w:rPr>
            <w:t>4</w:t>
          </w:r>
          <w:r>
            <w:rPr>
              <w:lang w:val="en-GB"/>
            </w:rPr>
            <w:fldChar w:fldCharType="end"/>
          </w:r>
          <w:r>
            <w:rPr>
              <w:lang w:val="en-GB"/>
            </w:rPr>
            <w:fldChar w:fldCharType="end"/>
          </w:r>
        </w:p>
        <w:p>
          <w:pPr>
            <w:pStyle w:val="9"/>
            <w:tabs>
              <w:tab w:val="right" w:leader="dot" w:pos="9350"/>
            </w:tabs>
            <w:rPr>
              <w:lang w:val="en-GB"/>
            </w:rPr>
          </w:pPr>
          <w:r>
            <w:fldChar w:fldCharType="begin"/>
          </w:r>
          <w:r>
            <w:instrText xml:space="preserve"> HYPERLINK \l "_Toc69858349" </w:instrText>
          </w:r>
          <w:r>
            <w:fldChar w:fldCharType="separate"/>
          </w:r>
          <w:r>
            <w:rPr>
              <w:rStyle w:val="13"/>
              <w:lang w:val="en-GB"/>
            </w:rPr>
            <w:t>Porter’s Value Chain Model Analysis of Next Plc</w:t>
          </w:r>
          <w:r>
            <w:rPr>
              <w:lang w:val="en-GB"/>
            </w:rPr>
            <w:tab/>
          </w:r>
          <w:r>
            <w:rPr>
              <w:lang w:val="en-GB"/>
            </w:rPr>
            <w:fldChar w:fldCharType="begin"/>
          </w:r>
          <w:r>
            <w:rPr>
              <w:lang w:val="en-GB"/>
            </w:rPr>
            <w:instrText xml:space="preserve"> PAGEREF _Toc69858349 \h </w:instrText>
          </w:r>
          <w:r>
            <w:rPr>
              <w:lang w:val="en-GB"/>
            </w:rPr>
            <w:fldChar w:fldCharType="separate"/>
          </w:r>
          <w:r>
            <w:rPr>
              <w:lang w:val="en-GB"/>
            </w:rPr>
            <w:t>4</w:t>
          </w:r>
          <w:r>
            <w:rPr>
              <w:lang w:val="en-GB"/>
            </w:rPr>
            <w:fldChar w:fldCharType="end"/>
          </w:r>
          <w:r>
            <w:rPr>
              <w:lang w:val="en-GB"/>
            </w:rPr>
            <w:fldChar w:fldCharType="end"/>
          </w:r>
        </w:p>
        <w:p>
          <w:pPr>
            <w:pStyle w:val="10"/>
            <w:tabs>
              <w:tab w:val="right" w:leader="dot" w:pos="9350"/>
            </w:tabs>
            <w:rPr>
              <w:lang w:val="en-GB"/>
            </w:rPr>
          </w:pPr>
          <w:r>
            <w:fldChar w:fldCharType="begin"/>
          </w:r>
          <w:r>
            <w:instrText xml:space="preserve"> HYPERLINK \l "_Toc69858350" </w:instrText>
          </w:r>
          <w:r>
            <w:fldChar w:fldCharType="separate"/>
          </w:r>
          <w:r>
            <w:rPr>
              <w:rStyle w:val="13"/>
              <w:lang w:val="en-GB"/>
            </w:rPr>
            <w:t>Changes in Primary Activities of Next Plc</w:t>
          </w:r>
          <w:r>
            <w:rPr>
              <w:lang w:val="en-GB"/>
            </w:rPr>
            <w:tab/>
          </w:r>
          <w:r>
            <w:rPr>
              <w:lang w:val="en-GB"/>
            </w:rPr>
            <w:fldChar w:fldCharType="begin"/>
          </w:r>
          <w:r>
            <w:rPr>
              <w:lang w:val="en-GB"/>
            </w:rPr>
            <w:instrText xml:space="preserve"> PAGEREF _Toc69858350 \h </w:instrText>
          </w:r>
          <w:r>
            <w:rPr>
              <w:lang w:val="en-GB"/>
            </w:rPr>
            <w:fldChar w:fldCharType="separate"/>
          </w:r>
          <w:r>
            <w:rPr>
              <w:lang w:val="en-GB"/>
            </w:rPr>
            <w:t>5</w:t>
          </w:r>
          <w:r>
            <w:rPr>
              <w:lang w:val="en-GB"/>
            </w:rPr>
            <w:fldChar w:fldCharType="end"/>
          </w:r>
          <w:r>
            <w:rPr>
              <w:lang w:val="en-GB"/>
            </w:rPr>
            <w:fldChar w:fldCharType="end"/>
          </w:r>
        </w:p>
        <w:p>
          <w:pPr>
            <w:pStyle w:val="10"/>
            <w:tabs>
              <w:tab w:val="right" w:leader="dot" w:pos="9350"/>
            </w:tabs>
            <w:rPr>
              <w:lang w:val="en-GB"/>
            </w:rPr>
          </w:pPr>
          <w:r>
            <w:fldChar w:fldCharType="begin"/>
          </w:r>
          <w:r>
            <w:instrText xml:space="preserve"> HYPERLINK \l "_Toc69858351" </w:instrText>
          </w:r>
          <w:r>
            <w:fldChar w:fldCharType="separate"/>
          </w:r>
          <w:r>
            <w:rPr>
              <w:rStyle w:val="13"/>
              <w:lang w:val="en-GB"/>
            </w:rPr>
            <w:t>Changes in Secondary Activities of Next Plc</w:t>
          </w:r>
          <w:r>
            <w:rPr>
              <w:lang w:val="en-GB"/>
            </w:rPr>
            <w:tab/>
          </w:r>
          <w:r>
            <w:rPr>
              <w:lang w:val="en-GB"/>
            </w:rPr>
            <w:fldChar w:fldCharType="begin"/>
          </w:r>
          <w:r>
            <w:rPr>
              <w:lang w:val="en-GB"/>
            </w:rPr>
            <w:instrText xml:space="preserve"> PAGEREF _Toc69858351 \h </w:instrText>
          </w:r>
          <w:r>
            <w:rPr>
              <w:lang w:val="en-GB"/>
            </w:rPr>
            <w:fldChar w:fldCharType="separate"/>
          </w:r>
          <w:r>
            <w:rPr>
              <w:lang w:val="en-GB"/>
            </w:rPr>
            <w:t>6</w:t>
          </w:r>
          <w:r>
            <w:rPr>
              <w:lang w:val="en-GB"/>
            </w:rPr>
            <w:fldChar w:fldCharType="end"/>
          </w:r>
          <w:r>
            <w:rPr>
              <w:lang w:val="en-GB"/>
            </w:rPr>
            <w:fldChar w:fldCharType="end"/>
          </w:r>
        </w:p>
        <w:p>
          <w:pPr>
            <w:pStyle w:val="9"/>
            <w:tabs>
              <w:tab w:val="right" w:leader="dot" w:pos="9350"/>
            </w:tabs>
            <w:rPr>
              <w:lang w:val="en-GB"/>
            </w:rPr>
          </w:pPr>
          <w:r>
            <w:fldChar w:fldCharType="begin"/>
          </w:r>
          <w:r>
            <w:instrText xml:space="preserve"> HYPERLINK \l "_Toc69858352" </w:instrText>
          </w:r>
          <w:r>
            <w:fldChar w:fldCharType="separate"/>
          </w:r>
          <w:r>
            <w:rPr>
              <w:rStyle w:val="13"/>
              <w:lang w:val="en-GB"/>
            </w:rPr>
            <w:t>PESTLE Analysis of Next Plc</w:t>
          </w:r>
          <w:r>
            <w:rPr>
              <w:lang w:val="en-GB"/>
            </w:rPr>
            <w:tab/>
          </w:r>
          <w:r>
            <w:rPr>
              <w:lang w:val="en-GB"/>
            </w:rPr>
            <w:fldChar w:fldCharType="begin"/>
          </w:r>
          <w:r>
            <w:rPr>
              <w:lang w:val="en-GB"/>
            </w:rPr>
            <w:instrText xml:space="preserve"> PAGEREF _Toc69858352 \h </w:instrText>
          </w:r>
          <w:r>
            <w:rPr>
              <w:lang w:val="en-GB"/>
            </w:rPr>
            <w:fldChar w:fldCharType="separate"/>
          </w:r>
          <w:r>
            <w:rPr>
              <w:lang w:val="en-GB"/>
            </w:rPr>
            <w:t>7</w:t>
          </w:r>
          <w:r>
            <w:rPr>
              <w:lang w:val="en-GB"/>
            </w:rPr>
            <w:fldChar w:fldCharType="end"/>
          </w:r>
          <w:r>
            <w:rPr>
              <w:lang w:val="en-GB"/>
            </w:rPr>
            <w:fldChar w:fldCharType="end"/>
          </w:r>
        </w:p>
        <w:p>
          <w:pPr>
            <w:pStyle w:val="10"/>
            <w:tabs>
              <w:tab w:val="right" w:leader="dot" w:pos="9350"/>
            </w:tabs>
            <w:rPr>
              <w:lang w:val="en-GB"/>
            </w:rPr>
          </w:pPr>
          <w:r>
            <w:fldChar w:fldCharType="begin"/>
          </w:r>
          <w:r>
            <w:instrText xml:space="preserve"> HYPERLINK \l "_Toc69858353" </w:instrText>
          </w:r>
          <w:r>
            <w:fldChar w:fldCharType="separate"/>
          </w:r>
          <w:r>
            <w:rPr>
              <w:rStyle w:val="13"/>
              <w:lang w:val="en-GB"/>
            </w:rPr>
            <w:t>Changes in Response to Political Factors</w:t>
          </w:r>
          <w:r>
            <w:rPr>
              <w:lang w:val="en-GB"/>
            </w:rPr>
            <w:tab/>
          </w:r>
          <w:r>
            <w:rPr>
              <w:lang w:val="en-GB"/>
            </w:rPr>
            <w:fldChar w:fldCharType="begin"/>
          </w:r>
          <w:r>
            <w:rPr>
              <w:lang w:val="en-GB"/>
            </w:rPr>
            <w:instrText xml:space="preserve"> PAGEREF _Toc69858353 \h </w:instrText>
          </w:r>
          <w:r>
            <w:rPr>
              <w:lang w:val="en-GB"/>
            </w:rPr>
            <w:fldChar w:fldCharType="separate"/>
          </w:r>
          <w:r>
            <w:rPr>
              <w:lang w:val="en-GB"/>
            </w:rPr>
            <w:t>7</w:t>
          </w:r>
          <w:r>
            <w:rPr>
              <w:lang w:val="en-GB"/>
            </w:rPr>
            <w:fldChar w:fldCharType="end"/>
          </w:r>
          <w:r>
            <w:rPr>
              <w:lang w:val="en-GB"/>
            </w:rPr>
            <w:fldChar w:fldCharType="end"/>
          </w:r>
        </w:p>
        <w:p>
          <w:pPr>
            <w:pStyle w:val="10"/>
            <w:tabs>
              <w:tab w:val="right" w:leader="dot" w:pos="9350"/>
            </w:tabs>
            <w:rPr>
              <w:lang w:val="en-GB"/>
            </w:rPr>
          </w:pPr>
          <w:r>
            <w:fldChar w:fldCharType="begin"/>
          </w:r>
          <w:r>
            <w:instrText xml:space="preserve"> HYPERLINK \l "_Toc69858354" </w:instrText>
          </w:r>
          <w:r>
            <w:fldChar w:fldCharType="separate"/>
          </w:r>
          <w:r>
            <w:rPr>
              <w:rStyle w:val="13"/>
              <w:lang w:val="en-GB"/>
            </w:rPr>
            <w:t>Changes in Response to Economic factors</w:t>
          </w:r>
          <w:r>
            <w:rPr>
              <w:lang w:val="en-GB"/>
            </w:rPr>
            <w:tab/>
          </w:r>
          <w:r>
            <w:rPr>
              <w:lang w:val="en-GB"/>
            </w:rPr>
            <w:fldChar w:fldCharType="begin"/>
          </w:r>
          <w:r>
            <w:rPr>
              <w:lang w:val="en-GB"/>
            </w:rPr>
            <w:instrText xml:space="preserve"> PAGEREF _Toc69858354 \h </w:instrText>
          </w:r>
          <w:r>
            <w:rPr>
              <w:lang w:val="en-GB"/>
            </w:rPr>
            <w:fldChar w:fldCharType="separate"/>
          </w:r>
          <w:r>
            <w:rPr>
              <w:lang w:val="en-GB"/>
            </w:rPr>
            <w:t>7</w:t>
          </w:r>
          <w:r>
            <w:rPr>
              <w:lang w:val="en-GB"/>
            </w:rPr>
            <w:fldChar w:fldCharType="end"/>
          </w:r>
          <w:r>
            <w:rPr>
              <w:lang w:val="en-GB"/>
            </w:rPr>
            <w:fldChar w:fldCharType="end"/>
          </w:r>
        </w:p>
        <w:p>
          <w:pPr>
            <w:pStyle w:val="10"/>
            <w:tabs>
              <w:tab w:val="right" w:leader="dot" w:pos="9350"/>
            </w:tabs>
            <w:rPr>
              <w:lang w:val="en-GB"/>
            </w:rPr>
          </w:pPr>
          <w:r>
            <w:fldChar w:fldCharType="begin"/>
          </w:r>
          <w:r>
            <w:instrText xml:space="preserve"> HYPERLINK \l "_Toc69858355" </w:instrText>
          </w:r>
          <w:r>
            <w:fldChar w:fldCharType="separate"/>
          </w:r>
          <w:r>
            <w:rPr>
              <w:rStyle w:val="13"/>
              <w:lang w:val="en-GB"/>
            </w:rPr>
            <w:t>Changes in Response to Social and Technological Factors</w:t>
          </w:r>
          <w:r>
            <w:rPr>
              <w:lang w:val="en-GB"/>
            </w:rPr>
            <w:tab/>
          </w:r>
          <w:r>
            <w:rPr>
              <w:lang w:val="en-GB"/>
            </w:rPr>
            <w:fldChar w:fldCharType="begin"/>
          </w:r>
          <w:r>
            <w:rPr>
              <w:lang w:val="en-GB"/>
            </w:rPr>
            <w:instrText xml:space="preserve"> PAGEREF _Toc69858355 \h </w:instrText>
          </w:r>
          <w:r>
            <w:rPr>
              <w:lang w:val="en-GB"/>
            </w:rPr>
            <w:fldChar w:fldCharType="separate"/>
          </w:r>
          <w:r>
            <w:rPr>
              <w:lang w:val="en-GB"/>
            </w:rPr>
            <w:t>7</w:t>
          </w:r>
          <w:r>
            <w:rPr>
              <w:lang w:val="en-GB"/>
            </w:rPr>
            <w:fldChar w:fldCharType="end"/>
          </w:r>
          <w:r>
            <w:rPr>
              <w:lang w:val="en-GB"/>
            </w:rPr>
            <w:fldChar w:fldCharType="end"/>
          </w:r>
        </w:p>
        <w:p>
          <w:pPr>
            <w:pStyle w:val="10"/>
            <w:tabs>
              <w:tab w:val="right" w:leader="dot" w:pos="9350"/>
            </w:tabs>
            <w:rPr>
              <w:lang w:val="en-GB"/>
            </w:rPr>
          </w:pPr>
          <w:r>
            <w:fldChar w:fldCharType="begin"/>
          </w:r>
          <w:r>
            <w:instrText xml:space="preserve"> HYPERLINK \l "_Toc69858356" </w:instrText>
          </w:r>
          <w:r>
            <w:fldChar w:fldCharType="separate"/>
          </w:r>
          <w:r>
            <w:rPr>
              <w:rStyle w:val="13"/>
              <w:lang w:val="en-GB"/>
            </w:rPr>
            <w:t>Changes in Response to Environmental and legal actors</w:t>
          </w:r>
          <w:r>
            <w:rPr>
              <w:lang w:val="en-GB"/>
            </w:rPr>
            <w:tab/>
          </w:r>
          <w:r>
            <w:rPr>
              <w:lang w:val="en-GB"/>
            </w:rPr>
            <w:fldChar w:fldCharType="begin"/>
          </w:r>
          <w:r>
            <w:rPr>
              <w:lang w:val="en-GB"/>
            </w:rPr>
            <w:instrText xml:space="preserve"> PAGEREF _Toc69858356 \h </w:instrText>
          </w:r>
          <w:r>
            <w:rPr>
              <w:lang w:val="en-GB"/>
            </w:rPr>
            <w:fldChar w:fldCharType="separate"/>
          </w:r>
          <w:r>
            <w:rPr>
              <w:lang w:val="en-GB"/>
            </w:rPr>
            <w:t>8</w:t>
          </w:r>
          <w:r>
            <w:rPr>
              <w:lang w:val="en-GB"/>
            </w:rPr>
            <w:fldChar w:fldCharType="end"/>
          </w:r>
          <w:r>
            <w:rPr>
              <w:lang w:val="en-GB"/>
            </w:rPr>
            <w:fldChar w:fldCharType="end"/>
          </w:r>
        </w:p>
        <w:p>
          <w:pPr>
            <w:pStyle w:val="9"/>
            <w:tabs>
              <w:tab w:val="right" w:leader="dot" w:pos="9350"/>
            </w:tabs>
            <w:rPr>
              <w:lang w:val="en-GB"/>
            </w:rPr>
          </w:pPr>
          <w:r>
            <w:fldChar w:fldCharType="begin"/>
          </w:r>
          <w:r>
            <w:instrText xml:space="preserve"> HYPERLINK \l "_Toc69858357" </w:instrText>
          </w:r>
          <w:r>
            <w:fldChar w:fldCharType="separate"/>
          </w:r>
          <w:r>
            <w:rPr>
              <w:rStyle w:val="13"/>
              <w:lang w:val="en-GB"/>
            </w:rPr>
            <w:t>The Competitive Advantage of Next Plc</w:t>
          </w:r>
          <w:r>
            <w:rPr>
              <w:lang w:val="en-GB"/>
            </w:rPr>
            <w:tab/>
          </w:r>
          <w:r>
            <w:rPr>
              <w:lang w:val="en-GB"/>
            </w:rPr>
            <w:fldChar w:fldCharType="begin"/>
          </w:r>
          <w:r>
            <w:rPr>
              <w:lang w:val="en-GB"/>
            </w:rPr>
            <w:instrText xml:space="preserve"> PAGEREF _Toc69858357 \h </w:instrText>
          </w:r>
          <w:r>
            <w:rPr>
              <w:lang w:val="en-GB"/>
            </w:rPr>
            <w:fldChar w:fldCharType="separate"/>
          </w:r>
          <w:r>
            <w:rPr>
              <w:lang w:val="en-GB"/>
            </w:rPr>
            <w:t>9</w:t>
          </w:r>
          <w:r>
            <w:rPr>
              <w:lang w:val="en-GB"/>
            </w:rPr>
            <w:fldChar w:fldCharType="end"/>
          </w:r>
          <w:r>
            <w:rPr>
              <w:lang w:val="en-GB"/>
            </w:rPr>
            <w:fldChar w:fldCharType="end"/>
          </w:r>
        </w:p>
        <w:p>
          <w:pPr>
            <w:pStyle w:val="9"/>
            <w:tabs>
              <w:tab w:val="right" w:leader="dot" w:pos="9350"/>
            </w:tabs>
            <w:rPr>
              <w:lang w:val="en-GB"/>
            </w:rPr>
          </w:pPr>
          <w:r>
            <w:fldChar w:fldCharType="begin"/>
          </w:r>
          <w:r>
            <w:instrText xml:space="preserve"> HYPERLINK \l "_Toc69858358" </w:instrText>
          </w:r>
          <w:r>
            <w:fldChar w:fldCharType="separate"/>
          </w:r>
          <w:r>
            <w:rPr>
              <w:rStyle w:val="13"/>
              <w:lang w:val="en-GB"/>
            </w:rPr>
            <w:t>Recommendations for Next Plc</w:t>
          </w:r>
          <w:r>
            <w:rPr>
              <w:lang w:val="en-GB"/>
            </w:rPr>
            <w:tab/>
          </w:r>
          <w:r>
            <w:rPr>
              <w:lang w:val="en-GB"/>
            </w:rPr>
            <w:fldChar w:fldCharType="begin"/>
          </w:r>
          <w:r>
            <w:rPr>
              <w:lang w:val="en-GB"/>
            </w:rPr>
            <w:instrText xml:space="preserve"> PAGEREF _Toc69858358 \h </w:instrText>
          </w:r>
          <w:r>
            <w:rPr>
              <w:lang w:val="en-GB"/>
            </w:rPr>
            <w:fldChar w:fldCharType="separate"/>
          </w:r>
          <w:r>
            <w:rPr>
              <w:lang w:val="en-GB"/>
            </w:rPr>
            <w:t>10</w:t>
          </w:r>
          <w:r>
            <w:rPr>
              <w:lang w:val="en-GB"/>
            </w:rPr>
            <w:fldChar w:fldCharType="end"/>
          </w:r>
          <w:r>
            <w:rPr>
              <w:lang w:val="en-GB"/>
            </w:rPr>
            <w:fldChar w:fldCharType="end"/>
          </w:r>
        </w:p>
        <w:p>
          <w:pPr>
            <w:pStyle w:val="9"/>
            <w:tabs>
              <w:tab w:val="right" w:leader="dot" w:pos="9350"/>
            </w:tabs>
            <w:rPr>
              <w:lang w:val="en-GB"/>
            </w:rPr>
          </w:pPr>
          <w:r>
            <w:fldChar w:fldCharType="begin"/>
          </w:r>
          <w:r>
            <w:instrText xml:space="preserve"> HYPERLINK \l "_Toc69858359" </w:instrText>
          </w:r>
          <w:r>
            <w:fldChar w:fldCharType="separate"/>
          </w:r>
          <w:r>
            <w:rPr>
              <w:rStyle w:val="13"/>
              <w:lang w:val="en-GB"/>
            </w:rPr>
            <w:t>Conclusion</w:t>
          </w:r>
          <w:r>
            <w:rPr>
              <w:lang w:val="en-GB"/>
            </w:rPr>
            <w:tab/>
          </w:r>
          <w:r>
            <w:rPr>
              <w:lang w:val="en-GB"/>
            </w:rPr>
            <w:fldChar w:fldCharType="begin"/>
          </w:r>
          <w:r>
            <w:rPr>
              <w:lang w:val="en-GB"/>
            </w:rPr>
            <w:instrText xml:space="preserve"> PAGEREF _Toc69858359 \h </w:instrText>
          </w:r>
          <w:r>
            <w:rPr>
              <w:lang w:val="en-GB"/>
            </w:rPr>
            <w:fldChar w:fldCharType="separate"/>
          </w:r>
          <w:r>
            <w:rPr>
              <w:lang w:val="en-GB"/>
            </w:rPr>
            <w:t>11</w:t>
          </w:r>
          <w:r>
            <w:rPr>
              <w:lang w:val="en-GB"/>
            </w:rPr>
            <w:fldChar w:fldCharType="end"/>
          </w:r>
          <w:r>
            <w:rPr>
              <w:lang w:val="en-GB"/>
            </w:rPr>
            <w:fldChar w:fldCharType="end"/>
          </w:r>
        </w:p>
        <w:p>
          <w:pPr>
            <w:pStyle w:val="9"/>
            <w:tabs>
              <w:tab w:val="right" w:leader="dot" w:pos="9350"/>
            </w:tabs>
            <w:rPr>
              <w:lang w:val="en-GB"/>
            </w:rPr>
          </w:pPr>
          <w:r>
            <w:fldChar w:fldCharType="begin"/>
          </w:r>
          <w:r>
            <w:instrText xml:space="preserve"> HYPERLINK \l "_Toc69858360" </w:instrText>
          </w:r>
          <w:r>
            <w:fldChar w:fldCharType="separate"/>
          </w:r>
          <w:r>
            <w:rPr>
              <w:rStyle w:val="13"/>
              <w:lang w:val="en-GB"/>
            </w:rPr>
            <w:t>References</w:t>
          </w:r>
          <w:r>
            <w:rPr>
              <w:lang w:val="en-GB"/>
            </w:rPr>
            <w:tab/>
          </w:r>
          <w:r>
            <w:rPr>
              <w:lang w:val="en-GB"/>
            </w:rPr>
            <w:fldChar w:fldCharType="begin"/>
          </w:r>
          <w:r>
            <w:rPr>
              <w:lang w:val="en-GB"/>
            </w:rPr>
            <w:instrText xml:space="preserve"> PAGEREF _Toc69858360 \h </w:instrText>
          </w:r>
          <w:r>
            <w:rPr>
              <w:lang w:val="en-GB"/>
            </w:rPr>
            <w:fldChar w:fldCharType="separate"/>
          </w:r>
          <w:r>
            <w:rPr>
              <w:lang w:val="en-GB"/>
            </w:rPr>
            <w:t>12</w:t>
          </w:r>
          <w:r>
            <w:rPr>
              <w:lang w:val="en-GB"/>
            </w:rPr>
            <w:fldChar w:fldCharType="end"/>
          </w:r>
          <w:r>
            <w:rPr>
              <w:lang w:val="en-GB"/>
            </w:rPr>
            <w:fldChar w:fldCharType="end"/>
          </w:r>
        </w:p>
        <w:p>
          <w:pPr>
            <w:rPr>
              <w:lang w:val="en-GB"/>
            </w:rPr>
          </w:pPr>
          <w:r>
            <w:rPr>
              <w:b/>
              <w:bCs/>
              <w:lang w:val="en-GB"/>
            </w:rPr>
            <w:fldChar w:fldCharType="end"/>
          </w:r>
        </w:p>
      </w:sdtContent>
    </w:sdt>
    <w:p>
      <w:pPr>
        <w:jc w:val="left"/>
        <w:rPr>
          <w:rFonts w:eastAsiaTheme="majorEastAsia" w:cstheme="majorBidi"/>
          <w:b/>
          <w:color w:val="2E75B6" w:themeColor="accent1" w:themeShade="BF"/>
          <w:sz w:val="32"/>
          <w:szCs w:val="32"/>
          <w:lang w:val="en-GB"/>
        </w:rPr>
      </w:pPr>
      <w:r>
        <w:rPr>
          <w:lang w:val="en-GB"/>
        </w:rPr>
        <w:br w:type="page"/>
      </w:r>
    </w:p>
    <w:p>
      <w:pPr>
        <w:pStyle w:val="2"/>
        <w:rPr>
          <w:lang w:val="en-GB"/>
        </w:rPr>
      </w:pPr>
      <w:bookmarkStart w:id="0" w:name="_Toc69858347"/>
      <w:r>
        <w:rPr>
          <w:lang w:val="en-GB"/>
        </w:rPr>
        <w:t>Introduction</w:t>
      </w:r>
      <w:bookmarkEnd w:id="0"/>
      <w:r>
        <w:rPr>
          <w:lang w:val="en-GB"/>
        </w:rPr>
        <w:t xml:space="preserve"> </w:t>
      </w:r>
    </w:p>
    <w:p>
      <w:pPr>
        <w:rPr>
          <w:lang w:val="en-GB"/>
        </w:rPr>
      </w:pPr>
      <w:r>
        <w:rPr>
          <w:lang w:val="en-GB"/>
        </w:rPr>
        <w:t>For many years, companies from fashion industries are running their business with the support of developing countries and the human resources of those countries (</w:t>
      </w:r>
      <w:r>
        <w:rPr>
          <w:rFonts w:eastAsia="Times New Roman" w:cs="Times New Roman"/>
          <w:szCs w:val="24"/>
          <w:lang w:val="en-GB"/>
        </w:rPr>
        <w:t>Budhwar et al., 2013)</w:t>
      </w:r>
      <w:r>
        <w:rPr>
          <w:lang w:val="en-GB"/>
        </w:rPr>
        <w:t xml:space="preserve">. Including it, those organizations have been served by the environmental necessities of those countries. Along with getting served by these facilities, by the phase of time, many issues and controversies also have been emerged. Since the world is becoming more and more concerned about few issues like the environment, human rights, etc. many stakeholders and customers are accusing companies like M&amp;S, Next Plc of violating and exploiting the resources while running a business in these countries. As a result, the organizations are adopting many changes in their working structure. In this report, using the case of Next Plc, these issues will be clarified and investigated. Also, in the end, few recommendations will be made for the company through doing PESTLE and Porter’s value chain analysis. </w:t>
      </w:r>
      <w:r>
        <w:rPr>
          <w:lang w:val="en-GB"/>
        </w:rPr>
        <w:br w:type="page"/>
      </w:r>
    </w:p>
    <w:p>
      <w:pPr>
        <w:pStyle w:val="2"/>
        <w:rPr>
          <w:lang w:val="en-GB"/>
        </w:rPr>
      </w:pPr>
      <w:bookmarkStart w:id="1" w:name="_Toc69858348"/>
      <w:r>
        <w:rPr>
          <w:lang w:val="en-GB"/>
        </w:rPr>
        <w:t>Changes made by the company to self-regulate and adapt to some of the concerns raised by the different stakeholders above</w:t>
      </w:r>
      <w:bookmarkEnd w:id="1"/>
    </w:p>
    <w:p>
      <w:pPr>
        <w:rPr>
          <w:lang w:val="en-GB"/>
        </w:rPr>
      </w:pPr>
      <w:r>
        <w:rPr>
          <w:lang w:val="en-GB"/>
        </w:rPr>
        <w:t>Fashion activities have been increased enormously in the last decades and the consequences of it have arisen some issues (</w:t>
      </w:r>
      <w:r>
        <w:rPr>
          <w:rFonts w:eastAsia="Times New Roman" w:cs="Times New Roman"/>
          <w:szCs w:val="24"/>
          <w:lang w:val="en-GB"/>
        </w:rPr>
        <w:t>Claudio, 2017)</w:t>
      </w:r>
      <w:r>
        <w:rPr>
          <w:lang w:val="en-GB"/>
        </w:rPr>
        <w:t>. Though the fashion and clothing organizations like Next, Marks &amp; Spencer, etc. have imported higher growth of production from the countries like Vietnam, Bangladesh, China, Pakistan, Ethiopia, Rwanda, etc. there are few concerns have been raised by the stakeholders about which the companies should consider (</w:t>
      </w:r>
      <w:r>
        <w:rPr>
          <w:rFonts w:eastAsia="Times New Roman" w:cs="Times New Roman"/>
          <w:szCs w:val="24"/>
          <w:lang w:val="en-GB"/>
        </w:rPr>
        <w:t>Lopez-Acevedo, et al., 2016)</w:t>
      </w:r>
      <w:r>
        <w:rPr>
          <w:lang w:val="en-GB"/>
        </w:rPr>
        <w:t xml:space="preserve">. Considering these concerns, many concerns have been brought also in the business activities of these companies. The steps that have been taken by the companies like Next plc in a consequence of these issues will be discussed below. In serving the purpose, Porter’s value chain model, as well as PESTLE analysis, will be used.  </w:t>
      </w:r>
    </w:p>
    <w:p>
      <w:pPr>
        <w:pStyle w:val="2"/>
        <w:rPr>
          <w:lang w:val="en-GB"/>
        </w:rPr>
      </w:pPr>
      <w:bookmarkStart w:id="2" w:name="_Toc69858349"/>
      <w:r>
        <w:rPr>
          <w:lang w:val="en-GB"/>
        </w:rPr>
        <w:t>Porter’s Value Chain Model Analysis of Next Plc</w:t>
      </w:r>
      <w:bookmarkEnd w:id="2"/>
    </w:p>
    <w:p>
      <w:pPr>
        <w:jc w:val="center"/>
        <w:rPr>
          <w:lang w:val="en-GB"/>
        </w:rPr>
      </w:pPr>
      <w:r>
        <w:rPr>
          <w:lang w:val="en-GB"/>
        </w:rPr>
        <w:drawing>
          <wp:inline distT="0" distB="0" distL="0" distR="0">
            <wp:extent cx="4904740" cy="2844800"/>
            <wp:effectExtent l="0" t="0" r="0" b="0"/>
            <wp:docPr id="3" name="Picture 3" descr="What is Porter's Value Chain? Definition, VCA, Value Chain Activities,  Using VCA Tool, Importance, Limitations - The Investors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What is Porter's Value Chain? Definition, VCA, Value Chain Activities,  Using VCA Tool, Importance, Limitations - The Investors Book"/>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4911565" cy="2848708"/>
                    </a:xfrm>
                    <a:prstGeom prst="rect">
                      <a:avLst/>
                    </a:prstGeom>
                    <a:noFill/>
                    <a:ln>
                      <a:noFill/>
                    </a:ln>
                  </pic:spPr>
                </pic:pic>
              </a:graphicData>
            </a:graphic>
          </wp:inline>
        </w:drawing>
      </w:r>
    </w:p>
    <w:p>
      <w:pPr>
        <w:jc w:val="center"/>
        <w:rPr>
          <w:lang w:val="en-GB"/>
        </w:rPr>
      </w:pPr>
      <w:r>
        <w:rPr>
          <w:lang w:val="en-GB"/>
        </w:rPr>
        <w:t>Figure: Porter’s value chain analysis</w:t>
      </w:r>
    </w:p>
    <w:p>
      <w:pPr>
        <w:jc w:val="center"/>
        <w:rPr>
          <w:lang w:val="en-GB"/>
        </w:rPr>
      </w:pPr>
      <w:r>
        <w:rPr>
          <w:lang w:val="en-GB"/>
        </w:rPr>
        <w:t>Source: (</w:t>
      </w:r>
      <w:r>
        <w:rPr>
          <w:rFonts w:eastAsia="Times New Roman" w:cs="Times New Roman"/>
          <w:szCs w:val="24"/>
          <w:lang w:val="en-GB"/>
        </w:rPr>
        <w:t>Wigley, 2011)</w:t>
      </w:r>
    </w:p>
    <w:p>
      <w:pPr>
        <w:rPr>
          <w:lang w:val="en-GB"/>
        </w:rPr>
      </w:pPr>
      <w:r>
        <w:rPr>
          <w:lang w:val="en-GB"/>
        </w:rPr>
        <w:t>Through the use of Porter’s value chain model, an organization will be able to know how it can improve the value of its products through doing different activities (</w:t>
      </w:r>
      <w:r>
        <w:rPr>
          <w:rFonts w:eastAsia="Times New Roman" w:cs="Times New Roman"/>
          <w:szCs w:val="24"/>
          <w:lang w:val="en-GB"/>
        </w:rPr>
        <w:t>Koc et al., 2017)</w:t>
      </w:r>
      <w:r>
        <w:rPr>
          <w:lang w:val="en-GB"/>
        </w:rPr>
        <w:t xml:space="preserve">. In the value chain model, the activities are divided into two categories. They are; primary activities and secondary activities. The primary activities are the must for Next Plc to manage its overall activities. On the other hand, through the secondary activities, the company will be able to add its expected value to its products and services. </w:t>
      </w:r>
    </w:p>
    <w:p>
      <w:pPr>
        <w:pStyle w:val="3"/>
        <w:rPr>
          <w:lang w:val="en-GB"/>
        </w:rPr>
      </w:pPr>
      <w:bookmarkStart w:id="3" w:name="_Toc69858350"/>
      <w:r>
        <w:rPr>
          <w:lang w:val="en-GB"/>
        </w:rPr>
        <w:t>Changes in Primary Activities of Next Plc</w:t>
      </w:r>
      <w:bookmarkEnd w:id="3"/>
    </w:p>
    <w:p>
      <w:pPr>
        <w:rPr>
          <w:lang w:val="en-GB"/>
        </w:rPr>
      </w:pPr>
      <w:r>
        <w:rPr>
          <w:lang w:val="en-GB"/>
        </w:rPr>
        <w:t>There are some primary activities or tasks for any organization to accomplish its expected value (</w:t>
      </w:r>
      <w:r>
        <w:rPr>
          <w:rFonts w:eastAsia="Times New Roman" w:cs="Times New Roman"/>
          <w:szCs w:val="24"/>
          <w:lang w:val="en-GB"/>
        </w:rPr>
        <w:t>De Mozota, 2012)</w:t>
      </w:r>
      <w:r>
        <w:rPr>
          <w:lang w:val="en-GB"/>
        </w:rPr>
        <w:t>. The primary activities of a company like Next Plc in the fashion industry include managing a healthy supply chain so that the customers can get the products of Next Plc continuously, arrangement of the logistic and production necessities, healthy and continuous supply channel, various marketing activities in different marketplaces, after-sales services, etc. For many issues in the current decades related to labor exploitation, environmental degradation, Next Plc has adopted many changes in its primary activities (</w:t>
      </w:r>
      <w:r>
        <w:rPr>
          <w:rFonts w:eastAsia="Times New Roman" w:cs="Times New Roman"/>
          <w:szCs w:val="24"/>
          <w:lang w:val="en-GB"/>
        </w:rPr>
        <w:t>Wigley, 2011)</w:t>
      </w:r>
      <w:r>
        <w:rPr>
          <w:lang w:val="en-GB"/>
        </w:rPr>
        <w:t xml:space="preserve">. The company has improved its relationship with the supplier of production necessities and the company has taken initiatives for managing the quality raw materials for itself. Including it, they ensured the continuous supply of these materials. </w:t>
      </w:r>
    </w:p>
    <w:p>
      <w:pPr>
        <w:jc w:val="center"/>
        <w:rPr>
          <w:lang w:val="en-GB"/>
        </w:rPr>
      </w:pPr>
      <w:r>
        <w:rPr>
          <w:lang w:val="en-GB"/>
        </w:rPr>
        <w:drawing>
          <wp:inline distT="0" distB="0" distL="0" distR="0">
            <wp:extent cx="5492750" cy="2933700"/>
            <wp:effectExtent l="0" t="0" r="0" b="0"/>
            <wp:docPr id="1" name="Picture 1" descr="UK Top-10 Online Fashion Retailer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K Top-10 Online Fashion Retailers | Download Scientific Diagra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5492750" cy="2933700"/>
                    </a:xfrm>
                    <a:prstGeom prst="rect">
                      <a:avLst/>
                    </a:prstGeom>
                    <a:noFill/>
                    <a:ln>
                      <a:noFill/>
                    </a:ln>
                  </pic:spPr>
                </pic:pic>
              </a:graphicData>
            </a:graphic>
          </wp:inline>
        </w:drawing>
      </w:r>
    </w:p>
    <w:p>
      <w:pPr>
        <w:jc w:val="center"/>
        <w:rPr>
          <w:lang w:val="en-GB"/>
        </w:rPr>
      </w:pPr>
      <w:r>
        <w:rPr>
          <w:lang w:val="en-GB"/>
        </w:rPr>
        <w:t>Figure: Top 10 Online Fashion Retailers of the UK</w:t>
      </w:r>
    </w:p>
    <w:p>
      <w:pPr>
        <w:jc w:val="center"/>
        <w:rPr>
          <w:lang w:val="en-GB"/>
        </w:rPr>
      </w:pPr>
      <w:r>
        <w:rPr>
          <w:lang w:val="en-GB"/>
        </w:rPr>
        <w:t>Source: (Researchgate, 2019)</w:t>
      </w:r>
    </w:p>
    <w:p>
      <w:pPr>
        <w:rPr>
          <w:lang w:val="en-GB"/>
        </w:rPr>
      </w:pPr>
      <w:r>
        <w:rPr>
          <w:lang w:val="en-GB"/>
        </w:rPr>
        <w:t>All these have ensured the production of quality products to the marketplaces (</w:t>
      </w:r>
      <w:r>
        <w:rPr>
          <w:rFonts w:eastAsia="Times New Roman" w:cs="Times New Roman"/>
          <w:szCs w:val="24"/>
          <w:lang w:val="en-GB"/>
        </w:rPr>
        <w:t>Koc et al., 2017)</w:t>
      </w:r>
      <w:r>
        <w:rPr>
          <w:lang w:val="en-GB"/>
        </w:rPr>
        <w:t xml:space="preserve">. Through bringing modifications in the production and operational activities, a sustainable and healthy production chain has been ensured by the company from the factories which are located in developing countries like China, Bangladesh, India, etc. This has ensured a healthy and better production of the company. Including it, extra care in the sales after services will bring a healthy relationship with the customers. By doing this, the company can win the trust of the customers which is necessary for the long-term growth of the company. </w:t>
      </w:r>
    </w:p>
    <w:p>
      <w:pPr>
        <w:pStyle w:val="3"/>
        <w:rPr>
          <w:lang w:val="en-GB"/>
        </w:rPr>
      </w:pPr>
      <w:bookmarkStart w:id="4" w:name="_Toc69858351"/>
      <w:r>
        <w:rPr>
          <w:lang w:val="en-GB"/>
        </w:rPr>
        <w:t>Changes in Secondary Activities of Next Plc</w:t>
      </w:r>
      <w:bookmarkEnd w:id="4"/>
    </w:p>
    <w:p>
      <w:pPr>
        <w:rPr>
          <w:lang w:val="en-GB"/>
        </w:rPr>
      </w:pPr>
      <w:r>
        <w:rPr>
          <w:lang w:val="en-GB"/>
        </w:rPr>
        <w:t>Apart from the primary activities, some secondary activities are necessary for the company to gain the expected value to its business (</w:t>
      </w:r>
      <w:r>
        <w:rPr>
          <w:rFonts w:eastAsia="Times New Roman" w:cs="Times New Roman"/>
          <w:szCs w:val="24"/>
          <w:lang w:val="en-GB"/>
        </w:rPr>
        <w:t>Koc et al., 2017)</w:t>
      </w:r>
      <w:r>
        <w:rPr>
          <w:lang w:val="en-GB"/>
        </w:rPr>
        <w:t>. Since many issues have arisen, Next Plc has brought changes in its secondary activities also. The secondary activities of Next Plc are structural development, human resource management, technological advance man, robust procurement strategy, etc. For getting competitive advantages and for being fit in the market, Next Plc has brought many structural improvements and development in its working procedures. For the pandemic situation, many issues have arisen in human resources (</w:t>
      </w:r>
      <w:r>
        <w:rPr>
          <w:rFonts w:eastAsia="Times New Roman" w:cs="Times New Roman"/>
          <w:szCs w:val="24"/>
          <w:lang w:val="en-GB"/>
        </w:rPr>
        <w:t>Nandonde, 2019)</w:t>
      </w:r>
      <w:r>
        <w:rPr>
          <w:lang w:val="en-GB"/>
        </w:rPr>
        <w:t>. For this reason, the company has brought many changes in the human resource management policies. The modification in the policies is carried out with an adaptation with the labor laws and regulations of the countries from which the company imports its human resources. The recruitment policies have been modified and as a result, the company is being able to recruit the best and skilled employees for it. In this regard, the company will be able to reduce its costs in production. Next plc incorporated various automation software in its supply line and materials procurement to generate higher-value products (</w:t>
      </w:r>
      <w:r>
        <w:rPr>
          <w:rFonts w:eastAsia="Times New Roman" w:cs="Times New Roman"/>
          <w:szCs w:val="24"/>
          <w:lang w:val="en-GB"/>
        </w:rPr>
        <w:t>Michael Giffels, 2012)</w:t>
      </w:r>
      <w:r>
        <w:rPr>
          <w:lang w:val="en-GB"/>
        </w:rPr>
        <w:t xml:space="preserve">. With a concern of quality services to the customers, the company is developing customized apps and software for the company, and doing this, they are getting connected with the customers in a more range. </w:t>
      </w:r>
      <w:r>
        <w:rPr>
          <w:lang w:val="en-GB"/>
        </w:rPr>
        <w:br w:type="page"/>
      </w:r>
    </w:p>
    <w:p>
      <w:pPr>
        <w:pStyle w:val="2"/>
        <w:rPr>
          <w:lang w:val="en-GB"/>
        </w:rPr>
      </w:pPr>
      <w:bookmarkStart w:id="5" w:name="_Toc69858352"/>
      <w:r>
        <w:rPr>
          <w:lang w:val="en-GB"/>
        </w:rPr>
        <w:t>PESTLE Analysis of Next Plc</w:t>
      </w:r>
      <w:bookmarkEnd w:id="5"/>
    </w:p>
    <w:p>
      <w:pPr>
        <w:pStyle w:val="3"/>
        <w:rPr>
          <w:lang w:val="en-GB"/>
        </w:rPr>
      </w:pPr>
      <w:bookmarkStart w:id="6" w:name="_Toc69858353"/>
      <w:r>
        <w:rPr>
          <w:lang w:val="en-GB"/>
        </w:rPr>
        <w:t>Changes in Response to Political Factors</w:t>
      </w:r>
      <w:bookmarkEnd w:id="6"/>
    </w:p>
    <w:p>
      <w:pPr>
        <w:rPr>
          <w:lang w:val="en-GB"/>
        </w:rPr>
      </w:pPr>
      <w:r>
        <w:rPr>
          <w:lang w:val="en-GB"/>
        </w:rPr>
        <w:t>Political factors have always shaped organizational strategies and working procedures all over the world (</w:t>
      </w:r>
      <w:r>
        <w:rPr>
          <w:rFonts w:eastAsia="Times New Roman" w:cs="Times New Roman"/>
          <w:szCs w:val="24"/>
          <w:lang w:val="en-GB"/>
        </w:rPr>
        <w:t>Freise, et al., 2015)</w:t>
      </w:r>
      <w:r>
        <w:rPr>
          <w:lang w:val="en-GB"/>
        </w:rPr>
        <w:t>. The external factor has a dominant influence on the decision-making processes of the companies. The fact is similar in the fashion and clothing industry also. Since the political environment of the last few years is unstable and going through a bit of up and downs, the industry has been suffering from a few determinants. There are many issues have been arisen regarding the right of the customers, employee wages, changing business laws and regulations, etc. which have heavily impacted the industry (</w:t>
      </w:r>
      <w:r>
        <w:rPr>
          <w:rFonts w:eastAsia="Times New Roman" w:cs="Times New Roman"/>
          <w:szCs w:val="24"/>
          <w:lang w:val="en-GB"/>
        </w:rPr>
        <w:t>Nandonde, 2019)</w:t>
      </w:r>
      <w:r>
        <w:rPr>
          <w:lang w:val="en-GB"/>
        </w:rPr>
        <w:t xml:space="preserve">. Including these, there are also some issues like changing taxation and tariff laws that are shaping the work structure of the clothing and fashion business. Regarding these, companies all over the world are now bringing many changes within their strategies and redesigning the policies related to import. For many situations like a pandemic, the organizations have to bear a high rate of production cost and it has to spend a high portion of its investment in arranging the production necessities. As a result, they are bringing the products to the market at a high price. </w:t>
      </w:r>
    </w:p>
    <w:p>
      <w:pPr>
        <w:pStyle w:val="3"/>
        <w:rPr>
          <w:lang w:val="en-GB"/>
        </w:rPr>
      </w:pPr>
      <w:bookmarkStart w:id="7" w:name="_Toc69858354"/>
      <w:r>
        <w:rPr>
          <w:lang w:val="en-GB"/>
        </w:rPr>
        <w:t>Changes in Response to Economic factors</w:t>
      </w:r>
      <w:bookmarkEnd w:id="7"/>
    </w:p>
    <w:p>
      <w:pPr>
        <w:rPr>
          <w:lang w:val="en-GB"/>
        </w:rPr>
      </w:pPr>
      <w:r>
        <w:rPr>
          <w:lang w:val="en-GB"/>
        </w:rPr>
        <w:t>The economy has an explicit relationship with business activities (</w:t>
      </w:r>
      <w:r>
        <w:rPr>
          <w:rFonts w:eastAsia="Times New Roman" w:cs="Times New Roman"/>
          <w:szCs w:val="24"/>
          <w:lang w:val="en-GB"/>
        </w:rPr>
        <w:t>Nandonde, 2019)</w:t>
      </w:r>
      <w:r>
        <w:rPr>
          <w:lang w:val="en-GB"/>
        </w:rPr>
        <w:t>. The interesting fact lies in the matter that, as an international company, Next Plc runs its business in 70 countries and that means that the company deals in different economic situation. The differences in the nature and economic environment of all these countries and marketplaces convinced the companies like Next to adopt different market strategies (</w:t>
      </w:r>
      <w:r>
        <w:rPr>
          <w:rFonts w:eastAsia="Times New Roman" w:cs="Times New Roman"/>
          <w:szCs w:val="24"/>
          <w:lang w:val="en-GB"/>
        </w:rPr>
        <w:t>Michael Giffels, 2012)</w:t>
      </w:r>
      <w:r>
        <w:rPr>
          <w:lang w:val="en-GB"/>
        </w:rPr>
        <w:t xml:space="preserve">. For the different nature of the marketplaces in which Next Plc runs its business, the company conducts different researches and studies understanding the nature and scopes of these marketplaces. Before entering any specific marketplaces, the company always concerns about the growth and inflation rate of those marketplaces. Based on the situation, the market strategies and policies of Next vary from market to market. </w:t>
      </w:r>
    </w:p>
    <w:p>
      <w:pPr>
        <w:pStyle w:val="3"/>
        <w:rPr>
          <w:lang w:val="en-GB"/>
        </w:rPr>
      </w:pPr>
      <w:bookmarkStart w:id="8" w:name="_Toc69858355"/>
      <w:r>
        <w:rPr>
          <w:lang w:val="en-GB"/>
        </w:rPr>
        <w:t>Changes in Response to Social and Technological Factors</w:t>
      </w:r>
      <w:bookmarkEnd w:id="8"/>
    </w:p>
    <w:p>
      <w:pPr>
        <w:rPr>
          <w:lang w:val="en-GB"/>
        </w:rPr>
      </w:pPr>
      <w:r>
        <w:rPr>
          <w:lang w:val="en-GB"/>
        </w:rPr>
        <w:t xml:space="preserve">As an organization of fashion and clothing industry, the social factors have a dominant influence on the working procedures and strategies of Next. Various social factors and trends influence the taste and the demand of the customers. The companies have to consider these social factors before producing the products for the markets (Fortune University, 2018). Not only in just dealing with the customers, in arranging human resources for the company but Next Plc is also impacted by these factors. In the covid-19 situation, the rate of mortality has been increased as well as the changes in the customer’s behavior influenced the production rate and range of the companies in the fashion industry. </w:t>
      </w:r>
    </w:p>
    <w:p>
      <w:pPr>
        <w:rPr>
          <w:lang w:val="en-GB"/>
        </w:rPr>
      </w:pPr>
      <w:r>
        <w:rPr>
          <w:lang w:val="en-GB"/>
        </w:rPr>
        <w:t>Like social factors, technological factors have also an influential effect on the fashion industry. The technological advancement in the regular lifestyle of the customers influenced in redesigning of the business strategies and policies of Next Plc (</w:t>
      </w:r>
      <w:r>
        <w:rPr>
          <w:rFonts w:eastAsia="Times New Roman" w:cs="Times New Roman"/>
          <w:szCs w:val="24"/>
          <w:lang w:val="en-GB"/>
        </w:rPr>
        <w:t>Nextplc.co.uk. 2021)</w:t>
      </w:r>
      <w:r>
        <w:rPr>
          <w:lang w:val="en-GB"/>
        </w:rPr>
        <w:t>. Since the customers nowadays are more interested in online platforms and the rate of online shopping has been increased also, the company is focusing on the online platforms also. Adoption of the latest and modern technology in the outlets and services of Next has improved the satisfaction of the customers and helped the company grasp the competitive advantages of the market.</w:t>
      </w:r>
    </w:p>
    <w:p>
      <w:pPr>
        <w:pStyle w:val="3"/>
        <w:rPr>
          <w:lang w:val="en-GB"/>
        </w:rPr>
      </w:pPr>
      <w:bookmarkStart w:id="9" w:name="_Toc69858356"/>
      <w:r>
        <w:rPr>
          <w:lang w:val="en-GB"/>
        </w:rPr>
        <w:t>Changes in Response to Environmental and legal actors</w:t>
      </w:r>
      <w:bookmarkEnd w:id="9"/>
    </w:p>
    <w:p>
      <w:pPr>
        <w:rPr>
          <w:lang w:val="en-GB"/>
        </w:rPr>
      </w:pPr>
      <w:r>
        <w:rPr>
          <w:lang w:val="en-GB"/>
        </w:rPr>
        <w:t>Both environmental and legal factors are influencing companies nowadays. Especially, the impacts of environmental factors on the business have a dominant impact on the business and commerce of the companies (</w:t>
      </w:r>
      <w:r>
        <w:rPr>
          <w:rFonts w:eastAsia="Times New Roman" w:cs="Times New Roman"/>
          <w:szCs w:val="24"/>
          <w:lang w:val="en-GB"/>
        </w:rPr>
        <w:t>Dixon et al., 2013)</w:t>
      </w:r>
      <w:r>
        <w:rPr>
          <w:lang w:val="en-GB"/>
        </w:rPr>
        <w:t xml:space="preserve">. The whole world is witnessing environmental degradation and as a result, the customers, as well as the stakeholders of the companies, nowadays are more and more concerned about the environmental issues. Few environmental issues like Recycling procedures, gas emission, sustainable product development, environmental pollution, etc. are shaping the businesses of these companies. Before making any decisions, these issues are considered by the companies like Next Plc. For facing environmental issues, there are many certified suppliers, and doing business with them has increased the cost of production. </w:t>
      </w:r>
    </w:p>
    <w:p>
      <w:pPr>
        <w:rPr>
          <w:lang w:val="en-GB"/>
        </w:rPr>
      </w:pPr>
      <w:r>
        <w:rPr>
          <w:lang w:val="en-GB"/>
        </w:rPr>
        <w:t xml:space="preserve">Also, in doing business, the organization from any industry should follow specific laws and regulations and while taking any decisions or setting any strategies, the organizations like Next Plc have to consider these laws. </w:t>
      </w:r>
    </w:p>
    <w:p>
      <w:pPr>
        <w:jc w:val="left"/>
        <w:rPr>
          <w:lang w:val="en-GB"/>
        </w:rPr>
      </w:pPr>
      <w:r>
        <w:rPr>
          <w:lang w:val="en-GB"/>
        </w:rPr>
        <w:br w:type="page"/>
      </w:r>
    </w:p>
    <w:p>
      <w:pPr>
        <w:pStyle w:val="2"/>
        <w:rPr>
          <w:lang w:val="en-GB"/>
        </w:rPr>
      </w:pPr>
      <w:bookmarkStart w:id="10" w:name="_Toc69858357"/>
      <w:r>
        <w:rPr>
          <w:lang w:val="en-GB"/>
        </w:rPr>
        <w:t>The Competitive Advantage of Next Plc</w:t>
      </w:r>
      <w:bookmarkEnd w:id="10"/>
    </w:p>
    <w:p>
      <w:pPr>
        <w:rPr>
          <w:lang w:val="en-GB"/>
        </w:rPr>
      </w:pPr>
      <w:r>
        <w:rPr>
          <w:lang w:val="en-GB"/>
        </w:rPr>
        <w:t>For some years, the fashion and clothing industry has been diverse and competitive. Also, for the changing nature of the economy, continuous trends in the customer’s taste have made the competition among the companies difficult. For facing such a situation, companies all over the world are now using different strategies and policies. Like other companies in the marketplaces, Next Plc has also used many strategies, some of which were successful in bringing the expected outputs and few have gone wrong. Over the years, Next Plc has emphasized increasing its brand images and reputation in the market (</w:t>
      </w:r>
      <w:r>
        <w:rPr>
          <w:rFonts w:eastAsia="Times New Roman" w:cs="Times New Roman"/>
          <w:szCs w:val="24"/>
          <w:lang w:val="en-GB"/>
        </w:rPr>
        <w:t>Nextplc.co.uk. 2021)</w:t>
      </w:r>
      <w:r>
        <w:rPr>
          <w:lang w:val="en-GB"/>
        </w:rPr>
        <w:t xml:space="preserve">. For it, the company has been successful in developing a permanent flock of customers and as a result, it was helpful for the companies to apply those strategies and policies effectively. The high value in the brand image of Next Plc is providing competitive advantages in the marketplaces. At this time, the company is owning 6. 7% market share of clothing brands in the UK and that’s increasing the value of the company in the cognition of the customers. </w:t>
      </w:r>
    </w:p>
    <w:p>
      <w:pPr>
        <w:rPr>
          <w:lang w:val="en-GB"/>
        </w:rPr>
      </w:pPr>
      <w:r>
        <w:rPr>
          <w:lang w:val="en-GB"/>
        </w:rPr>
        <w:t xml:space="preserve">Another key advantage of the company in the marketplace is the high online presence of the company. The company has been active and spontaneous in the online platforms. Since the number of customers using online platforms is high and increasing in the digital platforms, the company has utilized those platforms in reaching the customers, the sales and revenue inherited from the platforms have been increased radically. In the 2020 financial year, its online revenue is $2,147 million which is $252 million more than its retail revenue of the same year. Next Plc is one of the few companies in the UK that has a regular and close relationship with the customers. The number of the outlets of the company throughout the street of the UK is 498. For this reason, the customers are so related to the company and the rate of sales is increasing in these outlets providing the competitive advantages of the company. Gradually, Next Plc is doing better over the years. The current EPS of the company is 2.5 times higher than last year. </w:t>
      </w:r>
    </w:p>
    <w:p>
      <w:pPr>
        <w:jc w:val="left"/>
        <w:rPr>
          <w:lang w:val="en-GB"/>
        </w:rPr>
      </w:pPr>
      <w:r>
        <w:rPr>
          <w:lang w:val="en-GB"/>
        </w:rPr>
        <w:br w:type="page"/>
      </w:r>
    </w:p>
    <w:p>
      <w:pPr>
        <w:pStyle w:val="2"/>
        <w:rPr>
          <w:lang w:val="en-GB"/>
        </w:rPr>
      </w:pPr>
      <w:bookmarkStart w:id="11" w:name="_Toc69858358"/>
      <w:r>
        <w:rPr>
          <w:lang w:val="en-GB"/>
        </w:rPr>
        <w:t>Recommendations for Next Plc</w:t>
      </w:r>
      <w:bookmarkEnd w:id="11"/>
    </w:p>
    <w:p>
      <w:pPr>
        <w:rPr>
          <w:lang w:val="en-GB"/>
        </w:rPr>
      </w:pPr>
      <w:r>
        <w:rPr>
          <w:lang w:val="en-GB"/>
        </w:rPr>
        <w:t>Considering the factors that are influencing the marketplaces and realizing the capabilities and performances of the company in recent years, some recommendations will be illustrated below.</w:t>
      </w:r>
    </w:p>
    <w:p>
      <w:pPr>
        <w:rPr>
          <w:lang w:val="en-GB"/>
        </w:rPr>
      </w:pPr>
      <w:r>
        <w:rPr>
          <w:lang w:val="en-GB"/>
        </w:rPr>
        <w:t xml:space="preserve">The recommendations for the company are; </w:t>
      </w:r>
    </w:p>
    <w:p>
      <w:pPr>
        <w:pStyle w:val="18"/>
        <w:numPr>
          <w:ilvl w:val="0"/>
          <w:numId w:val="1"/>
        </w:numPr>
        <w:rPr>
          <w:lang w:val="en-GB"/>
        </w:rPr>
      </w:pPr>
      <w:r>
        <w:rPr>
          <w:lang w:val="en-GB"/>
        </w:rPr>
        <w:t xml:space="preserve">Next Plc should focus on designing innovative and diverse sort of products. This will help the company grasp the competitive advantages in the market. </w:t>
      </w:r>
    </w:p>
    <w:p>
      <w:pPr>
        <w:pStyle w:val="18"/>
        <w:numPr>
          <w:ilvl w:val="0"/>
          <w:numId w:val="1"/>
        </w:numPr>
        <w:rPr>
          <w:lang w:val="en-GB"/>
        </w:rPr>
      </w:pPr>
      <w:r>
        <w:rPr>
          <w:lang w:val="en-GB"/>
        </w:rPr>
        <w:t>Since the company is so active and spontaneous in the online platforms, the company can offer the augmented product services to its customers. This will help the customers pick up the best services and products for themselves (</w:t>
      </w:r>
      <w:r>
        <w:rPr>
          <w:rFonts w:eastAsia="Times New Roman" w:cs="Times New Roman"/>
          <w:szCs w:val="24"/>
          <w:lang w:val="en-GB"/>
        </w:rPr>
        <w:t>Varley et al., 2018)</w:t>
      </w:r>
      <w:r>
        <w:rPr>
          <w:lang w:val="en-GB"/>
        </w:rPr>
        <w:t xml:space="preserve">. </w:t>
      </w:r>
    </w:p>
    <w:p>
      <w:pPr>
        <w:pStyle w:val="18"/>
        <w:numPr>
          <w:ilvl w:val="0"/>
          <w:numId w:val="1"/>
        </w:numPr>
        <w:rPr>
          <w:lang w:val="en-GB"/>
        </w:rPr>
      </w:pPr>
      <w:r>
        <w:rPr>
          <w:lang w:val="en-GB"/>
        </w:rPr>
        <w:t xml:space="preserve">The range of marketplaces and the number of customers of the company are vast and high, the company can create segmentation of their customers. Through segmentation, the company can provide more care to its customers. In market segmentation, the company should prefer the young and children. </w:t>
      </w:r>
    </w:p>
    <w:p>
      <w:pPr>
        <w:pStyle w:val="18"/>
        <w:numPr>
          <w:ilvl w:val="0"/>
          <w:numId w:val="1"/>
        </w:numPr>
        <w:rPr>
          <w:lang w:val="en-GB"/>
        </w:rPr>
      </w:pPr>
      <w:r>
        <w:rPr>
          <w:lang w:val="en-GB"/>
        </w:rPr>
        <w:t xml:space="preserve">Since Next Plc has to deal with different sorts of marketplaces, the company should apply proper policies and strategies. Also, for the market trends and needs are being changed continuously, the company should always innovate new strategies for itself. </w:t>
      </w:r>
    </w:p>
    <w:p>
      <w:pPr>
        <w:pStyle w:val="18"/>
        <w:numPr>
          <w:ilvl w:val="0"/>
          <w:numId w:val="1"/>
        </w:numPr>
        <w:rPr>
          <w:lang w:val="en-GB"/>
        </w:rPr>
      </w:pPr>
      <w:r>
        <w:rPr>
          <w:lang w:val="en-GB"/>
        </w:rPr>
        <w:t>In producing the products, the company should be friendly with the environment because the customers nowadays are becoming aware and concern about environmental issues. Positivism toward environmental issues will increase the brand image of the company.</w:t>
      </w:r>
    </w:p>
    <w:p>
      <w:pPr>
        <w:pStyle w:val="18"/>
        <w:numPr>
          <w:ilvl w:val="0"/>
          <w:numId w:val="1"/>
        </w:numPr>
        <w:rPr>
          <w:lang w:val="en-GB"/>
        </w:rPr>
      </w:pPr>
      <w:r>
        <w:rPr>
          <w:lang w:val="en-GB"/>
        </w:rPr>
        <w:t>For the pandemic situation, the customers nowadays are facing it difficult to purchase the products (</w:t>
      </w:r>
      <w:r>
        <w:rPr>
          <w:rFonts w:eastAsia="Times New Roman" w:cs="Times New Roman"/>
          <w:szCs w:val="24"/>
          <w:lang w:val="en-GB"/>
        </w:rPr>
        <w:t>Michael Giffels, 2012)</w:t>
      </w:r>
      <w:r>
        <w:rPr>
          <w:lang w:val="en-GB"/>
        </w:rPr>
        <w:t xml:space="preserve">. Regarding this, the company should design its products with a lower cost of production, and thus, the sales of the company can be increased following the strategy. </w:t>
      </w:r>
    </w:p>
    <w:p>
      <w:pPr>
        <w:jc w:val="left"/>
        <w:rPr>
          <w:lang w:val="en-GB"/>
        </w:rPr>
      </w:pPr>
      <w:r>
        <w:rPr>
          <w:lang w:val="en-GB"/>
        </w:rPr>
        <w:br w:type="page"/>
      </w:r>
    </w:p>
    <w:p>
      <w:pPr>
        <w:pStyle w:val="2"/>
        <w:rPr>
          <w:lang w:val="en-GB"/>
        </w:rPr>
      </w:pPr>
      <w:bookmarkStart w:id="12" w:name="_Toc69858359"/>
      <w:r>
        <w:rPr>
          <w:lang w:val="en-GB"/>
        </w:rPr>
        <w:t>Conclusion</w:t>
      </w:r>
      <w:bookmarkEnd w:id="12"/>
    </w:p>
    <w:p>
      <w:pPr>
        <w:rPr>
          <w:lang w:val="en-GB"/>
        </w:rPr>
      </w:pPr>
      <w:r>
        <w:rPr>
          <w:lang w:val="en-GB"/>
        </w:rPr>
        <w:t xml:space="preserve">After the discussion made in this report, it can be suggested for the companies like next Plc that along with doing business, the companies should be more aware of the environmental issues also. Including it, the companies should remain politically correct while taking any steps. Doing this will design a healthy and smooth working path for the companies. Running the business will lead the company toward the milestone of success with preserving human and environmental rights.  </w:t>
      </w:r>
      <w:r>
        <w:rPr>
          <w:lang w:val="en-GB"/>
        </w:rPr>
        <w:br w:type="page"/>
      </w:r>
    </w:p>
    <w:p>
      <w:pPr>
        <w:pStyle w:val="2"/>
        <w:rPr>
          <w:lang w:val="en-GB"/>
        </w:rPr>
      </w:pPr>
      <w:bookmarkStart w:id="13" w:name="_Toc69858360"/>
      <w:r>
        <w:rPr>
          <w:lang w:val="en-GB"/>
        </w:rPr>
        <w:t>References</w:t>
      </w:r>
      <w:bookmarkEnd w:id="13"/>
    </w:p>
    <w:p>
      <w:pPr>
        <w:rPr>
          <w:rFonts w:eastAsia="Times New Roman" w:cs="Times New Roman"/>
          <w:szCs w:val="24"/>
          <w:lang w:val="en-GB"/>
        </w:rPr>
      </w:pPr>
      <w:r>
        <w:rPr>
          <w:rFonts w:eastAsia="Times New Roman" w:cs="Times New Roman"/>
          <w:szCs w:val="24"/>
          <w:lang w:val="en-GB"/>
        </w:rPr>
        <w:t xml:space="preserve">Budhwar, P.S. and Debrah, Y.A. eds., 2013. </w:t>
      </w:r>
      <w:r>
        <w:rPr>
          <w:rFonts w:eastAsia="Times New Roman" w:cs="Times New Roman"/>
          <w:i/>
          <w:iCs/>
          <w:szCs w:val="24"/>
          <w:lang w:val="en-GB"/>
        </w:rPr>
        <w:t>Human resource management in developing countries</w:t>
      </w:r>
      <w:r>
        <w:rPr>
          <w:rFonts w:eastAsia="Times New Roman" w:cs="Times New Roman"/>
          <w:szCs w:val="24"/>
          <w:lang w:val="en-GB"/>
        </w:rPr>
        <w:t>. Routledge.</w:t>
      </w:r>
    </w:p>
    <w:p>
      <w:pPr>
        <w:rPr>
          <w:rFonts w:eastAsia="Times New Roman" w:cs="Times New Roman"/>
          <w:szCs w:val="24"/>
          <w:lang w:val="en-GB"/>
        </w:rPr>
      </w:pPr>
      <w:r>
        <w:rPr>
          <w:rFonts w:eastAsia="Times New Roman" w:cs="Times New Roman"/>
          <w:szCs w:val="24"/>
          <w:lang w:val="en-GB"/>
        </w:rPr>
        <w:t>Claudio, 2017. Waste couture: Environmental impact of the clothing industry.</w:t>
      </w:r>
    </w:p>
    <w:p>
      <w:pPr>
        <w:rPr>
          <w:rFonts w:eastAsia="Times New Roman" w:cs="Times New Roman"/>
          <w:szCs w:val="24"/>
          <w:lang w:val="en-GB"/>
        </w:rPr>
      </w:pPr>
      <w:r>
        <w:rPr>
          <w:rFonts w:eastAsia="Times New Roman" w:cs="Times New Roman"/>
          <w:szCs w:val="24"/>
          <w:lang w:val="en-GB"/>
        </w:rPr>
        <w:t xml:space="preserve">De Mozota, 2012. Structuring strategic design management: Michael Porter's value chain. </w:t>
      </w:r>
      <w:r>
        <w:rPr>
          <w:rFonts w:eastAsia="Times New Roman" w:cs="Times New Roman"/>
          <w:i/>
          <w:iCs/>
          <w:szCs w:val="24"/>
          <w:lang w:val="en-GB"/>
        </w:rPr>
        <w:t>Design Management Journal (Former Series)</w:t>
      </w:r>
      <w:r>
        <w:rPr>
          <w:rFonts w:eastAsia="Times New Roman" w:cs="Times New Roman"/>
          <w:szCs w:val="24"/>
          <w:lang w:val="en-GB"/>
        </w:rPr>
        <w:t xml:space="preserve">, </w:t>
      </w:r>
      <w:r>
        <w:rPr>
          <w:rFonts w:eastAsia="Times New Roman" w:cs="Times New Roman"/>
          <w:i/>
          <w:iCs/>
          <w:szCs w:val="24"/>
          <w:lang w:val="en-GB"/>
        </w:rPr>
        <w:t>9</w:t>
      </w:r>
      <w:r>
        <w:rPr>
          <w:rFonts w:eastAsia="Times New Roman" w:cs="Times New Roman"/>
          <w:szCs w:val="24"/>
          <w:lang w:val="en-GB"/>
        </w:rPr>
        <w:t>(2), pp.26-31.</w:t>
      </w:r>
    </w:p>
    <w:p>
      <w:pPr>
        <w:rPr>
          <w:rFonts w:eastAsia="Times New Roman" w:cs="Times New Roman"/>
          <w:szCs w:val="24"/>
          <w:lang w:val="en-GB"/>
        </w:rPr>
      </w:pPr>
      <w:r>
        <w:rPr>
          <w:rFonts w:eastAsia="Times New Roman" w:cs="Times New Roman"/>
          <w:szCs w:val="24"/>
          <w:lang w:val="en-GB"/>
        </w:rPr>
        <w:t xml:space="preserve">Dixon, J., Scura, L., Carpenter, R. and Sherman, P., 2013. </w:t>
      </w:r>
      <w:r>
        <w:rPr>
          <w:rFonts w:eastAsia="Times New Roman" w:cs="Times New Roman"/>
          <w:i/>
          <w:iCs/>
          <w:szCs w:val="24"/>
          <w:lang w:val="en-GB"/>
        </w:rPr>
        <w:t>Economic analysis of environmental impacts</w:t>
      </w:r>
      <w:r>
        <w:rPr>
          <w:rFonts w:eastAsia="Times New Roman" w:cs="Times New Roman"/>
          <w:szCs w:val="24"/>
          <w:lang w:val="en-GB"/>
        </w:rPr>
        <w:t>. Routledge.</w:t>
      </w:r>
    </w:p>
    <w:p>
      <w:pPr>
        <w:rPr>
          <w:rFonts w:eastAsia="Times New Roman" w:cs="Times New Roman"/>
          <w:szCs w:val="24"/>
          <w:lang w:val="en-GB"/>
        </w:rPr>
      </w:pPr>
      <w:r>
        <w:rPr>
          <w:lang w:val="en-GB"/>
        </w:rPr>
        <w:t xml:space="preserve">Fortune University, 2018. Next Plc PESTEL &amp; Environment Analysis. </w:t>
      </w:r>
      <w:r>
        <w:rPr>
          <w:rFonts w:eastAsia="Times New Roman" w:cs="Times New Roman"/>
          <w:szCs w:val="24"/>
          <w:lang w:val="en-GB"/>
        </w:rPr>
        <w:t xml:space="preserve">Available at; </w:t>
      </w:r>
      <w:r>
        <w:fldChar w:fldCharType="begin"/>
      </w:r>
      <w:r>
        <w:instrText xml:space="preserve"> HYPERLINK "http://fernfortuniversity.com/term-papers/pestel/nyse4/6847-next-plc.php" </w:instrText>
      </w:r>
      <w:r>
        <w:fldChar w:fldCharType="separate"/>
      </w:r>
      <w:r>
        <w:rPr>
          <w:rStyle w:val="13"/>
          <w:rFonts w:eastAsia="Times New Roman" w:cs="Times New Roman"/>
          <w:szCs w:val="24"/>
          <w:lang w:val="en-GB"/>
        </w:rPr>
        <w:t>http://fernfortuniversity.com/term-papers/pestel/nyse4/6847-next-plc.php</w:t>
      </w:r>
      <w:r>
        <w:rPr>
          <w:rStyle w:val="13"/>
          <w:rFonts w:eastAsia="Times New Roman" w:cs="Times New Roman"/>
          <w:szCs w:val="24"/>
          <w:lang w:val="en-GB"/>
        </w:rPr>
        <w:fldChar w:fldCharType="end"/>
      </w:r>
    </w:p>
    <w:p>
      <w:pPr>
        <w:rPr>
          <w:rFonts w:eastAsia="Times New Roman" w:cs="Times New Roman"/>
          <w:szCs w:val="24"/>
          <w:lang w:val="en-GB"/>
        </w:rPr>
      </w:pPr>
      <w:r>
        <w:rPr>
          <w:rFonts w:eastAsia="Times New Roman" w:cs="Times New Roman"/>
          <w:szCs w:val="24"/>
          <w:lang w:val="en-GB"/>
        </w:rPr>
        <w:t xml:space="preserve">Freise, M. and Seuring, S., 2015. Social and environmental risk management in supply chains: a survey in the clothing industry. </w:t>
      </w:r>
      <w:r>
        <w:rPr>
          <w:rFonts w:eastAsia="Times New Roman" w:cs="Times New Roman"/>
          <w:i/>
          <w:iCs/>
          <w:szCs w:val="24"/>
          <w:lang w:val="en-GB"/>
        </w:rPr>
        <w:t>Logistics Research</w:t>
      </w:r>
      <w:r>
        <w:rPr>
          <w:rFonts w:eastAsia="Times New Roman" w:cs="Times New Roman"/>
          <w:szCs w:val="24"/>
          <w:lang w:val="en-GB"/>
        </w:rPr>
        <w:t xml:space="preserve">, </w:t>
      </w:r>
      <w:r>
        <w:rPr>
          <w:rFonts w:eastAsia="Times New Roman" w:cs="Times New Roman"/>
          <w:i/>
          <w:iCs/>
          <w:szCs w:val="24"/>
          <w:lang w:val="en-GB"/>
        </w:rPr>
        <w:t>8</w:t>
      </w:r>
      <w:r>
        <w:rPr>
          <w:rFonts w:eastAsia="Times New Roman" w:cs="Times New Roman"/>
          <w:szCs w:val="24"/>
          <w:lang w:val="en-GB"/>
        </w:rPr>
        <w:t>(1), p.2.</w:t>
      </w:r>
    </w:p>
    <w:p>
      <w:pPr>
        <w:rPr>
          <w:rFonts w:eastAsia="Times New Roman" w:cs="Times New Roman"/>
          <w:szCs w:val="24"/>
          <w:lang w:val="en-GB"/>
        </w:rPr>
      </w:pPr>
      <w:r>
        <w:rPr>
          <w:rFonts w:eastAsia="Times New Roman" w:cs="Times New Roman"/>
          <w:szCs w:val="24"/>
          <w:lang w:val="en-GB"/>
        </w:rPr>
        <w:t xml:space="preserve">Koc, T. and Bozdag, E., 2017. Measuring the degree of novelty of innovation based on Porter's value chain approach. </w:t>
      </w:r>
      <w:r>
        <w:rPr>
          <w:rFonts w:eastAsia="Times New Roman" w:cs="Times New Roman"/>
          <w:i/>
          <w:iCs/>
          <w:szCs w:val="24"/>
          <w:lang w:val="en-GB"/>
        </w:rPr>
        <w:t>European Journal of Operational Research</w:t>
      </w:r>
      <w:r>
        <w:rPr>
          <w:rFonts w:eastAsia="Times New Roman" w:cs="Times New Roman"/>
          <w:szCs w:val="24"/>
          <w:lang w:val="en-GB"/>
        </w:rPr>
        <w:t xml:space="preserve">, </w:t>
      </w:r>
      <w:r>
        <w:rPr>
          <w:rFonts w:eastAsia="Times New Roman" w:cs="Times New Roman"/>
          <w:i/>
          <w:iCs/>
          <w:szCs w:val="24"/>
          <w:lang w:val="en-GB"/>
        </w:rPr>
        <w:t>257</w:t>
      </w:r>
      <w:r>
        <w:rPr>
          <w:rFonts w:eastAsia="Times New Roman" w:cs="Times New Roman"/>
          <w:szCs w:val="24"/>
          <w:lang w:val="en-GB"/>
        </w:rPr>
        <w:t>(2), pp.559-567.</w:t>
      </w:r>
    </w:p>
    <w:p>
      <w:pPr>
        <w:rPr>
          <w:rFonts w:eastAsia="Times New Roman" w:cs="Times New Roman"/>
          <w:szCs w:val="24"/>
          <w:lang w:val="en-GB"/>
        </w:rPr>
      </w:pPr>
      <w:r>
        <w:rPr>
          <w:rFonts w:eastAsia="Times New Roman" w:cs="Times New Roman"/>
          <w:szCs w:val="24"/>
          <w:lang w:val="en-GB"/>
        </w:rPr>
        <w:t xml:space="preserve">Lopez-Acevedo, G. and Robertson, R., 2016. </w:t>
      </w:r>
      <w:r>
        <w:rPr>
          <w:rFonts w:eastAsia="Times New Roman" w:cs="Times New Roman"/>
          <w:i/>
          <w:iCs/>
          <w:szCs w:val="24"/>
          <w:lang w:val="en-GB"/>
        </w:rPr>
        <w:t>Apparel in South Asia</w:t>
      </w:r>
      <w:r>
        <w:rPr>
          <w:rFonts w:eastAsia="Times New Roman" w:cs="Times New Roman"/>
          <w:szCs w:val="24"/>
          <w:lang w:val="en-GB"/>
        </w:rPr>
        <w:t>. World Bank.</w:t>
      </w:r>
    </w:p>
    <w:p>
      <w:pPr>
        <w:rPr>
          <w:rFonts w:eastAsia="Times New Roman" w:cs="Times New Roman"/>
          <w:szCs w:val="24"/>
          <w:lang w:val="en-GB"/>
        </w:rPr>
      </w:pPr>
      <w:r>
        <w:rPr>
          <w:rFonts w:eastAsia="Times New Roman" w:cs="Times New Roman"/>
          <w:szCs w:val="24"/>
          <w:lang w:val="en-GB"/>
        </w:rPr>
        <w:t xml:space="preserve">Michael Giffels, 2012. </w:t>
      </w:r>
      <w:r>
        <w:rPr>
          <w:lang w:val="en-GB"/>
        </w:rPr>
        <w:t>An analysis of NEXT plc and its environment. Available At; https://www.grin.com/document/99429</w:t>
      </w:r>
    </w:p>
    <w:p>
      <w:pPr>
        <w:rPr>
          <w:rFonts w:eastAsia="Times New Roman" w:cs="Times New Roman"/>
          <w:szCs w:val="24"/>
          <w:lang w:val="en-GB"/>
        </w:rPr>
      </w:pPr>
      <w:r>
        <w:rPr>
          <w:rFonts w:eastAsia="Times New Roman" w:cs="Times New Roman"/>
          <w:szCs w:val="24"/>
          <w:lang w:val="en-GB"/>
        </w:rPr>
        <w:t xml:space="preserve">Nandonde, 2019. A PESTLE analysis of international retailing in the East African Community. </w:t>
      </w:r>
      <w:r>
        <w:rPr>
          <w:rFonts w:eastAsia="Times New Roman" w:cs="Times New Roman"/>
          <w:i/>
          <w:iCs/>
          <w:szCs w:val="24"/>
          <w:lang w:val="en-GB"/>
        </w:rPr>
        <w:t>Global Business and Organizational Excellence</w:t>
      </w:r>
      <w:r>
        <w:rPr>
          <w:rFonts w:eastAsia="Times New Roman" w:cs="Times New Roman"/>
          <w:szCs w:val="24"/>
          <w:lang w:val="en-GB"/>
        </w:rPr>
        <w:t xml:space="preserve">, </w:t>
      </w:r>
      <w:r>
        <w:rPr>
          <w:rFonts w:eastAsia="Times New Roman" w:cs="Times New Roman"/>
          <w:i/>
          <w:iCs/>
          <w:szCs w:val="24"/>
          <w:lang w:val="en-GB"/>
        </w:rPr>
        <w:t>38</w:t>
      </w:r>
      <w:r>
        <w:rPr>
          <w:rFonts w:eastAsia="Times New Roman" w:cs="Times New Roman"/>
          <w:szCs w:val="24"/>
          <w:lang w:val="en-GB"/>
        </w:rPr>
        <w:t>(4), pp.54-61.</w:t>
      </w:r>
    </w:p>
    <w:p>
      <w:pPr>
        <w:rPr>
          <w:rFonts w:eastAsia="Times New Roman" w:cs="Times New Roman"/>
          <w:szCs w:val="24"/>
          <w:lang w:val="en-GB"/>
        </w:rPr>
      </w:pPr>
      <w:r>
        <w:rPr>
          <w:rFonts w:eastAsia="Times New Roman" w:cs="Times New Roman"/>
          <w:szCs w:val="24"/>
          <w:lang w:val="en-GB"/>
        </w:rPr>
        <w:t>Nextplc.co.uk. 2021. [online] Available at: https://www.nextplc.co.uk/~/media/Files/N/Next-PLC-V2/documents/2020/annual-report-and-accounts-jan20.pdf&amp;gt; [Accessed 25 March 2021].</w:t>
      </w:r>
    </w:p>
    <w:p>
      <w:pPr>
        <w:rPr>
          <w:rFonts w:eastAsia="Times New Roman" w:cs="Times New Roman"/>
          <w:szCs w:val="24"/>
          <w:lang w:val="en-GB"/>
        </w:rPr>
      </w:pPr>
      <w:r>
        <w:rPr>
          <w:rFonts w:eastAsia="Times New Roman" w:cs="Times New Roman"/>
          <w:szCs w:val="24"/>
          <w:lang w:val="en-GB"/>
        </w:rPr>
        <w:t>Nextplc.co.uk. 2021. Ten-year history. [online] Available at: https://www.nextplc.co.uk/investors/ten-year-history&amp;gt; [Accessed 25 March 2021].</w:t>
      </w:r>
    </w:p>
    <w:p>
      <w:pPr>
        <w:rPr>
          <w:lang w:val="en-GB"/>
        </w:rPr>
      </w:pPr>
      <w:r>
        <w:rPr>
          <w:lang w:val="en-GB"/>
        </w:rPr>
        <w:t xml:space="preserve">Researchgate, 2019. Top-10 online fashion retailers in the UK. Available at; </w:t>
      </w:r>
      <w:r>
        <w:fldChar w:fldCharType="begin"/>
      </w:r>
      <w:r>
        <w:instrText xml:space="preserve"> HYPERLINK "https://www.researchgate.net/figure/UK-Top-10-Online-Fashion-Retailers_fig2_327894694" </w:instrText>
      </w:r>
      <w:r>
        <w:fldChar w:fldCharType="separate"/>
      </w:r>
      <w:r>
        <w:rPr>
          <w:rStyle w:val="13"/>
          <w:lang w:val="en-GB"/>
        </w:rPr>
        <w:t>https://www.researchgate.net/figure/UK-Top-10-Online-Fashion-Retailers_fig2_327894694</w:t>
      </w:r>
      <w:r>
        <w:rPr>
          <w:rStyle w:val="13"/>
          <w:lang w:val="en-GB"/>
        </w:rPr>
        <w:fldChar w:fldCharType="end"/>
      </w:r>
      <w:r>
        <w:rPr>
          <w:lang w:val="en-GB"/>
        </w:rPr>
        <w:t xml:space="preserve"> </w:t>
      </w:r>
    </w:p>
    <w:p>
      <w:pPr>
        <w:rPr>
          <w:rFonts w:eastAsia="Times New Roman" w:cs="Times New Roman"/>
          <w:szCs w:val="24"/>
          <w:lang w:val="en-GB"/>
        </w:rPr>
      </w:pPr>
      <w:r>
        <w:rPr>
          <w:rFonts w:eastAsia="Times New Roman" w:cs="Times New Roman"/>
          <w:szCs w:val="24"/>
          <w:lang w:val="en-GB"/>
        </w:rPr>
        <w:t xml:space="preserve">Varley, R., Varley, R., Roncha, A., Radclyffe-Thomas, N. and Gee, L., 2020. </w:t>
      </w:r>
      <w:r>
        <w:rPr>
          <w:rFonts w:eastAsia="Times New Roman" w:cs="Times New Roman"/>
          <w:i/>
          <w:iCs/>
          <w:szCs w:val="24"/>
          <w:lang w:val="en-GB"/>
        </w:rPr>
        <w:t>Fashion management: A strategic approach</w:t>
      </w:r>
      <w:r>
        <w:rPr>
          <w:rFonts w:eastAsia="Times New Roman" w:cs="Times New Roman"/>
          <w:szCs w:val="24"/>
          <w:lang w:val="en-GB"/>
        </w:rPr>
        <w:t>. Macmillan International Higher Education.</w:t>
      </w:r>
    </w:p>
    <w:p>
      <w:pPr>
        <w:rPr>
          <w:rFonts w:eastAsia="Times New Roman" w:cs="Times New Roman"/>
          <w:szCs w:val="24"/>
          <w:lang w:val="en-GB"/>
        </w:rPr>
      </w:pPr>
      <w:r>
        <w:rPr>
          <w:rFonts w:eastAsia="Times New Roman" w:cs="Times New Roman"/>
          <w:szCs w:val="24"/>
          <w:lang w:val="en-GB"/>
        </w:rPr>
        <w:t xml:space="preserve">Wigley, 2011. A conceptual model of diversification in apparel retailing: the case of Next plc. </w:t>
      </w:r>
      <w:r>
        <w:rPr>
          <w:rFonts w:eastAsia="Times New Roman" w:cs="Times New Roman"/>
          <w:i/>
          <w:iCs/>
          <w:szCs w:val="24"/>
          <w:lang w:val="en-GB"/>
        </w:rPr>
        <w:t>Journal of the Textile Institute</w:t>
      </w:r>
      <w:r>
        <w:rPr>
          <w:rFonts w:eastAsia="Times New Roman" w:cs="Times New Roman"/>
          <w:szCs w:val="24"/>
          <w:lang w:val="en-GB"/>
        </w:rPr>
        <w:t xml:space="preserve">, </w:t>
      </w:r>
      <w:r>
        <w:rPr>
          <w:rFonts w:eastAsia="Times New Roman" w:cs="Times New Roman"/>
          <w:i/>
          <w:iCs/>
          <w:szCs w:val="24"/>
          <w:lang w:val="en-GB"/>
        </w:rPr>
        <w:t>102</w:t>
      </w:r>
      <w:r>
        <w:rPr>
          <w:rFonts w:eastAsia="Times New Roman" w:cs="Times New Roman"/>
          <w:szCs w:val="24"/>
          <w:lang w:val="en-GB"/>
        </w:rPr>
        <w:t>(11), pp.917-934.</w:t>
      </w:r>
    </w:p>
    <w:p>
      <w:pPr>
        <w:rPr>
          <w:rFonts w:eastAsia="Times New Roman" w:cs="Times New Roman"/>
          <w:szCs w:val="24"/>
          <w:lang w:val="en-GB"/>
        </w:rPr>
      </w:pPr>
    </w:p>
    <w:p>
      <w:pPr>
        <w:rPr>
          <w:sz w:val="48"/>
          <w:lang w:val="en-GB"/>
        </w:rPr>
      </w:pPr>
    </w:p>
    <w:p>
      <w:pPr>
        <w:rPr>
          <w:lang w:val="en-GB"/>
        </w:rPr>
      </w:pPr>
    </w:p>
    <w:sectPr>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黑体">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86"/>
    <w:family w:val="swiss"/>
    <w:pitch w:val="default"/>
    <w:sig w:usb0="00000000" w:usb1="00000000" w:usb2="00000001" w:usb3="00000000" w:csb0="0000019F" w:csb1="00000000"/>
  </w:font>
  <w:font w:name="宋体-简">
    <w:panose1 w:val="02010800040101010101"/>
    <w:charset w:val="86"/>
    <w:family w:val="auto"/>
    <w:pitch w:val="default"/>
    <w:sig w:usb0="00000001" w:usb1="080F0000" w:usb2="00000000" w:usb3="00000000" w:csb0="00040000" w:csb1="00000000"/>
  </w:font>
  <w:font w:name="黑体-简">
    <w:panose1 w:val="02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imSun">
    <w:altName w:val="宋体-简"/>
    <w:panose1 w:val="00000000000000000000"/>
    <w:charset w:val="86"/>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0" w:usb3="00000000" w:csb0="00040001" w:csb1="00000000"/>
  </w:font>
  <w:font w:name="Calibri">
    <w:altName w:val="Helvetica Neue"/>
    <w:panose1 w:val="020F0502020204030204"/>
    <w:charset w:val="86"/>
    <w:family w:val="swiss"/>
    <w:pitch w:val="default"/>
    <w:sig w:usb0="00000000" w:usb1="00000000" w:usb2="00000001" w:usb3="00000000" w:csb0="0000019F" w:csb1="00000000"/>
  </w:font>
  <w:font w:name="Symbol">
    <w:altName w:val="Kingsoft Sign"/>
    <w:panose1 w:val="05050102010706020507"/>
    <w:charset w:val="02"/>
    <w:family w:val="roman"/>
    <w:pitch w:val="default"/>
    <w:sig w:usb0="00000000" w:usb1="0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Light">
    <w:altName w:val="Helvetica Neue"/>
    <w:panose1 w:val="020F0302020204030204"/>
    <w:charset w:val="00"/>
    <w:family w:val="swiss"/>
    <w:pitch w:val="default"/>
    <w:sig w:usb0="00000000" w:usb1="00000000" w:usb2="00000009" w:usb3="00000000" w:csb0="000001FF" w:csb1="00000000"/>
  </w:font>
  <w:font w:name="Segoe UI">
    <w:altName w:val="苹方-简"/>
    <w:panose1 w:val="020B0502040204020203"/>
    <w:charset w:val="00"/>
    <w:family w:val="swiss"/>
    <w:pitch w:val="default"/>
    <w:sig w:usb0="00000000" w:usb1="00000000" w:usb2="00000009" w:usb3="00000000" w:csb0="000001FF" w:csb1="00000000"/>
  </w:font>
  <w:font w:name="Hiragino Sans CNS">
    <w:panose1 w:val="020B0300000000000000"/>
    <w:charset w:val="88"/>
    <w:family w:val="auto"/>
    <w:pitch w:val="default"/>
    <w:sig w:usb0="A00002FF" w:usb1="28CFFDFA" w:usb2="00000016" w:usb3="00000000" w:csb0="00120005" w:csb1="00000000"/>
  </w:font>
  <w:font w:name="Kingsoft Sign">
    <w:panose1 w:val="05050102010706020507"/>
    <w:charset w:val="00"/>
    <w:family w:val="auto"/>
    <w:pitch w:val="default"/>
    <w:sig w:usb0="00000000" w:usb1="10000000" w:usb2="00000000" w:usb3="00000000" w:csb0="00000001" w:csb1="00000000"/>
  </w:font>
  <w:font w:name="Times New Roman Regular">
    <w:panose1 w:val="02020503050405090304"/>
    <w:charset w:val="00"/>
    <w:family w:val="auto"/>
    <w:pitch w:val="default"/>
    <w:sig w:usb0="E0000AFF" w:usb1="00007843" w:usb2="00000001" w:usb3="00000000" w:csb0="400001BF" w:csb1="DFF70000"/>
  </w:font>
  <w:font w:name="Times New Roman Italic">
    <w:panose1 w:val="02020503050405090304"/>
    <w:charset w:val="00"/>
    <w:family w:val="auto"/>
    <w:pitch w:val="default"/>
    <w:sig w:usb0="E0000AFF" w:usb1="00007843" w:usb2="00000001" w:usb3="00000000" w:csb0="400001BF" w:csb1="DFF70000"/>
  </w:font>
  <w:font w:name="Times New Roman Bold">
    <w:panose1 w:val="02020503050405090304"/>
    <w:charset w:val="00"/>
    <w:family w:val="auto"/>
    <w:pitch w:val="default"/>
    <w:sig w:usb0="E0000AFF" w:usb1="00007843" w:usb2="00000001" w:usb3="00000000" w:csb0="400001BF" w:csb1="DFF70000"/>
  </w:font>
  <w:font w:name="Calibri">
    <w:altName w:val="Helvetica Neue"/>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06749F"/>
    <w:multiLevelType w:val="multilevel"/>
    <w:tmpl w:val="3106749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YxMDQxMzawNDe0MDNR0lEKTi0uzszPAykwqQUAFMlIIiwAAAA="/>
  </w:docVars>
  <w:rsids>
    <w:rsidRoot w:val="000E4DF3"/>
    <w:rsid w:val="00000939"/>
    <w:rsid w:val="000069B4"/>
    <w:rsid w:val="00012C15"/>
    <w:rsid w:val="00046A2A"/>
    <w:rsid w:val="0005421F"/>
    <w:rsid w:val="00066E2E"/>
    <w:rsid w:val="000677D0"/>
    <w:rsid w:val="0007029C"/>
    <w:rsid w:val="0008706F"/>
    <w:rsid w:val="000872A2"/>
    <w:rsid w:val="00094A31"/>
    <w:rsid w:val="0009619A"/>
    <w:rsid w:val="000A354E"/>
    <w:rsid w:val="000B3A0D"/>
    <w:rsid w:val="000B5267"/>
    <w:rsid w:val="000D1610"/>
    <w:rsid w:val="000D2531"/>
    <w:rsid w:val="000D6911"/>
    <w:rsid w:val="000E26B7"/>
    <w:rsid w:val="000E4DF3"/>
    <w:rsid w:val="00103B4A"/>
    <w:rsid w:val="001202B7"/>
    <w:rsid w:val="0014374C"/>
    <w:rsid w:val="00155109"/>
    <w:rsid w:val="00163F92"/>
    <w:rsid w:val="00195648"/>
    <w:rsid w:val="00196998"/>
    <w:rsid w:val="001A3A23"/>
    <w:rsid w:val="001B0C6D"/>
    <w:rsid w:val="001C55ED"/>
    <w:rsid w:val="001C6095"/>
    <w:rsid w:val="001D7A4F"/>
    <w:rsid w:val="001F28D0"/>
    <w:rsid w:val="002021E1"/>
    <w:rsid w:val="00206143"/>
    <w:rsid w:val="0021651C"/>
    <w:rsid w:val="002220BE"/>
    <w:rsid w:val="0022271D"/>
    <w:rsid w:val="00243FB3"/>
    <w:rsid w:val="002469C2"/>
    <w:rsid w:val="00256B58"/>
    <w:rsid w:val="0026184F"/>
    <w:rsid w:val="00264448"/>
    <w:rsid w:val="00276B92"/>
    <w:rsid w:val="00282FC1"/>
    <w:rsid w:val="00283BD4"/>
    <w:rsid w:val="00287194"/>
    <w:rsid w:val="002C2394"/>
    <w:rsid w:val="002D5575"/>
    <w:rsid w:val="002E2ACB"/>
    <w:rsid w:val="002E5FB7"/>
    <w:rsid w:val="002F08BD"/>
    <w:rsid w:val="002F5313"/>
    <w:rsid w:val="002F6851"/>
    <w:rsid w:val="00303F5E"/>
    <w:rsid w:val="00306FB0"/>
    <w:rsid w:val="003078F4"/>
    <w:rsid w:val="00315322"/>
    <w:rsid w:val="003237FB"/>
    <w:rsid w:val="00324348"/>
    <w:rsid w:val="0033002F"/>
    <w:rsid w:val="00335C04"/>
    <w:rsid w:val="00344195"/>
    <w:rsid w:val="00371CBE"/>
    <w:rsid w:val="00374064"/>
    <w:rsid w:val="003825D4"/>
    <w:rsid w:val="003838C6"/>
    <w:rsid w:val="003A497B"/>
    <w:rsid w:val="003B113D"/>
    <w:rsid w:val="003C6794"/>
    <w:rsid w:val="003D4686"/>
    <w:rsid w:val="003D762B"/>
    <w:rsid w:val="003E0015"/>
    <w:rsid w:val="003E2BB2"/>
    <w:rsid w:val="003F1A25"/>
    <w:rsid w:val="004036E8"/>
    <w:rsid w:val="00434DAD"/>
    <w:rsid w:val="00454C8F"/>
    <w:rsid w:val="00455DFD"/>
    <w:rsid w:val="004633AA"/>
    <w:rsid w:val="00463FC3"/>
    <w:rsid w:val="0046506D"/>
    <w:rsid w:val="00475C50"/>
    <w:rsid w:val="00493C2F"/>
    <w:rsid w:val="00494E67"/>
    <w:rsid w:val="00496061"/>
    <w:rsid w:val="00496775"/>
    <w:rsid w:val="004B476F"/>
    <w:rsid w:val="004B76CB"/>
    <w:rsid w:val="004C254A"/>
    <w:rsid w:val="004C2E2D"/>
    <w:rsid w:val="004C7CF7"/>
    <w:rsid w:val="004E02E9"/>
    <w:rsid w:val="004E5147"/>
    <w:rsid w:val="004F76E4"/>
    <w:rsid w:val="00540E82"/>
    <w:rsid w:val="0054126D"/>
    <w:rsid w:val="005461C7"/>
    <w:rsid w:val="00554894"/>
    <w:rsid w:val="005658AA"/>
    <w:rsid w:val="00595096"/>
    <w:rsid w:val="005A6749"/>
    <w:rsid w:val="005B6465"/>
    <w:rsid w:val="005C7855"/>
    <w:rsid w:val="0061782C"/>
    <w:rsid w:val="00622864"/>
    <w:rsid w:val="00631EFF"/>
    <w:rsid w:val="006477E2"/>
    <w:rsid w:val="00650858"/>
    <w:rsid w:val="0065111F"/>
    <w:rsid w:val="006709D1"/>
    <w:rsid w:val="0067737A"/>
    <w:rsid w:val="00680FCF"/>
    <w:rsid w:val="006819D6"/>
    <w:rsid w:val="00686361"/>
    <w:rsid w:val="006927DC"/>
    <w:rsid w:val="00696CC5"/>
    <w:rsid w:val="006B262F"/>
    <w:rsid w:val="006C2B65"/>
    <w:rsid w:val="00710DE5"/>
    <w:rsid w:val="00715189"/>
    <w:rsid w:val="00732ACC"/>
    <w:rsid w:val="007334A7"/>
    <w:rsid w:val="007472DC"/>
    <w:rsid w:val="00753261"/>
    <w:rsid w:val="007616A1"/>
    <w:rsid w:val="00763C62"/>
    <w:rsid w:val="00790809"/>
    <w:rsid w:val="007A1743"/>
    <w:rsid w:val="007A42FB"/>
    <w:rsid w:val="007A7A4D"/>
    <w:rsid w:val="007B1DDB"/>
    <w:rsid w:val="007B493C"/>
    <w:rsid w:val="007B704D"/>
    <w:rsid w:val="007C2189"/>
    <w:rsid w:val="007C3E71"/>
    <w:rsid w:val="007D0E6C"/>
    <w:rsid w:val="007F7577"/>
    <w:rsid w:val="008038A4"/>
    <w:rsid w:val="00812725"/>
    <w:rsid w:val="00812D68"/>
    <w:rsid w:val="00823458"/>
    <w:rsid w:val="00836ED5"/>
    <w:rsid w:val="008376FB"/>
    <w:rsid w:val="00853A47"/>
    <w:rsid w:val="00870FA9"/>
    <w:rsid w:val="00874B63"/>
    <w:rsid w:val="00877A2E"/>
    <w:rsid w:val="00883E2C"/>
    <w:rsid w:val="008973F2"/>
    <w:rsid w:val="008B182D"/>
    <w:rsid w:val="008B5ACE"/>
    <w:rsid w:val="008B5B81"/>
    <w:rsid w:val="008D03AC"/>
    <w:rsid w:val="008D5996"/>
    <w:rsid w:val="008D6313"/>
    <w:rsid w:val="008E1003"/>
    <w:rsid w:val="008E29F6"/>
    <w:rsid w:val="008E55C5"/>
    <w:rsid w:val="008E5A2C"/>
    <w:rsid w:val="008F47CD"/>
    <w:rsid w:val="00904A8B"/>
    <w:rsid w:val="00904ED7"/>
    <w:rsid w:val="0091206A"/>
    <w:rsid w:val="00915BA3"/>
    <w:rsid w:val="00941F25"/>
    <w:rsid w:val="00944006"/>
    <w:rsid w:val="00965E2E"/>
    <w:rsid w:val="0097292E"/>
    <w:rsid w:val="009839AD"/>
    <w:rsid w:val="00991C58"/>
    <w:rsid w:val="009927A3"/>
    <w:rsid w:val="00992CDA"/>
    <w:rsid w:val="00994F34"/>
    <w:rsid w:val="009A7D13"/>
    <w:rsid w:val="009B2A47"/>
    <w:rsid w:val="009B3F19"/>
    <w:rsid w:val="009B61F1"/>
    <w:rsid w:val="009B713E"/>
    <w:rsid w:val="009C017D"/>
    <w:rsid w:val="009C2BDA"/>
    <w:rsid w:val="009D1187"/>
    <w:rsid w:val="009D3AC1"/>
    <w:rsid w:val="009E4BF2"/>
    <w:rsid w:val="009F0B52"/>
    <w:rsid w:val="00A05371"/>
    <w:rsid w:val="00A32D1A"/>
    <w:rsid w:val="00A34785"/>
    <w:rsid w:val="00A34F13"/>
    <w:rsid w:val="00A35328"/>
    <w:rsid w:val="00A35DC8"/>
    <w:rsid w:val="00A41A53"/>
    <w:rsid w:val="00A453D4"/>
    <w:rsid w:val="00A54DF8"/>
    <w:rsid w:val="00A7138D"/>
    <w:rsid w:val="00A7189F"/>
    <w:rsid w:val="00A80EF6"/>
    <w:rsid w:val="00A861B6"/>
    <w:rsid w:val="00AA1317"/>
    <w:rsid w:val="00AB4260"/>
    <w:rsid w:val="00AB5E44"/>
    <w:rsid w:val="00AB7066"/>
    <w:rsid w:val="00AC1E3E"/>
    <w:rsid w:val="00AC6485"/>
    <w:rsid w:val="00B06BB1"/>
    <w:rsid w:val="00B11B60"/>
    <w:rsid w:val="00B20AD4"/>
    <w:rsid w:val="00B32029"/>
    <w:rsid w:val="00B36DF6"/>
    <w:rsid w:val="00B3752D"/>
    <w:rsid w:val="00B548DA"/>
    <w:rsid w:val="00B55DD8"/>
    <w:rsid w:val="00B57696"/>
    <w:rsid w:val="00B57E28"/>
    <w:rsid w:val="00B6022C"/>
    <w:rsid w:val="00B62F6A"/>
    <w:rsid w:val="00B634A4"/>
    <w:rsid w:val="00B642EB"/>
    <w:rsid w:val="00B7180F"/>
    <w:rsid w:val="00B73D0B"/>
    <w:rsid w:val="00B74E7F"/>
    <w:rsid w:val="00B95B0A"/>
    <w:rsid w:val="00BB1AC1"/>
    <w:rsid w:val="00BC1843"/>
    <w:rsid w:val="00BC3F96"/>
    <w:rsid w:val="00BF0BE7"/>
    <w:rsid w:val="00BF174B"/>
    <w:rsid w:val="00BF71CC"/>
    <w:rsid w:val="00BF7E67"/>
    <w:rsid w:val="00C01844"/>
    <w:rsid w:val="00C12729"/>
    <w:rsid w:val="00C20934"/>
    <w:rsid w:val="00C26BE9"/>
    <w:rsid w:val="00C47019"/>
    <w:rsid w:val="00C520C9"/>
    <w:rsid w:val="00C86FC3"/>
    <w:rsid w:val="00C93AE8"/>
    <w:rsid w:val="00C97623"/>
    <w:rsid w:val="00CA76D3"/>
    <w:rsid w:val="00CC33AB"/>
    <w:rsid w:val="00CD3DBF"/>
    <w:rsid w:val="00CD4E4B"/>
    <w:rsid w:val="00CD6686"/>
    <w:rsid w:val="00CE79E5"/>
    <w:rsid w:val="00CF07AB"/>
    <w:rsid w:val="00CF246C"/>
    <w:rsid w:val="00CF3B70"/>
    <w:rsid w:val="00CF7A3A"/>
    <w:rsid w:val="00D16943"/>
    <w:rsid w:val="00D16A8C"/>
    <w:rsid w:val="00D2613D"/>
    <w:rsid w:val="00D44A3E"/>
    <w:rsid w:val="00D55384"/>
    <w:rsid w:val="00D63442"/>
    <w:rsid w:val="00D705A2"/>
    <w:rsid w:val="00D74D2D"/>
    <w:rsid w:val="00D87D40"/>
    <w:rsid w:val="00D93050"/>
    <w:rsid w:val="00D93E17"/>
    <w:rsid w:val="00DA5A4C"/>
    <w:rsid w:val="00DC3F5D"/>
    <w:rsid w:val="00DC6E20"/>
    <w:rsid w:val="00DE288D"/>
    <w:rsid w:val="00DE3538"/>
    <w:rsid w:val="00DE713A"/>
    <w:rsid w:val="00DF5C65"/>
    <w:rsid w:val="00DF7908"/>
    <w:rsid w:val="00E00B00"/>
    <w:rsid w:val="00E02E37"/>
    <w:rsid w:val="00E30576"/>
    <w:rsid w:val="00E46171"/>
    <w:rsid w:val="00E60E95"/>
    <w:rsid w:val="00EA0530"/>
    <w:rsid w:val="00EA086A"/>
    <w:rsid w:val="00EA47F2"/>
    <w:rsid w:val="00EB050F"/>
    <w:rsid w:val="00EB3E5A"/>
    <w:rsid w:val="00EC0612"/>
    <w:rsid w:val="00EC179A"/>
    <w:rsid w:val="00ED78A6"/>
    <w:rsid w:val="00EE4AE9"/>
    <w:rsid w:val="00EE5E4C"/>
    <w:rsid w:val="00F00F8C"/>
    <w:rsid w:val="00F056D4"/>
    <w:rsid w:val="00F1290B"/>
    <w:rsid w:val="00F14DC6"/>
    <w:rsid w:val="00F1518F"/>
    <w:rsid w:val="00F1699E"/>
    <w:rsid w:val="00F259C9"/>
    <w:rsid w:val="00F3188D"/>
    <w:rsid w:val="00F33277"/>
    <w:rsid w:val="00F455E7"/>
    <w:rsid w:val="00F4798F"/>
    <w:rsid w:val="00F51D9A"/>
    <w:rsid w:val="00F5240A"/>
    <w:rsid w:val="00F56AAD"/>
    <w:rsid w:val="00F63A18"/>
    <w:rsid w:val="00F7171D"/>
    <w:rsid w:val="00F73D75"/>
    <w:rsid w:val="00F85FC0"/>
    <w:rsid w:val="00FB0506"/>
    <w:rsid w:val="00FB5211"/>
    <w:rsid w:val="00FC0C04"/>
    <w:rsid w:val="00FD1746"/>
    <w:rsid w:val="00FD6BB3"/>
    <w:rsid w:val="00FD7308"/>
    <w:rsid w:val="00FE6D89"/>
    <w:rsid w:val="00FF2C57"/>
    <w:rsid w:val="1BFC2CD4"/>
    <w:rsid w:val="FBFFCC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heme="minorHAnsi" w:cstheme="minorBidi"/>
      <w:sz w:val="24"/>
      <w:szCs w:val="22"/>
      <w:lang w:val="en-US" w:eastAsia="en-US" w:bidi="ar-SA"/>
    </w:rPr>
  </w:style>
  <w:style w:type="paragraph" w:styleId="2">
    <w:name w:val="heading 1"/>
    <w:basedOn w:val="1"/>
    <w:next w:val="1"/>
    <w:link w:val="15"/>
    <w:qFormat/>
    <w:uiPriority w:val="9"/>
    <w:pPr>
      <w:keepNext/>
      <w:keepLines/>
      <w:spacing w:before="240" w:after="0"/>
      <w:outlineLvl w:val="0"/>
    </w:pPr>
    <w:rPr>
      <w:rFonts w:eastAsiaTheme="majorEastAsia" w:cstheme="majorBidi"/>
      <w:b/>
      <w:sz w:val="32"/>
      <w:szCs w:val="32"/>
    </w:rPr>
  </w:style>
  <w:style w:type="paragraph" w:styleId="3">
    <w:name w:val="heading 2"/>
    <w:basedOn w:val="1"/>
    <w:next w:val="1"/>
    <w:link w:val="17"/>
    <w:unhideWhenUsed/>
    <w:qFormat/>
    <w:uiPriority w:val="9"/>
    <w:pPr>
      <w:keepNext/>
      <w:keepLines/>
      <w:spacing w:before="40" w:after="0"/>
      <w:outlineLvl w:val="1"/>
    </w:pPr>
    <w:rPr>
      <w:rFonts w:eastAsiaTheme="majorEastAsia" w:cstheme="majorBidi"/>
      <w:b/>
      <w:sz w:val="28"/>
      <w:szCs w:val="26"/>
    </w:rPr>
  </w:style>
  <w:style w:type="character" w:default="1" w:styleId="11">
    <w:name w:val="Default Paragraph Font"/>
    <w:unhideWhenUsed/>
    <w:qFormat/>
    <w:uiPriority w:val="1"/>
  </w:style>
  <w:style w:type="table" w:default="1" w:styleId="14">
    <w:name w:val="Normal Table"/>
    <w:unhideWhenUsed/>
    <w:qFormat/>
    <w:uiPriority w:val="99"/>
    <w:tblPr>
      <w:tblCellMar>
        <w:top w:w="0" w:type="dxa"/>
        <w:left w:w="108" w:type="dxa"/>
        <w:bottom w:w="0" w:type="dxa"/>
        <w:right w:w="108" w:type="dxa"/>
      </w:tblCellMar>
    </w:tblPr>
  </w:style>
  <w:style w:type="paragraph" w:styleId="4">
    <w:name w:val="Balloon Text"/>
    <w:basedOn w:val="1"/>
    <w:link w:val="22"/>
    <w:unhideWhenUsed/>
    <w:uiPriority w:val="99"/>
    <w:pPr>
      <w:spacing w:after="0" w:line="240" w:lineRule="auto"/>
    </w:pPr>
    <w:rPr>
      <w:rFonts w:ascii="Segoe UI" w:hAnsi="Segoe UI" w:cs="Segoe UI"/>
      <w:sz w:val="18"/>
      <w:szCs w:val="18"/>
    </w:rPr>
  </w:style>
  <w:style w:type="paragraph" w:styleId="5">
    <w:name w:val="annotation text"/>
    <w:basedOn w:val="1"/>
    <w:link w:val="20"/>
    <w:unhideWhenUsed/>
    <w:uiPriority w:val="99"/>
    <w:pPr>
      <w:spacing w:line="240" w:lineRule="auto"/>
    </w:pPr>
    <w:rPr>
      <w:sz w:val="20"/>
      <w:szCs w:val="20"/>
    </w:rPr>
  </w:style>
  <w:style w:type="paragraph" w:styleId="6">
    <w:name w:val="annotation subject"/>
    <w:basedOn w:val="5"/>
    <w:next w:val="5"/>
    <w:link w:val="21"/>
    <w:unhideWhenUsed/>
    <w:uiPriority w:val="99"/>
    <w:rPr>
      <w:b/>
      <w:bCs/>
    </w:rPr>
  </w:style>
  <w:style w:type="paragraph" w:styleId="7">
    <w:name w:val="footer"/>
    <w:basedOn w:val="1"/>
    <w:link w:val="24"/>
    <w:unhideWhenUsed/>
    <w:uiPriority w:val="99"/>
    <w:pPr>
      <w:tabs>
        <w:tab w:val="center" w:pos="4513"/>
        <w:tab w:val="right" w:pos="9026"/>
      </w:tabs>
      <w:spacing w:after="0" w:line="240" w:lineRule="auto"/>
    </w:pPr>
  </w:style>
  <w:style w:type="paragraph" w:styleId="8">
    <w:name w:val="header"/>
    <w:basedOn w:val="1"/>
    <w:link w:val="23"/>
    <w:unhideWhenUsed/>
    <w:uiPriority w:val="99"/>
    <w:pPr>
      <w:tabs>
        <w:tab w:val="center" w:pos="4513"/>
        <w:tab w:val="right" w:pos="9026"/>
      </w:tabs>
      <w:spacing w:after="0" w:line="240" w:lineRule="auto"/>
    </w:pPr>
  </w:style>
  <w:style w:type="paragraph" w:styleId="9">
    <w:name w:val="toc 1"/>
    <w:basedOn w:val="1"/>
    <w:next w:val="1"/>
    <w:unhideWhenUsed/>
    <w:qFormat/>
    <w:uiPriority w:val="39"/>
    <w:pPr>
      <w:spacing w:after="100"/>
    </w:pPr>
  </w:style>
  <w:style w:type="paragraph" w:styleId="10">
    <w:name w:val="toc 2"/>
    <w:basedOn w:val="1"/>
    <w:next w:val="1"/>
    <w:unhideWhenUsed/>
    <w:uiPriority w:val="39"/>
    <w:pPr>
      <w:spacing w:after="100"/>
      <w:ind w:left="240"/>
    </w:pPr>
  </w:style>
  <w:style w:type="character" w:styleId="12">
    <w:name w:val="annotation reference"/>
    <w:basedOn w:val="11"/>
    <w:unhideWhenUsed/>
    <w:uiPriority w:val="99"/>
    <w:rPr>
      <w:sz w:val="16"/>
      <w:szCs w:val="16"/>
    </w:rPr>
  </w:style>
  <w:style w:type="character" w:styleId="13">
    <w:name w:val="Hyperlink"/>
    <w:basedOn w:val="11"/>
    <w:unhideWhenUsed/>
    <w:qFormat/>
    <w:uiPriority w:val="99"/>
    <w:rPr>
      <w:color w:val="0563C1" w:themeColor="hyperlink"/>
      <w:u w:val="single"/>
      <w14:textFill>
        <w14:solidFill>
          <w14:schemeClr w14:val="hlink"/>
        </w14:solidFill>
      </w14:textFill>
    </w:rPr>
  </w:style>
  <w:style w:type="character" w:customStyle="1" w:styleId="15">
    <w:name w:val="Heading 1 Char"/>
    <w:basedOn w:val="11"/>
    <w:link w:val="2"/>
    <w:qFormat/>
    <w:uiPriority w:val="9"/>
    <w:rPr>
      <w:rFonts w:ascii="Times New Roman" w:hAnsi="Times New Roman" w:eastAsiaTheme="majorEastAsia" w:cstheme="majorBidi"/>
      <w:b/>
      <w:sz w:val="32"/>
      <w:szCs w:val="32"/>
    </w:rPr>
  </w:style>
  <w:style w:type="paragraph" w:customStyle="1" w:styleId="16">
    <w:name w:val="No Spacing"/>
    <w:qFormat/>
    <w:uiPriority w:val="1"/>
    <w:pPr>
      <w:spacing w:after="0" w:line="480" w:lineRule="auto"/>
      <w:jc w:val="both"/>
    </w:pPr>
    <w:rPr>
      <w:rFonts w:ascii="Times New Roman" w:hAnsi="Times New Roman" w:eastAsiaTheme="minorHAnsi" w:cstheme="minorBidi"/>
      <w:sz w:val="24"/>
      <w:szCs w:val="22"/>
      <w:lang w:val="en-US" w:eastAsia="en-US" w:bidi="ar-SA"/>
    </w:rPr>
  </w:style>
  <w:style w:type="character" w:customStyle="1" w:styleId="17">
    <w:name w:val="Heading 2 Char"/>
    <w:basedOn w:val="11"/>
    <w:link w:val="3"/>
    <w:qFormat/>
    <w:uiPriority w:val="9"/>
    <w:rPr>
      <w:rFonts w:ascii="Times New Roman" w:hAnsi="Times New Roman" w:eastAsiaTheme="majorEastAsia" w:cstheme="majorBidi"/>
      <w:b/>
      <w:sz w:val="28"/>
      <w:szCs w:val="26"/>
    </w:rPr>
  </w:style>
  <w:style w:type="paragraph" w:customStyle="1" w:styleId="18">
    <w:name w:val="List Paragraph"/>
    <w:basedOn w:val="1"/>
    <w:qFormat/>
    <w:uiPriority w:val="34"/>
    <w:pPr>
      <w:ind w:left="720"/>
      <w:contextualSpacing/>
    </w:pPr>
  </w:style>
  <w:style w:type="paragraph" w:customStyle="1" w:styleId="19">
    <w:name w:val="TOC Heading"/>
    <w:basedOn w:val="2"/>
    <w:next w:val="1"/>
    <w:unhideWhenUsed/>
    <w:qFormat/>
    <w:uiPriority w:val="39"/>
    <w:pPr>
      <w:spacing w:line="259" w:lineRule="auto"/>
      <w:jc w:val="left"/>
      <w:outlineLvl w:val="9"/>
    </w:pPr>
    <w:rPr>
      <w:rFonts w:asciiTheme="majorHAnsi" w:hAnsiTheme="majorHAnsi"/>
      <w:b w:val="0"/>
    </w:rPr>
  </w:style>
  <w:style w:type="character" w:customStyle="1" w:styleId="20">
    <w:name w:val="Comment Text Char"/>
    <w:basedOn w:val="11"/>
    <w:link w:val="5"/>
    <w:semiHidden/>
    <w:qFormat/>
    <w:uiPriority w:val="99"/>
    <w:rPr>
      <w:rFonts w:ascii="Times New Roman" w:hAnsi="Times New Roman"/>
      <w:sz w:val="20"/>
      <w:szCs w:val="20"/>
    </w:rPr>
  </w:style>
  <w:style w:type="character" w:customStyle="1" w:styleId="21">
    <w:name w:val="Comment Subject Char"/>
    <w:basedOn w:val="20"/>
    <w:link w:val="6"/>
    <w:semiHidden/>
    <w:uiPriority w:val="99"/>
    <w:rPr>
      <w:rFonts w:ascii="Times New Roman" w:hAnsi="Times New Roman"/>
      <w:b/>
      <w:bCs/>
      <w:sz w:val="20"/>
      <w:szCs w:val="20"/>
    </w:rPr>
  </w:style>
  <w:style w:type="character" w:customStyle="1" w:styleId="22">
    <w:name w:val="Balloon Text Char"/>
    <w:basedOn w:val="11"/>
    <w:link w:val="4"/>
    <w:semiHidden/>
    <w:uiPriority w:val="99"/>
    <w:rPr>
      <w:rFonts w:ascii="Segoe UI" w:hAnsi="Segoe UI" w:cs="Segoe UI"/>
      <w:sz w:val="18"/>
      <w:szCs w:val="18"/>
    </w:rPr>
  </w:style>
  <w:style w:type="character" w:customStyle="1" w:styleId="23">
    <w:name w:val="Header Char"/>
    <w:basedOn w:val="11"/>
    <w:link w:val="8"/>
    <w:uiPriority w:val="99"/>
    <w:rPr>
      <w:rFonts w:ascii="Times New Roman" w:hAnsi="Times New Roman"/>
      <w:sz w:val="24"/>
    </w:rPr>
  </w:style>
  <w:style w:type="character" w:customStyle="1" w:styleId="24">
    <w:name w:val="Footer Char"/>
    <w:basedOn w:val="11"/>
    <w:link w:val="7"/>
    <w:uiPriority w:val="99"/>
    <w:rPr>
      <w:rFonts w:ascii="Times New Roman" w:hAnsi="Times New Roman"/>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2803</Words>
  <Characters>15983</Characters>
  <Lines>133</Lines>
  <Paragraphs>37</Paragraphs>
  <ScaleCrop>false</ScaleCrop>
  <LinksUpToDate>false</LinksUpToDate>
  <CharactersWithSpaces>18749</CharactersWithSpaces>
  <Application>WPS Office_2.7.0.4476_F1E327BC-269C-435d-A152-05C5408002CA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2021-04-21T17:07:00Z</dcterms:created>
  <dcterms:modified xsi:type="dcterms:W3CDTF">2021-05-03T20:50:35Z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1033-2.7.0.4476</vt:lpwstr>
  </property>
</Properties>
</file>