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E95" w:rsidRDefault="00CE5E95">
      <w:pPr>
        <w:pStyle w:val="Body"/>
        <w:ind w:right="237"/>
        <w:rPr>
          <w:sz w:val="24"/>
          <w:szCs w:val="24"/>
        </w:rPr>
      </w:pPr>
    </w:p>
    <w:p w:rsidR="00CE5E95" w:rsidRDefault="00C36809">
      <w:pPr>
        <w:pStyle w:val="Body"/>
        <w:ind w:right="237"/>
        <w:rPr>
          <w:sz w:val="24"/>
          <w:szCs w:val="24"/>
        </w:rPr>
      </w:pPr>
      <w:r>
        <w:rPr>
          <w:noProof/>
          <w:sz w:val="24"/>
          <w:szCs w:val="24"/>
        </w:rPr>
        <w:drawing>
          <wp:inline distT="0" distB="0" distL="0" distR="0">
            <wp:extent cx="2045368" cy="714179"/>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7">
                      <a:extLst/>
                    </a:blip>
                    <a:stretch>
                      <a:fillRect/>
                    </a:stretch>
                  </pic:blipFill>
                  <pic:spPr>
                    <a:xfrm>
                      <a:off x="0" y="0"/>
                      <a:ext cx="2045368" cy="714179"/>
                    </a:xfrm>
                    <a:prstGeom prst="rect">
                      <a:avLst/>
                    </a:prstGeom>
                    <a:ln w="12700" cap="flat">
                      <a:noFill/>
                      <a:miter lim="400000"/>
                    </a:ln>
                    <a:effectLst/>
                  </pic:spPr>
                </pic:pic>
              </a:graphicData>
            </a:graphic>
          </wp:inline>
        </w:drawing>
      </w:r>
    </w:p>
    <w:p w:rsidR="00CE5E95" w:rsidRDefault="00CE5E95">
      <w:pPr>
        <w:pStyle w:val="Body"/>
        <w:ind w:right="237"/>
        <w:rPr>
          <w:sz w:val="24"/>
          <w:szCs w:val="24"/>
        </w:rPr>
      </w:pPr>
    </w:p>
    <w:p w:rsidR="00CE5E95" w:rsidRDefault="00CE5E95">
      <w:pPr>
        <w:pStyle w:val="Body"/>
        <w:ind w:right="237"/>
        <w:rPr>
          <w:sz w:val="24"/>
          <w:szCs w:val="24"/>
        </w:rPr>
      </w:pPr>
    </w:p>
    <w:p w:rsidR="00CE5E95" w:rsidRDefault="00C36809">
      <w:pPr>
        <w:pStyle w:val="Body"/>
        <w:ind w:right="237"/>
        <w:rPr>
          <w:b/>
          <w:bCs/>
          <w:sz w:val="36"/>
          <w:szCs w:val="36"/>
        </w:rPr>
      </w:pPr>
      <w:r>
        <w:rPr>
          <w:b/>
          <w:bCs/>
          <w:sz w:val="36"/>
          <w:szCs w:val="36"/>
          <w:lang w:val="en-US"/>
        </w:rPr>
        <w:t xml:space="preserve">BSc (Hons) Professional Police Practice </w:t>
      </w:r>
    </w:p>
    <w:p w:rsidR="00CE5E95" w:rsidRDefault="00CE5E95">
      <w:pPr>
        <w:pStyle w:val="Body"/>
        <w:ind w:right="237"/>
        <w:rPr>
          <w:b/>
          <w:bCs/>
          <w:sz w:val="44"/>
          <w:szCs w:val="44"/>
        </w:rPr>
      </w:pPr>
    </w:p>
    <w:p w:rsidR="00CE5E95" w:rsidRDefault="00C36809">
      <w:pPr>
        <w:pStyle w:val="Body"/>
        <w:ind w:right="237"/>
        <w:rPr>
          <w:b/>
          <w:bCs/>
          <w:sz w:val="44"/>
          <w:szCs w:val="44"/>
        </w:rPr>
      </w:pPr>
      <w:r>
        <w:rPr>
          <w:b/>
          <w:bCs/>
          <w:sz w:val="44"/>
          <w:szCs w:val="44"/>
          <w:lang w:val="en-US"/>
        </w:rPr>
        <w:t>LEVEL 4 - 40 Credits</w:t>
      </w:r>
    </w:p>
    <w:p w:rsidR="00CE5E95" w:rsidRDefault="00CE5E95">
      <w:pPr>
        <w:pStyle w:val="Body"/>
        <w:ind w:right="237"/>
        <w:rPr>
          <w:b/>
          <w:bCs/>
          <w:sz w:val="44"/>
          <w:szCs w:val="44"/>
        </w:rPr>
      </w:pPr>
    </w:p>
    <w:p w:rsidR="00CE5E95" w:rsidRDefault="00CE5E95">
      <w:pPr>
        <w:pStyle w:val="Body"/>
        <w:ind w:right="237"/>
        <w:rPr>
          <w:b/>
          <w:bCs/>
          <w:sz w:val="44"/>
          <w:szCs w:val="44"/>
        </w:rPr>
      </w:pPr>
    </w:p>
    <w:p w:rsidR="00CE5E95" w:rsidRDefault="00C36809">
      <w:pPr>
        <w:pStyle w:val="Body"/>
        <w:ind w:right="237"/>
        <w:rPr>
          <w:b/>
          <w:bCs/>
          <w:sz w:val="40"/>
          <w:szCs w:val="40"/>
        </w:rPr>
      </w:pPr>
      <w:r>
        <w:rPr>
          <w:b/>
          <w:bCs/>
          <w:sz w:val="40"/>
          <w:szCs w:val="40"/>
          <w:lang w:val="en-US"/>
        </w:rPr>
        <w:t>Workbook title: Competency Based Workbook 2 (PCDA)</w:t>
      </w:r>
    </w:p>
    <w:p w:rsidR="00CE5E95" w:rsidRDefault="00CE5E95">
      <w:pPr>
        <w:pStyle w:val="Body"/>
        <w:ind w:right="237"/>
        <w:rPr>
          <w:b/>
          <w:bCs/>
          <w:sz w:val="36"/>
          <w:szCs w:val="36"/>
        </w:rPr>
      </w:pPr>
    </w:p>
    <w:p w:rsidR="00CE5E95" w:rsidRDefault="00C36809">
      <w:pPr>
        <w:pStyle w:val="Body"/>
        <w:ind w:right="237"/>
        <w:rPr>
          <w:b/>
          <w:bCs/>
          <w:sz w:val="36"/>
          <w:szCs w:val="36"/>
        </w:rPr>
      </w:pPr>
      <w:r>
        <w:rPr>
          <w:b/>
          <w:bCs/>
          <w:sz w:val="36"/>
          <w:szCs w:val="36"/>
          <w:lang w:val="en-US"/>
        </w:rPr>
        <w:t>(SOUTH WALES POLICE, GWENT POLICE AND UWTSD)</w:t>
      </w:r>
    </w:p>
    <w:p w:rsidR="00CE5E95" w:rsidRDefault="00CE5E95">
      <w:pPr>
        <w:pStyle w:val="Body"/>
        <w:ind w:right="237"/>
        <w:rPr>
          <w:b/>
          <w:bCs/>
          <w:sz w:val="44"/>
          <w:szCs w:val="44"/>
        </w:rPr>
      </w:pPr>
    </w:p>
    <w:p w:rsidR="00CE5E95" w:rsidRDefault="00CE5E95">
      <w:pPr>
        <w:pStyle w:val="Body"/>
        <w:ind w:right="237"/>
        <w:rPr>
          <w:b/>
          <w:bCs/>
          <w:sz w:val="44"/>
          <w:szCs w:val="44"/>
        </w:rPr>
      </w:pPr>
    </w:p>
    <w:tbl>
      <w:tblPr>
        <w:tblW w:w="85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500"/>
      </w:tblGrid>
      <w:tr w:rsidR="00CE5E95">
        <w:trPr>
          <w:trHeight w:val="2160"/>
        </w:trPr>
        <w:tc>
          <w:tcPr>
            <w:tcW w:w="8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ind w:right="237"/>
              <w:rPr>
                <w:b/>
                <w:bCs/>
                <w:sz w:val="32"/>
                <w:szCs w:val="32"/>
              </w:rPr>
            </w:pPr>
            <w:r>
              <w:rPr>
                <w:b/>
                <w:bCs/>
                <w:sz w:val="32"/>
                <w:szCs w:val="32"/>
                <w:lang w:val="en-US"/>
              </w:rPr>
              <w:t>Learner name: ____SAMUEL THOMAS______</w:t>
            </w:r>
          </w:p>
          <w:p w:rsidR="00CE5E95" w:rsidRDefault="00CE5E95">
            <w:pPr>
              <w:pStyle w:val="Body"/>
              <w:ind w:right="237"/>
              <w:rPr>
                <w:b/>
                <w:bCs/>
                <w:sz w:val="32"/>
                <w:szCs w:val="32"/>
                <w:lang w:val="en-US"/>
              </w:rPr>
            </w:pPr>
          </w:p>
          <w:p w:rsidR="00CE5E95" w:rsidRDefault="00C36809">
            <w:pPr>
              <w:pStyle w:val="Body"/>
              <w:ind w:right="237"/>
              <w:rPr>
                <w:b/>
                <w:bCs/>
                <w:sz w:val="32"/>
                <w:szCs w:val="32"/>
              </w:rPr>
            </w:pPr>
            <w:r>
              <w:rPr>
                <w:b/>
                <w:bCs/>
                <w:sz w:val="32"/>
                <w:szCs w:val="32"/>
                <w:lang w:val="en-US"/>
              </w:rPr>
              <w:t>Learner’s University Registration Number:</w:t>
            </w:r>
          </w:p>
          <w:p w:rsidR="00CE5E95" w:rsidRDefault="00C36809">
            <w:pPr>
              <w:pStyle w:val="Body"/>
              <w:ind w:right="237"/>
              <w:rPr>
                <w:b/>
                <w:bCs/>
                <w:sz w:val="32"/>
                <w:szCs w:val="32"/>
              </w:rPr>
            </w:pPr>
            <w:r>
              <w:rPr>
                <w:b/>
                <w:bCs/>
                <w:sz w:val="32"/>
                <w:szCs w:val="32"/>
                <w:lang w:val="en-US"/>
              </w:rPr>
              <w:t>_________1922416__________</w:t>
            </w:r>
          </w:p>
          <w:p w:rsidR="00CE5E95" w:rsidRDefault="00CE5E95">
            <w:pPr>
              <w:pStyle w:val="Body"/>
              <w:ind w:right="237"/>
              <w:rPr>
                <w:b/>
                <w:bCs/>
                <w:sz w:val="32"/>
                <w:szCs w:val="32"/>
                <w:lang w:val="en-US"/>
              </w:rPr>
            </w:pPr>
          </w:p>
          <w:p w:rsidR="00CE5E95" w:rsidRDefault="00C36809">
            <w:pPr>
              <w:pStyle w:val="Body"/>
              <w:ind w:right="237"/>
            </w:pPr>
            <w:r>
              <w:rPr>
                <w:b/>
                <w:bCs/>
                <w:sz w:val="32"/>
                <w:szCs w:val="32"/>
                <w:lang w:val="en-US"/>
              </w:rPr>
              <w:t xml:space="preserve"> </w:t>
            </w:r>
          </w:p>
        </w:tc>
      </w:tr>
    </w:tbl>
    <w:p w:rsidR="00CE5E95" w:rsidRDefault="00CE5E95">
      <w:pPr>
        <w:pStyle w:val="Body"/>
        <w:widowControl w:val="0"/>
        <w:rPr>
          <w:b/>
          <w:bCs/>
          <w:sz w:val="44"/>
          <w:szCs w:val="44"/>
        </w:rPr>
      </w:pPr>
    </w:p>
    <w:p w:rsidR="00CE5E95" w:rsidRDefault="00CE5E95">
      <w:pPr>
        <w:pStyle w:val="Body"/>
        <w:ind w:right="237"/>
        <w:rPr>
          <w:b/>
          <w:bCs/>
          <w:sz w:val="36"/>
          <w:szCs w:val="36"/>
        </w:rPr>
      </w:pPr>
    </w:p>
    <w:p w:rsidR="00CE5E95" w:rsidRDefault="00CE5E95">
      <w:pPr>
        <w:pStyle w:val="Body"/>
        <w:ind w:right="237"/>
        <w:rPr>
          <w:b/>
          <w:bCs/>
          <w:sz w:val="36"/>
          <w:szCs w:val="36"/>
        </w:rPr>
      </w:pPr>
    </w:p>
    <w:p w:rsidR="00CE5E95" w:rsidRDefault="00CE5E95">
      <w:pPr>
        <w:pStyle w:val="Body"/>
        <w:ind w:right="237"/>
        <w:rPr>
          <w:b/>
          <w:bCs/>
          <w:sz w:val="36"/>
          <w:szCs w:val="36"/>
        </w:rPr>
      </w:pPr>
    </w:p>
    <w:p w:rsidR="00CE5E95" w:rsidRDefault="00C36809">
      <w:pPr>
        <w:pStyle w:val="Body"/>
        <w:ind w:right="237"/>
        <w:rPr>
          <w:b/>
          <w:bCs/>
          <w:sz w:val="40"/>
          <w:szCs w:val="40"/>
        </w:rPr>
      </w:pPr>
      <w:r>
        <w:rPr>
          <w:b/>
          <w:bCs/>
          <w:sz w:val="40"/>
          <w:szCs w:val="40"/>
          <w:lang w:val="en-US"/>
        </w:rPr>
        <w:t xml:space="preserve">FACULTY OF BUSINESS AND MANAGEMENT </w:t>
      </w:r>
    </w:p>
    <w:p w:rsidR="00CE5E95" w:rsidRDefault="00C36809">
      <w:pPr>
        <w:pStyle w:val="Body"/>
        <w:ind w:right="237"/>
        <w:rPr>
          <w:b/>
          <w:bCs/>
          <w:sz w:val="40"/>
          <w:szCs w:val="40"/>
        </w:rPr>
      </w:pPr>
      <w:r>
        <w:rPr>
          <w:b/>
          <w:bCs/>
          <w:sz w:val="40"/>
          <w:szCs w:val="40"/>
          <w:lang w:val="en-US"/>
        </w:rPr>
        <w:t>PUBLIC SERVICE PROGRAMME</w:t>
      </w:r>
    </w:p>
    <w:p w:rsidR="00CE5E95" w:rsidRDefault="00CE5E95">
      <w:pPr>
        <w:pStyle w:val="Body"/>
        <w:ind w:right="237"/>
        <w:rPr>
          <w:b/>
          <w:bCs/>
          <w:i/>
          <w:iCs/>
          <w:sz w:val="24"/>
          <w:szCs w:val="24"/>
        </w:rPr>
      </w:pPr>
    </w:p>
    <w:p w:rsidR="00CE5E95" w:rsidRDefault="00C36809">
      <w:pPr>
        <w:pStyle w:val="Body"/>
        <w:ind w:right="237"/>
        <w:rPr>
          <w:b/>
          <w:bCs/>
          <w:i/>
          <w:iCs/>
          <w:sz w:val="24"/>
          <w:szCs w:val="24"/>
        </w:rPr>
      </w:pPr>
      <w:r>
        <w:rPr>
          <w:b/>
          <w:bCs/>
          <w:i/>
          <w:iCs/>
          <w:sz w:val="24"/>
          <w:szCs w:val="24"/>
          <w:lang w:val="en-US"/>
        </w:rPr>
        <w:t xml:space="preserve">Module title: Policing in the Workplace 2 (PCDA) </w:t>
      </w:r>
    </w:p>
    <w:p w:rsidR="00CE5E95" w:rsidRDefault="00CE5E95">
      <w:pPr>
        <w:pStyle w:val="Body"/>
        <w:ind w:right="237"/>
        <w:rPr>
          <w:b/>
          <w:bCs/>
          <w:sz w:val="36"/>
          <w:szCs w:val="36"/>
        </w:rPr>
      </w:pPr>
    </w:p>
    <w:p w:rsidR="00CE5E95" w:rsidRDefault="00C36809">
      <w:pPr>
        <w:pStyle w:val="Body"/>
        <w:ind w:right="237"/>
      </w:pPr>
      <w:r>
        <w:rPr>
          <w:rFonts w:ascii="Arial Unicode MS" w:hAnsi="Arial Unicode MS"/>
          <w:sz w:val="24"/>
          <w:szCs w:val="24"/>
        </w:rPr>
        <w:br w:type="page"/>
      </w:r>
    </w:p>
    <w:p w:rsidR="00CE5E95" w:rsidRDefault="00C36809">
      <w:pPr>
        <w:pStyle w:val="Body"/>
        <w:ind w:right="237"/>
        <w:rPr>
          <w:b/>
          <w:bCs/>
          <w:sz w:val="24"/>
          <w:szCs w:val="24"/>
        </w:rPr>
      </w:pPr>
      <w:r>
        <w:rPr>
          <w:b/>
          <w:bCs/>
          <w:sz w:val="24"/>
          <w:szCs w:val="24"/>
          <w:lang w:val="en-US"/>
        </w:rPr>
        <w:lastRenderedPageBreak/>
        <w:t>Workbook Guidance</w:t>
      </w:r>
    </w:p>
    <w:p w:rsidR="00CE5E95" w:rsidRDefault="00CE5E95">
      <w:pPr>
        <w:pStyle w:val="Body"/>
        <w:ind w:right="237"/>
        <w:rPr>
          <w:sz w:val="24"/>
          <w:szCs w:val="24"/>
        </w:rPr>
      </w:pPr>
    </w:p>
    <w:p w:rsidR="00CE5E95" w:rsidRDefault="00C36809">
      <w:pPr>
        <w:pStyle w:val="Body"/>
        <w:jc w:val="both"/>
        <w:rPr>
          <w:sz w:val="24"/>
          <w:szCs w:val="24"/>
        </w:rPr>
      </w:pPr>
      <w:r>
        <w:rPr>
          <w:sz w:val="24"/>
          <w:szCs w:val="24"/>
          <w:lang w:val="en-US"/>
        </w:rPr>
        <w:t>Please read these notes carefully; they provide essential information.</w:t>
      </w:r>
    </w:p>
    <w:p w:rsidR="00CE5E95" w:rsidRDefault="00CE5E95">
      <w:pPr>
        <w:pStyle w:val="Body"/>
        <w:ind w:right="237"/>
        <w:rPr>
          <w:sz w:val="24"/>
          <w:szCs w:val="24"/>
        </w:rPr>
      </w:pPr>
    </w:p>
    <w:p w:rsidR="00CE5E95" w:rsidRDefault="00C36809">
      <w:pPr>
        <w:pStyle w:val="Body"/>
        <w:ind w:right="237"/>
        <w:jc w:val="both"/>
        <w:rPr>
          <w:sz w:val="24"/>
          <w:szCs w:val="24"/>
        </w:rPr>
      </w:pPr>
      <w:r>
        <w:rPr>
          <w:b/>
          <w:bCs/>
          <w:sz w:val="24"/>
          <w:szCs w:val="24"/>
          <w:lang w:val="en-US"/>
        </w:rPr>
        <w:t>What is the workbook for?</w:t>
      </w:r>
    </w:p>
    <w:p w:rsidR="00CE5E95" w:rsidRDefault="00CE5E95">
      <w:pPr>
        <w:pStyle w:val="Body"/>
        <w:ind w:right="237"/>
        <w:jc w:val="both"/>
        <w:rPr>
          <w:b/>
          <w:bCs/>
          <w:sz w:val="24"/>
          <w:szCs w:val="24"/>
        </w:rPr>
      </w:pPr>
    </w:p>
    <w:p w:rsidR="00CE5E95" w:rsidRDefault="00C36809">
      <w:pPr>
        <w:pStyle w:val="Body"/>
        <w:jc w:val="both"/>
        <w:rPr>
          <w:sz w:val="24"/>
          <w:szCs w:val="24"/>
        </w:rPr>
      </w:pPr>
      <w:r>
        <w:rPr>
          <w:sz w:val="24"/>
          <w:szCs w:val="24"/>
          <w:lang w:val="en-US"/>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CE5E95" w:rsidRDefault="00CE5E95">
      <w:pPr>
        <w:pStyle w:val="Body"/>
        <w:jc w:val="both"/>
        <w:rPr>
          <w:sz w:val="24"/>
          <w:szCs w:val="24"/>
        </w:rPr>
      </w:pPr>
    </w:p>
    <w:p w:rsidR="00CE5E95" w:rsidRDefault="00C36809">
      <w:pPr>
        <w:pStyle w:val="Body"/>
        <w:jc w:val="both"/>
        <w:rPr>
          <w:sz w:val="24"/>
          <w:szCs w:val="24"/>
        </w:rPr>
      </w:pPr>
      <w:r>
        <w:rPr>
          <w:sz w:val="24"/>
          <w:szCs w:val="24"/>
          <w:lang w:val="en-US"/>
        </w:rPr>
        <w:t xml:space="preserve">This workbook covers the two components from your module descriptor 4001D, Policing in the Workplace 1. </w:t>
      </w:r>
    </w:p>
    <w:p w:rsidR="00CE5E95" w:rsidRDefault="00CE5E95">
      <w:pPr>
        <w:pStyle w:val="Body"/>
        <w:jc w:val="both"/>
        <w:rPr>
          <w:sz w:val="24"/>
          <w:szCs w:val="24"/>
        </w:rPr>
      </w:pPr>
    </w:p>
    <w:p w:rsidR="00CE5E95" w:rsidRDefault="00C36809">
      <w:pPr>
        <w:pStyle w:val="Body"/>
        <w:jc w:val="both"/>
        <w:rPr>
          <w:sz w:val="24"/>
          <w:szCs w:val="24"/>
        </w:rPr>
      </w:pPr>
      <w:r>
        <w:rPr>
          <w:sz w:val="24"/>
          <w:szCs w:val="24"/>
          <w:lang w:val="en-US"/>
        </w:rPr>
        <w:t>There are two identified learning outcomes:</w:t>
      </w:r>
    </w:p>
    <w:p w:rsidR="00CE5E95" w:rsidRDefault="00CE5E95">
      <w:pPr>
        <w:pStyle w:val="Body"/>
        <w:jc w:val="both"/>
        <w:rPr>
          <w:sz w:val="24"/>
          <w:szCs w:val="24"/>
        </w:rPr>
      </w:pPr>
    </w:p>
    <w:p w:rsidR="00CE5E95" w:rsidRDefault="00C36809">
      <w:pPr>
        <w:pStyle w:val="ListParagraph"/>
        <w:numPr>
          <w:ilvl w:val="0"/>
          <w:numId w:val="2"/>
        </w:numPr>
        <w:jc w:val="both"/>
        <w:rPr>
          <w:sz w:val="24"/>
          <w:szCs w:val="24"/>
        </w:rPr>
      </w:pPr>
      <w:r>
        <w:rPr>
          <w:sz w:val="24"/>
          <w:szCs w:val="24"/>
        </w:rPr>
        <w:t xml:space="preserve"> First learning outcome relates to component 1; is 3600 words, contributing 60% to the overall mark – ‘developing your policing practice and reflecting on your learning experience’.</w:t>
      </w:r>
    </w:p>
    <w:p w:rsidR="00CE5E95" w:rsidRDefault="00C36809">
      <w:pPr>
        <w:pStyle w:val="ListParagraph"/>
        <w:jc w:val="both"/>
        <w:rPr>
          <w:sz w:val="24"/>
          <w:szCs w:val="24"/>
        </w:rPr>
      </w:pPr>
      <w:r>
        <w:rPr>
          <w:sz w:val="24"/>
          <w:szCs w:val="24"/>
        </w:rPr>
        <w:t xml:space="preserve"> </w:t>
      </w:r>
    </w:p>
    <w:p w:rsidR="00CE5E95" w:rsidRDefault="00C36809">
      <w:pPr>
        <w:pStyle w:val="ListParagraph"/>
        <w:jc w:val="both"/>
        <w:rPr>
          <w:b/>
          <w:bCs/>
          <w:sz w:val="24"/>
          <w:szCs w:val="24"/>
        </w:rPr>
      </w:pPr>
      <w:r>
        <w:rPr>
          <w:b/>
          <w:bCs/>
          <w:sz w:val="24"/>
          <w:szCs w:val="24"/>
        </w:rPr>
        <w:t xml:space="preserve">It is a portfolio focusing on the first 5 elements listed below, covered by Task 1, Task 2 and Task 3. </w:t>
      </w:r>
    </w:p>
    <w:p w:rsidR="00CE5E95" w:rsidRDefault="00C36809">
      <w:pPr>
        <w:pStyle w:val="Body"/>
        <w:ind w:left="720"/>
        <w:jc w:val="both"/>
        <w:rPr>
          <w:b/>
          <w:bCs/>
          <w:sz w:val="24"/>
          <w:szCs w:val="24"/>
        </w:rPr>
      </w:pPr>
      <w:r>
        <w:rPr>
          <w:b/>
          <w:bCs/>
          <w:sz w:val="24"/>
          <w:szCs w:val="24"/>
          <w:lang w:val="en-US"/>
        </w:rPr>
        <w:t>The nature of the your police work will no doubt have exposed you to  elements 6 to 10 so don</w:t>
      </w:r>
      <w:r>
        <w:rPr>
          <w:b/>
          <w:bCs/>
          <w:sz w:val="24"/>
          <w:szCs w:val="24"/>
        </w:rPr>
        <w:t>’</w:t>
      </w:r>
      <w:r>
        <w:rPr>
          <w:b/>
          <w:bCs/>
          <w:sz w:val="24"/>
          <w:szCs w:val="24"/>
          <w:lang w:val="en-US"/>
        </w:rPr>
        <w:t>t be afraid to touch on these in component 1.</w:t>
      </w:r>
    </w:p>
    <w:p w:rsidR="00CE5E95" w:rsidRDefault="00CE5E95">
      <w:pPr>
        <w:pStyle w:val="ListParagraph"/>
        <w:jc w:val="both"/>
        <w:rPr>
          <w:sz w:val="24"/>
          <w:szCs w:val="24"/>
        </w:rPr>
      </w:pPr>
    </w:p>
    <w:p w:rsidR="00CE5E95" w:rsidRDefault="00C36809">
      <w:pPr>
        <w:pStyle w:val="ListParagraph"/>
        <w:numPr>
          <w:ilvl w:val="0"/>
          <w:numId w:val="2"/>
        </w:numPr>
        <w:jc w:val="both"/>
        <w:rPr>
          <w:sz w:val="24"/>
          <w:szCs w:val="24"/>
        </w:rPr>
      </w:pPr>
      <w:r>
        <w:rPr>
          <w:sz w:val="24"/>
          <w:szCs w:val="24"/>
        </w:rPr>
        <w:t>Second learning outcome relates to component 2; is 2400 words, contributing 40% of the overall mark – ‘demonstrate knowledge and understanding of a particular subject related to your professional practice and assess the actual and/or potential impact of applying what you have learned’.</w:t>
      </w:r>
    </w:p>
    <w:p w:rsidR="00CE5E95" w:rsidRDefault="00CE5E95">
      <w:pPr>
        <w:pStyle w:val="ListParagraph"/>
        <w:jc w:val="both"/>
        <w:rPr>
          <w:sz w:val="24"/>
          <w:szCs w:val="24"/>
        </w:rPr>
      </w:pPr>
    </w:p>
    <w:p w:rsidR="00CE5E95" w:rsidRDefault="00C36809">
      <w:pPr>
        <w:pStyle w:val="ListParagraph"/>
        <w:jc w:val="both"/>
        <w:rPr>
          <w:b/>
          <w:bCs/>
          <w:sz w:val="24"/>
          <w:szCs w:val="24"/>
        </w:rPr>
      </w:pPr>
      <w:r>
        <w:rPr>
          <w:b/>
          <w:bCs/>
          <w:sz w:val="24"/>
          <w:szCs w:val="24"/>
        </w:rPr>
        <w:t xml:space="preserve">This assignment covers Task 4; whilst this focusses predominantly on elements 6 to 10, again the nature of your police work will undoubtedly see some overlap and there may well be some duplication of the first 5 elements. </w:t>
      </w:r>
    </w:p>
    <w:p w:rsidR="00CE5E95" w:rsidRDefault="00CE5E95">
      <w:pPr>
        <w:pStyle w:val="Body"/>
        <w:jc w:val="both"/>
        <w:rPr>
          <w:sz w:val="24"/>
          <w:szCs w:val="24"/>
        </w:rPr>
      </w:pPr>
    </w:p>
    <w:p w:rsidR="00CE5E95" w:rsidRDefault="00C36809">
      <w:pPr>
        <w:pStyle w:val="Body"/>
        <w:jc w:val="both"/>
        <w:rPr>
          <w:b/>
          <w:bCs/>
          <w:sz w:val="24"/>
          <w:szCs w:val="24"/>
        </w:rPr>
      </w:pPr>
      <w:r>
        <w:rPr>
          <w:b/>
          <w:bCs/>
          <w:sz w:val="24"/>
          <w:szCs w:val="24"/>
          <w:lang w:val="en-US"/>
        </w:rPr>
        <w:t>Areas of Professional Practice covered by both components (also known as elements) :</w:t>
      </w:r>
    </w:p>
    <w:p w:rsidR="00CE5E95" w:rsidRDefault="00CE5E95">
      <w:pPr>
        <w:pStyle w:val="Body"/>
        <w:ind w:right="237"/>
        <w:jc w:val="both"/>
        <w:rPr>
          <w:sz w:val="24"/>
          <w:szCs w:val="24"/>
        </w:rPr>
      </w:pPr>
    </w:p>
    <w:p w:rsidR="00CE5E95" w:rsidRDefault="00C36809">
      <w:pPr>
        <w:pStyle w:val="ListParagraph"/>
        <w:numPr>
          <w:ilvl w:val="0"/>
          <w:numId w:val="4"/>
        </w:numPr>
        <w:ind w:right="237"/>
        <w:jc w:val="both"/>
        <w:rPr>
          <w:sz w:val="24"/>
          <w:szCs w:val="24"/>
        </w:rPr>
      </w:pPr>
      <w:r>
        <w:rPr>
          <w:sz w:val="24"/>
          <w:szCs w:val="24"/>
        </w:rPr>
        <w:t>Wellbeing and Resilience</w:t>
      </w:r>
    </w:p>
    <w:p w:rsidR="00CE5E95" w:rsidRDefault="00C36809">
      <w:pPr>
        <w:pStyle w:val="ListParagraph"/>
        <w:numPr>
          <w:ilvl w:val="0"/>
          <w:numId w:val="4"/>
        </w:numPr>
        <w:spacing w:line="259" w:lineRule="auto"/>
        <w:ind w:right="237"/>
        <w:jc w:val="both"/>
        <w:rPr>
          <w:sz w:val="24"/>
          <w:szCs w:val="24"/>
        </w:rPr>
      </w:pPr>
      <w:r>
        <w:rPr>
          <w:sz w:val="24"/>
          <w:szCs w:val="24"/>
        </w:rPr>
        <w:t>Vulnerability and risk</w:t>
      </w:r>
    </w:p>
    <w:p w:rsidR="00CE5E95" w:rsidRDefault="00C36809">
      <w:pPr>
        <w:pStyle w:val="ListParagraph"/>
        <w:numPr>
          <w:ilvl w:val="0"/>
          <w:numId w:val="4"/>
        </w:numPr>
        <w:spacing w:line="259" w:lineRule="auto"/>
        <w:ind w:right="237"/>
        <w:jc w:val="both"/>
        <w:rPr>
          <w:sz w:val="24"/>
          <w:szCs w:val="24"/>
        </w:rPr>
      </w:pPr>
      <w:r>
        <w:rPr>
          <w:sz w:val="24"/>
          <w:szCs w:val="24"/>
        </w:rPr>
        <w:t>Understanding the police constable role</w:t>
      </w:r>
    </w:p>
    <w:p w:rsidR="00CE5E95" w:rsidRDefault="00C36809">
      <w:pPr>
        <w:pStyle w:val="ListParagraph"/>
        <w:numPr>
          <w:ilvl w:val="0"/>
          <w:numId w:val="4"/>
        </w:numPr>
        <w:spacing w:line="259" w:lineRule="auto"/>
        <w:ind w:right="237"/>
        <w:jc w:val="both"/>
        <w:rPr>
          <w:sz w:val="24"/>
          <w:szCs w:val="24"/>
        </w:rPr>
      </w:pPr>
      <w:r>
        <w:rPr>
          <w:sz w:val="24"/>
          <w:szCs w:val="24"/>
        </w:rPr>
        <w:t>Communication skills</w:t>
      </w:r>
    </w:p>
    <w:p w:rsidR="00CE5E95" w:rsidRDefault="00C36809">
      <w:pPr>
        <w:pStyle w:val="ListParagraph"/>
        <w:numPr>
          <w:ilvl w:val="0"/>
          <w:numId w:val="4"/>
        </w:numPr>
        <w:spacing w:line="259" w:lineRule="auto"/>
        <w:ind w:right="237"/>
        <w:jc w:val="both"/>
        <w:rPr>
          <w:sz w:val="24"/>
          <w:szCs w:val="24"/>
        </w:rPr>
      </w:pPr>
      <w:r>
        <w:rPr>
          <w:sz w:val="24"/>
          <w:szCs w:val="24"/>
        </w:rPr>
        <w:t>Conducting investigations (Interviewing suspects)</w:t>
      </w:r>
    </w:p>
    <w:p w:rsidR="00CE5E95" w:rsidRDefault="00C36809">
      <w:pPr>
        <w:pStyle w:val="ListParagraph"/>
        <w:numPr>
          <w:ilvl w:val="0"/>
          <w:numId w:val="4"/>
        </w:numPr>
        <w:spacing w:line="259" w:lineRule="auto"/>
        <w:ind w:right="237"/>
        <w:jc w:val="both"/>
        <w:rPr>
          <w:sz w:val="24"/>
          <w:szCs w:val="24"/>
        </w:rPr>
      </w:pPr>
      <w:r>
        <w:rPr>
          <w:sz w:val="24"/>
          <w:szCs w:val="24"/>
        </w:rPr>
        <w:t>Decision making and discretion</w:t>
      </w:r>
    </w:p>
    <w:p w:rsidR="00CE5E95" w:rsidRDefault="00C36809">
      <w:pPr>
        <w:pStyle w:val="ListParagraph"/>
        <w:numPr>
          <w:ilvl w:val="0"/>
          <w:numId w:val="4"/>
        </w:numPr>
        <w:spacing w:line="259" w:lineRule="auto"/>
        <w:ind w:right="237"/>
        <w:jc w:val="both"/>
        <w:rPr>
          <w:sz w:val="24"/>
          <w:szCs w:val="24"/>
        </w:rPr>
      </w:pPr>
      <w:r>
        <w:rPr>
          <w:sz w:val="24"/>
          <w:szCs w:val="24"/>
        </w:rPr>
        <w:t>Public protection</w:t>
      </w:r>
    </w:p>
    <w:p w:rsidR="00CE5E95" w:rsidRDefault="00C36809">
      <w:pPr>
        <w:pStyle w:val="ListParagraph"/>
        <w:numPr>
          <w:ilvl w:val="0"/>
          <w:numId w:val="4"/>
        </w:numPr>
        <w:spacing w:line="259" w:lineRule="auto"/>
        <w:ind w:right="237"/>
        <w:jc w:val="both"/>
        <w:rPr>
          <w:sz w:val="24"/>
          <w:szCs w:val="24"/>
        </w:rPr>
      </w:pPr>
      <w:r>
        <w:rPr>
          <w:sz w:val="24"/>
          <w:szCs w:val="24"/>
        </w:rPr>
        <w:t>Problem solving</w:t>
      </w:r>
    </w:p>
    <w:p w:rsidR="00CE5E95" w:rsidRDefault="00C36809">
      <w:pPr>
        <w:pStyle w:val="ListParagraph"/>
        <w:numPr>
          <w:ilvl w:val="0"/>
          <w:numId w:val="4"/>
        </w:numPr>
        <w:spacing w:line="259" w:lineRule="auto"/>
        <w:ind w:right="237"/>
        <w:jc w:val="both"/>
        <w:rPr>
          <w:sz w:val="24"/>
          <w:szCs w:val="24"/>
        </w:rPr>
      </w:pPr>
      <w:r>
        <w:rPr>
          <w:sz w:val="24"/>
          <w:szCs w:val="24"/>
        </w:rPr>
        <w:t>Evidence-based policing</w:t>
      </w:r>
    </w:p>
    <w:p w:rsidR="00CE5E95" w:rsidRDefault="00C36809">
      <w:pPr>
        <w:pStyle w:val="ListParagraph"/>
        <w:numPr>
          <w:ilvl w:val="0"/>
          <w:numId w:val="4"/>
        </w:numPr>
        <w:spacing w:line="259" w:lineRule="auto"/>
        <w:ind w:right="237"/>
        <w:jc w:val="both"/>
        <w:rPr>
          <w:sz w:val="24"/>
          <w:szCs w:val="24"/>
        </w:rPr>
      </w:pPr>
      <w:r>
        <w:rPr>
          <w:sz w:val="24"/>
          <w:szCs w:val="24"/>
        </w:rPr>
        <w:t>Policing communities</w:t>
      </w:r>
    </w:p>
    <w:p w:rsidR="00CE5E95" w:rsidRDefault="00CE5E95">
      <w:pPr>
        <w:pStyle w:val="Body"/>
        <w:spacing w:line="259" w:lineRule="auto"/>
        <w:ind w:left="360" w:right="237"/>
        <w:jc w:val="both"/>
        <w:rPr>
          <w:sz w:val="24"/>
          <w:szCs w:val="24"/>
        </w:rPr>
      </w:pPr>
    </w:p>
    <w:p w:rsidR="00CE5E95" w:rsidRDefault="00C36809">
      <w:pPr>
        <w:pStyle w:val="Body"/>
        <w:jc w:val="both"/>
      </w:pPr>
      <w:r>
        <w:rPr>
          <w:sz w:val="24"/>
          <w:szCs w:val="24"/>
          <w:lang w:val="en-US"/>
        </w:rPr>
        <w:t>You may wish to use the same incidents as you</w:t>
      </w:r>
      <w:r>
        <w:rPr>
          <w:sz w:val="24"/>
          <w:szCs w:val="24"/>
        </w:rPr>
        <w:t>’</w:t>
      </w:r>
      <w:r>
        <w:rPr>
          <w:sz w:val="24"/>
          <w:szCs w:val="24"/>
          <w:lang w:val="en-US"/>
        </w:rPr>
        <w:t xml:space="preserve">ve outlined in the Occupational Competence Portfolio. </w:t>
      </w:r>
    </w:p>
    <w:p w:rsidR="00CE5E95" w:rsidRDefault="00C36809">
      <w:pPr>
        <w:pStyle w:val="Body"/>
        <w:jc w:val="both"/>
      </w:pPr>
      <w:r>
        <w:rPr>
          <w:sz w:val="24"/>
          <w:szCs w:val="24"/>
        </w:rPr>
        <w:t xml:space="preserve"> </w:t>
      </w:r>
    </w:p>
    <w:p w:rsidR="00CE5E95" w:rsidRDefault="00C36809">
      <w:pPr>
        <w:pStyle w:val="Body"/>
        <w:jc w:val="both"/>
      </w:pPr>
      <w:r>
        <w:rPr>
          <w:b/>
          <w:bCs/>
          <w:sz w:val="24"/>
          <w:szCs w:val="24"/>
          <w:lang w:val="en-US"/>
        </w:rPr>
        <w:t>How should the workbook be presented?</w:t>
      </w:r>
    </w:p>
    <w:p w:rsidR="00CE5E95" w:rsidRDefault="00C36809">
      <w:pPr>
        <w:pStyle w:val="Body"/>
        <w:jc w:val="both"/>
      </w:pPr>
      <w:r>
        <w:rPr>
          <w:sz w:val="24"/>
          <w:szCs w:val="24"/>
        </w:rPr>
        <w:t xml:space="preserve"> </w:t>
      </w:r>
    </w:p>
    <w:p w:rsidR="00CE5E95" w:rsidRDefault="00C36809">
      <w:pPr>
        <w:pStyle w:val="Body"/>
        <w:jc w:val="both"/>
      </w:pPr>
      <w:r>
        <w:rPr>
          <w:sz w:val="24"/>
          <w:szCs w:val="24"/>
          <w:lang w:val="en-US"/>
        </w:rPr>
        <w:t xml:space="preserve">Blank electronic copies can be found on Moodle of this workbook. You must submit this document electronically therefore it is important that you save your work regularly and upload the final typed version through Turnitin on Moodle. </w:t>
      </w:r>
    </w:p>
    <w:p w:rsidR="00CE5E95" w:rsidRDefault="00C36809">
      <w:pPr>
        <w:pStyle w:val="Body"/>
        <w:jc w:val="both"/>
      </w:pPr>
      <w:r>
        <w:rPr>
          <w:sz w:val="24"/>
          <w:szCs w:val="24"/>
        </w:rPr>
        <w:t xml:space="preserve"> </w:t>
      </w:r>
    </w:p>
    <w:p w:rsidR="00CE5E95" w:rsidRDefault="00C36809">
      <w:pPr>
        <w:pStyle w:val="Body"/>
        <w:jc w:val="both"/>
      </w:pPr>
      <w:r>
        <w:rPr>
          <w:b/>
          <w:bCs/>
          <w:sz w:val="24"/>
          <w:szCs w:val="24"/>
          <w:lang w:val="en-US"/>
        </w:rPr>
        <w:t>Word count policy</w:t>
      </w:r>
      <w:r>
        <w:rPr>
          <w:sz w:val="24"/>
          <w:szCs w:val="24"/>
          <w:lang w:val="en-US"/>
        </w:rPr>
        <w:t xml:space="preserve"> can be found in chapter 7 of the Academic Quality under section 7.7 (this applies to presenting work above and under the specified word count).  </w:t>
      </w:r>
    </w:p>
    <w:p w:rsidR="00CE5E95" w:rsidRDefault="00C36809">
      <w:pPr>
        <w:pStyle w:val="Body"/>
        <w:jc w:val="both"/>
      </w:pPr>
      <w:r>
        <w:rPr>
          <w:sz w:val="24"/>
          <w:szCs w:val="24"/>
        </w:rPr>
        <w:t>(</w:t>
      </w:r>
      <w:hyperlink r:id="rId8" w:history="1">
        <w:r>
          <w:rPr>
            <w:rStyle w:val="Hyperlink0"/>
            <w:lang w:val="en-US"/>
          </w:rPr>
          <w:t>https://www.uwtsd.ac.uk/media/uwtsd-website/content-assets/documents/academic-office/aqh-chapters/chapters---en/Chapter_07_Assessment_Taught_Programmes_Pages_72-79-UPDATED-05-11-2019.pdf</w:t>
        </w:r>
      </w:hyperlink>
      <w:r>
        <w:rPr>
          <w:color w:val="0000FF"/>
          <w:sz w:val="24"/>
          <w:szCs w:val="24"/>
          <w:u w:val="single" w:color="0000FF"/>
        </w:rPr>
        <w:t xml:space="preserve">) </w:t>
      </w:r>
    </w:p>
    <w:p w:rsidR="00CE5E95" w:rsidRDefault="00C36809">
      <w:pPr>
        <w:pStyle w:val="Body"/>
        <w:jc w:val="both"/>
      </w:pPr>
      <w:r>
        <w:rPr>
          <w:sz w:val="24"/>
          <w:szCs w:val="24"/>
        </w:rPr>
        <w:t xml:space="preserve"> </w:t>
      </w:r>
    </w:p>
    <w:p w:rsidR="00CE5E95" w:rsidRDefault="00C36809">
      <w:pPr>
        <w:pStyle w:val="Body"/>
        <w:jc w:val="both"/>
      </w:pPr>
      <w:r>
        <w:rPr>
          <w:sz w:val="24"/>
          <w:szCs w:val="24"/>
          <w:lang w:val="en-US"/>
        </w:rPr>
        <w:t>Reflective practice is a core aspect for your workbooks and although there is a variety of useful resources on Moodle, there is one particular book, that is specifically based on reflective practice in policing, here is a link to one chapter from Selina Copley</w:t>
      </w:r>
      <w:r>
        <w:rPr>
          <w:sz w:val="24"/>
          <w:szCs w:val="24"/>
        </w:rPr>
        <w:t>’</w:t>
      </w:r>
      <w:r>
        <w:rPr>
          <w:sz w:val="24"/>
          <w:szCs w:val="24"/>
          <w:lang w:val="en-US"/>
        </w:rPr>
        <w:t xml:space="preserve">s Reflective Practice for Policing Students: </w:t>
      </w:r>
    </w:p>
    <w:p w:rsidR="00CE5E95" w:rsidRDefault="00110E5E">
      <w:pPr>
        <w:pStyle w:val="Body"/>
        <w:jc w:val="both"/>
      </w:pPr>
      <w:hyperlink r:id="rId9" w:history="1">
        <w:r w:rsidR="00C36809">
          <w:rPr>
            <w:rStyle w:val="Hyperlink0"/>
            <w:lang w:val="en-US"/>
          </w:rPr>
          <w:t>https://moodle.uwtsd.ac.uk/pluginfile.php/298870/mod_resource/content/1/Reflective%20Practice%20for%20Policing%20Students%20-%20Selina%20Copley%20Chapter5.pdf</w:t>
        </w:r>
      </w:hyperlink>
    </w:p>
    <w:p w:rsidR="00CE5E95" w:rsidRDefault="00C36809">
      <w:pPr>
        <w:pStyle w:val="Body"/>
        <w:jc w:val="both"/>
      </w:pPr>
      <w:r>
        <w:rPr>
          <w:sz w:val="24"/>
          <w:szCs w:val="24"/>
        </w:rPr>
        <w:t xml:space="preserve"> </w:t>
      </w:r>
    </w:p>
    <w:p w:rsidR="00CE5E95" w:rsidRDefault="00C36809">
      <w:pPr>
        <w:pStyle w:val="Body"/>
        <w:jc w:val="both"/>
      </w:pPr>
      <w:r>
        <w:rPr>
          <w:b/>
          <w:bCs/>
          <w:sz w:val="24"/>
          <w:szCs w:val="24"/>
          <w:lang w:val="en-US"/>
        </w:rPr>
        <w:t>How is the workbook assessed?</w:t>
      </w:r>
    </w:p>
    <w:p w:rsidR="00CE5E95" w:rsidRDefault="00C36809">
      <w:pPr>
        <w:pStyle w:val="Body"/>
        <w:jc w:val="both"/>
      </w:pPr>
      <w:r>
        <w:rPr>
          <w:sz w:val="24"/>
          <w:szCs w:val="24"/>
        </w:rPr>
        <w:t xml:space="preserve"> </w:t>
      </w:r>
    </w:p>
    <w:p w:rsidR="00CE5E95" w:rsidRDefault="00C36809">
      <w:pPr>
        <w:pStyle w:val="Body"/>
        <w:jc w:val="both"/>
      </w:pPr>
      <w:r>
        <w:rPr>
          <w:sz w:val="24"/>
          <w:szCs w:val="24"/>
          <w:lang w:val="en-US"/>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CE5E95" w:rsidRDefault="00C36809">
      <w:pPr>
        <w:pStyle w:val="Body"/>
        <w:jc w:val="both"/>
      </w:pPr>
      <w:r>
        <w:rPr>
          <w:sz w:val="24"/>
          <w:szCs w:val="24"/>
        </w:rPr>
        <w:t xml:space="preserve"> </w:t>
      </w:r>
    </w:p>
    <w:p w:rsidR="00CE5E95" w:rsidRDefault="00C36809">
      <w:pPr>
        <w:pStyle w:val="Body"/>
        <w:jc w:val="both"/>
      </w:pPr>
      <w:r>
        <w:rPr>
          <w:sz w:val="24"/>
          <w:szCs w:val="24"/>
          <w:lang w:val="en-US"/>
        </w:rPr>
        <w:t>Dates of workbook submission will be made available during the initial training day and posted on Moodle.</w:t>
      </w:r>
    </w:p>
    <w:p w:rsidR="00CE5E95" w:rsidRDefault="00C36809">
      <w:pPr>
        <w:pStyle w:val="Body"/>
        <w:jc w:val="both"/>
      </w:pPr>
      <w:r>
        <w:rPr>
          <w:sz w:val="24"/>
          <w:szCs w:val="24"/>
        </w:rPr>
        <w:t xml:space="preserve"> </w:t>
      </w:r>
    </w:p>
    <w:p w:rsidR="00CE5E95" w:rsidRDefault="00C36809">
      <w:pPr>
        <w:pStyle w:val="Body"/>
        <w:jc w:val="both"/>
      </w:pPr>
      <w:r>
        <w:rPr>
          <w:sz w:val="24"/>
          <w:szCs w:val="24"/>
          <w:lang w:val="en-US"/>
        </w:rPr>
        <w:t>Once submitted your workbook will be assessed and marked independently.</w:t>
      </w:r>
    </w:p>
    <w:p w:rsidR="00CE5E95" w:rsidRDefault="00CE5E95">
      <w:pPr>
        <w:pStyle w:val="Body"/>
        <w:ind w:right="237"/>
        <w:jc w:val="both"/>
        <w:rPr>
          <w:sz w:val="24"/>
          <w:szCs w:val="24"/>
          <w:shd w:val="clear" w:color="auto" w:fill="FFFF00"/>
        </w:rPr>
      </w:pPr>
    </w:p>
    <w:p w:rsidR="00CE5E95" w:rsidRDefault="00CE5E95">
      <w:pPr>
        <w:pStyle w:val="Body"/>
        <w:jc w:val="both"/>
        <w:rPr>
          <w:sz w:val="24"/>
          <w:szCs w:val="24"/>
        </w:rPr>
      </w:pPr>
    </w:p>
    <w:p w:rsidR="00CE5E95" w:rsidRDefault="00CE5E95">
      <w:pPr>
        <w:pStyle w:val="Body"/>
        <w:jc w:val="both"/>
        <w:rPr>
          <w:sz w:val="24"/>
          <w:szCs w:val="24"/>
        </w:rPr>
      </w:pPr>
    </w:p>
    <w:p w:rsidR="00CE5E95" w:rsidRDefault="00C36809">
      <w:pPr>
        <w:pStyle w:val="Body"/>
      </w:pPr>
      <w:r>
        <w:rPr>
          <w:rFonts w:ascii="Arial Unicode MS" w:hAnsi="Arial Unicode MS"/>
        </w:rPr>
        <w:br w:type="page"/>
      </w:r>
    </w:p>
    <w:p w:rsidR="00CE5E95" w:rsidRDefault="00C36809">
      <w:pPr>
        <w:pStyle w:val="Body"/>
        <w:jc w:val="both"/>
        <w:rPr>
          <w:sz w:val="24"/>
          <w:szCs w:val="24"/>
        </w:rPr>
      </w:pPr>
      <w:r>
        <w:rPr>
          <w:b/>
          <w:bCs/>
          <w:sz w:val="24"/>
          <w:szCs w:val="24"/>
          <w:lang w:val="en-US"/>
        </w:rPr>
        <w:lastRenderedPageBreak/>
        <w:t>Confidentiality</w:t>
      </w:r>
    </w:p>
    <w:p w:rsidR="00CE5E95" w:rsidRDefault="00CE5E95">
      <w:pPr>
        <w:pStyle w:val="Body"/>
        <w:jc w:val="both"/>
        <w:rPr>
          <w:sz w:val="24"/>
          <w:szCs w:val="24"/>
        </w:rPr>
      </w:pPr>
    </w:p>
    <w:p w:rsidR="00CE5E95" w:rsidRDefault="00C36809">
      <w:pPr>
        <w:pStyle w:val="Body"/>
        <w:jc w:val="both"/>
        <w:rPr>
          <w:sz w:val="24"/>
          <w:szCs w:val="24"/>
        </w:rPr>
      </w:pPr>
      <w:r>
        <w:rPr>
          <w:sz w:val="24"/>
          <w:szCs w:val="24"/>
          <w:lang w:val="en-US"/>
        </w:rPr>
        <w:t>It is important that no individual can be identified either directly or indirectly from the information in the workbook. Therefore, you must:</w:t>
      </w:r>
    </w:p>
    <w:p w:rsidR="00CE5E95" w:rsidRDefault="00CE5E95">
      <w:pPr>
        <w:pStyle w:val="Body"/>
        <w:jc w:val="both"/>
        <w:rPr>
          <w:sz w:val="24"/>
          <w:szCs w:val="24"/>
        </w:rPr>
      </w:pPr>
    </w:p>
    <w:p w:rsidR="00CE5E95" w:rsidRDefault="00C36809">
      <w:pPr>
        <w:pStyle w:val="ListParagraph"/>
        <w:numPr>
          <w:ilvl w:val="0"/>
          <w:numId w:val="6"/>
        </w:numPr>
        <w:spacing w:line="259" w:lineRule="auto"/>
        <w:jc w:val="both"/>
        <w:rPr>
          <w:sz w:val="24"/>
          <w:szCs w:val="24"/>
        </w:rPr>
      </w:pPr>
      <w:r>
        <w:rPr>
          <w:sz w:val="24"/>
          <w:szCs w:val="24"/>
        </w:rPr>
        <w:t>adhere to guidance in the Student Handbook about unfair practice and plagiarism;</w:t>
      </w:r>
    </w:p>
    <w:p w:rsidR="00CE5E95" w:rsidRDefault="00C36809">
      <w:pPr>
        <w:pStyle w:val="ListParagraph"/>
        <w:numPr>
          <w:ilvl w:val="0"/>
          <w:numId w:val="6"/>
        </w:numPr>
        <w:spacing w:line="259" w:lineRule="auto"/>
        <w:jc w:val="both"/>
        <w:rPr>
          <w:sz w:val="24"/>
          <w:szCs w:val="24"/>
        </w:rPr>
      </w:pPr>
      <w:r>
        <w:rPr>
          <w:sz w:val="24"/>
          <w:szCs w:val="24"/>
        </w:rPr>
        <w:t>not identify individuals including witnesses, victims or offenders by name;</w:t>
      </w:r>
    </w:p>
    <w:p w:rsidR="00CE5E95" w:rsidRDefault="00C36809">
      <w:pPr>
        <w:pStyle w:val="ListParagraph"/>
        <w:numPr>
          <w:ilvl w:val="0"/>
          <w:numId w:val="6"/>
        </w:numPr>
        <w:spacing w:line="259" w:lineRule="auto"/>
        <w:jc w:val="both"/>
        <w:rPr>
          <w:sz w:val="24"/>
          <w:szCs w:val="24"/>
        </w:rPr>
      </w:pPr>
      <w:r>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CE5E95" w:rsidRDefault="00C36809">
      <w:pPr>
        <w:pStyle w:val="ListParagraph"/>
        <w:numPr>
          <w:ilvl w:val="0"/>
          <w:numId w:val="6"/>
        </w:numPr>
        <w:spacing w:line="259" w:lineRule="auto"/>
        <w:jc w:val="both"/>
        <w:rPr>
          <w:sz w:val="24"/>
          <w:szCs w:val="24"/>
        </w:rPr>
      </w:pPr>
      <w:r>
        <w:rPr>
          <w:sz w:val="24"/>
          <w:szCs w:val="24"/>
        </w:rPr>
        <w:t xml:space="preserve">take personal responsibility for adhering to confidentiality rules. </w:t>
      </w:r>
    </w:p>
    <w:p w:rsidR="00CE5E95" w:rsidRDefault="00C36809">
      <w:pPr>
        <w:pStyle w:val="ListParagraph"/>
        <w:numPr>
          <w:ilvl w:val="0"/>
          <w:numId w:val="6"/>
        </w:numPr>
        <w:spacing w:line="259" w:lineRule="auto"/>
        <w:jc w:val="both"/>
        <w:rPr>
          <w:sz w:val="24"/>
          <w:szCs w:val="24"/>
        </w:rPr>
      </w:pPr>
      <w:r>
        <w:rPr>
          <w:sz w:val="24"/>
          <w:szCs w:val="24"/>
        </w:rPr>
        <w:t>not include any dates of any incidents or anything that specifically identifies an actual incident.</w:t>
      </w:r>
    </w:p>
    <w:p w:rsidR="00CE5E95" w:rsidRDefault="00CE5E95">
      <w:pPr>
        <w:pStyle w:val="Body"/>
        <w:jc w:val="both"/>
        <w:rPr>
          <w:sz w:val="24"/>
          <w:szCs w:val="24"/>
        </w:rPr>
      </w:pPr>
    </w:p>
    <w:p w:rsidR="00CE5E95" w:rsidRDefault="00C36809">
      <w:pPr>
        <w:pStyle w:val="Body"/>
        <w:jc w:val="both"/>
        <w:rPr>
          <w:sz w:val="24"/>
          <w:szCs w:val="24"/>
        </w:rPr>
      </w:pPr>
      <w:r>
        <w:rPr>
          <w:b/>
          <w:bCs/>
          <w:sz w:val="24"/>
          <w:szCs w:val="24"/>
          <w:lang w:val="en-US"/>
        </w:rPr>
        <w:t>NOTE</w:t>
      </w:r>
    </w:p>
    <w:p w:rsidR="00CE5E95" w:rsidRDefault="00CE5E95">
      <w:pPr>
        <w:pStyle w:val="Body"/>
        <w:jc w:val="both"/>
        <w:rPr>
          <w:sz w:val="24"/>
          <w:szCs w:val="24"/>
        </w:rPr>
      </w:pPr>
    </w:p>
    <w:p w:rsidR="00CE5E95" w:rsidRDefault="00C36809">
      <w:pPr>
        <w:pStyle w:val="Body"/>
        <w:jc w:val="both"/>
        <w:rPr>
          <w:sz w:val="24"/>
          <w:szCs w:val="24"/>
        </w:rPr>
      </w:pPr>
      <w:r>
        <w:rPr>
          <w:sz w:val="24"/>
          <w:szCs w:val="24"/>
          <w:lang w:val="en-US"/>
        </w:rPr>
        <w:t xml:space="preserve">Your workbook will be submitted electronically via Turnitin on Moodle. Guidance on this is in the Student Handbook. </w:t>
      </w:r>
    </w:p>
    <w:p w:rsidR="00CE5E95" w:rsidRDefault="00CE5E95">
      <w:pPr>
        <w:pStyle w:val="Body"/>
        <w:ind w:left="360"/>
        <w:jc w:val="both"/>
        <w:rPr>
          <w:sz w:val="24"/>
          <w:szCs w:val="24"/>
        </w:rPr>
      </w:pPr>
    </w:p>
    <w:p w:rsidR="00CE5E95" w:rsidRDefault="00C36809">
      <w:pPr>
        <w:pStyle w:val="Body"/>
        <w:jc w:val="both"/>
        <w:rPr>
          <w:sz w:val="24"/>
          <w:szCs w:val="24"/>
        </w:rPr>
      </w:pPr>
      <w:r>
        <w:rPr>
          <w:b/>
          <w:bCs/>
          <w:i/>
          <w:iCs/>
          <w:sz w:val="24"/>
          <w:szCs w:val="24"/>
          <w:lang w:val="en-US"/>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CE5E95" w:rsidRDefault="00CE5E95">
      <w:pPr>
        <w:pStyle w:val="Body"/>
        <w:ind w:left="360"/>
        <w:jc w:val="both"/>
        <w:rPr>
          <w:sz w:val="24"/>
          <w:szCs w:val="24"/>
        </w:rPr>
      </w:pPr>
    </w:p>
    <w:p w:rsidR="00CE5E95" w:rsidRDefault="00CE5E95">
      <w:pPr>
        <w:pStyle w:val="Body"/>
        <w:jc w:val="both"/>
        <w:rPr>
          <w:sz w:val="24"/>
          <w:szCs w:val="24"/>
        </w:rPr>
      </w:pPr>
    </w:p>
    <w:p w:rsidR="00CE5E95" w:rsidRDefault="00C36809">
      <w:pPr>
        <w:pStyle w:val="Body"/>
        <w:jc w:val="both"/>
        <w:rPr>
          <w:sz w:val="24"/>
          <w:szCs w:val="24"/>
        </w:rPr>
      </w:pPr>
      <w:r>
        <w:rPr>
          <w:b/>
          <w:bCs/>
          <w:sz w:val="24"/>
          <w:szCs w:val="24"/>
          <w:lang w:val="en-US"/>
        </w:rPr>
        <w:t>Dyslexia and other special circumstances</w:t>
      </w:r>
    </w:p>
    <w:p w:rsidR="00CE5E95" w:rsidRDefault="00CE5E95">
      <w:pPr>
        <w:pStyle w:val="Body"/>
        <w:jc w:val="both"/>
        <w:rPr>
          <w:sz w:val="24"/>
          <w:szCs w:val="24"/>
        </w:rPr>
      </w:pPr>
    </w:p>
    <w:p w:rsidR="00CE5E95" w:rsidRDefault="00C36809">
      <w:pPr>
        <w:pStyle w:val="Body"/>
        <w:jc w:val="both"/>
        <w:rPr>
          <w:sz w:val="24"/>
          <w:szCs w:val="24"/>
        </w:rPr>
      </w:pPr>
      <w:r>
        <w:rPr>
          <w:sz w:val="24"/>
          <w:szCs w:val="24"/>
          <w:lang w:val="en-US"/>
        </w:rPr>
        <w:t xml:space="preserve">If you have any condition that you feel may affect your ability to deal with any part of the programme, please see the Student Handbook for further guidance. The University has a Student Services Unit that may be able to help but </w:t>
      </w:r>
      <w:r>
        <w:rPr>
          <w:b/>
          <w:bCs/>
          <w:i/>
          <w:iCs/>
          <w:sz w:val="24"/>
          <w:szCs w:val="24"/>
          <w:lang w:val="en-US"/>
        </w:rPr>
        <w:t>it is the learner</w:t>
      </w:r>
      <w:r>
        <w:rPr>
          <w:b/>
          <w:bCs/>
          <w:i/>
          <w:iCs/>
          <w:sz w:val="24"/>
          <w:szCs w:val="24"/>
        </w:rPr>
        <w:t>’</w:t>
      </w:r>
      <w:r>
        <w:rPr>
          <w:b/>
          <w:bCs/>
          <w:i/>
          <w:iCs/>
          <w:sz w:val="24"/>
          <w:szCs w:val="24"/>
          <w:lang w:val="en-US"/>
        </w:rPr>
        <w:t>s individual responsibility to contact them</w:t>
      </w:r>
      <w:r>
        <w:rPr>
          <w:sz w:val="24"/>
          <w:szCs w:val="24"/>
        </w:rPr>
        <w:t xml:space="preserve">. </w:t>
      </w:r>
    </w:p>
    <w:p w:rsidR="00CE5E95" w:rsidRDefault="00CE5E95">
      <w:pPr>
        <w:pStyle w:val="Body"/>
        <w:jc w:val="both"/>
        <w:rPr>
          <w:sz w:val="24"/>
          <w:szCs w:val="24"/>
        </w:rPr>
      </w:pPr>
    </w:p>
    <w:p w:rsidR="00CE5E95" w:rsidRDefault="00CE5E95">
      <w:pPr>
        <w:pStyle w:val="Body"/>
        <w:jc w:val="both"/>
        <w:rPr>
          <w:sz w:val="24"/>
          <w:szCs w:val="24"/>
        </w:rPr>
      </w:pPr>
    </w:p>
    <w:p w:rsidR="00CE5E95" w:rsidRDefault="00C36809">
      <w:pPr>
        <w:pStyle w:val="Body"/>
      </w:pPr>
      <w:r>
        <w:rPr>
          <w:rFonts w:ascii="Arial Unicode MS" w:hAnsi="Arial Unicode MS"/>
        </w:rPr>
        <w:br w:type="page"/>
      </w:r>
    </w:p>
    <w:p w:rsidR="00CE5E95" w:rsidRDefault="00C36809">
      <w:pPr>
        <w:pStyle w:val="Body"/>
        <w:jc w:val="both"/>
        <w:rPr>
          <w:sz w:val="24"/>
          <w:szCs w:val="24"/>
        </w:rPr>
      </w:pPr>
      <w:r>
        <w:rPr>
          <w:b/>
          <w:bCs/>
          <w:sz w:val="24"/>
          <w:szCs w:val="24"/>
          <w:lang w:val="it-IT"/>
        </w:rPr>
        <w:lastRenderedPageBreak/>
        <w:t xml:space="preserve">Guidance: </w:t>
      </w:r>
    </w:p>
    <w:p w:rsidR="00CE5E95" w:rsidRDefault="00CE5E95">
      <w:pPr>
        <w:pStyle w:val="Body"/>
        <w:jc w:val="both"/>
        <w:rPr>
          <w:sz w:val="24"/>
          <w:szCs w:val="24"/>
        </w:rPr>
      </w:pPr>
    </w:p>
    <w:p w:rsidR="00CE5E95" w:rsidRDefault="00C36809">
      <w:pPr>
        <w:pStyle w:val="ListParagraph"/>
        <w:numPr>
          <w:ilvl w:val="0"/>
          <w:numId w:val="8"/>
        </w:numPr>
        <w:jc w:val="both"/>
        <w:rPr>
          <w:i/>
          <w:iCs/>
          <w:sz w:val="24"/>
          <w:szCs w:val="24"/>
        </w:rPr>
      </w:pPr>
      <w:r>
        <w:rPr>
          <w:i/>
          <w:iCs/>
          <w:sz w:val="24"/>
          <w:szCs w:val="24"/>
        </w:rPr>
        <w:t>Your workbook must contain the items specified in the table below (clearly identified and in the order given);</w:t>
      </w:r>
    </w:p>
    <w:p w:rsidR="00CE5E95" w:rsidRDefault="00C36809">
      <w:pPr>
        <w:pStyle w:val="ListParagraph"/>
        <w:numPr>
          <w:ilvl w:val="0"/>
          <w:numId w:val="8"/>
        </w:numPr>
        <w:jc w:val="both"/>
        <w:rPr>
          <w:i/>
          <w:iCs/>
          <w:sz w:val="24"/>
          <w:szCs w:val="24"/>
        </w:rPr>
      </w:pPr>
      <w:r>
        <w:rPr>
          <w:i/>
          <w:iCs/>
          <w:sz w:val="24"/>
          <w:szCs w:val="24"/>
        </w:rPr>
        <w:t>You should use this particular document to insert your text / answer within each section of this workbook;</w:t>
      </w:r>
    </w:p>
    <w:p w:rsidR="00CE5E95" w:rsidRDefault="00CE5E95">
      <w:pPr>
        <w:pStyle w:val="Body"/>
        <w:ind w:right="237"/>
        <w:jc w:val="both"/>
        <w:rPr>
          <w:b/>
          <w:bCs/>
          <w:sz w:val="24"/>
          <w:szCs w:val="24"/>
        </w:rPr>
      </w:pPr>
    </w:p>
    <w:p w:rsidR="00CE5E95" w:rsidRDefault="00C36809">
      <w:pPr>
        <w:pStyle w:val="Body"/>
        <w:ind w:right="237"/>
        <w:jc w:val="both"/>
        <w:rPr>
          <w:b/>
          <w:bCs/>
          <w:sz w:val="24"/>
          <w:szCs w:val="24"/>
        </w:rPr>
      </w:pPr>
      <w:r>
        <w:rPr>
          <w:b/>
          <w:bCs/>
          <w:sz w:val="24"/>
          <w:szCs w:val="24"/>
          <w:lang w:val="fr-FR"/>
        </w:rPr>
        <w:t xml:space="preserve">Contents </w:t>
      </w:r>
    </w:p>
    <w:p w:rsidR="00CE5E95" w:rsidRDefault="00CE5E95">
      <w:pPr>
        <w:pStyle w:val="Body"/>
        <w:ind w:right="237"/>
        <w:jc w:val="both"/>
        <w:rPr>
          <w:b/>
          <w:bCs/>
          <w:sz w:val="24"/>
          <w:szCs w:val="24"/>
        </w:rPr>
      </w:pPr>
    </w:p>
    <w:tbl>
      <w:tblPr>
        <w:tblW w:w="91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040"/>
        <w:gridCol w:w="5535"/>
        <w:gridCol w:w="1545"/>
      </w:tblGrid>
      <w:tr w:rsidR="00CE5E95">
        <w:trPr>
          <w:trHeight w:val="48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ind w:right="237"/>
              <w:jc w:val="both"/>
            </w:pPr>
            <w:r>
              <w:rPr>
                <w:b/>
                <w:bCs/>
                <w:sz w:val="22"/>
                <w:szCs w:val="22"/>
                <w:lang w:val="en-US"/>
              </w:rPr>
              <w:t xml:space="preserve">Workbook </w:t>
            </w:r>
          </w:p>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ind w:right="237"/>
              <w:jc w:val="both"/>
            </w:pPr>
            <w:r>
              <w:rPr>
                <w:b/>
                <w:bCs/>
                <w:sz w:val="22"/>
                <w:szCs w:val="22"/>
                <w:lang w:val="en-US"/>
              </w:rPr>
              <w:t xml:space="preserve">Area of Professional Practice </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ind w:right="237"/>
              <w:jc w:val="both"/>
            </w:pPr>
            <w:r>
              <w:rPr>
                <w:b/>
                <w:bCs/>
                <w:sz w:val="22"/>
                <w:szCs w:val="22"/>
                <w:lang w:val="en-US"/>
              </w:rPr>
              <w:t>Word count</w:t>
            </w:r>
          </w:p>
        </w:tc>
      </w:tr>
      <w:tr w:rsidR="00CE5E95">
        <w:trPr>
          <w:trHeight w:val="243"/>
        </w:trPr>
        <w:tc>
          <w:tcPr>
            <w:tcW w:w="912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ind w:right="237"/>
              <w:jc w:val="both"/>
            </w:pPr>
            <w:r>
              <w:rPr>
                <w:b/>
                <w:bCs/>
                <w:sz w:val="22"/>
                <w:szCs w:val="22"/>
                <w:lang w:val="en-US"/>
              </w:rPr>
              <w:t xml:space="preserve">Component 1 60% </w:t>
            </w:r>
          </w:p>
        </w:tc>
      </w:tr>
      <w:tr w:rsidR="00CE5E95">
        <w:trPr>
          <w:trHeight w:val="72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rPr>
                <w:b/>
                <w:bCs/>
                <w:sz w:val="22"/>
                <w:szCs w:val="22"/>
                <w:lang w:val="en-US"/>
              </w:rPr>
            </w:pPr>
          </w:p>
          <w:p w:rsidR="00CE5E95" w:rsidRDefault="00C36809">
            <w:pPr>
              <w:pStyle w:val="Body"/>
              <w:ind w:right="237"/>
            </w:pPr>
            <w:r>
              <w:rPr>
                <w:b/>
                <w:bCs/>
                <w:sz w:val="22"/>
                <w:szCs w:val="22"/>
                <w:lang w:val="en-US"/>
              </w:rPr>
              <w:t>Task 1</w:t>
            </w:r>
            <w:r>
              <w:rPr>
                <w:sz w:val="22"/>
                <w:szCs w:val="22"/>
                <w:lang w:val="en-US"/>
              </w:rPr>
              <w:t xml:space="preserve"> </w:t>
            </w:r>
          </w:p>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Wellbeing and Resilience</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600</w:t>
            </w:r>
          </w:p>
        </w:tc>
      </w:tr>
      <w:tr w:rsidR="00CE5E95">
        <w:trPr>
          <w:trHeight w:val="120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rPr>
                <w:b/>
                <w:bCs/>
                <w:sz w:val="22"/>
                <w:szCs w:val="22"/>
                <w:lang w:val="en-US"/>
              </w:rPr>
            </w:pPr>
          </w:p>
          <w:p w:rsidR="00CE5E95" w:rsidRDefault="00C36809">
            <w:pPr>
              <w:pStyle w:val="Body"/>
              <w:ind w:right="237"/>
            </w:pPr>
            <w:r>
              <w:rPr>
                <w:b/>
                <w:bCs/>
                <w:sz w:val="22"/>
                <w:szCs w:val="22"/>
                <w:lang w:val="en-US"/>
              </w:rPr>
              <w:t>Task 2</w:t>
            </w:r>
            <w:r>
              <w:rPr>
                <w:sz w:val="22"/>
                <w:szCs w:val="22"/>
                <w:lang w:val="en-US"/>
              </w:rPr>
              <w:t xml:space="preserve"> </w:t>
            </w:r>
          </w:p>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Vulnerability and risk, understanding the police constable role, communication skills, decision making and discretion, public protection.</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1500</w:t>
            </w:r>
          </w:p>
        </w:tc>
      </w:tr>
      <w:tr w:rsidR="00CE5E95">
        <w:trPr>
          <w:trHeight w:val="120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rPr>
                <w:b/>
                <w:bCs/>
                <w:sz w:val="22"/>
                <w:szCs w:val="22"/>
                <w:lang w:val="en-US"/>
              </w:rPr>
            </w:pPr>
          </w:p>
          <w:p w:rsidR="00CE5E95" w:rsidRDefault="00C36809">
            <w:pPr>
              <w:pStyle w:val="Body"/>
              <w:ind w:right="237"/>
            </w:pPr>
            <w:r>
              <w:rPr>
                <w:b/>
                <w:bCs/>
                <w:sz w:val="22"/>
                <w:szCs w:val="22"/>
                <w:lang w:val="en-US"/>
              </w:rPr>
              <w:t>Task 3</w:t>
            </w:r>
          </w:p>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Conducting investigations (Interviewing suspects), communication skills, decision making and discretion.</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1500</w:t>
            </w:r>
          </w:p>
        </w:tc>
      </w:tr>
      <w:tr w:rsidR="00CE5E95">
        <w:trPr>
          <w:trHeight w:val="243"/>
        </w:trPr>
        <w:tc>
          <w:tcPr>
            <w:tcW w:w="912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ind w:right="237"/>
              <w:jc w:val="both"/>
            </w:pPr>
            <w:r>
              <w:rPr>
                <w:b/>
                <w:bCs/>
                <w:sz w:val="22"/>
                <w:szCs w:val="22"/>
                <w:lang w:val="en-US"/>
              </w:rPr>
              <w:t>Component 2 40%</w:t>
            </w:r>
          </w:p>
        </w:tc>
      </w:tr>
      <w:tr w:rsidR="00CE5E95">
        <w:trPr>
          <w:trHeight w:val="1535"/>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rPr>
                <w:b/>
                <w:bCs/>
                <w:sz w:val="22"/>
                <w:szCs w:val="22"/>
                <w:lang w:val="en-US"/>
              </w:rPr>
            </w:pPr>
          </w:p>
          <w:p w:rsidR="00CE5E95" w:rsidRDefault="00CE5E95">
            <w:pPr>
              <w:pStyle w:val="Body"/>
              <w:ind w:right="237"/>
              <w:rPr>
                <w:b/>
                <w:bCs/>
                <w:sz w:val="22"/>
                <w:szCs w:val="22"/>
                <w:lang w:val="en-US"/>
              </w:rPr>
            </w:pPr>
          </w:p>
          <w:p w:rsidR="00CE5E95" w:rsidRDefault="00C36809">
            <w:pPr>
              <w:pStyle w:val="Body"/>
              <w:ind w:right="237"/>
            </w:pPr>
            <w:r>
              <w:rPr>
                <w:b/>
                <w:bCs/>
                <w:sz w:val="22"/>
                <w:szCs w:val="22"/>
                <w:lang w:val="en-US"/>
              </w:rPr>
              <w:t xml:space="preserve">Task 4 </w:t>
            </w:r>
          </w:p>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spacing w:line="259" w:lineRule="auto"/>
              <w:ind w:right="237"/>
              <w:jc w:val="both"/>
              <w:rPr>
                <w:b/>
                <w:bCs/>
                <w:sz w:val="22"/>
                <w:szCs w:val="22"/>
                <w:lang w:val="en-US"/>
              </w:rPr>
            </w:pPr>
          </w:p>
          <w:p w:rsidR="00CE5E95" w:rsidRDefault="00C36809">
            <w:pPr>
              <w:pStyle w:val="Body"/>
              <w:spacing w:line="259" w:lineRule="auto"/>
              <w:ind w:right="237"/>
              <w:jc w:val="both"/>
            </w:pPr>
            <w:r>
              <w:rPr>
                <w:b/>
                <w:bCs/>
                <w:sz w:val="22"/>
                <w:szCs w:val="22"/>
                <w:lang w:val="en-US"/>
              </w:rPr>
              <w:t>Problem solving, evidence-based policing, understanding the police constable role, policing communities and decision making and discretion.</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jc w:val="both"/>
              <w:rPr>
                <w:b/>
                <w:bCs/>
                <w:sz w:val="22"/>
                <w:szCs w:val="22"/>
                <w:lang w:val="en-US"/>
              </w:rPr>
            </w:pPr>
          </w:p>
          <w:p w:rsidR="00CE5E95" w:rsidRDefault="00CE5E95">
            <w:pPr>
              <w:pStyle w:val="Body"/>
              <w:ind w:right="237"/>
              <w:jc w:val="both"/>
              <w:rPr>
                <w:b/>
                <w:bCs/>
                <w:sz w:val="22"/>
                <w:szCs w:val="22"/>
                <w:lang w:val="en-US"/>
              </w:rPr>
            </w:pPr>
          </w:p>
          <w:p w:rsidR="00CE5E95" w:rsidRDefault="00C36809">
            <w:pPr>
              <w:pStyle w:val="Body"/>
              <w:ind w:right="237"/>
              <w:jc w:val="both"/>
            </w:pPr>
            <w:r>
              <w:rPr>
                <w:b/>
                <w:bCs/>
                <w:sz w:val="22"/>
                <w:szCs w:val="22"/>
                <w:lang w:val="en-US"/>
              </w:rPr>
              <w:t>2400</w:t>
            </w:r>
          </w:p>
        </w:tc>
      </w:tr>
      <w:tr w:rsidR="00CE5E95">
        <w:trPr>
          <w:trHeight w:val="72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E5E95"/>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36809">
            <w:pPr>
              <w:pStyle w:val="Body"/>
            </w:pPr>
            <w:r>
              <w:rPr>
                <w:b/>
                <w:bCs/>
                <w:sz w:val="22"/>
                <w:szCs w:val="22"/>
                <w:lang w:val="en-US"/>
              </w:rPr>
              <w:t>Confirmation of the completion of your Occupational Competency Portfolio (OCP)</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E5E95"/>
        </w:tc>
      </w:tr>
      <w:tr w:rsidR="00CE5E95">
        <w:trPr>
          <w:trHeight w:val="24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E5E95"/>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36809">
            <w:pPr>
              <w:pStyle w:val="Body"/>
              <w:spacing w:line="360" w:lineRule="auto"/>
              <w:ind w:right="237"/>
              <w:jc w:val="both"/>
            </w:pPr>
            <w:r>
              <w:rPr>
                <w:b/>
                <w:bCs/>
                <w:sz w:val="22"/>
                <w:szCs w:val="22"/>
                <w:lang w:val="en-US"/>
              </w:rPr>
              <w:t>Bibliography</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E5E95"/>
        </w:tc>
      </w:tr>
      <w:tr w:rsidR="00CE5E95">
        <w:trPr>
          <w:trHeight w:val="243"/>
        </w:trPr>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E5E95"/>
        </w:tc>
        <w:tc>
          <w:tcPr>
            <w:tcW w:w="5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36809">
            <w:pPr>
              <w:pStyle w:val="Body"/>
              <w:jc w:val="both"/>
            </w:pPr>
            <w:r>
              <w:rPr>
                <w:b/>
                <w:bCs/>
                <w:sz w:val="22"/>
                <w:szCs w:val="22"/>
                <w:lang w:val="en-US"/>
              </w:rPr>
              <w:t>Confirmation of Confidentiality and Plagiarism</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E5E95"/>
        </w:tc>
      </w:tr>
    </w:tbl>
    <w:p w:rsidR="00CE5E95" w:rsidRDefault="00CE5E95">
      <w:pPr>
        <w:pStyle w:val="Body"/>
        <w:widowControl w:val="0"/>
        <w:jc w:val="both"/>
        <w:rPr>
          <w:b/>
          <w:bCs/>
          <w:sz w:val="24"/>
          <w:szCs w:val="24"/>
        </w:rPr>
      </w:pPr>
    </w:p>
    <w:p w:rsidR="00CE5E95" w:rsidRDefault="00CE5E95">
      <w:pPr>
        <w:pStyle w:val="Body"/>
        <w:ind w:right="237"/>
        <w:jc w:val="center"/>
        <w:rPr>
          <w:b/>
          <w:bCs/>
          <w:sz w:val="24"/>
          <w:szCs w:val="24"/>
        </w:rPr>
      </w:pPr>
    </w:p>
    <w:p w:rsidR="00CE5E95" w:rsidRDefault="00CE5E95">
      <w:pPr>
        <w:pStyle w:val="Body"/>
        <w:ind w:right="237"/>
        <w:jc w:val="center"/>
        <w:rPr>
          <w:b/>
          <w:bCs/>
          <w:sz w:val="24"/>
          <w:szCs w:val="24"/>
        </w:rPr>
      </w:pPr>
    </w:p>
    <w:p w:rsidR="00CE5E95" w:rsidRDefault="00C36809">
      <w:pPr>
        <w:pStyle w:val="Body"/>
        <w:ind w:right="237"/>
        <w:jc w:val="center"/>
      </w:pPr>
      <w:r>
        <w:rPr>
          <w:rFonts w:ascii="Arial Unicode MS" w:hAnsi="Arial Unicode MS"/>
          <w:sz w:val="24"/>
          <w:szCs w:val="24"/>
        </w:rPr>
        <w:br w:type="page"/>
      </w:r>
    </w:p>
    <w:p w:rsidR="00CE5E95" w:rsidRDefault="00C36809">
      <w:pPr>
        <w:pStyle w:val="Body"/>
        <w:ind w:right="237"/>
        <w:jc w:val="center"/>
        <w:rPr>
          <w:sz w:val="22"/>
          <w:szCs w:val="22"/>
        </w:rPr>
      </w:pPr>
      <w:r>
        <w:rPr>
          <w:b/>
          <w:bCs/>
          <w:sz w:val="22"/>
          <w:szCs w:val="22"/>
          <w:lang w:val="en-US"/>
        </w:rPr>
        <w:lastRenderedPageBreak/>
        <w:t>Task 1 (Component 1)</w:t>
      </w:r>
    </w:p>
    <w:p w:rsidR="00CE5E95" w:rsidRDefault="00CE5E95">
      <w:pPr>
        <w:pStyle w:val="Body"/>
        <w:ind w:right="237"/>
        <w:jc w:val="center"/>
        <w:rPr>
          <w:b/>
          <w:bCs/>
          <w:sz w:val="24"/>
          <w:szCs w:val="24"/>
        </w:rPr>
      </w:pPr>
    </w:p>
    <w:p w:rsidR="00CE5E95" w:rsidRDefault="00CE5E95">
      <w:pPr>
        <w:pStyle w:val="Body"/>
        <w:ind w:right="237"/>
        <w:jc w:val="both"/>
        <w:rPr>
          <w:b/>
          <w:bCs/>
          <w:sz w:val="24"/>
          <w:szCs w:val="24"/>
        </w:rPr>
      </w:pPr>
    </w:p>
    <w:p w:rsidR="00CE5E95" w:rsidRDefault="00C36809">
      <w:pPr>
        <w:pStyle w:val="Body"/>
        <w:ind w:right="237"/>
        <w:jc w:val="both"/>
        <w:rPr>
          <w:b/>
          <w:bCs/>
          <w:sz w:val="24"/>
          <w:szCs w:val="24"/>
        </w:rPr>
      </w:pPr>
      <w:r>
        <w:rPr>
          <w:b/>
          <w:bCs/>
          <w:sz w:val="24"/>
          <w:szCs w:val="24"/>
          <w:lang w:val="en-US"/>
        </w:rPr>
        <w:t xml:space="preserve">Relevant areas of the National Policing Curriculum: </w:t>
      </w:r>
    </w:p>
    <w:p w:rsidR="00CE5E95" w:rsidRDefault="00C36809">
      <w:pPr>
        <w:pStyle w:val="Body"/>
        <w:ind w:right="237"/>
        <w:jc w:val="both"/>
        <w:rPr>
          <w:b/>
          <w:bCs/>
          <w:sz w:val="24"/>
          <w:szCs w:val="24"/>
        </w:rPr>
      </w:pPr>
      <w:r>
        <w:rPr>
          <w:b/>
          <w:bCs/>
          <w:sz w:val="24"/>
          <w:szCs w:val="24"/>
          <w:lang w:val="en-US"/>
        </w:rPr>
        <w:t>Wellbeing and Resilience</w:t>
      </w:r>
    </w:p>
    <w:p w:rsidR="00CE5E95" w:rsidRDefault="00CE5E95">
      <w:pPr>
        <w:pStyle w:val="Body"/>
        <w:ind w:right="237"/>
        <w:jc w:val="both"/>
        <w:rPr>
          <w:b/>
          <w:bCs/>
          <w:sz w:val="24"/>
          <w:szCs w:val="24"/>
        </w:rPr>
      </w:pPr>
    </w:p>
    <w:p w:rsidR="00CE5E95" w:rsidRDefault="00C36809">
      <w:pPr>
        <w:pStyle w:val="Body"/>
        <w:ind w:right="237"/>
        <w:jc w:val="both"/>
        <w:rPr>
          <w:i/>
          <w:iCs/>
          <w:sz w:val="24"/>
          <w:szCs w:val="24"/>
        </w:rPr>
      </w:pPr>
      <w:r>
        <w:rPr>
          <w:i/>
          <w:iCs/>
          <w:sz w:val="24"/>
          <w:szCs w:val="24"/>
          <w:lang w:val="it-IT"/>
        </w:rPr>
        <w:t xml:space="preserve">Guidance:  </w:t>
      </w:r>
    </w:p>
    <w:p w:rsidR="00CE5E95" w:rsidRDefault="00CE5E95">
      <w:pPr>
        <w:pStyle w:val="Body"/>
        <w:ind w:right="237"/>
        <w:jc w:val="both"/>
        <w:rPr>
          <w:i/>
          <w:iCs/>
          <w:sz w:val="24"/>
          <w:szCs w:val="24"/>
        </w:rPr>
      </w:pPr>
    </w:p>
    <w:tbl>
      <w:tblPr>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67"/>
      </w:tblGrid>
      <w:tr w:rsidR="00CE5E95">
        <w:trPr>
          <w:trHeight w:val="1682"/>
        </w:trPr>
        <w:tc>
          <w:tcPr>
            <w:tcW w:w="90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5E95" w:rsidRDefault="00C36809">
            <w:pPr>
              <w:pStyle w:val="Body"/>
              <w:jc w:val="both"/>
              <w:rPr>
                <w:b/>
                <w:bCs/>
                <w:sz w:val="24"/>
                <w:szCs w:val="24"/>
              </w:rPr>
            </w:pPr>
            <w:r>
              <w:rPr>
                <w:sz w:val="24"/>
                <w:szCs w:val="24"/>
                <w:lang w:val="en-US"/>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00CE5E95" w:rsidRDefault="00CE5E95">
            <w:pPr>
              <w:pStyle w:val="Body"/>
              <w:ind w:right="237"/>
              <w:jc w:val="both"/>
              <w:rPr>
                <w:b/>
                <w:bCs/>
                <w:sz w:val="24"/>
                <w:szCs w:val="24"/>
                <w:lang w:val="en-US"/>
              </w:rPr>
            </w:pPr>
          </w:p>
          <w:p w:rsidR="00CE5E95" w:rsidRDefault="00C36809">
            <w:pPr>
              <w:pStyle w:val="Body"/>
              <w:ind w:right="237"/>
              <w:jc w:val="both"/>
            </w:pPr>
            <w:r>
              <w:rPr>
                <w:i/>
                <w:iCs/>
                <w:sz w:val="24"/>
                <w:szCs w:val="24"/>
                <w:lang w:val="en-US"/>
              </w:rPr>
              <w:t>600 words (+/- 10%: include your actual word count at the end of each section)</w:t>
            </w:r>
          </w:p>
        </w:tc>
      </w:tr>
    </w:tbl>
    <w:p w:rsidR="00CE5E95" w:rsidRDefault="00CE5E95">
      <w:pPr>
        <w:pStyle w:val="Body"/>
        <w:widowControl w:val="0"/>
        <w:jc w:val="both"/>
        <w:rPr>
          <w:i/>
          <w:iCs/>
          <w:sz w:val="24"/>
          <w:szCs w:val="24"/>
        </w:rPr>
      </w:pPr>
    </w:p>
    <w:p w:rsidR="00CE5E95" w:rsidRDefault="00CE5E95">
      <w:pPr>
        <w:pStyle w:val="Body"/>
        <w:ind w:right="237"/>
        <w:jc w:val="both"/>
        <w:rPr>
          <w:b/>
          <w:bCs/>
          <w:sz w:val="24"/>
          <w:szCs w:val="24"/>
        </w:rPr>
      </w:pPr>
    </w:p>
    <w:p w:rsidR="00CE5E95" w:rsidRDefault="00C36809">
      <w:pPr>
        <w:pStyle w:val="Body"/>
        <w:ind w:right="237"/>
        <w:jc w:val="both"/>
        <w:rPr>
          <w:sz w:val="24"/>
          <w:szCs w:val="24"/>
        </w:rPr>
      </w:pPr>
      <w:r>
        <w:rPr>
          <w:b/>
          <w:bCs/>
          <w:sz w:val="24"/>
          <w:szCs w:val="24"/>
          <w:lang w:val="de-DE"/>
        </w:rPr>
        <w:t>ANSWER:</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Since the last piece of work was submitted, I have continued to use exercise as a form of escape and release as I find this the most effective way to minimise stress. My preferred exercise would be going to the gym. However, I had had to find other ways of exercising since they were closed. During the initial lockdown in 2020, I did struggle at first in dealing with this. I found I had to be creative with my exercise, using heavy items at home instead of weights and so on. I also started cycling outdoors as a way to maintain my fitness level. I find that this helps me to stay focused and motivated throughout the day. It also helps me to unwind in the evening.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When I completed the first piece of work, I had not done many supernooon or night shifts. A supernoon is an afternoon shift which falls on a Friday or Saturday, and instead of working the usual 3pm to midnight shift you work from 4pm until 3am. Since then, I have had to get used the strange sleeping pattern that comes as a result of these. I have found that exercise can also help with this, and I am able to wear myself out ready to go to bed. I also try to have a warm bath or shower shortly before going to bed. Haghayegh and colleagues searched 5322 studies, and found that ‘the data [prove] that a warm shower or bath before bed does make a huge difference in your overall sleep quality’</w:t>
      </w:r>
      <w:r>
        <w:rPr>
          <w:sz w:val="24"/>
          <w:szCs w:val="24"/>
          <w:vertAlign w:val="superscript"/>
        </w:rPr>
        <w:footnoteReference w:id="2"/>
      </w:r>
      <w:r>
        <w:rPr>
          <w:sz w:val="24"/>
          <w:szCs w:val="24"/>
          <w:lang w:val="en-US"/>
        </w:rPr>
        <w:t>.</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I also still talk to my partner who helps me to see the other side of events from another person’s perspective and provides me with ongoing support. She also works in law and can understand how frustrating some situations can be.</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Now that I have had time to properly settle into my team, I am much more comfortable with them and am able to open up more. I am more confident in speaking out when I have a concern or question. One of my colleagues in particular has given me invaluable information and experience. He has been working for the Police for around 25</w:t>
      </w:r>
      <w:r>
        <w:rPr>
          <w:rStyle w:val="Red"/>
          <w:sz w:val="24"/>
          <w:szCs w:val="24"/>
        </w:rPr>
        <w:t xml:space="preserve"> </w:t>
      </w:r>
      <w:r>
        <w:rPr>
          <w:sz w:val="24"/>
          <w:szCs w:val="24"/>
          <w:lang w:val="en-US"/>
        </w:rPr>
        <w:t xml:space="preserve">years and there is nothing he has not seen.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As the reader will note from this work, I have been asking my senior colleagues to cast their eyes over my work, especially in preparation for interview as I do not want to make any mistakes at such a vital time in an investigation. I found their reassurance helpful, as well as their constructive criticism. I have always found that I learn best when I am actively trying something, so this review process has helped me enormously.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I also find it easier to unload any stress with my colleagues at the end of a shift. They have gone through the same experiences as me in that day, and understand the difficulties. As they have been working longer than I have, they often have useful coping mechanisms which they can share with me. For example, one colleague has recently told me about a mindfulness app that I have considered using. I find that the most useful way of dealing with stress at work is to speak to a colleague who tries to find a lighter and funnier side to your issues. This helps to relieve any tension that I may have been feeling after dealing with a difficult incident.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b/>
          <w:bCs/>
          <w:sz w:val="24"/>
          <w:szCs w:val="24"/>
          <w:lang w:val="en-US"/>
        </w:rPr>
        <w:t>573</w:t>
      </w: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b/>
          <w:bCs/>
          <w:sz w:val="24"/>
          <w:szCs w:val="24"/>
        </w:rPr>
      </w:pPr>
    </w:p>
    <w:p w:rsidR="00CE5E95" w:rsidRDefault="00CE5E95">
      <w:pPr>
        <w:pStyle w:val="Body"/>
        <w:ind w:right="237"/>
        <w:jc w:val="both"/>
        <w:sectPr w:rsidR="00CE5E95" w:rsidSect="0019160A">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20" w:footer="720" w:gutter="0"/>
          <w:cols w:space="720"/>
          <w:titlePg/>
          <w:docGrid w:linePitch="326"/>
        </w:sectPr>
      </w:pPr>
    </w:p>
    <w:p w:rsidR="00CE5E95" w:rsidRDefault="00C36809">
      <w:pPr>
        <w:pStyle w:val="Body"/>
        <w:ind w:right="237"/>
        <w:jc w:val="center"/>
        <w:rPr>
          <w:sz w:val="22"/>
          <w:szCs w:val="22"/>
        </w:rPr>
      </w:pPr>
      <w:r>
        <w:rPr>
          <w:b/>
          <w:bCs/>
          <w:sz w:val="22"/>
          <w:szCs w:val="22"/>
          <w:lang w:val="en-US"/>
        </w:rPr>
        <w:lastRenderedPageBreak/>
        <w:t>Task 2 (Component 1)</w:t>
      </w:r>
    </w:p>
    <w:p w:rsidR="00CE5E95" w:rsidRDefault="00CE5E95">
      <w:pPr>
        <w:pStyle w:val="Body"/>
        <w:ind w:right="237"/>
        <w:jc w:val="center"/>
        <w:rPr>
          <w:sz w:val="22"/>
          <w:szCs w:val="22"/>
        </w:rPr>
      </w:pPr>
    </w:p>
    <w:p w:rsidR="00CE5E95" w:rsidRDefault="00CE5E95">
      <w:pPr>
        <w:pStyle w:val="Body"/>
        <w:ind w:right="237"/>
        <w:jc w:val="both"/>
        <w:rPr>
          <w:b/>
          <w:bCs/>
          <w:sz w:val="24"/>
          <w:szCs w:val="24"/>
        </w:rPr>
      </w:pPr>
    </w:p>
    <w:p w:rsidR="00CE5E95" w:rsidRDefault="00C36809">
      <w:pPr>
        <w:pStyle w:val="Body"/>
        <w:ind w:right="237"/>
        <w:jc w:val="both"/>
        <w:rPr>
          <w:b/>
          <w:bCs/>
          <w:sz w:val="24"/>
          <w:szCs w:val="24"/>
        </w:rPr>
      </w:pPr>
      <w:r>
        <w:rPr>
          <w:b/>
          <w:bCs/>
          <w:sz w:val="24"/>
          <w:szCs w:val="24"/>
          <w:lang w:val="en-US"/>
        </w:rPr>
        <w:t xml:space="preserve">Relevant areas of the National Policing Curriculum: </w:t>
      </w:r>
    </w:p>
    <w:p w:rsidR="00CE5E95" w:rsidRDefault="00C36809">
      <w:pPr>
        <w:pStyle w:val="Body"/>
        <w:ind w:right="237"/>
        <w:jc w:val="both"/>
        <w:rPr>
          <w:b/>
          <w:bCs/>
          <w:sz w:val="24"/>
          <w:szCs w:val="24"/>
        </w:rPr>
      </w:pPr>
      <w:r>
        <w:rPr>
          <w:b/>
          <w:bCs/>
          <w:sz w:val="24"/>
          <w:szCs w:val="24"/>
          <w:lang w:val="en-US"/>
        </w:rPr>
        <w:t>Vulnerability and risk, understanding the police constable role, communication skills, decision making and discretion, public protection.</w:t>
      </w:r>
    </w:p>
    <w:p w:rsidR="00CE5E95" w:rsidRDefault="00CE5E95">
      <w:pPr>
        <w:pStyle w:val="Body"/>
        <w:ind w:right="237"/>
        <w:jc w:val="both"/>
        <w:rPr>
          <w:sz w:val="24"/>
          <w:szCs w:val="24"/>
        </w:rPr>
      </w:pPr>
    </w:p>
    <w:p w:rsidR="00CE5E95" w:rsidRDefault="00C36809">
      <w:pPr>
        <w:pStyle w:val="Body"/>
        <w:ind w:right="237"/>
        <w:jc w:val="both"/>
      </w:pPr>
      <w:r>
        <w:rPr>
          <w:sz w:val="24"/>
          <w:szCs w:val="24"/>
          <w:lang w:val="en-US"/>
        </w:rPr>
        <w:t xml:space="preserve">You must choose </w:t>
      </w:r>
      <w:r>
        <w:rPr>
          <w:b/>
          <w:bCs/>
          <w:sz w:val="24"/>
          <w:szCs w:val="24"/>
          <w:u w:val="single"/>
          <w:lang w:val="en-US"/>
        </w:rPr>
        <w:t xml:space="preserve">a policing incident </w:t>
      </w:r>
      <w:r>
        <w:rPr>
          <w:sz w:val="24"/>
          <w:szCs w:val="24"/>
          <w:lang w:val="en-US"/>
        </w:rPr>
        <w:t>in which you played a role with an offender/service</w:t>
      </w:r>
      <w:r>
        <w:rPr>
          <w:b/>
          <w:bCs/>
          <w:sz w:val="24"/>
          <w:szCs w:val="24"/>
        </w:rPr>
        <w:t xml:space="preserve"> </w:t>
      </w:r>
      <w:r>
        <w:rPr>
          <w:sz w:val="24"/>
          <w:szCs w:val="24"/>
          <w:lang w:val="en-US"/>
        </w:rPr>
        <w:t xml:space="preserve">user/victim and reflect on what happened. </w:t>
      </w:r>
    </w:p>
    <w:p w:rsidR="00CE5E95" w:rsidRDefault="00CE5E95">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CE5E95">
        <w:trPr>
          <w:trHeight w:val="560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rPr>
                <w:sz w:val="24"/>
                <w:szCs w:val="24"/>
                <w:lang w:val="en-US"/>
              </w:rPr>
            </w:pPr>
          </w:p>
          <w:p w:rsidR="00CE5E95" w:rsidRDefault="00C36809">
            <w:pPr>
              <w:pStyle w:val="Body"/>
              <w:ind w:right="237"/>
              <w:jc w:val="both"/>
              <w:rPr>
                <w:sz w:val="24"/>
                <w:szCs w:val="24"/>
              </w:rPr>
            </w:pPr>
            <w:r>
              <w:rPr>
                <w:b/>
                <w:bCs/>
                <w:sz w:val="24"/>
                <w:szCs w:val="24"/>
                <w:lang w:val="en-US"/>
              </w:rPr>
              <w:t>Give a brief description</w:t>
            </w:r>
            <w:r>
              <w:rPr>
                <w:sz w:val="24"/>
                <w:szCs w:val="24"/>
                <w:lang w:val="en-US"/>
              </w:rPr>
              <w:t xml:space="preserve"> of the incident including social and legislative contexts and any relevant cultural, ethnicity and language issues. </w:t>
            </w:r>
          </w:p>
          <w:p w:rsidR="00CE5E95" w:rsidRDefault="00CE5E95">
            <w:pPr>
              <w:pStyle w:val="Body"/>
              <w:ind w:right="237"/>
              <w:rPr>
                <w:sz w:val="24"/>
                <w:szCs w:val="24"/>
                <w:lang w:val="en-US"/>
              </w:rPr>
            </w:pPr>
          </w:p>
          <w:p w:rsidR="00CE5E95" w:rsidRDefault="00C36809">
            <w:pPr>
              <w:pStyle w:val="Body"/>
              <w:ind w:right="237"/>
              <w:jc w:val="both"/>
              <w:rPr>
                <w:sz w:val="24"/>
                <w:szCs w:val="24"/>
              </w:rPr>
            </w:pPr>
            <w:r>
              <w:rPr>
                <w:b/>
                <w:bCs/>
                <w:sz w:val="24"/>
                <w:szCs w:val="24"/>
                <w:lang w:val="en-US"/>
              </w:rPr>
              <w:t>Review</w:t>
            </w:r>
            <w:r>
              <w:rPr>
                <w:sz w:val="24"/>
                <w:szCs w:val="24"/>
                <w:lang w:val="en-US"/>
              </w:rPr>
              <w:t xml:space="preserve"> the fundamental elements of effective communication used (verbal, non-verbal, active listening skills, open and closed questions, building rapport and negotiation skills).</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b/>
                <w:bCs/>
                <w:sz w:val="24"/>
                <w:szCs w:val="24"/>
                <w:lang w:val="en-US"/>
              </w:rPr>
              <w:t xml:space="preserve">Explain </w:t>
            </w:r>
            <w:r>
              <w:rPr>
                <w:sz w:val="24"/>
                <w:szCs w:val="24"/>
                <w:lang w:val="en-US"/>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sz w:val="24"/>
                <w:szCs w:val="24"/>
                <w:lang w:val="en-US"/>
              </w:rPr>
              <w:t>Your reflection must illustrate your understanding and application of core principles of ethics, equality, diversity and human rights, as well as any relevant Code of Practice considerations, culturally sensitive practice and language preference.</w:t>
            </w:r>
          </w:p>
          <w:p w:rsidR="00CE5E95" w:rsidRDefault="00CE5E95">
            <w:pPr>
              <w:pStyle w:val="Body"/>
              <w:ind w:right="237"/>
              <w:jc w:val="both"/>
              <w:rPr>
                <w:sz w:val="24"/>
                <w:szCs w:val="24"/>
                <w:lang w:val="en-US"/>
              </w:rPr>
            </w:pPr>
          </w:p>
          <w:p w:rsidR="00CE5E95" w:rsidRDefault="00C36809">
            <w:pPr>
              <w:pStyle w:val="Body"/>
              <w:ind w:right="237"/>
              <w:jc w:val="both"/>
            </w:pPr>
            <w:r>
              <w:rPr>
                <w:sz w:val="24"/>
                <w:szCs w:val="24"/>
                <w:lang w:val="en-US"/>
              </w:rPr>
              <w:t xml:space="preserve">1500 words </w:t>
            </w:r>
            <w:r>
              <w:rPr>
                <w:i/>
                <w:iCs/>
                <w:sz w:val="24"/>
                <w:szCs w:val="24"/>
                <w:lang w:val="en-US"/>
              </w:rPr>
              <w:t>(+/- 10%: include your actual word count at the end of each section)</w:t>
            </w:r>
          </w:p>
        </w:tc>
      </w:tr>
    </w:tbl>
    <w:p w:rsidR="00CE5E95" w:rsidRDefault="00CE5E95">
      <w:pPr>
        <w:pStyle w:val="Body"/>
        <w:widowControl w:val="0"/>
        <w:jc w:val="both"/>
        <w:rPr>
          <w:b/>
          <w:bCs/>
          <w:sz w:val="24"/>
          <w:szCs w:val="24"/>
        </w:rPr>
      </w:pPr>
    </w:p>
    <w:p w:rsidR="00CE5E95" w:rsidRDefault="00CE5E95">
      <w:pPr>
        <w:pStyle w:val="Body"/>
        <w:ind w:right="237"/>
        <w:jc w:val="both"/>
        <w:rPr>
          <w:sz w:val="24"/>
          <w:szCs w:val="24"/>
        </w:rPr>
      </w:pPr>
    </w:p>
    <w:p w:rsidR="00CE5E95" w:rsidRDefault="00C36809">
      <w:pPr>
        <w:pStyle w:val="Body"/>
        <w:ind w:right="237"/>
        <w:jc w:val="both"/>
        <w:rPr>
          <w:b/>
          <w:bCs/>
          <w:sz w:val="24"/>
          <w:szCs w:val="24"/>
        </w:rPr>
      </w:pPr>
      <w:r>
        <w:rPr>
          <w:b/>
          <w:bCs/>
          <w:sz w:val="24"/>
          <w:szCs w:val="24"/>
          <w:lang w:val="de-DE"/>
        </w:rPr>
        <w:t>ANSWER:</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My tutor and I were called to deal with an incident allegedly involving domestic abuse, contrary to Section 39 of the Criminal Justice Act 1988.</w:t>
      </w:r>
      <w:r>
        <w:rPr>
          <w:sz w:val="24"/>
          <w:szCs w:val="24"/>
          <w:vertAlign w:val="superscript"/>
        </w:rPr>
        <w:footnoteReference w:id="3"/>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I was informed that several members of the public had witnessed and reported domestic abuse between a male and a female. One of the incidents involved the female driving on the motorway at high speed, when the male physically assaulted her. This could have caused catastrophic damage to themselves and others. The other incident involved a further physical assault outside of their property. The witness of the second incident reported that they were in fact husband and wife, Indian, and that they had reason to believe it was not the first time something like this had happened.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lastRenderedPageBreak/>
        <w:t>On the way to the incident, I reminded myself of the guidance in terms of domestic abuse. I also took time to remind myself of the National Decision Model</w:t>
      </w:r>
      <w:r>
        <w:rPr>
          <w:sz w:val="24"/>
          <w:szCs w:val="24"/>
          <w:vertAlign w:val="superscript"/>
        </w:rPr>
        <w:footnoteReference w:id="4"/>
      </w:r>
      <w:r>
        <w:rPr>
          <w:sz w:val="24"/>
          <w:szCs w:val="24"/>
          <w:lang w:val="en-US"/>
        </w:rPr>
        <w:t>.</w:t>
      </w:r>
      <w:r>
        <w:rPr>
          <w:sz w:val="24"/>
          <w:szCs w:val="24"/>
        </w:rPr>
        <w:t xml:space="preserve"> </w:t>
      </w:r>
      <w:r>
        <w:rPr>
          <w:sz w:val="24"/>
          <w:szCs w:val="24"/>
          <w:lang w:val="en-US"/>
        </w:rPr>
        <w:t>Given that the suspect and witness were husband and wife, I was satisfied that they had an appropriately close relationship. Secondly, I was satisfied that the physical assault which had been described would come under the category of abuse. I was aware of the powers to arrest where there has been a domestic abuse incident, especially when there have been a  number of witnesses reporting a number of assaults on the same day. I spoke about this with my tutor, who agreed with my decision. I therefore continued to work under the impression that this was a domestic abuse incident.</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This was a particularly difficult case to manage. There were significant cultural issues, as we discovered the husband and wife were Indian and had strong cultural views, and we had to be mindful of this. For example, upon discussing matters with the victim, it appeared that she had been blaming herself for the incident. She told us that she had felt that her husband had done nothing wrong by assaulting her. I considered the victim to therefore be a vulnerable person.  According to the College of Policing, ‘All forces should have a definition of vulnerability. This does not mean that the police need to be able to diagnose specific illnesses or disabilities, rather they need to recognise when intervention from partner agencies, such as health professionals, may be necessary’.</w:t>
      </w:r>
      <w:r>
        <w:rPr>
          <w:sz w:val="24"/>
          <w:szCs w:val="24"/>
          <w:vertAlign w:val="superscript"/>
        </w:rPr>
        <w:footnoteReference w:id="5"/>
      </w:r>
      <w:r>
        <w:rPr>
          <w:sz w:val="24"/>
          <w:szCs w:val="24"/>
          <w:lang w:val="en-US"/>
        </w:rPr>
        <w:t xml:space="preserve"> Whilst being mindful of this, a referral was made to Women’s Aid which I will come on to later in this task.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We asked some further questions, as part of the information stage of CIAPOAR, in order to assist us in understanding why she felt this way. She insisted that she would be disowned by her husband and the rest of her family as a result of any police investigation into the matter.</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Upon receiving this disclosure, my tutor and I took time to ensure that we had fully understood the victim’s concerns. We needed to be sure that these were not simply off the cuff remarks in order to get us to leave the property. At first, the victim became hostile. It was clear that she did not want to be seen speaking to us. However, by showing understanding and empathy we built a rapport with her, and she did then begin to open up and discuss matters with us further.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My tutor and I engaged active listening, taking notes of the report she was providing us whilst still keeping control of the conversation. We also made use of non-verbal communication in order to show empathy for the victim’s situation.</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My tutor and I agreed that we would not press her any further, and would instead gather the available evidence for us to consider in the police station. We took statements from the witnesses who had been involved. We also seized CCTV from the property, which we thought would have had a clear picture of the doorway to the property where the incident took place.</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As part of the powers and policies stage of CIAPOAR, we had to consider the powers we had and balance these with what was proportionate in order to also protect the victim. I considered the Criminal Procedure and Investigations Act 1996</w:t>
      </w:r>
      <w:r>
        <w:rPr>
          <w:sz w:val="24"/>
          <w:szCs w:val="24"/>
          <w:vertAlign w:val="superscript"/>
        </w:rPr>
        <w:footnoteReference w:id="6"/>
      </w:r>
      <w:r>
        <w:rPr>
          <w:sz w:val="24"/>
          <w:szCs w:val="24"/>
          <w:lang w:val="en-US"/>
        </w:rPr>
        <w:t xml:space="preserve"> and also referred to the Code of Practice</w:t>
      </w:r>
      <w:r>
        <w:rPr>
          <w:sz w:val="24"/>
          <w:szCs w:val="24"/>
          <w:vertAlign w:val="superscript"/>
        </w:rPr>
        <w:footnoteReference w:id="7"/>
      </w:r>
      <w:r>
        <w:rPr>
          <w:sz w:val="24"/>
          <w:szCs w:val="24"/>
          <w:lang w:val="en-US"/>
        </w:rPr>
        <w:t>.</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I considered that we had acted appropriately pursuant of paragraph 4.1 therein, by recording information in a ‘durable or retrievable form’, taking detailed notes of the victim’s disclosure and also recording this on our body-worn cameras.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Further to paragraph 6.15 of the Code of Practice</w:t>
      </w:r>
      <w:r>
        <w:rPr>
          <w:sz w:val="24"/>
          <w:szCs w:val="24"/>
          <w:vertAlign w:val="superscript"/>
        </w:rPr>
        <w:footnoteReference w:id="8"/>
      </w:r>
      <w:r>
        <w:rPr>
          <w:sz w:val="24"/>
          <w:szCs w:val="24"/>
          <w:lang w:val="en-US"/>
        </w:rPr>
        <w:t xml:space="preserve">, I considered the disclosure the victim had made to be confidential and therefore should be dealt with in a sensitive way. She had told us that she was worried about the repercussions of talking to us and that we had ‘ruined her life’ by attending.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Given the seriousness of the incidents, the witness evidence and the CCTV footage of one of the assaults, we were satisfied that we should proceed to arrest the male. As the alleged crime was domestic abuse, we were conscious that this would have to be referred to the CPS for further consideration so we would need to be quick to complete our work and update our files.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During the course of this incident, I had to be mindful of the Code of Ethics (July 2014)</w:t>
      </w:r>
      <w:r>
        <w:rPr>
          <w:sz w:val="24"/>
          <w:szCs w:val="24"/>
          <w:vertAlign w:val="superscript"/>
        </w:rPr>
        <w:footnoteReference w:id="9"/>
      </w:r>
      <w:r>
        <w:rPr>
          <w:sz w:val="24"/>
          <w:szCs w:val="24"/>
          <w:lang w:val="en-US"/>
        </w:rPr>
        <w:t xml:space="preserve"> and in particular, standard 3: equality and diversity, ‘I will act with fairness and impartiality. I will not discriminate unlawfully or unfairly’</w:t>
      </w:r>
      <w:r>
        <w:rPr>
          <w:sz w:val="24"/>
          <w:szCs w:val="24"/>
          <w:vertAlign w:val="superscript"/>
        </w:rPr>
        <w:footnoteReference w:id="10"/>
      </w:r>
      <w:r>
        <w:rPr>
          <w:sz w:val="24"/>
          <w:szCs w:val="24"/>
          <w:lang w:val="en-US"/>
        </w:rPr>
        <w:t>. Whilst I was of course shocked to hear what the victim had informed us, I ensured that she had felt validated. I was resolution focused throughout the conversation and tried to be as understanding as possible. It was clearly a very difficult situation for the victim, and also for us as we had been tasked to investigate quite serious allegations of domestic abuse but were now faced with a victim who did not wish to pursue the matter any further.</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The victim had a thick accent, but a good understanding of the English language. I was mindful to speak clearly throughout, and assured her that if she had not understood any of my questions she should let me know. I also reminded her that if, at any point, she felt she would benefit from a translator then we could arrange for one to attend by telephone. She was content to proceed with us directly, but we were cautious that we should come back to this again at intervals.</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As a result of this incident, the suspect was arrested and taken to the Police Station. He was remanded until the next available hearing slot before the Court, due to the </w:t>
      </w:r>
      <w:r>
        <w:rPr>
          <w:sz w:val="24"/>
          <w:szCs w:val="24"/>
          <w:lang w:val="en-US"/>
        </w:rPr>
        <w:lastRenderedPageBreak/>
        <w:t>seriousness of the domestic abuse and the possibility of a threat to the lives of themselves and others due to the incident on the motorway.</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A Domestic Violence Protection Notice was prepared and authorised by a Superintendent. The DVPN prevented the suspect from returning to the home address and having any contact with the victim. It also prevented him from evicting the victim from the home address. </w:t>
      </w:r>
      <w:r>
        <w:rPr>
          <w:rFonts w:ascii="Arial Unicode MS" w:hAnsi="Arial Unicode MS"/>
          <w:sz w:val="24"/>
          <w:szCs w:val="24"/>
        </w:rPr>
        <w:br/>
      </w:r>
      <w:r>
        <w:rPr>
          <w:rFonts w:ascii="Arial Unicode MS" w:hAnsi="Arial Unicode MS"/>
          <w:sz w:val="24"/>
          <w:szCs w:val="24"/>
        </w:rPr>
        <w:br/>
      </w:r>
      <w:r>
        <w:rPr>
          <w:sz w:val="24"/>
          <w:szCs w:val="24"/>
          <w:lang w:val="en-US"/>
        </w:rPr>
        <w:t>A referral was made to Women’s Aid so that she could benefit from their support. We hoped that if the suspect did follow through with his threat to disown her, then the victim might be able to access refuge.</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I believe that we acted appropriately during this incident. We remained neutral in relation to the religious and cultural aspects, and dealt with the language barrier in an appropriate and effective manner. I am unsure what happened to the suspect after his Court appearance, and will be keeping this under review. In the circumstances, I do not think that we could have done much more. The victim clearly did not wish to pursue matters any further, and so we relied upon the witness evidence. We arranged safeguarding measures to prevent the suspect from attending the home of the victim. I imagine that the suspect will also have had bail conditions to this effect. I am hopeful that this will be the last we hear of them, but I will be reviewing matters in any event to check what the next steps will be. </w:t>
      </w:r>
    </w:p>
    <w:p w:rsidR="00CE5E95" w:rsidRDefault="00CE5E95">
      <w:pPr>
        <w:pStyle w:val="Body"/>
        <w:ind w:right="237"/>
        <w:jc w:val="both"/>
        <w:rPr>
          <w:sz w:val="24"/>
          <w:szCs w:val="24"/>
        </w:rPr>
      </w:pPr>
    </w:p>
    <w:p w:rsidR="00CE5E95" w:rsidRDefault="00C36809">
      <w:pPr>
        <w:pStyle w:val="Body"/>
        <w:ind w:right="237"/>
        <w:jc w:val="both"/>
        <w:rPr>
          <w:b/>
          <w:bCs/>
          <w:sz w:val="24"/>
          <w:szCs w:val="24"/>
        </w:rPr>
      </w:pPr>
      <w:r>
        <w:rPr>
          <w:b/>
          <w:bCs/>
          <w:sz w:val="24"/>
          <w:szCs w:val="24"/>
          <w:lang w:val="en-US"/>
        </w:rPr>
        <w:t>1407</w:t>
      </w: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b/>
          <w:bCs/>
          <w:sz w:val="24"/>
          <w:szCs w:val="24"/>
        </w:rPr>
      </w:pPr>
    </w:p>
    <w:p w:rsidR="00CE5E95" w:rsidRDefault="00CE5E95">
      <w:pPr>
        <w:pStyle w:val="Body"/>
        <w:ind w:right="237"/>
        <w:jc w:val="both"/>
        <w:rPr>
          <w:b/>
          <w:bCs/>
          <w:sz w:val="24"/>
          <w:szCs w:val="24"/>
          <w:lang w:val="en-US"/>
        </w:rPr>
      </w:pPr>
    </w:p>
    <w:p w:rsidR="00CE5E95" w:rsidRDefault="00C36809">
      <w:pPr>
        <w:pStyle w:val="Body"/>
        <w:ind w:right="237"/>
        <w:jc w:val="both"/>
      </w:pPr>
      <w:r>
        <w:rPr>
          <w:rFonts w:ascii="Arial Unicode MS" w:hAnsi="Arial Unicode MS"/>
          <w:sz w:val="24"/>
          <w:szCs w:val="24"/>
        </w:rPr>
        <w:br w:type="page"/>
      </w:r>
    </w:p>
    <w:p w:rsidR="00CE5E95" w:rsidRDefault="00C36809">
      <w:pPr>
        <w:pStyle w:val="Body"/>
        <w:ind w:right="237"/>
        <w:jc w:val="center"/>
        <w:rPr>
          <w:sz w:val="22"/>
          <w:szCs w:val="22"/>
        </w:rPr>
      </w:pPr>
      <w:r>
        <w:rPr>
          <w:b/>
          <w:bCs/>
          <w:sz w:val="22"/>
          <w:szCs w:val="22"/>
          <w:lang w:val="en-US"/>
        </w:rPr>
        <w:lastRenderedPageBreak/>
        <w:t>Task 3 (Component 1)</w:t>
      </w:r>
    </w:p>
    <w:p w:rsidR="00CE5E95" w:rsidRDefault="00CE5E95">
      <w:pPr>
        <w:pStyle w:val="Body"/>
        <w:ind w:right="237"/>
        <w:jc w:val="center"/>
        <w:rPr>
          <w:sz w:val="22"/>
          <w:szCs w:val="22"/>
        </w:rPr>
      </w:pPr>
    </w:p>
    <w:p w:rsidR="00CE5E95" w:rsidRDefault="00CE5E95">
      <w:pPr>
        <w:pStyle w:val="Body"/>
        <w:ind w:right="237"/>
        <w:jc w:val="center"/>
        <w:rPr>
          <w:b/>
          <w:bCs/>
          <w:sz w:val="24"/>
          <w:szCs w:val="24"/>
        </w:rPr>
      </w:pPr>
    </w:p>
    <w:p w:rsidR="00CE5E95" w:rsidRDefault="00CE5E95">
      <w:pPr>
        <w:pStyle w:val="Body"/>
        <w:ind w:right="237"/>
        <w:jc w:val="both"/>
        <w:rPr>
          <w:b/>
          <w:bCs/>
          <w:sz w:val="24"/>
          <w:szCs w:val="24"/>
        </w:rPr>
      </w:pPr>
    </w:p>
    <w:p w:rsidR="00CE5E95" w:rsidRDefault="00C36809">
      <w:pPr>
        <w:pStyle w:val="Body"/>
        <w:ind w:right="237"/>
        <w:jc w:val="both"/>
        <w:rPr>
          <w:b/>
          <w:bCs/>
          <w:sz w:val="24"/>
          <w:szCs w:val="24"/>
        </w:rPr>
      </w:pPr>
      <w:r>
        <w:rPr>
          <w:b/>
          <w:bCs/>
          <w:sz w:val="24"/>
          <w:szCs w:val="24"/>
          <w:lang w:val="en-US"/>
        </w:rPr>
        <w:t xml:space="preserve">Relevant areas of the National Policing Curriculum: </w:t>
      </w:r>
    </w:p>
    <w:p w:rsidR="00CE5E95" w:rsidRDefault="00C36809">
      <w:pPr>
        <w:pStyle w:val="Body"/>
        <w:ind w:right="237"/>
        <w:jc w:val="both"/>
        <w:rPr>
          <w:b/>
          <w:bCs/>
          <w:sz w:val="24"/>
          <w:szCs w:val="24"/>
        </w:rPr>
      </w:pPr>
      <w:r>
        <w:rPr>
          <w:b/>
          <w:bCs/>
          <w:sz w:val="24"/>
          <w:szCs w:val="24"/>
          <w:lang w:val="en-US"/>
        </w:rPr>
        <w:t xml:space="preserve">Conducting investigations (Interviewing suspects), communication skills, decision making and discretion, </w:t>
      </w:r>
    </w:p>
    <w:p w:rsidR="00CE5E95" w:rsidRDefault="00CE5E95">
      <w:pPr>
        <w:pStyle w:val="Body"/>
        <w:ind w:right="237"/>
        <w:jc w:val="both"/>
        <w:rPr>
          <w:sz w:val="24"/>
          <w:szCs w:val="24"/>
          <w:shd w:val="clear" w:color="auto" w:fill="FFFF00"/>
        </w:rPr>
      </w:pPr>
    </w:p>
    <w:p w:rsidR="00CE5E95" w:rsidRDefault="00C36809">
      <w:pPr>
        <w:pStyle w:val="Body"/>
        <w:ind w:right="237"/>
        <w:jc w:val="both"/>
        <w:rPr>
          <w:sz w:val="24"/>
          <w:szCs w:val="24"/>
        </w:rPr>
      </w:pPr>
      <w:r>
        <w:rPr>
          <w:sz w:val="24"/>
          <w:szCs w:val="24"/>
          <w:lang w:val="en-US"/>
        </w:rPr>
        <w:t xml:space="preserve">You must choose </w:t>
      </w:r>
      <w:r>
        <w:rPr>
          <w:b/>
          <w:bCs/>
          <w:sz w:val="24"/>
          <w:szCs w:val="24"/>
          <w:u w:val="single"/>
          <w:lang w:val="en-US"/>
        </w:rPr>
        <w:t>a suspect interview</w:t>
      </w:r>
      <w:r>
        <w:rPr>
          <w:b/>
          <w:bCs/>
          <w:sz w:val="24"/>
          <w:szCs w:val="24"/>
        </w:rPr>
        <w:t xml:space="preserve"> </w:t>
      </w:r>
      <w:r>
        <w:rPr>
          <w:sz w:val="24"/>
          <w:szCs w:val="24"/>
          <w:lang w:val="en-US"/>
        </w:rPr>
        <w:t xml:space="preserve">that you have </w:t>
      </w:r>
      <w:r>
        <w:rPr>
          <w:b/>
          <w:bCs/>
          <w:sz w:val="24"/>
          <w:szCs w:val="24"/>
          <w:u w:val="single"/>
          <w:lang w:val="en-US"/>
        </w:rPr>
        <w:t>been involved</w:t>
      </w:r>
      <w:r>
        <w:rPr>
          <w:sz w:val="24"/>
          <w:szCs w:val="24"/>
          <w:lang w:val="en-US"/>
        </w:rPr>
        <w:t xml:space="preserve"> and reflect on what happened. </w:t>
      </w:r>
    </w:p>
    <w:p w:rsidR="00CE5E95" w:rsidRDefault="00CE5E95">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CE5E95">
        <w:trPr>
          <w:trHeight w:val="448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Body"/>
              <w:ind w:right="237"/>
              <w:rPr>
                <w:sz w:val="24"/>
                <w:szCs w:val="24"/>
                <w:lang w:val="en-US"/>
              </w:rPr>
            </w:pPr>
          </w:p>
          <w:p w:rsidR="00CE5E95" w:rsidRDefault="00C36809">
            <w:pPr>
              <w:pStyle w:val="Body"/>
              <w:ind w:right="237"/>
              <w:jc w:val="both"/>
              <w:rPr>
                <w:sz w:val="24"/>
                <w:szCs w:val="24"/>
              </w:rPr>
            </w:pPr>
            <w:r>
              <w:rPr>
                <w:b/>
                <w:bCs/>
                <w:sz w:val="24"/>
                <w:szCs w:val="24"/>
                <w:lang w:val="en-US"/>
              </w:rPr>
              <w:t>Give a brief description</w:t>
            </w:r>
            <w:r>
              <w:rPr>
                <w:sz w:val="24"/>
                <w:szCs w:val="24"/>
                <w:lang w:val="en-US"/>
              </w:rPr>
              <w:t xml:space="preserve"> of a relevant incident including social and legislative contexts and any relevant cultural, ethnicity and language issues. </w:t>
            </w:r>
          </w:p>
          <w:p w:rsidR="00CE5E95" w:rsidRDefault="00CE5E95">
            <w:pPr>
              <w:pStyle w:val="Body"/>
              <w:ind w:right="237"/>
              <w:rPr>
                <w:sz w:val="24"/>
                <w:szCs w:val="24"/>
                <w:lang w:val="en-US"/>
              </w:rPr>
            </w:pPr>
          </w:p>
          <w:p w:rsidR="00CE5E95" w:rsidRDefault="00C36809">
            <w:pPr>
              <w:pStyle w:val="Body"/>
              <w:ind w:right="237"/>
              <w:rPr>
                <w:sz w:val="24"/>
                <w:szCs w:val="24"/>
              </w:rPr>
            </w:pPr>
            <w:r>
              <w:rPr>
                <w:sz w:val="24"/>
                <w:szCs w:val="24"/>
                <w:lang w:val="en-US"/>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b/>
                <w:bCs/>
                <w:sz w:val="24"/>
                <w:szCs w:val="24"/>
                <w:lang w:val="en-US"/>
              </w:rPr>
              <w:t>Illustrate</w:t>
            </w:r>
            <w:r>
              <w:rPr>
                <w:sz w:val="24"/>
                <w:szCs w:val="24"/>
                <w:lang w:val="en-US"/>
              </w:rPr>
              <w:t xml:space="preserve"> how policing values were engaged, as well as any other considerations including culturally sensitive practice and language preference.</w:t>
            </w:r>
          </w:p>
          <w:p w:rsidR="00CE5E95" w:rsidRDefault="00CE5E95">
            <w:pPr>
              <w:pStyle w:val="Body"/>
              <w:ind w:right="237"/>
              <w:rPr>
                <w:sz w:val="24"/>
                <w:szCs w:val="24"/>
                <w:lang w:val="en-US"/>
              </w:rPr>
            </w:pPr>
          </w:p>
          <w:p w:rsidR="00CE5E95" w:rsidRDefault="00CE5E95">
            <w:pPr>
              <w:pStyle w:val="Body"/>
              <w:ind w:right="237"/>
              <w:jc w:val="both"/>
              <w:rPr>
                <w:sz w:val="24"/>
                <w:szCs w:val="24"/>
                <w:lang w:val="en-US"/>
              </w:rPr>
            </w:pPr>
          </w:p>
          <w:p w:rsidR="00CE5E95" w:rsidRDefault="00C36809">
            <w:pPr>
              <w:pStyle w:val="Body"/>
              <w:ind w:right="237"/>
              <w:jc w:val="both"/>
            </w:pPr>
            <w:r>
              <w:rPr>
                <w:sz w:val="24"/>
                <w:szCs w:val="24"/>
                <w:lang w:val="en-US"/>
              </w:rPr>
              <w:t xml:space="preserve">1500 words </w:t>
            </w:r>
            <w:r>
              <w:rPr>
                <w:i/>
                <w:iCs/>
                <w:sz w:val="24"/>
                <w:szCs w:val="24"/>
                <w:lang w:val="en-US"/>
              </w:rPr>
              <w:t>(+/- 10%: include your actual word count at the end of each section)</w:t>
            </w:r>
          </w:p>
        </w:tc>
      </w:tr>
    </w:tbl>
    <w:p w:rsidR="00CE5E95" w:rsidRDefault="00CE5E95">
      <w:pPr>
        <w:pStyle w:val="Body"/>
        <w:widowControl w:val="0"/>
        <w:jc w:val="both"/>
        <w:rPr>
          <w:b/>
          <w:bCs/>
          <w:sz w:val="24"/>
          <w:szCs w:val="24"/>
        </w:rPr>
      </w:pPr>
    </w:p>
    <w:p w:rsidR="00CE5E95" w:rsidRDefault="00CE5E95">
      <w:pPr>
        <w:pStyle w:val="Body"/>
        <w:ind w:right="237"/>
        <w:jc w:val="both"/>
        <w:rPr>
          <w:sz w:val="24"/>
          <w:szCs w:val="24"/>
        </w:rPr>
      </w:pPr>
    </w:p>
    <w:p w:rsidR="00CE5E95" w:rsidRDefault="00C36809">
      <w:pPr>
        <w:pStyle w:val="Body"/>
        <w:ind w:right="237"/>
        <w:jc w:val="both"/>
        <w:rPr>
          <w:b/>
          <w:bCs/>
          <w:sz w:val="24"/>
          <w:szCs w:val="24"/>
        </w:rPr>
      </w:pPr>
      <w:r>
        <w:rPr>
          <w:b/>
          <w:bCs/>
          <w:sz w:val="24"/>
          <w:szCs w:val="24"/>
          <w:lang w:val="de-DE"/>
        </w:rPr>
        <w:t>ANSWER:</w:t>
      </w:r>
    </w:p>
    <w:p w:rsidR="00CE5E95" w:rsidRDefault="00CE5E95">
      <w:pPr>
        <w:pStyle w:val="Body"/>
        <w:ind w:right="237"/>
        <w:jc w:val="both"/>
        <w:rPr>
          <w:b/>
          <w:bCs/>
          <w:sz w:val="24"/>
          <w:szCs w:val="24"/>
        </w:rPr>
      </w:pPr>
    </w:p>
    <w:p w:rsidR="00CE5E95" w:rsidRDefault="00C36809">
      <w:pPr>
        <w:pStyle w:val="Body"/>
        <w:ind w:right="237"/>
        <w:jc w:val="both"/>
        <w:rPr>
          <w:sz w:val="24"/>
          <w:szCs w:val="24"/>
        </w:rPr>
      </w:pPr>
      <w:r>
        <w:rPr>
          <w:sz w:val="24"/>
          <w:szCs w:val="24"/>
          <w:lang w:val="en-US"/>
        </w:rPr>
        <w:t>My tutor and I were dispatched to deal with a matter in relation to allegations of criminal damage having been caused to several vehicles on a few different roads in the same neighbourhood. We were informed that a young male had been seen kicking the wing mirrors of several vehicles, and appeared to be under the influence or intoxicated. Under Section 1(1) Criminal Damage Act 1971, ‘a person who without lawful excuse destroys or damages any property belonging to another, intending to destroy or damage any such property, or being reckless as to whether any such property would be destroyed or damaged, shall be guilty of an offence’</w:t>
      </w:r>
      <w:r>
        <w:rPr>
          <w:sz w:val="24"/>
          <w:szCs w:val="24"/>
          <w:vertAlign w:val="superscript"/>
        </w:rPr>
        <w:footnoteReference w:id="11"/>
      </w:r>
      <w:r>
        <w:rPr>
          <w:sz w:val="24"/>
          <w:szCs w:val="24"/>
          <w:lang w:val="en-US"/>
        </w:rPr>
        <w:t>.</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On the way to the incident, I took time to briefly remind myself of the Code of Ethics</w:t>
      </w:r>
      <w:r>
        <w:rPr>
          <w:sz w:val="24"/>
          <w:szCs w:val="24"/>
          <w:vertAlign w:val="superscript"/>
        </w:rPr>
        <w:footnoteReference w:id="12"/>
      </w:r>
      <w:r>
        <w:rPr>
          <w:sz w:val="24"/>
          <w:szCs w:val="24"/>
          <w:lang w:val="en-US"/>
        </w:rPr>
        <w:t>, and in particular equality and diversity. I was conscious that the suspect was a young male and I would need to treat him with fairness and impartiality.</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lastRenderedPageBreak/>
        <w:t>We were updated on the way to the incident that someone was pursuing the boy in their car, having watched him damage a row of cars, and we arrived at the scene to find that the boy was in a dead-end road with the driver having stood in the way to prevent his escape. We arrested the young boy and conveyed him the Police Station. Guidance from the College of Policing states that ‘Custody Officers should assess the effect the alcohol has had on the individual so that they put the correct risk assessment and care plan in place for the detainee’.</w:t>
      </w:r>
      <w:r>
        <w:rPr>
          <w:sz w:val="24"/>
          <w:szCs w:val="24"/>
          <w:vertAlign w:val="superscript"/>
        </w:rPr>
        <w:footnoteReference w:id="13"/>
      </w:r>
      <w:r>
        <w:rPr>
          <w:sz w:val="24"/>
          <w:szCs w:val="24"/>
          <w:lang w:val="en-US"/>
        </w:rPr>
        <w:t xml:space="preserve"> As the suspect was clearly intoxicated he could not be interviewed straight away. Due to the late time of arrest, we agreed to take him to the cell for the night to sleep it off. We did not believe he required a health assessment, as he was able to walk and speak fairly clearly. We returned to take photographs of the damage which had been caused and planned to return the following day to take witness evidence. </w:t>
      </w:r>
    </w:p>
    <w:p w:rsidR="00CE5E95" w:rsidRDefault="00CE5E95">
      <w:pPr>
        <w:pStyle w:val="Body"/>
        <w:ind w:right="237"/>
        <w:jc w:val="both"/>
        <w:rPr>
          <w:sz w:val="24"/>
          <w:szCs w:val="24"/>
        </w:rPr>
      </w:pPr>
    </w:p>
    <w:p w:rsidR="00CE5E95" w:rsidRDefault="00C36809">
      <w:pPr>
        <w:pStyle w:val="Body"/>
        <w:ind w:right="237"/>
        <w:jc w:val="both"/>
        <w:rPr>
          <w:b/>
          <w:bCs/>
          <w:sz w:val="24"/>
          <w:szCs w:val="24"/>
        </w:rPr>
      </w:pPr>
      <w:r>
        <w:rPr>
          <w:sz w:val="24"/>
          <w:szCs w:val="24"/>
          <w:lang w:val="en-US"/>
        </w:rPr>
        <w:t xml:space="preserve">The following day, my tutor and I returned to the scene of the incident. I began taking statements from the victims and the witnesses. I spoke with them individually, engaging active listening skills whilst I made note of their disclosures. I was informed by two of the witnesses that there was CCTV outside their home. They said that they would be glad to provide this to me for the purposes of our investigation. I waited whilst this evidence was downloaded and provided to me.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My tutor and I then went back to the Police Station to prepare for the interview. Given the suspect was only 15 years old, an appropriate adult was required for the purpose of interview. During the time we had taken to gather the outstanding evidence, the suspect’s mother had been contacted to attend the Police Station and sit in on the interview to act as the appropriate adult.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Under 1.7(a)(i) PACE 1984 Code C, the appropriate adult in the case of a juvenile is ‘the parent, guardian or, if the juvenile is in the care of the local authority or voluntary organisation, a person representing that authority or organisation’</w:t>
      </w:r>
      <w:r>
        <w:rPr>
          <w:sz w:val="24"/>
          <w:szCs w:val="24"/>
          <w:vertAlign w:val="superscript"/>
        </w:rPr>
        <w:footnoteReference w:id="14"/>
      </w:r>
      <w:r>
        <w:rPr>
          <w:sz w:val="24"/>
          <w:szCs w:val="24"/>
          <w:lang w:val="en-US"/>
        </w:rPr>
        <w:t>.</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An appropriate adult was required in this instance, as the suspect was indeed a juvenile. It was appropriate for this to be his mother, as she had not been involved in the offence, was not a victim and was not a witness. His mother was in no way involved in the investigation.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Throughout this process, I reminded myself of the PEACE interview model and the National Decision Model</w:t>
      </w:r>
      <w:r>
        <w:rPr>
          <w:sz w:val="24"/>
          <w:szCs w:val="24"/>
          <w:vertAlign w:val="superscript"/>
        </w:rPr>
        <w:footnoteReference w:id="15"/>
      </w:r>
      <w:r>
        <w:rPr>
          <w:sz w:val="24"/>
          <w:szCs w:val="24"/>
          <w:lang w:val="en-US"/>
        </w:rPr>
        <w:t xml:space="preserve"> of ‘CIAPOAR'.</w:t>
      </w:r>
      <w:r>
        <w:rPr>
          <w:rFonts w:ascii="Arial Unicode MS" w:hAnsi="Arial Unicode MS"/>
          <w:sz w:val="24"/>
          <w:szCs w:val="24"/>
        </w:rPr>
        <w:br/>
      </w:r>
      <w:r>
        <w:rPr>
          <w:rFonts w:ascii="Arial Unicode MS" w:hAnsi="Arial Unicode MS"/>
          <w:sz w:val="24"/>
          <w:szCs w:val="24"/>
        </w:rPr>
        <w:br/>
      </w:r>
      <w:r>
        <w:rPr>
          <w:sz w:val="24"/>
          <w:szCs w:val="24"/>
          <w:lang w:val="en-US"/>
        </w:rPr>
        <w:t xml:space="preserve">Firstly, I searched the suspect’s details in Niche and found that this was his first offence. I thought that this might be appropriately dealt with by way of a caution, so I then considered the CPS guidance in relation to cautions. I noted that the damage to the vehicles had been low level, and mainly superficial. The Ministry of Justice Guidance states that ‘the simple caution scheme is designed to provide a means of </w:t>
      </w:r>
      <w:r>
        <w:rPr>
          <w:sz w:val="24"/>
          <w:szCs w:val="24"/>
          <w:lang w:val="en-US"/>
        </w:rPr>
        <w:lastRenderedPageBreak/>
        <w:t>dealing with low-level, mainly first-time, offending without prosecution'.</w:t>
      </w:r>
      <w:r>
        <w:rPr>
          <w:sz w:val="24"/>
          <w:szCs w:val="24"/>
          <w:vertAlign w:val="superscript"/>
        </w:rPr>
        <w:footnoteReference w:id="16"/>
      </w:r>
      <w:r>
        <w:rPr>
          <w:sz w:val="24"/>
          <w:szCs w:val="24"/>
          <w:lang w:val="en-US"/>
        </w:rPr>
        <w:t xml:space="preserve"> </w:t>
      </w:r>
      <w:r>
        <w:rPr>
          <w:rFonts w:ascii="Arial Unicode MS" w:hAnsi="Arial Unicode MS"/>
          <w:sz w:val="24"/>
          <w:szCs w:val="24"/>
        </w:rPr>
        <w:br/>
      </w:r>
      <w:r>
        <w:rPr>
          <w:rFonts w:ascii="Arial Unicode MS" w:hAnsi="Arial Unicode MS"/>
          <w:sz w:val="24"/>
          <w:szCs w:val="24"/>
        </w:rPr>
        <w:br/>
      </w:r>
      <w:r>
        <w:rPr>
          <w:sz w:val="24"/>
          <w:szCs w:val="24"/>
          <w:lang w:val="en-US"/>
        </w:rPr>
        <w:t xml:space="preserve">I then reminded myself of the pre-requisites: that the suspect would need to have admitted the offence and be willing to accept the caution. I explained this to the suspect’s mother before the interview and was content that this would be dealt with. There would also need to be sufficient evidence for a realistic prospect of conviction if he were prosecuted, and that it would not be an offence where prosecution would be in the public’s best interest. I had taken several witness statements and had CCTV which showed his face and the clothes he had been arrested in, and I did not believe there to be any wider public interest in pursuing prosecution. I was therefore satisfied that the criteria were met. </w:t>
      </w:r>
      <w:r>
        <w:rPr>
          <w:rFonts w:ascii="Arial Unicode MS" w:hAnsi="Arial Unicode MS"/>
          <w:sz w:val="24"/>
          <w:szCs w:val="24"/>
        </w:rPr>
        <w:br/>
      </w:r>
      <w:r>
        <w:rPr>
          <w:rFonts w:ascii="Arial Unicode MS" w:hAnsi="Arial Unicode MS"/>
          <w:sz w:val="24"/>
          <w:szCs w:val="24"/>
        </w:rPr>
        <w:br/>
      </w:r>
      <w:r>
        <w:rPr>
          <w:sz w:val="24"/>
          <w:szCs w:val="24"/>
          <w:lang w:val="en-US"/>
        </w:rPr>
        <w:t xml:space="preserve">I did consider whether a conditional caution or a community resolution may also be appropriate at this stage, but was satisfied that the matter was more serious than a community resolution and not serious enough for a conditional caution. </w:t>
      </w:r>
      <w:r>
        <w:rPr>
          <w:rFonts w:ascii="Arial Unicode MS" w:hAnsi="Arial Unicode MS"/>
          <w:sz w:val="24"/>
          <w:szCs w:val="24"/>
        </w:rPr>
        <w:br/>
      </w:r>
      <w:r>
        <w:rPr>
          <w:rFonts w:ascii="Arial Unicode MS" w:hAnsi="Arial Unicode MS"/>
          <w:sz w:val="24"/>
          <w:szCs w:val="24"/>
        </w:rPr>
        <w:br/>
      </w:r>
      <w:r>
        <w:rPr>
          <w:sz w:val="24"/>
          <w:szCs w:val="24"/>
          <w:lang w:val="en-US"/>
        </w:rPr>
        <w:t xml:space="preserve">Next, I researched the points which needed to be proved in order to find the offence of criminal damage had been committed on ‘Pocket Sergeant’. I made notes of the questions I intended to ask the suspect in order to cover these points. I checked these with my colleague who would be conducting the interview with me, and he confirmed that these were appropriate and necessary.  </w:t>
      </w:r>
      <w:r>
        <w:rPr>
          <w:rFonts w:ascii="Arial Unicode MS" w:hAnsi="Arial Unicode MS"/>
          <w:sz w:val="24"/>
          <w:szCs w:val="24"/>
        </w:rPr>
        <w:br/>
      </w:r>
      <w:r>
        <w:rPr>
          <w:rFonts w:ascii="Arial Unicode MS" w:hAnsi="Arial Unicode MS"/>
          <w:sz w:val="24"/>
          <w:szCs w:val="24"/>
        </w:rPr>
        <w:br/>
      </w:r>
      <w:r>
        <w:rPr>
          <w:sz w:val="24"/>
          <w:szCs w:val="24"/>
          <w:lang w:val="en-US"/>
        </w:rPr>
        <w:t xml:space="preserve">I then had to ensure that the appropriate adult had arrived. </w:t>
      </w:r>
    </w:p>
    <w:p w:rsidR="00CE5E95" w:rsidRDefault="00C36809">
      <w:pPr>
        <w:pStyle w:val="Body"/>
        <w:ind w:right="237"/>
        <w:jc w:val="both"/>
        <w:rPr>
          <w:sz w:val="24"/>
          <w:szCs w:val="24"/>
        </w:rPr>
      </w:pPr>
      <w:r>
        <w:rPr>
          <w:rFonts w:ascii="Arial Unicode MS" w:hAnsi="Arial Unicode MS"/>
          <w:sz w:val="24"/>
          <w:szCs w:val="24"/>
        </w:rPr>
        <w:br/>
      </w:r>
      <w:r>
        <w:rPr>
          <w:sz w:val="24"/>
          <w:szCs w:val="24"/>
          <w:lang w:val="en-US"/>
        </w:rPr>
        <w:t>Before the interview began, I first went to speak with the mother. I told the mother the reasons we had detained her son and that he would be cautionable if he admitted to having committed the offence we were questioning him about. I explained what her role would be as an appropriate adult. I took her through the Home Office Guide for Appropriate Adults 2011</w:t>
      </w:r>
      <w:r>
        <w:rPr>
          <w:sz w:val="24"/>
          <w:szCs w:val="24"/>
          <w:vertAlign w:val="superscript"/>
        </w:rPr>
        <w:footnoteReference w:id="17"/>
      </w:r>
      <w:r>
        <w:rPr>
          <w:sz w:val="24"/>
          <w:szCs w:val="24"/>
          <w:lang w:val="en-US"/>
        </w:rPr>
        <w:t>.</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I reminded her that she was not here to answer questions on behalf of her son, but merely to facilitate the interview by helping her son to understand our questions and offer him support where required. During this conversation, I tried to build a rapport in the hopes that it would assist us in getting through the interview without any issues. She confirmed that she had understood me, and was ready to begin.</w:t>
      </w:r>
      <w:r>
        <w:rPr>
          <w:rFonts w:ascii="Arial Unicode MS" w:hAnsi="Arial Unicode MS"/>
          <w:sz w:val="24"/>
          <w:szCs w:val="24"/>
        </w:rPr>
        <w:br/>
      </w:r>
      <w:r>
        <w:rPr>
          <w:rFonts w:ascii="Arial Unicode MS" w:hAnsi="Arial Unicode MS"/>
          <w:sz w:val="24"/>
          <w:szCs w:val="24"/>
        </w:rPr>
        <w:br/>
      </w:r>
      <w:r>
        <w:rPr>
          <w:sz w:val="24"/>
          <w:szCs w:val="24"/>
          <w:lang w:val="en-US"/>
        </w:rPr>
        <w:t>I took the mother through to the interview room, where the suspect was waiting with my colleague. In an age-appropriate manner, I explained to the suspect what would happen during the interview. I explained that this was his opportunity to provide his account. I read through the South Wales Police interview memo card. I explained that he would be interviewed under caution, and checked that he understood what this meant.</w:t>
      </w:r>
      <w:r>
        <w:rPr>
          <w:rFonts w:ascii="Arial Unicode MS" w:hAnsi="Arial Unicode MS"/>
          <w:sz w:val="24"/>
          <w:szCs w:val="24"/>
        </w:rPr>
        <w:br/>
      </w:r>
      <w:r>
        <w:rPr>
          <w:rFonts w:ascii="Arial Unicode MS" w:hAnsi="Arial Unicode MS"/>
          <w:sz w:val="24"/>
          <w:szCs w:val="24"/>
        </w:rPr>
        <w:br/>
      </w:r>
      <w:r>
        <w:rPr>
          <w:sz w:val="24"/>
          <w:szCs w:val="24"/>
          <w:lang w:val="en-US"/>
        </w:rPr>
        <w:t xml:space="preserve">Once I had explained the process of the interview and the caution, my colleague and I began to question the suspect. I asked the suspect for his account of what had happened and how the damage had come to be caused to the vehicles. He initially </w:t>
      </w:r>
      <w:r>
        <w:rPr>
          <w:sz w:val="24"/>
          <w:szCs w:val="24"/>
          <w:lang w:val="en-US"/>
        </w:rPr>
        <w:lastRenderedPageBreak/>
        <w:t xml:space="preserve">told me that he had not done anything. He said that he had been drinking with friends and had then left, and whilst walking home had been followed by a male in a car. He said that he had then been cornered in a dead-end road, and we had then arrived at the scene. </w:t>
      </w:r>
      <w:r>
        <w:rPr>
          <w:rFonts w:ascii="Arial Unicode MS" w:hAnsi="Arial Unicode MS"/>
          <w:sz w:val="24"/>
          <w:szCs w:val="24"/>
        </w:rPr>
        <w:br/>
      </w:r>
      <w:r>
        <w:rPr>
          <w:rFonts w:ascii="Arial Unicode MS" w:hAnsi="Arial Unicode MS"/>
          <w:sz w:val="24"/>
          <w:szCs w:val="24"/>
        </w:rPr>
        <w:br/>
      </w:r>
      <w:r>
        <w:rPr>
          <w:sz w:val="24"/>
          <w:szCs w:val="24"/>
          <w:lang w:val="en-US"/>
        </w:rPr>
        <w:t xml:space="preserve">After taking the suspect’s account, we started to ask questions in relation to where he had been and how much alcohol he had consumed. He told us that he had consumed two litres of neat vodka. It was clear to me that this was a plain lie, and I reminded him that he was being interviewed under caution and should be honest. I also took this opportunity to explain that we had CCTV footage of him damaging the cars. We played one of the videos to him, which clearly showed his face and the clothing he was arrested in. Having considered the evidence we held, the suspect then admitted to the offence of criminal damage. </w:t>
      </w:r>
      <w:r>
        <w:rPr>
          <w:rFonts w:ascii="Arial Unicode MS" w:hAnsi="Arial Unicode MS"/>
          <w:sz w:val="24"/>
          <w:szCs w:val="24"/>
        </w:rPr>
        <w:br/>
      </w:r>
      <w:r>
        <w:rPr>
          <w:rFonts w:ascii="Arial Unicode MS" w:hAnsi="Arial Unicode MS"/>
          <w:sz w:val="24"/>
          <w:szCs w:val="24"/>
        </w:rPr>
        <w:br/>
      </w:r>
      <w:r>
        <w:rPr>
          <w:sz w:val="24"/>
          <w:szCs w:val="24"/>
          <w:lang w:val="en-US"/>
        </w:rPr>
        <w:t xml:space="preserve">As the interview was concluding, I summarised the outcome and next steps. I asked him whether there was anything else he wished to add at this stage. He confirmed that there was nothing further he wished to say and was simply glad it was over, as was his mother who had behaved appropriately throughout. </w:t>
      </w:r>
      <w:r>
        <w:rPr>
          <w:rFonts w:ascii="Arial Unicode MS" w:hAnsi="Arial Unicode MS"/>
          <w:sz w:val="24"/>
          <w:szCs w:val="24"/>
        </w:rPr>
        <w:br/>
      </w:r>
      <w:r>
        <w:rPr>
          <w:rFonts w:ascii="Arial Unicode MS" w:hAnsi="Arial Unicode MS"/>
          <w:sz w:val="24"/>
          <w:szCs w:val="24"/>
        </w:rPr>
        <w:br/>
      </w:r>
      <w:r>
        <w:rPr>
          <w:sz w:val="24"/>
          <w:szCs w:val="24"/>
          <w:lang w:val="en-US"/>
        </w:rPr>
        <w:t xml:space="preserve">We ended the interview tape and I led him to the custody desk so we could update the Sergeant. </w:t>
      </w:r>
      <w:r>
        <w:rPr>
          <w:rFonts w:ascii="Arial Unicode MS" w:hAnsi="Arial Unicode MS"/>
          <w:sz w:val="24"/>
          <w:szCs w:val="24"/>
        </w:rPr>
        <w:br/>
      </w:r>
      <w:r>
        <w:rPr>
          <w:rFonts w:ascii="Arial Unicode MS" w:hAnsi="Arial Unicode MS"/>
          <w:sz w:val="24"/>
          <w:szCs w:val="24"/>
        </w:rPr>
        <w:br/>
      </w:r>
      <w:r>
        <w:rPr>
          <w:sz w:val="24"/>
          <w:szCs w:val="24"/>
          <w:lang w:val="en-US"/>
        </w:rPr>
        <w:t>I explained to the Sergeant our decision to offer a caution, and that he had admitted to causing criminal damage during the interview. The Sergeant agreed that this decision was appropriate in the circumstances and updated the system.</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Upon review of this matter, I think that we achieved the best outcome for the suspect. He admitted to having caused the offence and was therefore eligible for caution. The purpose of a caution is to deal with these low-level matters, whilst also inputting details of the event in our records. If he were to commit another offence, it is possible he will not receive another caution. Due to his young age, and his mother having to attend the Police Station and witness her son being interviewed, I hope that this will serve as a warning to him to make the necessary adjustments to his offending behaviour. </w:t>
      </w:r>
    </w:p>
    <w:p w:rsidR="00CE5E95" w:rsidRDefault="00CE5E95">
      <w:pPr>
        <w:pStyle w:val="Body"/>
        <w:ind w:right="237"/>
        <w:jc w:val="both"/>
        <w:rPr>
          <w:sz w:val="24"/>
          <w:szCs w:val="24"/>
        </w:rPr>
      </w:pPr>
    </w:p>
    <w:p w:rsidR="00CE5E95" w:rsidRDefault="00C36809">
      <w:pPr>
        <w:pStyle w:val="Body"/>
        <w:ind w:right="237"/>
        <w:jc w:val="both"/>
        <w:rPr>
          <w:b/>
          <w:bCs/>
          <w:sz w:val="24"/>
          <w:szCs w:val="24"/>
        </w:rPr>
      </w:pPr>
      <w:r>
        <w:rPr>
          <w:b/>
          <w:bCs/>
          <w:sz w:val="24"/>
          <w:szCs w:val="24"/>
          <w:lang w:val="en-US"/>
        </w:rPr>
        <w:t>1568</w:t>
      </w: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b/>
          <w:bCs/>
          <w:sz w:val="24"/>
          <w:szCs w:val="24"/>
        </w:rPr>
      </w:pPr>
    </w:p>
    <w:p w:rsidR="00CE5E95" w:rsidRDefault="00C36809">
      <w:pPr>
        <w:pStyle w:val="Body"/>
        <w:ind w:right="237"/>
      </w:pPr>
      <w:r>
        <w:rPr>
          <w:rFonts w:ascii="Arial Unicode MS" w:hAnsi="Arial Unicode MS"/>
        </w:rPr>
        <w:br w:type="page"/>
      </w:r>
    </w:p>
    <w:p w:rsidR="00CE5E95" w:rsidRDefault="00CE5E95">
      <w:pPr>
        <w:pStyle w:val="Body"/>
        <w:ind w:right="237"/>
        <w:jc w:val="both"/>
        <w:rPr>
          <w:sz w:val="24"/>
          <w:szCs w:val="24"/>
        </w:rPr>
      </w:pPr>
    </w:p>
    <w:p w:rsidR="00CE5E95" w:rsidRDefault="00C36809">
      <w:pPr>
        <w:pStyle w:val="Body"/>
        <w:ind w:right="237"/>
        <w:jc w:val="center"/>
        <w:rPr>
          <w:sz w:val="22"/>
          <w:szCs w:val="22"/>
        </w:rPr>
      </w:pPr>
      <w:r>
        <w:rPr>
          <w:b/>
          <w:bCs/>
          <w:sz w:val="22"/>
          <w:szCs w:val="22"/>
          <w:lang w:val="en-US"/>
        </w:rPr>
        <w:t>Task 4 (Component 2)</w:t>
      </w:r>
    </w:p>
    <w:p w:rsidR="00CE5E95" w:rsidRDefault="00CE5E95">
      <w:pPr>
        <w:pStyle w:val="Body"/>
        <w:ind w:right="237"/>
        <w:jc w:val="center"/>
        <w:rPr>
          <w:b/>
          <w:bCs/>
          <w:sz w:val="24"/>
          <w:szCs w:val="24"/>
        </w:rPr>
      </w:pPr>
    </w:p>
    <w:p w:rsidR="00CE5E95" w:rsidRDefault="00C36809">
      <w:pPr>
        <w:pStyle w:val="Body"/>
        <w:ind w:right="237"/>
        <w:jc w:val="both"/>
        <w:rPr>
          <w:b/>
          <w:bCs/>
          <w:sz w:val="24"/>
          <w:szCs w:val="24"/>
        </w:rPr>
      </w:pPr>
      <w:r>
        <w:rPr>
          <w:b/>
          <w:bCs/>
          <w:sz w:val="24"/>
          <w:szCs w:val="24"/>
          <w:lang w:val="en-US"/>
        </w:rPr>
        <w:t xml:space="preserve">Relevant areas of the National Policing Curriculum: </w:t>
      </w:r>
    </w:p>
    <w:p w:rsidR="00CE5E95" w:rsidRDefault="00C36809">
      <w:pPr>
        <w:pStyle w:val="Body"/>
        <w:ind w:right="237"/>
        <w:jc w:val="both"/>
        <w:rPr>
          <w:b/>
          <w:bCs/>
          <w:sz w:val="24"/>
          <w:szCs w:val="24"/>
        </w:rPr>
      </w:pPr>
      <w:r>
        <w:rPr>
          <w:b/>
          <w:bCs/>
          <w:sz w:val="24"/>
          <w:szCs w:val="24"/>
          <w:lang w:val="en-US"/>
        </w:rPr>
        <w:t>Problem solving, evidence-based policing, understanding the police constable role, policing communities and decision making and discretion.</w:t>
      </w:r>
    </w:p>
    <w:p w:rsidR="00CE5E95" w:rsidRDefault="00CE5E95">
      <w:pPr>
        <w:pStyle w:val="Body"/>
        <w:ind w:right="237"/>
        <w:jc w:val="both"/>
        <w:rPr>
          <w:sz w:val="24"/>
          <w:szCs w:val="24"/>
          <w:shd w:val="clear" w:color="auto" w:fill="FFFF00"/>
        </w:rPr>
      </w:pPr>
    </w:p>
    <w:p w:rsidR="00CE5E95" w:rsidRDefault="00C36809">
      <w:pPr>
        <w:pStyle w:val="Body"/>
        <w:ind w:right="237"/>
        <w:jc w:val="both"/>
        <w:rPr>
          <w:sz w:val="24"/>
          <w:szCs w:val="24"/>
        </w:rPr>
      </w:pPr>
      <w:r>
        <w:rPr>
          <w:sz w:val="24"/>
          <w:szCs w:val="24"/>
          <w:lang w:val="en-US"/>
        </w:rPr>
        <w:t xml:space="preserve">You must choose </w:t>
      </w:r>
      <w:r>
        <w:rPr>
          <w:b/>
          <w:bCs/>
          <w:sz w:val="24"/>
          <w:szCs w:val="24"/>
          <w:u w:val="single"/>
          <w:lang w:val="es-ES_tradnl"/>
        </w:rPr>
        <w:t>an incident</w:t>
      </w:r>
      <w:r>
        <w:rPr>
          <w:b/>
          <w:bCs/>
          <w:sz w:val="24"/>
          <w:szCs w:val="24"/>
        </w:rPr>
        <w:t xml:space="preserve"> </w:t>
      </w:r>
      <w:r>
        <w:rPr>
          <w:sz w:val="24"/>
          <w:szCs w:val="24"/>
          <w:lang w:val="en-US"/>
        </w:rPr>
        <w:t>that you been involved in with an offender/service</w:t>
      </w:r>
      <w:r>
        <w:rPr>
          <w:b/>
          <w:bCs/>
          <w:sz w:val="24"/>
          <w:szCs w:val="24"/>
        </w:rPr>
        <w:t xml:space="preserve"> </w:t>
      </w:r>
      <w:r>
        <w:rPr>
          <w:sz w:val="24"/>
          <w:szCs w:val="24"/>
          <w:lang w:val="en-US"/>
        </w:rPr>
        <w:t xml:space="preserve">user/victim and reflect on what happened. </w:t>
      </w:r>
    </w:p>
    <w:p w:rsidR="00CE5E95" w:rsidRDefault="00CE5E95">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CE5E95">
        <w:trPr>
          <w:trHeight w:val="756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pPr>
              <w:pStyle w:val="TableParagraph"/>
              <w:tabs>
                <w:tab w:val="left" w:pos="355"/>
              </w:tabs>
              <w:ind w:left="0" w:right="237"/>
              <w:rPr>
                <w:sz w:val="24"/>
                <w:szCs w:val="24"/>
              </w:rPr>
            </w:pPr>
          </w:p>
          <w:p w:rsidR="00CE5E95" w:rsidRDefault="00C36809">
            <w:pPr>
              <w:pStyle w:val="Body"/>
              <w:ind w:right="237"/>
              <w:jc w:val="both"/>
              <w:rPr>
                <w:sz w:val="24"/>
                <w:szCs w:val="24"/>
              </w:rPr>
            </w:pPr>
            <w:r>
              <w:rPr>
                <w:b/>
                <w:bCs/>
                <w:sz w:val="24"/>
                <w:szCs w:val="24"/>
                <w:lang w:val="en-US"/>
              </w:rPr>
              <w:t>Give a brief description</w:t>
            </w:r>
            <w:r>
              <w:rPr>
                <w:sz w:val="24"/>
                <w:szCs w:val="24"/>
                <w:lang w:val="en-US"/>
              </w:rPr>
              <w:t xml:space="preserve"> of the situation including social and legislative contexts and any relevant cultural, ethnicity and language issues. </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b/>
                <w:bCs/>
                <w:sz w:val="24"/>
                <w:szCs w:val="24"/>
                <w:lang w:val="en-US"/>
              </w:rPr>
              <w:t>Consider</w:t>
            </w:r>
            <w:r>
              <w:rPr>
                <w:sz w:val="24"/>
                <w:szCs w:val="24"/>
                <w:lang w:val="en-US"/>
              </w:rPr>
              <w:t xml:space="preserve"> how the anti-social behaviour impacted the local community and what constitutes effective and appropriate police action. </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b/>
                <w:bCs/>
                <w:sz w:val="24"/>
                <w:szCs w:val="24"/>
                <w:lang w:val="en-US"/>
              </w:rPr>
              <w:t>Outline</w:t>
            </w:r>
            <w:r>
              <w:rPr>
                <w:sz w:val="24"/>
                <w:szCs w:val="24"/>
                <w:lang w:val="en-US"/>
              </w:rPr>
              <w:t xml:space="preserve"> your responsibilities when responding to anti-social behaviour (including enforcement, prevention activity and partnership activity). </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b/>
                <w:bCs/>
                <w:sz w:val="24"/>
                <w:szCs w:val="24"/>
                <w:lang w:val="en-US"/>
              </w:rPr>
              <w:t>Illustrate</w:t>
            </w:r>
            <w:r>
              <w:rPr>
                <w:sz w:val="24"/>
                <w:szCs w:val="24"/>
                <w:lang w:val="en-US"/>
              </w:rPr>
              <w:t xml:space="preserve"> how policing values were engaged particularly through an </w:t>
            </w:r>
            <w:r>
              <w:rPr>
                <w:b/>
                <w:bCs/>
                <w:sz w:val="24"/>
                <w:szCs w:val="24"/>
                <w:lang w:val="en-US"/>
              </w:rPr>
              <w:t>analysis</w:t>
            </w:r>
            <w:r>
              <w:rPr>
                <w:sz w:val="24"/>
                <w:szCs w:val="24"/>
                <w:lang w:val="en-US"/>
              </w:rPr>
              <w:t xml:space="preserve"> of the potential impact of bias on the decision-making process.</w:t>
            </w:r>
          </w:p>
          <w:p w:rsidR="00CE5E95" w:rsidRDefault="00CE5E95">
            <w:pPr>
              <w:pStyle w:val="Body"/>
              <w:ind w:right="237"/>
              <w:jc w:val="both"/>
              <w:rPr>
                <w:sz w:val="24"/>
                <w:szCs w:val="24"/>
                <w:lang w:val="en-US"/>
              </w:rPr>
            </w:pPr>
          </w:p>
          <w:p w:rsidR="00CE5E95" w:rsidRDefault="00C36809">
            <w:pPr>
              <w:pStyle w:val="Body"/>
              <w:ind w:right="237"/>
              <w:jc w:val="both"/>
              <w:rPr>
                <w:sz w:val="24"/>
                <w:szCs w:val="24"/>
              </w:rPr>
            </w:pPr>
            <w:r>
              <w:rPr>
                <w:sz w:val="24"/>
                <w:szCs w:val="24"/>
                <w:lang w:val="en-US"/>
              </w:rPr>
              <w:t>Considering your experience to date, reflect on any aspect of problem solving, evidence based policing, decision making and discretion which may impact upon wider police community relations.</w:t>
            </w:r>
          </w:p>
          <w:p w:rsidR="00CE5E95" w:rsidRDefault="00CE5E95">
            <w:pPr>
              <w:pStyle w:val="Body"/>
              <w:ind w:right="237"/>
              <w:jc w:val="both"/>
              <w:rPr>
                <w:sz w:val="24"/>
                <w:szCs w:val="24"/>
                <w:lang w:val="en-US"/>
              </w:rPr>
            </w:pPr>
          </w:p>
          <w:p w:rsidR="00CE5E95" w:rsidRDefault="00C36809">
            <w:pPr>
              <w:pStyle w:val="Body"/>
              <w:ind w:right="237"/>
              <w:jc w:val="both"/>
              <w:rPr>
                <w:b/>
                <w:bCs/>
                <w:sz w:val="24"/>
                <w:szCs w:val="24"/>
              </w:rPr>
            </w:pPr>
            <w:r>
              <w:rPr>
                <w:b/>
                <w:bCs/>
                <w:sz w:val="24"/>
                <w:szCs w:val="24"/>
                <w:lang w:val="en-US"/>
              </w:rPr>
              <w:t>For example:</w:t>
            </w:r>
          </w:p>
          <w:p w:rsidR="00CE5E95" w:rsidRDefault="00CE5E95">
            <w:pPr>
              <w:pStyle w:val="Body"/>
              <w:ind w:right="237"/>
              <w:jc w:val="both"/>
              <w:rPr>
                <w:sz w:val="24"/>
                <w:szCs w:val="24"/>
                <w:lang w:val="en-US"/>
              </w:rPr>
            </w:pPr>
          </w:p>
          <w:p w:rsidR="00CE5E95" w:rsidRDefault="00C36809">
            <w:pPr>
              <w:pStyle w:val="Body"/>
              <w:ind w:right="237"/>
              <w:jc w:val="both"/>
              <w:rPr>
                <w:i/>
                <w:iCs/>
                <w:sz w:val="24"/>
                <w:szCs w:val="24"/>
              </w:rPr>
            </w:pPr>
            <w:r>
              <w:rPr>
                <w:i/>
                <w:iCs/>
                <w:sz w:val="24"/>
                <w:szCs w:val="24"/>
                <w:lang w:val="en-US"/>
              </w:rPr>
              <w:t>How has your experience of policing the night time economy influenced your    perception of the wider community?</w:t>
            </w:r>
          </w:p>
          <w:p w:rsidR="00CE5E95" w:rsidRDefault="00CE5E95">
            <w:pPr>
              <w:pStyle w:val="Body"/>
              <w:ind w:right="237"/>
              <w:jc w:val="both"/>
              <w:rPr>
                <w:i/>
                <w:iCs/>
                <w:sz w:val="24"/>
                <w:szCs w:val="24"/>
                <w:lang w:val="en-US"/>
              </w:rPr>
            </w:pPr>
          </w:p>
          <w:p w:rsidR="00CE5E95" w:rsidRDefault="00C36809">
            <w:pPr>
              <w:pStyle w:val="Body"/>
              <w:ind w:right="237"/>
              <w:jc w:val="both"/>
              <w:rPr>
                <w:i/>
                <w:iCs/>
                <w:sz w:val="24"/>
                <w:szCs w:val="24"/>
              </w:rPr>
            </w:pPr>
            <w:r>
              <w:rPr>
                <w:i/>
                <w:iCs/>
                <w:sz w:val="24"/>
                <w:szCs w:val="24"/>
                <w:lang w:val="en-US"/>
              </w:rPr>
              <w:t>Other examples relating to your experiences would be equally valid.</w:t>
            </w:r>
          </w:p>
          <w:p w:rsidR="00CE5E95" w:rsidRDefault="00CE5E95">
            <w:pPr>
              <w:pStyle w:val="Body"/>
              <w:ind w:right="237"/>
              <w:jc w:val="both"/>
              <w:rPr>
                <w:sz w:val="24"/>
                <w:szCs w:val="24"/>
                <w:lang w:val="en-US"/>
              </w:rPr>
            </w:pPr>
          </w:p>
          <w:p w:rsidR="00CE5E95" w:rsidRDefault="00CE5E95">
            <w:pPr>
              <w:pStyle w:val="Body"/>
              <w:ind w:right="237"/>
              <w:rPr>
                <w:sz w:val="24"/>
                <w:szCs w:val="24"/>
                <w:lang w:val="en-US"/>
              </w:rPr>
            </w:pPr>
          </w:p>
          <w:p w:rsidR="00CE5E95" w:rsidRDefault="00CE5E95">
            <w:pPr>
              <w:pStyle w:val="Body"/>
              <w:ind w:right="237"/>
              <w:jc w:val="both"/>
              <w:rPr>
                <w:sz w:val="24"/>
                <w:szCs w:val="24"/>
                <w:lang w:val="en-US"/>
              </w:rPr>
            </w:pPr>
          </w:p>
          <w:p w:rsidR="00CE5E95" w:rsidRDefault="00C36809">
            <w:pPr>
              <w:pStyle w:val="Body"/>
              <w:ind w:right="237"/>
              <w:jc w:val="both"/>
            </w:pPr>
            <w:r>
              <w:rPr>
                <w:sz w:val="24"/>
                <w:szCs w:val="24"/>
                <w:lang w:val="en-US"/>
              </w:rPr>
              <w:t xml:space="preserve">2400 words </w:t>
            </w:r>
            <w:r>
              <w:rPr>
                <w:i/>
                <w:iCs/>
                <w:sz w:val="24"/>
                <w:szCs w:val="24"/>
                <w:lang w:val="en-US"/>
              </w:rPr>
              <w:t>(+/- 10%: include your actual word count at the end of each section)</w:t>
            </w:r>
          </w:p>
        </w:tc>
      </w:tr>
      <w:tr w:rsidR="00CE5E95">
        <w:trPr>
          <w:trHeight w:val="28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rsidR="00CE5E95" w:rsidRDefault="00CE5E95"/>
        </w:tc>
      </w:tr>
    </w:tbl>
    <w:p w:rsidR="00CE5E95" w:rsidRDefault="00CE5E95">
      <w:pPr>
        <w:pStyle w:val="Body"/>
        <w:widowControl w:val="0"/>
        <w:jc w:val="both"/>
        <w:rPr>
          <w:b/>
          <w:bCs/>
          <w:sz w:val="24"/>
          <w:szCs w:val="24"/>
        </w:rPr>
      </w:pPr>
    </w:p>
    <w:p w:rsidR="00CE5E95" w:rsidRDefault="00CE5E95">
      <w:pPr>
        <w:pStyle w:val="Body"/>
        <w:ind w:right="237"/>
        <w:jc w:val="both"/>
        <w:rPr>
          <w:sz w:val="24"/>
          <w:szCs w:val="24"/>
        </w:rPr>
      </w:pPr>
    </w:p>
    <w:p w:rsidR="00CE5E95" w:rsidRDefault="00C36809">
      <w:pPr>
        <w:pStyle w:val="Body"/>
        <w:ind w:right="237"/>
        <w:jc w:val="both"/>
        <w:rPr>
          <w:b/>
          <w:bCs/>
          <w:sz w:val="24"/>
          <w:szCs w:val="24"/>
        </w:rPr>
      </w:pPr>
      <w:r>
        <w:rPr>
          <w:b/>
          <w:bCs/>
          <w:sz w:val="24"/>
          <w:szCs w:val="24"/>
          <w:lang w:val="de-DE"/>
        </w:rPr>
        <w:t>ANSWER:</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My tutor and I were asked to attend an incident at a local block of flats, whereby several neighbours had reported loud noises and shouting by one of their neighbours late at night. This was contrary to Section 4a of the Public Order Act 1986</w:t>
      </w:r>
      <w:r>
        <w:rPr>
          <w:sz w:val="24"/>
          <w:szCs w:val="24"/>
          <w:vertAlign w:val="superscript"/>
        </w:rPr>
        <w:footnoteReference w:id="18"/>
      </w:r>
      <w:r>
        <w:rPr>
          <w:sz w:val="24"/>
          <w:szCs w:val="24"/>
          <w:lang w:val="en-US"/>
        </w:rPr>
        <w:t xml:space="preserve">. We were informed that Police Community Support Officers (PCSOs) were </w:t>
      </w:r>
      <w:r>
        <w:rPr>
          <w:sz w:val="24"/>
          <w:szCs w:val="24"/>
          <w:lang w:val="en-US"/>
        </w:rPr>
        <w:lastRenderedPageBreak/>
        <w:t>already in attendance, as the block of flats was notorious for anti-social behaviour complaints, and they ensured that they regularly passed the block of flats during their patrols. They required our attendance on this occasion, as they did not have powers of arrest, and they felt that if matters escalated then they would require our support and assistance.</w:t>
      </w:r>
    </w:p>
    <w:p w:rsidR="00CE5E95" w:rsidRDefault="00C36809">
      <w:pPr>
        <w:pStyle w:val="Body"/>
        <w:ind w:right="237"/>
        <w:jc w:val="both"/>
        <w:rPr>
          <w:sz w:val="24"/>
          <w:szCs w:val="24"/>
        </w:rPr>
      </w:pPr>
      <w:r>
        <w:rPr>
          <w:sz w:val="24"/>
          <w:szCs w:val="24"/>
          <w:lang w:val="en-US"/>
        </w:rPr>
        <w:t xml:space="preserve"> </w:t>
      </w:r>
    </w:p>
    <w:p w:rsidR="00CE5E95" w:rsidRDefault="00C36809">
      <w:pPr>
        <w:pStyle w:val="Body"/>
        <w:ind w:right="237"/>
        <w:jc w:val="both"/>
        <w:rPr>
          <w:sz w:val="24"/>
          <w:szCs w:val="24"/>
        </w:rPr>
      </w:pPr>
      <w:r>
        <w:rPr>
          <w:sz w:val="24"/>
          <w:szCs w:val="24"/>
          <w:lang w:val="en-US"/>
        </w:rPr>
        <w:t>The College of Policing notes that ‘in encounters with the police, research indicates that the quality of the treatment received is more important than the objective outcome. However, while personal treatment appears to be valued over criminal justice outcomes, an inadequate police response to an incident may have a significant impact on the confidence in the community’</w:t>
      </w:r>
      <w:r>
        <w:rPr>
          <w:sz w:val="24"/>
          <w:szCs w:val="24"/>
          <w:vertAlign w:val="superscript"/>
        </w:rPr>
        <w:footnoteReference w:id="19"/>
      </w:r>
      <w:r>
        <w:rPr>
          <w:sz w:val="24"/>
          <w:szCs w:val="24"/>
          <w:lang w:val="en-US"/>
        </w:rPr>
        <w:t>. It also states that ‘evidence has indicated that the potential benefits of effective community engagement include an increase in public perceptions of safety, a tendency towards a reduction in disorder and anti-social behaviour, an increase in confidence and trust, and in community perceptions of the police’</w:t>
      </w:r>
      <w:r>
        <w:rPr>
          <w:sz w:val="24"/>
          <w:szCs w:val="24"/>
          <w:vertAlign w:val="superscript"/>
        </w:rPr>
        <w:footnoteReference w:id="20"/>
      </w:r>
      <w:r>
        <w:rPr>
          <w:sz w:val="24"/>
          <w:szCs w:val="24"/>
          <w:lang w:val="en-US"/>
        </w:rPr>
        <w:t xml:space="preserve">.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It is only with the engagement of the public that matters are brought to our attention, and with their cooperation we are able to appropriately record and respond. The College of Policing also states that ‘without the cooperation of the public, policing in developed democracies would become essentially unworkable … evidence has shown that the effective community engagement, targeted foot patrols and collaborative problem solving and significantly increase public confidence in policing activity’.</w:t>
      </w:r>
      <w:r>
        <w:rPr>
          <w:sz w:val="24"/>
          <w:szCs w:val="24"/>
          <w:vertAlign w:val="superscript"/>
        </w:rPr>
        <w:footnoteReference w:id="21"/>
      </w:r>
      <w:r>
        <w:rPr>
          <w:sz w:val="24"/>
          <w:szCs w:val="24"/>
          <w:lang w:val="en-US"/>
        </w:rPr>
        <w:t xml:space="preserve">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Whilst we did not want to cause any potential fear or disruption to the community by attending the incident, we also had to have a presence and play a supporting role to our colleagues as we did not know if there would be a wider impact to the community. For example, if an altercation broke out and we were not on hand to intervene and make arrests, then the community may believe that we had not done enough after the issue was initially reported to us. However, if we attended and were not required then they may believe that we were perhaps intimidating them or ‘making a mountain of a mole hill’. It was a difficult decision to make, and I believed that the PCSOs had done the right thing by attempting to deal with matters themselves, in a calm and community-focused way, before reporting that they required our assistance.</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 xml:space="preserve">If matters are dealt with efficiently, for example by warning or arresting the suspect, it is likely to cause him and other neighbours to think twice about acting in this way in the future. In order to problem solve, we are asked to apply the five-step OSARA model: identifying the objective, ‘scanning’ or gathering information, analysis by way of the problem analysis triangle, responding based on that analysis and then assessing. I will deal with my use of these elements below. </w:t>
      </w:r>
    </w:p>
    <w:p w:rsidR="00CE5E95" w:rsidRDefault="00CE5E95">
      <w:pPr>
        <w:pStyle w:val="Body"/>
        <w:ind w:right="237"/>
        <w:jc w:val="both"/>
        <w:rPr>
          <w:sz w:val="24"/>
          <w:szCs w:val="24"/>
        </w:rPr>
      </w:pPr>
    </w:p>
    <w:p w:rsidR="00CE5E95" w:rsidRDefault="00C36809">
      <w:pPr>
        <w:pStyle w:val="Body"/>
        <w:ind w:right="237"/>
        <w:jc w:val="both"/>
        <w:rPr>
          <w:rStyle w:val="None"/>
          <w:sz w:val="24"/>
          <w:szCs w:val="24"/>
        </w:rPr>
      </w:pPr>
      <w:r>
        <w:rPr>
          <w:sz w:val="24"/>
          <w:szCs w:val="24"/>
          <w:lang w:val="en-US"/>
        </w:rPr>
        <w:lastRenderedPageBreak/>
        <w:t>Due to the fact that we were attending a potentially large group of people, I also reminded myself of the current Covid-19 guidance</w:t>
      </w:r>
      <w:r>
        <w:rPr>
          <w:sz w:val="24"/>
          <w:szCs w:val="24"/>
          <w:vertAlign w:val="superscript"/>
        </w:rPr>
        <w:footnoteReference w:id="22"/>
      </w:r>
      <w:r>
        <w:rPr>
          <w:rStyle w:val="None"/>
          <w:sz w:val="24"/>
          <w:szCs w:val="24"/>
          <w:lang w:val="en-US"/>
        </w:rPr>
        <w:t xml:space="preserve"> provided by South Wales Police and the NHS. I ensured that I had the correct PPE, including a face mask and plenty of gloves and hand gel. Upon arrival, I also ensured that where possible I was keeping a distance of at least 2 metres from those involved.</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I also had to be mindful of the fact that although the neighbours were reporting the incident on this occasion, I had attended the flats several times previously where noise complaints had also been made against them. I made sure to treat them and their complaint appropriately, whilst also having consideration that this could just be a tit-for-tat situation. As I could not be sure which it was, I had to proceed on the basis that it was a genuine complaint.</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When we arrived at the flats, I assessed the situation before me and noted that the neighbours involved were now all outside of the building shouting and gesticulating at each other, and the PCSOs were trying to calm them down. As the PCSOs had feared, matters had indeed escalated and I was glad that we had been able to attend and respond in the way that we had. It became apparent that we would likely be required to step in and possibly make arrests, and they would not have been able to deal with this issue alone. </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Due to the commotion, I was aware that I may not be able to record everything efficiently and accurately by taking handwritten notes. However, I knew that I would still require evidence of what had happened incase I or one of my colleagues needed to rely on this in interview or to provide to the Court in the future.  </w:t>
      </w:r>
      <w:r>
        <w:rPr>
          <w:sz w:val="24"/>
          <w:szCs w:val="24"/>
          <w:lang w:val="en-US"/>
        </w:rPr>
        <w:t>Evidence-based policing was a concept originally coined by Professor Sherman in 1998</w:t>
      </w:r>
      <w:r>
        <w:rPr>
          <w:rStyle w:val="None"/>
          <w:sz w:val="24"/>
          <w:szCs w:val="24"/>
          <w:vertAlign w:val="superscript"/>
        </w:rPr>
        <w:footnoteReference w:id="23"/>
      </w:r>
      <w:r>
        <w:rPr>
          <w:sz w:val="24"/>
          <w:szCs w:val="24"/>
          <w:lang w:val="en-US"/>
        </w:rPr>
        <w:t>. According to the College of Policing, ‘the best evidence available will use appropriate research methods and sources for the question being asked. Research should be carefully conducted, peer reviewed and transparent about it’s methods, limitation, and how it’s conclusions were reached’</w:t>
      </w:r>
      <w:r>
        <w:rPr>
          <w:rStyle w:val="None"/>
          <w:sz w:val="24"/>
          <w:szCs w:val="24"/>
          <w:vertAlign w:val="superscript"/>
        </w:rPr>
        <w:footnoteReference w:id="24"/>
      </w:r>
      <w:r>
        <w:rPr>
          <w:sz w:val="24"/>
          <w:szCs w:val="24"/>
          <w:lang w:val="en-US"/>
        </w:rPr>
        <w:t xml:space="preserve">. </w:t>
      </w:r>
      <w:r>
        <w:rPr>
          <w:rStyle w:val="None"/>
          <w:sz w:val="24"/>
          <w:szCs w:val="24"/>
          <w:lang w:val="en-US"/>
        </w:rPr>
        <w:t>I therefore immediately activated my body-worn camera because there was a lot going on around me that I needed to capture. I was also aware that at any stage I may need to use my hands in my own defence or to protect one of many people now involved. I would not be able to do this whilst also taking diligent notes.</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I approached the neighbours who had reported the incident and began taking their disclosure, as part of the ‘scanning’ element of OSARA. I engaged active listening by taking handwritten notes, and explained that I was also recording the conversation on my body-worn camera for future reference. </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I spoke with the witnesses individually, and they each told me that the suspect had been making a lot of noise, banging doors and shouting at someone else who they believed had either been in the flat at the time or was on the telephone to the </w:t>
      </w:r>
      <w:r>
        <w:rPr>
          <w:rStyle w:val="None"/>
          <w:sz w:val="24"/>
          <w:szCs w:val="24"/>
          <w:lang w:val="en-US"/>
        </w:rPr>
        <w:lastRenderedPageBreak/>
        <w:t>suspect.  Under the Anti-social Behaviour, Crime and Policing Act 2014, Chapter 12, Part 1</w:t>
      </w:r>
      <w:r>
        <w:rPr>
          <w:rStyle w:val="None"/>
          <w:sz w:val="24"/>
          <w:szCs w:val="24"/>
          <w:vertAlign w:val="superscript"/>
        </w:rPr>
        <w:footnoteReference w:id="25"/>
      </w:r>
      <w:r>
        <w:rPr>
          <w:rStyle w:val="None"/>
          <w:sz w:val="24"/>
          <w:szCs w:val="24"/>
          <w:lang w:val="en-US"/>
        </w:rPr>
        <w:t xml:space="preserve"> anti-social behaviour is deemed to be ‘conduct that has caused, or is likely to cause, harassment, alarm of distress to any person, conduct capable of causing nuisance or annoyance to a person in relation to that person’s occupation of residential premises, or conduct capable of causing housing-related nuisance or annoyance to any person’</w:t>
      </w:r>
      <w:r>
        <w:rPr>
          <w:rStyle w:val="None"/>
          <w:sz w:val="24"/>
          <w:szCs w:val="24"/>
          <w:vertAlign w:val="superscript"/>
        </w:rPr>
        <w:footnoteReference w:id="26"/>
      </w:r>
      <w:r>
        <w:rPr>
          <w:rStyle w:val="None"/>
          <w:sz w:val="24"/>
          <w:szCs w:val="24"/>
          <w:lang w:val="en-US"/>
        </w:rPr>
        <w:t xml:space="preserve">. I therefore considered this to be an appropriate report of anti-social behaviour. </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When dealing with reports of anti-social behaviour, I am mindful of the Local Authority’s own guidance to the community. It is well documented on their council website</w:t>
      </w:r>
      <w:r>
        <w:rPr>
          <w:rStyle w:val="None"/>
          <w:sz w:val="24"/>
          <w:szCs w:val="24"/>
          <w:vertAlign w:val="superscript"/>
        </w:rPr>
        <w:footnoteReference w:id="27"/>
      </w:r>
      <w:r>
        <w:rPr>
          <w:rStyle w:val="None"/>
          <w:sz w:val="24"/>
          <w:szCs w:val="24"/>
          <w:lang w:val="en-US"/>
        </w:rPr>
        <w:t xml:space="preserve"> what does and does not constitute anti-social behaviour, and in what circumstances it should be reported to the Police. The Chartered Institute of Environmental Health</w:t>
      </w:r>
      <w:r>
        <w:rPr>
          <w:rStyle w:val="None"/>
          <w:sz w:val="24"/>
          <w:szCs w:val="24"/>
          <w:vertAlign w:val="superscript"/>
        </w:rPr>
        <w:footnoteReference w:id="28"/>
      </w:r>
      <w:r>
        <w:rPr>
          <w:rStyle w:val="None"/>
          <w:sz w:val="24"/>
          <w:szCs w:val="24"/>
          <w:lang w:val="en-US"/>
        </w:rPr>
        <w:t xml:space="preserve"> estimates that matters involving noise are one of the largest sources of complaints to Local Authorities across England and Wales, with approximately 250,000 complaints per year.</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According to the Wales Anti-social Behaviour: Policy and Practice Review, ‘Only 16 landlords (37%) own their own sound monitoring equipment, and only four landlords (at most) said they provided a 24 hour response to incidents of anti-social behaviour (although several stakeholders said this meant only that victims were able to use a 24 hour phone line to report incidents,) … The Deputy Police and Crime Commissioner for South Wales felt that a 24 hour rapid response service to deal with noise issues was important, and that, if not achievable for individual landlords, could be provided in partnership on a local basis’</w:t>
      </w:r>
      <w:r>
        <w:rPr>
          <w:rStyle w:val="None"/>
          <w:sz w:val="24"/>
          <w:szCs w:val="24"/>
          <w:vertAlign w:val="superscript"/>
        </w:rPr>
        <w:footnoteReference w:id="29"/>
      </w:r>
      <w:r>
        <w:rPr>
          <w:rStyle w:val="None"/>
          <w:sz w:val="24"/>
          <w:szCs w:val="24"/>
        </w:rPr>
        <w:t>.</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Whilst I was taking witness disclosure, a fight broke out between the suspect and several of the other neighbours. I considered this to be an affray, contrary to Section 3 of the Public Order Act 1986.</w:t>
      </w:r>
      <w:r>
        <w:rPr>
          <w:rStyle w:val="None"/>
          <w:sz w:val="24"/>
          <w:szCs w:val="24"/>
          <w:vertAlign w:val="superscript"/>
        </w:rPr>
        <w:footnoteReference w:id="30"/>
      </w:r>
      <w:r>
        <w:rPr>
          <w:rStyle w:val="None"/>
          <w:sz w:val="24"/>
          <w:szCs w:val="24"/>
          <w:lang w:val="en-US"/>
        </w:rPr>
        <w:t xml:space="preserve"> I was further relieved that we had taken appropriate action by attending the incident. The protection of the victim far outweighed any gripes which the neighbours may have originally had in relation to our arrival.</w:t>
      </w:r>
    </w:p>
    <w:p w:rsidR="00CE5E95" w:rsidRDefault="00CE5E95">
      <w:pPr>
        <w:pStyle w:val="Body"/>
        <w:ind w:right="237"/>
        <w:jc w:val="both"/>
        <w:rPr>
          <w:rStyle w:val="None"/>
          <w:sz w:val="24"/>
          <w:szCs w:val="24"/>
        </w:rPr>
      </w:pPr>
    </w:p>
    <w:p w:rsidR="00CE5E95" w:rsidRDefault="00C36809">
      <w:pPr>
        <w:pStyle w:val="Body"/>
        <w:ind w:right="237"/>
        <w:jc w:val="both"/>
        <w:rPr>
          <w:sz w:val="24"/>
          <w:szCs w:val="24"/>
        </w:rPr>
      </w:pPr>
      <w:r>
        <w:rPr>
          <w:sz w:val="24"/>
          <w:szCs w:val="24"/>
          <w:lang w:val="en-US"/>
        </w:rPr>
        <w:t>The National Decision Model</w:t>
      </w:r>
      <w:r>
        <w:rPr>
          <w:rStyle w:val="None"/>
          <w:sz w:val="24"/>
          <w:szCs w:val="24"/>
          <w:vertAlign w:val="superscript"/>
        </w:rPr>
        <w:footnoteReference w:id="31"/>
      </w:r>
      <w:r>
        <w:rPr>
          <w:sz w:val="24"/>
          <w:szCs w:val="24"/>
          <w:lang w:val="en-US"/>
        </w:rPr>
        <w:t xml:space="preserve"> is made of six core elements (CIAPOAR): considering the Code of Ethics, gathering information, assessing the incident, considering powers and policies, identifying options, taking action, and reviewing what has happened. In line with CIAPOAR, I must regularly ask myself whether I am acting in accordance with the Code of Ethics</w:t>
      </w:r>
      <w:r>
        <w:rPr>
          <w:rStyle w:val="None"/>
          <w:sz w:val="24"/>
          <w:szCs w:val="24"/>
          <w:vertAlign w:val="superscript"/>
        </w:rPr>
        <w:footnoteReference w:id="32"/>
      </w:r>
      <w:r>
        <w:rPr>
          <w:sz w:val="24"/>
          <w:szCs w:val="24"/>
          <w:lang w:val="en-US"/>
        </w:rPr>
        <w:t xml:space="preserve"> and with what is expected of me as a Police Constable. </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According to the College of Policing, the role of a Police Constable ‘carries legal powers to enable to maintenance of law and order, and bears responsibility for making autonomous decisions in accordance with the National Decision Model and Code of Ethics, exercising professional discretion, as appropriate to the role, in line with legal frameworks and policy guidelines’</w:t>
      </w:r>
      <w:r>
        <w:rPr>
          <w:rStyle w:val="None"/>
          <w:sz w:val="24"/>
          <w:szCs w:val="24"/>
          <w:vertAlign w:val="superscript"/>
        </w:rPr>
        <w:footnoteReference w:id="33"/>
      </w:r>
      <w:r>
        <w:rPr>
          <w:sz w:val="24"/>
          <w:szCs w:val="24"/>
          <w:lang w:val="en-US"/>
        </w:rPr>
        <w:t>. It also states that ‘Constables are required to meet and maintain the highest professional standards required of their role, by conducting all actions in a legal, balanced, proportionate and justifiable manner to uphold the law and achieve the best outcomes in a wide range of situations/incidents’</w:t>
      </w:r>
      <w:r>
        <w:rPr>
          <w:rStyle w:val="None"/>
          <w:sz w:val="24"/>
          <w:szCs w:val="24"/>
          <w:vertAlign w:val="superscript"/>
        </w:rPr>
        <w:footnoteReference w:id="34"/>
      </w:r>
      <w:r>
        <w:rPr>
          <w:sz w:val="24"/>
          <w:szCs w:val="24"/>
          <w:lang w:val="en-US"/>
        </w:rPr>
        <w:t>.</w:t>
      </w:r>
    </w:p>
    <w:p w:rsidR="00CE5E95" w:rsidRDefault="00CE5E95">
      <w:pPr>
        <w:pStyle w:val="Body"/>
        <w:ind w:right="237"/>
        <w:jc w:val="both"/>
        <w:rPr>
          <w:sz w:val="24"/>
          <w:szCs w:val="24"/>
        </w:rPr>
      </w:pPr>
    </w:p>
    <w:p w:rsidR="00CE5E95" w:rsidRDefault="00C36809">
      <w:pPr>
        <w:pStyle w:val="Body"/>
        <w:ind w:right="237"/>
        <w:jc w:val="both"/>
        <w:rPr>
          <w:rStyle w:val="None"/>
          <w:sz w:val="24"/>
          <w:szCs w:val="24"/>
        </w:rPr>
      </w:pPr>
      <w:r>
        <w:rPr>
          <w:rStyle w:val="None"/>
          <w:sz w:val="24"/>
          <w:szCs w:val="24"/>
          <w:lang w:val="en-US"/>
        </w:rPr>
        <w:t>I had to use critical thinking in order to decide whether the use of force was necessary in this instance, using the College of Policing guidance which states that ‘there are situations where Police Officers may be required to use force’</w:t>
      </w:r>
      <w:r>
        <w:rPr>
          <w:rStyle w:val="None"/>
          <w:sz w:val="24"/>
          <w:szCs w:val="24"/>
          <w:vertAlign w:val="superscript"/>
        </w:rPr>
        <w:footnoteReference w:id="35"/>
      </w:r>
      <w:r>
        <w:rPr>
          <w:rStyle w:val="None"/>
          <w:sz w:val="24"/>
          <w:szCs w:val="24"/>
          <w:lang w:val="en-US"/>
        </w:rPr>
        <w:t xml:space="preserve"> and that I must consider ‘would the use of force have a lawful objective and, if so, how immediate and grave is the threat posed … are there any means, short of the use of force, capable of attaining the lawful objective identified … having regard to the nature and gravity of the threat, and the potential for adverse consequences to arise from the force what is the minimum level of force required to attain the objective identified, and would the use of the level of force be proportionate or excessive’</w:t>
      </w:r>
      <w:r>
        <w:rPr>
          <w:rStyle w:val="None"/>
          <w:sz w:val="24"/>
          <w:szCs w:val="24"/>
          <w:vertAlign w:val="superscript"/>
        </w:rPr>
        <w:footnoteReference w:id="36"/>
      </w:r>
      <w:r>
        <w:rPr>
          <w:rStyle w:val="None"/>
          <w:sz w:val="24"/>
          <w:szCs w:val="24"/>
          <w:lang w:val="en-US"/>
        </w:rPr>
        <w:t>.</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I decided that the use of force in this situation would prevent, or at least limit additional injury to the neighbour, and that, short of me physically intervening, this would not happen as I had already told them that they needed to stop or I would have no choice but to do so. Finally, I decided that the minimum force proportionate to the incident would be for me to identify the main antagonist and perform a ‘rear takedown’. I therefore went ahead with my action, making sure to avoid placing any pressure on the male’s neck or chest. </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I was aware that under Section 24 of the Police and Criminal Evidence Act 1984</w:t>
      </w:r>
      <w:r>
        <w:rPr>
          <w:rStyle w:val="None"/>
          <w:sz w:val="24"/>
          <w:szCs w:val="24"/>
        </w:rPr>
        <w:t xml:space="preserve"> </w:t>
      </w:r>
      <w:r>
        <w:rPr>
          <w:rStyle w:val="None"/>
          <w:sz w:val="24"/>
          <w:szCs w:val="24"/>
          <w:lang w:val="en-US"/>
        </w:rPr>
        <w:t>(PACE)</w:t>
      </w:r>
      <w:r>
        <w:rPr>
          <w:rStyle w:val="None"/>
          <w:sz w:val="24"/>
          <w:szCs w:val="24"/>
          <w:vertAlign w:val="superscript"/>
        </w:rPr>
        <w:footnoteReference w:id="37"/>
      </w:r>
      <w:r>
        <w:rPr>
          <w:rStyle w:val="None"/>
          <w:sz w:val="24"/>
          <w:szCs w:val="24"/>
          <w:lang w:val="en-US"/>
        </w:rPr>
        <w:t xml:space="preserve"> I had the power to make an arrest for affray. I was also mindful of the evidence available to me: several people in the group as well as my own colleagues had witnessed the male starting this fight, and my body-worn camera had been active and pointed immediately at him as soon as I heard the commotion. I was satisfied that I was acting appropriately, and therefore explained to the male that I was arresting him, and conveyed him to our vehicle. </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We took the suspect to the Police Station, where I applied the PEACE model in preparing for and conducting the interview. I was grateful for the written notes and body-cam footage I had recorded, as without these I would not have been able to conduct the interview to the best of my abilities. I did not consider any other course of action to be appropriate, given that this was not his first offence. I updated the </w:t>
      </w:r>
      <w:r>
        <w:rPr>
          <w:rStyle w:val="None"/>
          <w:sz w:val="24"/>
          <w:szCs w:val="24"/>
          <w:lang w:val="en-US"/>
        </w:rPr>
        <w:lastRenderedPageBreak/>
        <w:t>Custody Sergeant after the interview, and he agreed with this decision. Given the evidence that we had been able to collect, the suspect was held overnight until the next available Court hearing.</w:t>
      </w:r>
    </w:p>
    <w:p w:rsidR="00CE5E95" w:rsidRDefault="00CE5E95">
      <w:pPr>
        <w:pStyle w:val="Body"/>
        <w:ind w:right="237"/>
        <w:jc w:val="both"/>
        <w:rPr>
          <w:rStyle w:val="None"/>
          <w:sz w:val="24"/>
          <w:szCs w:val="24"/>
        </w:rPr>
      </w:pPr>
    </w:p>
    <w:p w:rsidR="00CE5E95" w:rsidRDefault="00C36809">
      <w:pPr>
        <w:pStyle w:val="Body"/>
        <w:ind w:right="237"/>
        <w:jc w:val="both"/>
        <w:rPr>
          <w:rStyle w:val="None"/>
          <w:sz w:val="24"/>
          <w:szCs w:val="24"/>
        </w:rPr>
      </w:pPr>
      <w:r>
        <w:rPr>
          <w:rStyle w:val="None"/>
          <w:sz w:val="24"/>
          <w:szCs w:val="24"/>
          <w:lang w:val="en-US"/>
        </w:rPr>
        <w:t xml:space="preserve">I believe that all officers involved had acted appropriately in this matter. I strongly agree with the PCSOs decision to keep a close eye on the flats that night. Whilst I was mindful that it could be argued this was bias in that they do not pay such close attention to other areas during this time, it had turned out that their attendance had been crucial. I believe it was therefore a good use of their available resources. It was also appropriate and necessary for them to contact us to request our own resources and assistance. Whilst it had initially been a typical patrol strategy to pass by the flats more regularly, it quickly escalated to a high priority matter, and without our attendance the male could have become a more serious threat to the other neighbours, community and the PCSOs themselves. They reacted proactively rather than reactively, and as a result we had been able to work as a team to minimise the impact of the event before it had ever reached its full capacity. I believe this to be the most effective form of problem solving. </w:t>
      </w:r>
    </w:p>
    <w:p w:rsidR="00CE5E95" w:rsidRDefault="00CE5E95">
      <w:pPr>
        <w:pStyle w:val="Body"/>
        <w:ind w:right="237"/>
        <w:jc w:val="both"/>
        <w:rPr>
          <w:rStyle w:val="None"/>
          <w:sz w:val="24"/>
          <w:szCs w:val="24"/>
        </w:rPr>
      </w:pPr>
    </w:p>
    <w:p w:rsidR="00CE5E95" w:rsidRDefault="00C36809">
      <w:pPr>
        <w:pStyle w:val="Body"/>
        <w:ind w:right="237"/>
        <w:jc w:val="both"/>
        <w:rPr>
          <w:b/>
          <w:bCs/>
          <w:sz w:val="24"/>
          <w:szCs w:val="24"/>
        </w:rPr>
      </w:pPr>
      <w:r>
        <w:rPr>
          <w:b/>
          <w:bCs/>
          <w:sz w:val="24"/>
          <w:szCs w:val="24"/>
          <w:lang w:val="en-US"/>
        </w:rPr>
        <w:t>2200</w:t>
      </w: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rPr>
          <w:sz w:val="24"/>
          <w:szCs w:val="24"/>
        </w:rPr>
      </w:pPr>
    </w:p>
    <w:p w:rsidR="00CE5E95" w:rsidRDefault="00CE5E95">
      <w:pPr>
        <w:pStyle w:val="Body"/>
        <w:ind w:right="237"/>
        <w:jc w:val="both"/>
        <w:sectPr w:rsidR="00CE5E95" w:rsidSect="0019160A">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20" w:footer="720" w:gutter="0"/>
          <w:cols w:space="720"/>
          <w:titlePg/>
          <w:docGrid w:linePitch="326"/>
        </w:sectPr>
      </w:pPr>
    </w:p>
    <w:p w:rsidR="00CE5E95" w:rsidRDefault="00C36809">
      <w:pPr>
        <w:pStyle w:val="Body"/>
        <w:keepNext/>
        <w:spacing w:before="240" w:after="60"/>
        <w:ind w:right="237"/>
        <w:jc w:val="both"/>
        <w:rPr>
          <w:rStyle w:val="None"/>
          <w:sz w:val="24"/>
          <w:szCs w:val="24"/>
        </w:rPr>
      </w:pPr>
      <w:r>
        <w:rPr>
          <w:rStyle w:val="None"/>
          <w:b/>
          <w:bCs/>
          <w:sz w:val="28"/>
          <w:szCs w:val="28"/>
          <w:lang w:val="fr-FR"/>
        </w:rPr>
        <w:lastRenderedPageBreak/>
        <w:t>Bibliography</w:t>
      </w:r>
    </w:p>
    <w:p w:rsidR="00CE5E95" w:rsidRDefault="00C36809">
      <w:pPr>
        <w:pStyle w:val="Body"/>
        <w:keepNext/>
        <w:spacing w:before="240" w:after="60"/>
        <w:ind w:right="237"/>
        <w:jc w:val="both"/>
      </w:pPr>
      <w:r>
        <w:rPr>
          <w:rStyle w:val="None"/>
          <w:sz w:val="24"/>
          <w:szCs w:val="24"/>
          <w:lang w:val="en-US"/>
        </w:rPr>
        <w:t>Due to current Covid-19 restrictions, my research has been completed solely online. The websites listed below were accessed between February and March 2021, and were checked prior to submission to ensure that the still exist.</w:t>
      </w:r>
    </w:p>
    <w:p w:rsidR="00CE5E95" w:rsidRDefault="00C36809">
      <w:pPr>
        <w:pStyle w:val="Body"/>
        <w:keepNext/>
        <w:spacing w:before="240" w:after="60"/>
        <w:ind w:right="237"/>
        <w:jc w:val="both"/>
        <w:rPr>
          <w:b/>
          <w:bCs/>
          <w:sz w:val="24"/>
          <w:szCs w:val="24"/>
          <w:u w:val="single"/>
        </w:rPr>
      </w:pPr>
      <w:r>
        <w:rPr>
          <w:b/>
          <w:bCs/>
          <w:sz w:val="24"/>
          <w:szCs w:val="24"/>
          <w:u w:val="single"/>
          <w:lang w:val="en-US"/>
        </w:rPr>
        <w:t xml:space="preserve">Legislation </w:t>
      </w:r>
    </w:p>
    <w:p w:rsidR="00CE5E95" w:rsidRDefault="00C36809">
      <w:pPr>
        <w:pStyle w:val="Default"/>
        <w:spacing w:line="240" w:lineRule="atLeast"/>
        <w:rPr>
          <w:rStyle w:val="None"/>
          <w:rFonts w:ascii="Arial" w:eastAsia="Arial" w:hAnsi="Arial" w:cs="Arial"/>
          <w:sz w:val="24"/>
          <w:szCs w:val="24"/>
        </w:rPr>
      </w:pPr>
      <w:r>
        <w:rPr>
          <w:rFonts w:ascii="Arial" w:hAnsi="Arial"/>
          <w:sz w:val="24"/>
          <w:szCs w:val="24"/>
        </w:rPr>
        <w:t>Section 39, Criminal Justice Act, 1988</w:t>
      </w:r>
    </w:p>
    <w:p w:rsidR="00CE5E95" w:rsidRDefault="00CE5E95">
      <w:pPr>
        <w:pStyle w:val="Body"/>
        <w:ind w:right="237"/>
        <w:jc w:val="both"/>
        <w:rPr>
          <w:rStyle w:val="None"/>
          <w:sz w:val="24"/>
          <w:szCs w:val="24"/>
        </w:rPr>
      </w:pPr>
    </w:p>
    <w:p w:rsidR="00CE5E95" w:rsidRDefault="00C36809">
      <w:pPr>
        <w:pStyle w:val="Body"/>
        <w:ind w:right="237"/>
        <w:jc w:val="both"/>
        <w:rPr>
          <w:sz w:val="24"/>
          <w:szCs w:val="24"/>
        </w:rPr>
      </w:pPr>
      <w:r>
        <w:rPr>
          <w:sz w:val="24"/>
          <w:szCs w:val="24"/>
          <w:lang w:val="en-US"/>
        </w:rPr>
        <w:t>Section 4a of the Public Order Act 1986</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Section 3 of the Public Order Act 1986</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Section 24 of Police and Criminal Evidence Act 1984</w:t>
      </w:r>
    </w:p>
    <w:p w:rsidR="00CE5E95" w:rsidRDefault="00CE5E95">
      <w:pPr>
        <w:pStyle w:val="Body"/>
        <w:ind w:right="237"/>
        <w:jc w:val="both"/>
        <w:rPr>
          <w:sz w:val="24"/>
          <w:szCs w:val="24"/>
        </w:rPr>
      </w:pPr>
    </w:p>
    <w:p w:rsidR="00CE5E95" w:rsidRDefault="00C36809">
      <w:pPr>
        <w:pStyle w:val="Body"/>
        <w:ind w:right="237"/>
        <w:jc w:val="both"/>
        <w:rPr>
          <w:sz w:val="24"/>
          <w:szCs w:val="24"/>
        </w:rPr>
      </w:pPr>
      <w:r>
        <w:rPr>
          <w:sz w:val="24"/>
          <w:szCs w:val="24"/>
          <w:lang w:val="en-US"/>
        </w:rPr>
        <w:t>Section 1(1) Criminal Damage Act 1971</w:t>
      </w:r>
    </w:p>
    <w:p w:rsidR="00CE5E95" w:rsidRDefault="00CE5E95">
      <w:pPr>
        <w:pStyle w:val="Default"/>
        <w:spacing w:after="240" w:line="280" w:lineRule="atLeast"/>
        <w:rPr>
          <w:rFonts w:ascii="Arial" w:eastAsia="Arial" w:hAnsi="Arial" w:cs="Arial"/>
          <w:i/>
          <w:iCs/>
          <w:sz w:val="24"/>
          <w:szCs w:val="24"/>
        </w:rPr>
      </w:pPr>
    </w:p>
    <w:p w:rsidR="00CE5E95" w:rsidRDefault="00C36809">
      <w:pPr>
        <w:pStyle w:val="Default"/>
        <w:spacing w:after="240" w:line="280" w:lineRule="atLeast"/>
        <w:rPr>
          <w:rStyle w:val="None"/>
          <w:rFonts w:ascii="Arial" w:eastAsia="Arial" w:hAnsi="Arial" w:cs="Arial"/>
          <w:b/>
          <w:bCs/>
          <w:sz w:val="24"/>
          <w:szCs w:val="24"/>
          <w:u w:val="single"/>
        </w:rPr>
      </w:pPr>
      <w:r>
        <w:rPr>
          <w:rFonts w:ascii="Arial" w:hAnsi="Arial"/>
          <w:b/>
          <w:bCs/>
          <w:sz w:val="24"/>
          <w:szCs w:val="24"/>
          <w:u w:val="single"/>
        </w:rPr>
        <w:t>Literature</w:t>
      </w:r>
    </w:p>
    <w:p w:rsidR="00CE5E95" w:rsidRDefault="00C36809">
      <w:pPr>
        <w:pStyle w:val="Default"/>
        <w:spacing w:after="240" w:line="260" w:lineRule="atLeast"/>
        <w:rPr>
          <w:rFonts w:ascii="Arial" w:eastAsia="Arial" w:hAnsi="Arial" w:cs="Arial"/>
          <w:sz w:val="24"/>
          <w:szCs w:val="24"/>
        </w:rPr>
      </w:pPr>
      <w:r>
        <w:rPr>
          <w:rFonts w:ascii="Arial" w:hAnsi="Arial"/>
          <w:sz w:val="24"/>
          <w:szCs w:val="24"/>
        </w:rPr>
        <w:t>(Sherman, L. (1998) Evidence-Based Policing. Ideas in American Policing Series. Washington, DC: Police Foundation). </w:t>
      </w:r>
    </w:p>
    <w:p w:rsidR="00CE5E95" w:rsidRDefault="00C36809">
      <w:pPr>
        <w:pStyle w:val="Default"/>
        <w:spacing w:after="240" w:line="260" w:lineRule="atLeast"/>
        <w:rPr>
          <w:rFonts w:ascii="Arial" w:eastAsia="Arial" w:hAnsi="Arial" w:cs="Arial"/>
          <w:sz w:val="24"/>
          <w:szCs w:val="24"/>
        </w:rPr>
      </w:pPr>
      <w:r>
        <w:rPr>
          <w:rFonts w:ascii="Arial" w:hAnsi="Arial"/>
          <w:sz w:val="24"/>
          <w:szCs w:val="24"/>
        </w:rPr>
        <w:t>Code of Ethics, ‘A Code of Practice for the Principles and Standards of Professional Behaviour for the Policing Profession of England and Wales’ July 2014, page 4</w:t>
      </w:r>
    </w:p>
    <w:p w:rsidR="00CE5E95" w:rsidRDefault="00C36809">
      <w:pPr>
        <w:pStyle w:val="Default"/>
        <w:spacing w:after="240" w:line="260" w:lineRule="atLeast"/>
        <w:rPr>
          <w:rStyle w:val="None"/>
          <w:rFonts w:ascii="Helvetica Neue" w:eastAsia="Helvetica Neue" w:hAnsi="Helvetica Neue" w:cs="Helvetica Neue"/>
          <w:b/>
          <w:bCs/>
          <w:sz w:val="24"/>
          <w:szCs w:val="24"/>
          <w:u w:val="single"/>
        </w:rPr>
      </w:pPr>
      <w:r>
        <w:rPr>
          <w:rFonts w:ascii="Arial" w:hAnsi="Arial"/>
          <w:b/>
          <w:bCs/>
          <w:sz w:val="24"/>
          <w:szCs w:val="24"/>
          <w:u w:val="single"/>
        </w:rPr>
        <w:t xml:space="preserve">Websites - </w:t>
      </w:r>
      <w:r>
        <w:rPr>
          <w:rStyle w:val="None"/>
          <w:rFonts w:ascii="Arial" w:hAnsi="Arial"/>
          <w:sz w:val="24"/>
          <w:szCs w:val="24"/>
        </w:rPr>
        <w:t>In order of appearance</w:t>
      </w:r>
    </w:p>
    <w:p w:rsidR="00CE5E95" w:rsidRDefault="00110E5E">
      <w:pPr>
        <w:pStyle w:val="Default"/>
        <w:spacing w:line="260" w:lineRule="atLeast"/>
        <w:rPr>
          <w:color w:val="032EED"/>
          <w:u w:val="single" w:color="032EED"/>
        </w:rPr>
      </w:pPr>
      <w:hyperlink r:id="rId22" w:history="1">
        <w:r w:rsidR="00C36809">
          <w:rPr>
            <w:color w:val="032EED"/>
            <w:u w:val="single" w:color="032EED"/>
          </w:rPr>
          <w:t>https://www.medicalnewstoday.com/articles/325818</w:t>
        </w:r>
      </w:hyperlink>
      <w:r w:rsidR="00C36809">
        <w:rPr>
          <w:color w:val="032EED"/>
          <w:u w:val="single" w:color="032EED"/>
        </w:rPr>
        <w:br/>
      </w:r>
    </w:p>
    <w:p w:rsidR="00CE5E95" w:rsidRDefault="00110E5E">
      <w:pPr>
        <w:pStyle w:val="Default"/>
        <w:spacing w:line="260" w:lineRule="atLeast"/>
      </w:pPr>
      <w:hyperlink r:id="rId23" w:history="1">
        <w:r w:rsidR="00C36809">
          <w:rPr>
            <w:rStyle w:val="Link"/>
          </w:rPr>
          <w:t>https://www.app.college.police.uk/app-content/national-decision-model/the-national-decision-model/</w:t>
        </w:r>
      </w:hyperlink>
      <w:r w:rsidR="00C36809">
        <w:br/>
      </w:r>
    </w:p>
    <w:p w:rsidR="00CE5E95" w:rsidRDefault="00110E5E">
      <w:pPr>
        <w:pStyle w:val="Default"/>
        <w:spacing w:line="260" w:lineRule="atLeast"/>
        <w:rPr>
          <w:color w:val="032EED"/>
          <w:u w:val="single" w:color="032EED"/>
        </w:rPr>
      </w:pPr>
      <w:hyperlink r:id="rId24" w:history="1">
        <w:r w:rsidR="00C36809">
          <w:rPr>
            <w:color w:val="032EED"/>
            <w:u w:val="single" w:color="032EED"/>
          </w:rPr>
          <w:t>https://assets.publishing.service.gov.uk/government/uploads/system/uploads/attachment_data/file/405397/6.379_Supporting_guidance_web_doc_v3.pdf</w:t>
        </w:r>
      </w:hyperlink>
      <w:r w:rsidR="00C36809">
        <w:rPr>
          <w:color w:val="032EED"/>
          <w:u w:val="single" w:color="032EED"/>
        </w:rPr>
        <w:br/>
      </w:r>
    </w:p>
    <w:p w:rsidR="00CE5E95" w:rsidRDefault="00110E5E">
      <w:pPr>
        <w:pStyle w:val="Default"/>
        <w:spacing w:line="260" w:lineRule="atLeast"/>
        <w:rPr>
          <w:rStyle w:val="None"/>
          <w:color w:val="0433FF"/>
          <w:u w:color="032EED"/>
        </w:rPr>
      </w:pPr>
      <w:hyperlink r:id="rId25" w:history="1">
        <w:r w:rsidR="00C36809">
          <w:rPr>
            <w:color w:val="032EED"/>
            <w:u w:val="single" w:color="032EED"/>
          </w:rPr>
          <w:t>https://www.legislation.gov.uk/ukpga/1996/25/contents</w:t>
        </w:r>
      </w:hyperlink>
    </w:p>
    <w:p w:rsidR="00CE5E95" w:rsidRDefault="00CE5E95">
      <w:pPr>
        <w:pStyle w:val="Default"/>
        <w:spacing w:line="260" w:lineRule="atLeast"/>
        <w:rPr>
          <w:color w:val="0433FF"/>
        </w:rPr>
      </w:pPr>
    </w:p>
    <w:p w:rsidR="00CE5E95" w:rsidRDefault="00110E5E">
      <w:pPr>
        <w:pStyle w:val="Default"/>
        <w:spacing w:line="260" w:lineRule="atLeast"/>
        <w:rPr>
          <w:rStyle w:val="None"/>
          <w:color w:val="0433FF"/>
          <w:u w:color="032EED"/>
        </w:rPr>
      </w:pPr>
      <w:hyperlink r:id="rId26" w:history="1">
        <w:r w:rsidR="00C36809">
          <w:rPr>
            <w:color w:val="032EED"/>
            <w:u w:val="single" w:color="032EED"/>
          </w:rPr>
          <w:t>https://assets.publishing.service.gov.uk/government/uploads/system/uploads/attachment_data/file/447967/code-of-practice-approved.pdf</w:t>
        </w:r>
      </w:hyperlink>
    </w:p>
    <w:p w:rsidR="00CE5E95" w:rsidRDefault="00CE5E95">
      <w:pPr>
        <w:pStyle w:val="Default"/>
        <w:spacing w:line="260" w:lineRule="atLeast"/>
        <w:rPr>
          <w:rStyle w:val="None"/>
          <w:color w:val="0433FF"/>
          <w:u w:color="032EED"/>
        </w:rPr>
      </w:pPr>
    </w:p>
    <w:p w:rsidR="00CE5E95" w:rsidRDefault="00110E5E">
      <w:pPr>
        <w:pStyle w:val="Default"/>
        <w:spacing w:line="260" w:lineRule="atLeast"/>
        <w:rPr>
          <w:rStyle w:val="None"/>
          <w:color w:val="0433FF"/>
          <w:u w:color="032EED"/>
        </w:rPr>
      </w:pPr>
      <w:hyperlink r:id="rId27" w:history="1">
        <w:r w:rsidR="00C36809">
          <w:rPr>
            <w:rStyle w:val="Link"/>
          </w:rPr>
          <w:t>https://www.legislation.gov.uk/ukpga/1971/48</w:t>
        </w:r>
      </w:hyperlink>
    </w:p>
    <w:p w:rsidR="00CE5E95" w:rsidRDefault="00CE5E95">
      <w:pPr>
        <w:pStyle w:val="Default"/>
        <w:spacing w:line="260" w:lineRule="atLeast"/>
      </w:pPr>
    </w:p>
    <w:p w:rsidR="00CE5E95" w:rsidRDefault="00110E5E">
      <w:pPr>
        <w:pStyle w:val="Default"/>
        <w:spacing w:line="260" w:lineRule="atLeast"/>
      </w:pPr>
      <w:hyperlink r:id="rId28" w:history="1">
        <w:r w:rsidR="00C36809">
          <w:rPr>
            <w:rStyle w:val="Link"/>
          </w:rPr>
          <w:t>https://www.app.college.police.uk/app-content/detention-and-custody-2/detainee-care/alcohol-and-drugs/</w:t>
        </w:r>
      </w:hyperlink>
    </w:p>
    <w:p w:rsidR="00CE5E95" w:rsidRDefault="00CE5E95">
      <w:pPr>
        <w:pStyle w:val="Default"/>
        <w:spacing w:line="260" w:lineRule="atLeast"/>
      </w:pPr>
    </w:p>
    <w:p w:rsidR="00CE5E95" w:rsidRDefault="00110E5E">
      <w:pPr>
        <w:pStyle w:val="Default"/>
        <w:spacing w:line="260" w:lineRule="atLeast"/>
        <w:rPr>
          <w:rStyle w:val="None"/>
          <w:color w:val="0433FF"/>
          <w:u w:color="032EED"/>
        </w:rPr>
      </w:pPr>
      <w:hyperlink r:id="rId29" w:history="1">
        <w:r w:rsidR="00C36809">
          <w:rPr>
            <w:color w:val="032EED"/>
            <w:u w:val="single" w:color="032EED"/>
          </w:rPr>
          <w:t>https://assets.publishing.service.gov.uk/government/uploads/system/uploads/attachment_data/file/364707/PaceCodeC2014.pdf</w:t>
        </w:r>
      </w:hyperlink>
    </w:p>
    <w:p w:rsidR="00CE5E95" w:rsidRDefault="00CE5E95">
      <w:pPr>
        <w:pStyle w:val="Default"/>
        <w:spacing w:line="260" w:lineRule="atLeast"/>
        <w:rPr>
          <w:color w:val="0433FF"/>
        </w:rPr>
      </w:pPr>
    </w:p>
    <w:p w:rsidR="00CE5E95" w:rsidRDefault="00110E5E">
      <w:pPr>
        <w:pStyle w:val="Default"/>
        <w:spacing w:line="260" w:lineRule="atLeast"/>
      </w:pPr>
      <w:hyperlink r:id="rId30" w:history="1">
        <w:r w:rsidR="00C36809">
          <w:rPr>
            <w:rStyle w:val="Link"/>
          </w:rPr>
          <w:t>https://www.app.college.police.uk/app-content/national-decision-model/the-national-decision-model/</w:t>
        </w:r>
      </w:hyperlink>
    </w:p>
    <w:p w:rsidR="00CE5E95" w:rsidRDefault="00CE5E95">
      <w:pPr>
        <w:pStyle w:val="Default"/>
        <w:spacing w:line="260" w:lineRule="atLeast"/>
        <w:rPr>
          <w:color w:val="0433FF"/>
        </w:rPr>
      </w:pPr>
    </w:p>
    <w:p w:rsidR="00CE5E95" w:rsidRDefault="00110E5E">
      <w:pPr>
        <w:pStyle w:val="Default"/>
        <w:spacing w:line="260" w:lineRule="atLeast"/>
        <w:rPr>
          <w:rStyle w:val="None"/>
          <w:color w:val="0433FF"/>
          <w:u w:color="032EED"/>
        </w:rPr>
      </w:pPr>
      <w:hyperlink r:id="rId31" w:history="1">
        <w:r w:rsidR="00C36809">
          <w:rPr>
            <w:color w:val="032EED"/>
            <w:u w:val="single" w:color="032EED"/>
          </w:rPr>
          <w:t>https://www.cps.gov.uk/legal-guidance/cautioning-and-diversion</w:t>
        </w:r>
      </w:hyperlink>
    </w:p>
    <w:p w:rsidR="00CE5E95" w:rsidRDefault="00CE5E95">
      <w:pPr>
        <w:pStyle w:val="Default"/>
        <w:spacing w:line="260" w:lineRule="atLeast"/>
        <w:rPr>
          <w:color w:val="0433FF"/>
        </w:rPr>
      </w:pPr>
    </w:p>
    <w:p w:rsidR="00CE5E95" w:rsidRDefault="00110E5E">
      <w:pPr>
        <w:pStyle w:val="Default"/>
        <w:spacing w:after="240" w:line="280" w:lineRule="atLeast"/>
        <w:rPr>
          <w:rStyle w:val="None"/>
          <w:rFonts w:ascii="Helvetica Neue" w:eastAsia="Helvetica Neue" w:hAnsi="Helvetica Neue" w:cs="Helvetica Neue"/>
          <w:sz w:val="24"/>
          <w:szCs w:val="24"/>
          <w:u w:color="032EED"/>
        </w:rPr>
      </w:pPr>
      <w:hyperlink r:id="rId32" w:history="1">
        <w:r w:rsidR="00C36809">
          <w:rPr>
            <w:rFonts w:ascii="Helvetica Neue" w:hAnsi="Helvetica Neue"/>
            <w:color w:val="032EED"/>
            <w:sz w:val="24"/>
            <w:szCs w:val="24"/>
            <w:u w:val="single" w:color="032EED"/>
          </w:rPr>
          <w:t>https://assets.publishing.service.gov.uk/government/uploads/system/uploads/attachment_data/file/117682/appropriate-adults-guide.pdf</w:t>
        </w:r>
      </w:hyperlink>
    </w:p>
    <w:p w:rsidR="00CE5E95" w:rsidRDefault="00110E5E">
      <w:pPr>
        <w:pStyle w:val="Default"/>
        <w:spacing w:line="260" w:lineRule="atLeast"/>
        <w:rPr>
          <w:rStyle w:val="None"/>
          <w:color w:val="0433FF"/>
          <w:u w:color="032EED"/>
        </w:rPr>
      </w:pPr>
      <w:hyperlink r:id="rId33" w:history="1">
        <w:r w:rsidR="00C36809">
          <w:rPr>
            <w:color w:val="032EED"/>
            <w:u w:val="single" w:color="032EED"/>
          </w:rPr>
          <w:t>https://www.legislation.gov.uk/ukpga/1986/64/section/4A</w:t>
        </w:r>
      </w:hyperlink>
    </w:p>
    <w:p w:rsidR="00CE5E95" w:rsidRDefault="00CE5E95">
      <w:pPr>
        <w:pStyle w:val="Default"/>
        <w:spacing w:line="260" w:lineRule="atLeast"/>
        <w:rPr>
          <w:color w:val="0433FF"/>
        </w:rPr>
      </w:pPr>
    </w:p>
    <w:p w:rsidR="00CE5E95" w:rsidRDefault="00110E5E">
      <w:pPr>
        <w:pStyle w:val="Default"/>
        <w:spacing w:line="260" w:lineRule="atLeast"/>
        <w:rPr>
          <w:rStyle w:val="None"/>
          <w:color w:val="0433FF"/>
          <w:u w:color="032EED"/>
        </w:rPr>
      </w:pPr>
      <w:hyperlink r:id="rId34" w:history="1">
        <w:r w:rsidR="00C36809">
          <w:rPr>
            <w:color w:val="032EED"/>
            <w:u w:val="single" w:color="032EED"/>
          </w:rPr>
          <w:t>https://www.app.college.police.uk/app-content/engagement-and-communication/engaging-with-communities/</w:t>
        </w:r>
      </w:hyperlink>
    </w:p>
    <w:p w:rsidR="00CE5E95" w:rsidRDefault="00CE5E95">
      <w:pPr>
        <w:pStyle w:val="Default"/>
        <w:spacing w:line="260" w:lineRule="atLeast"/>
        <w:rPr>
          <w:color w:val="0433FF"/>
        </w:rPr>
      </w:pPr>
    </w:p>
    <w:p w:rsidR="00CE5E95" w:rsidRDefault="00110E5E">
      <w:pPr>
        <w:pStyle w:val="Default"/>
        <w:spacing w:line="260" w:lineRule="atLeast"/>
        <w:rPr>
          <w:color w:val="032EED"/>
          <w:u w:val="single" w:color="032EED"/>
        </w:rPr>
      </w:pPr>
      <w:hyperlink r:id="rId35" w:history="1">
        <w:r w:rsidR="00C36809">
          <w:rPr>
            <w:color w:val="032EED"/>
            <w:u w:val="single" w:color="032EED"/>
          </w:rPr>
          <w:t>https://www.nhs.uk/conditions/coronavirus-covid-19/staying-at-home-to-avoid-getting-coronavirus/staying-at-home-and-away-from-other-people/</w:t>
        </w:r>
      </w:hyperlink>
      <w:r w:rsidR="00C36809">
        <w:rPr>
          <w:color w:val="032EED"/>
          <w:u w:val="single" w:color="032EED"/>
        </w:rPr>
        <w:br/>
      </w:r>
    </w:p>
    <w:p w:rsidR="00CE5E95" w:rsidRDefault="00110E5E">
      <w:pPr>
        <w:pStyle w:val="Default"/>
        <w:spacing w:line="260" w:lineRule="atLeast"/>
        <w:rPr>
          <w:color w:val="032EED"/>
          <w:u w:val="single" w:color="032EED"/>
        </w:rPr>
      </w:pPr>
      <w:hyperlink r:id="rId36" w:history="1">
        <w:r w:rsidR="00C36809">
          <w:rPr>
            <w:color w:val="032EED"/>
            <w:u w:val="single" w:color="032EED"/>
          </w:rPr>
          <w:t>https://whatworks.college.police.uk/About/Pages/What-is-EBP.aspx</w:t>
        </w:r>
      </w:hyperlink>
      <w:r w:rsidR="00C36809">
        <w:rPr>
          <w:color w:val="032EED"/>
          <w:u w:val="single" w:color="032EED"/>
        </w:rPr>
        <w:br/>
      </w:r>
    </w:p>
    <w:p w:rsidR="00CE5E95" w:rsidRDefault="00110E5E">
      <w:pPr>
        <w:pStyle w:val="Default"/>
        <w:spacing w:line="260" w:lineRule="atLeast"/>
        <w:rPr>
          <w:rStyle w:val="None"/>
          <w:color w:val="0433FF"/>
          <w:u w:color="032EED"/>
        </w:rPr>
      </w:pPr>
      <w:hyperlink r:id="rId37" w:history="1">
        <w:r w:rsidR="00C36809">
          <w:rPr>
            <w:color w:val="032EED"/>
            <w:u w:val="single" w:color="032EED"/>
          </w:rPr>
          <w:t>https://www.legislation.gov.uk/ukpga/2014/12/enacted</w:t>
        </w:r>
      </w:hyperlink>
    </w:p>
    <w:p w:rsidR="00CE5E95" w:rsidRDefault="00CE5E95">
      <w:pPr>
        <w:pStyle w:val="Default"/>
        <w:spacing w:line="260" w:lineRule="atLeast"/>
        <w:rPr>
          <w:color w:val="0433FF"/>
        </w:rPr>
      </w:pPr>
    </w:p>
    <w:p w:rsidR="00CE5E95" w:rsidRDefault="00110E5E">
      <w:pPr>
        <w:pStyle w:val="Default"/>
        <w:spacing w:line="260" w:lineRule="atLeast"/>
        <w:rPr>
          <w:rStyle w:val="None"/>
          <w:color w:val="0433FF"/>
          <w:u w:color="032EED"/>
        </w:rPr>
      </w:pPr>
      <w:hyperlink r:id="rId38" w:history="1">
        <w:r w:rsidR="00C36809">
          <w:rPr>
            <w:color w:val="032EED"/>
            <w:u w:val="single" w:color="032EED"/>
          </w:rPr>
          <w:t>http://www.safernpt.org/1120</w:t>
        </w:r>
      </w:hyperlink>
    </w:p>
    <w:p w:rsidR="00CE5E95" w:rsidRDefault="00CE5E95">
      <w:pPr>
        <w:pStyle w:val="Default"/>
        <w:spacing w:line="260" w:lineRule="atLeast"/>
        <w:rPr>
          <w:color w:val="0433FF"/>
        </w:rPr>
      </w:pPr>
    </w:p>
    <w:p w:rsidR="00CE5E95" w:rsidRDefault="00110E5E">
      <w:pPr>
        <w:pStyle w:val="Default"/>
        <w:spacing w:line="260" w:lineRule="atLeast"/>
        <w:rPr>
          <w:color w:val="032EED"/>
          <w:u w:val="single" w:color="032EED"/>
        </w:rPr>
      </w:pPr>
      <w:hyperlink r:id="rId39" w:history="1">
        <w:r w:rsidR="00C36809">
          <w:rPr>
            <w:color w:val="032EED"/>
            <w:u w:val="single" w:color="032EED"/>
          </w:rPr>
          <w:t>https://gov.wales/sites/default/files/publications/2019-06/antisocial-behaviour-policy-review.pdf</w:t>
        </w:r>
      </w:hyperlink>
      <w:r w:rsidR="00C36809">
        <w:rPr>
          <w:color w:val="032EED"/>
          <w:u w:val="single" w:color="032EED"/>
        </w:rPr>
        <w:br/>
      </w:r>
    </w:p>
    <w:p w:rsidR="00CE5E95" w:rsidRDefault="00110E5E">
      <w:pPr>
        <w:pStyle w:val="Default"/>
        <w:spacing w:line="260" w:lineRule="atLeast"/>
        <w:rPr>
          <w:rStyle w:val="None"/>
          <w:color w:val="0433FF"/>
          <w:u w:color="032EED"/>
        </w:rPr>
      </w:pPr>
      <w:hyperlink r:id="rId40" w:history="1">
        <w:r w:rsidR="00C36809">
          <w:rPr>
            <w:color w:val="032EED"/>
            <w:u w:val="single" w:color="032EED"/>
          </w:rPr>
          <w:t>https://www.legislation.gov.uk/ukpga/1986/64/section/3</w:t>
        </w:r>
      </w:hyperlink>
    </w:p>
    <w:p w:rsidR="00CE5E95" w:rsidRDefault="00CE5E95">
      <w:pPr>
        <w:pStyle w:val="Default"/>
        <w:spacing w:line="260" w:lineRule="atLeast"/>
        <w:rPr>
          <w:color w:val="0433FF"/>
        </w:rPr>
      </w:pPr>
    </w:p>
    <w:p w:rsidR="00CE5E95" w:rsidRDefault="00110E5E">
      <w:pPr>
        <w:pStyle w:val="Default"/>
        <w:spacing w:line="260" w:lineRule="atLeast"/>
      </w:pPr>
      <w:hyperlink r:id="rId41" w:history="1">
        <w:r w:rsidR="00C36809">
          <w:rPr>
            <w:rStyle w:val="Link"/>
          </w:rPr>
          <w:t>https://profdev.college.police.uk/professional-profile/police-constable/</w:t>
        </w:r>
      </w:hyperlink>
    </w:p>
    <w:p w:rsidR="00CE5E95" w:rsidRDefault="00CE5E95">
      <w:pPr>
        <w:pStyle w:val="Default"/>
        <w:spacing w:line="260" w:lineRule="atLeast"/>
      </w:pPr>
    </w:p>
    <w:p w:rsidR="00CE5E95" w:rsidRDefault="00110E5E">
      <w:pPr>
        <w:pStyle w:val="Default"/>
        <w:spacing w:line="260" w:lineRule="atLeast"/>
        <w:rPr>
          <w:rStyle w:val="None"/>
          <w:color w:val="0433FF"/>
          <w:u w:color="032EED"/>
        </w:rPr>
      </w:pPr>
      <w:hyperlink r:id="rId42" w:history="1">
        <w:r w:rsidR="00C36809">
          <w:rPr>
            <w:color w:val="032EED"/>
            <w:u w:val="single" w:color="032EED"/>
          </w:rPr>
          <w:t>https://www.app.college.police.uk/app-content/public-order/core-principles-and-legislation/police-use-of-force</w:t>
        </w:r>
      </w:hyperlink>
    </w:p>
    <w:p w:rsidR="00CE5E95" w:rsidRDefault="00CE5E95">
      <w:pPr>
        <w:pStyle w:val="Default"/>
        <w:spacing w:line="260" w:lineRule="atLeast"/>
        <w:rPr>
          <w:color w:val="0433FF"/>
        </w:rPr>
      </w:pPr>
    </w:p>
    <w:p w:rsidR="00CE5E95" w:rsidRDefault="00110E5E">
      <w:pPr>
        <w:pStyle w:val="Default"/>
        <w:spacing w:line="260" w:lineRule="atLeast"/>
        <w:rPr>
          <w:rStyle w:val="None"/>
          <w:color w:val="0433FF"/>
          <w:u w:color="032EED"/>
        </w:rPr>
      </w:pPr>
      <w:hyperlink r:id="rId43" w:history="1">
        <w:r w:rsidR="00C36809">
          <w:rPr>
            <w:color w:val="032EED"/>
            <w:u w:val="single" w:color="032EED"/>
          </w:rPr>
          <w:t>https://www.legislation.gov.uk/ukpga/1984/60/section/24</w:t>
        </w:r>
      </w:hyperlink>
    </w:p>
    <w:p w:rsidR="00CE5E95" w:rsidRDefault="00C36809">
      <w:pPr>
        <w:pStyle w:val="Default"/>
        <w:spacing w:line="260" w:lineRule="atLeast"/>
      </w:pPr>
      <w:r>
        <w:rPr>
          <w:rStyle w:val="None"/>
          <w:rFonts w:ascii="Arial Unicode MS" w:hAnsi="Arial Unicode MS"/>
          <w:color w:val="032EED"/>
          <w:sz w:val="24"/>
          <w:szCs w:val="24"/>
          <w:u w:val="single" w:color="032EED"/>
        </w:rPr>
        <w:br w:type="page"/>
      </w:r>
    </w:p>
    <w:p w:rsidR="00CE5E95" w:rsidRDefault="00CE5E95">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p>
    <w:p w:rsidR="00CE5E95" w:rsidRDefault="00C36809">
      <w:pPr>
        <w:pStyle w:val="Body"/>
        <w:jc w:val="both"/>
        <w:rPr>
          <w:rStyle w:val="None"/>
          <w:sz w:val="24"/>
          <w:szCs w:val="24"/>
        </w:rPr>
      </w:pPr>
      <w:r>
        <w:rPr>
          <w:rStyle w:val="None"/>
          <w:b/>
          <w:bCs/>
          <w:sz w:val="24"/>
          <w:szCs w:val="24"/>
          <w:lang w:val="en-US"/>
        </w:rPr>
        <w:t xml:space="preserve">CONFIDENTIALITY and PLAGIARISM </w:t>
      </w:r>
      <w:r>
        <w:rPr>
          <w:rStyle w:val="None"/>
          <w:b/>
          <w:bCs/>
          <w:sz w:val="24"/>
          <w:szCs w:val="24"/>
        </w:rPr>
        <w:t xml:space="preserve">– </w:t>
      </w:r>
      <w:r>
        <w:rPr>
          <w:rStyle w:val="None"/>
          <w:b/>
          <w:bCs/>
          <w:sz w:val="24"/>
          <w:szCs w:val="24"/>
          <w:lang w:val="en-US"/>
        </w:rPr>
        <w:t>to be completed by the learner</w:t>
      </w:r>
    </w:p>
    <w:p w:rsidR="00CE5E95" w:rsidRDefault="00CE5E95">
      <w:pPr>
        <w:pStyle w:val="Body"/>
        <w:jc w:val="both"/>
        <w:rPr>
          <w:rStyle w:val="None"/>
          <w:sz w:val="24"/>
          <w:szCs w:val="24"/>
        </w:rPr>
      </w:pPr>
    </w:p>
    <w:p w:rsidR="00CE5E95" w:rsidRDefault="00C36809">
      <w:pPr>
        <w:pStyle w:val="Body"/>
        <w:jc w:val="both"/>
        <w:rPr>
          <w:rStyle w:val="None"/>
          <w:sz w:val="24"/>
          <w:szCs w:val="24"/>
        </w:rPr>
      </w:pPr>
      <w:r>
        <w:rPr>
          <w:rStyle w:val="None"/>
          <w:sz w:val="24"/>
          <w:szCs w:val="24"/>
          <w:lang w:val="en-US"/>
        </w:rPr>
        <w:t xml:space="preserve">All information provided in this workbook complies with the guidance on confidentiality.  I confirm that all work is my original work and has not been copied. Plagiarism is taken very seriously by the University and the programme.   </w:t>
      </w:r>
    </w:p>
    <w:p w:rsidR="00CE5E95" w:rsidRDefault="00CE5E95">
      <w:pPr>
        <w:pStyle w:val="Body"/>
        <w:jc w:val="both"/>
        <w:rPr>
          <w:rStyle w:val="None"/>
          <w:sz w:val="24"/>
          <w:szCs w:val="24"/>
        </w:rPr>
      </w:pPr>
    </w:p>
    <w:p w:rsidR="00CE5E95" w:rsidRDefault="00C36809">
      <w:pPr>
        <w:pStyle w:val="Body"/>
        <w:jc w:val="both"/>
        <w:rPr>
          <w:rStyle w:val="None"/>
          <w:sz w:val="24"/>
          <w:szCs w:val="24"/>
        </w:rPr>
      </w:pPr>
      <w:r>
        <w:rPr>
          <w:rStyle w:val="None"/>
          <w:sz w:val="24"/>
          <w:szCs w:val="24"/>
          <w:lang w:val="en-US"/>
        </w:rPr>
        <w:t xml:space="preserve">Signed:  _ _ </w:t>
      </w:r>
      <w:r w:rsidR="0019160A">
        <w:rPr>
          <w:rStyle w:val="None"/>
          <w:sz w:val="24"/>
          <w:szCs w:val="24"/>
          <w:lang w:val="en-US"/>
        </w:rPr>
        <w:t>S.Thomas</w:t>
      </w:r>
      <w:r>
        <w:rPr>
          <w:rStyle w:val="None"/>
          <w:sz w:val="24"/>
          <w:szCs w:val="24"/>
          <w:lang w:val="en-US"/>
        </w:rPr>
        <w:t>_ _  (Learner</w:t>
      </w:r>
    </w:p>
    <w:p w:rsidR="00CE5E95" w:rsidRDefault="00CE5E95">
      <w:pPr>
        <w:pStyle w:val="Body"/>
        <w:jc w:val="both"/>
        <w:rPr>
          <w:rStyle w:val="None"/>
          <w:sz w:val="24"/>
          <w:szCs w:val="24"/>
        </w:rPr>
      </w:pPr>
    </w:p>
    <w:p w:rsidR="00CE5E95" w:rsidRDefault="00C36809">
      <w:pPr>
        <w:pStyle w:val="Body"/>
        <w:jc w:val="both"/>
        <w:rPr>
          <w:rStyle w:val="None"/>
          <w:sz w:val="24"/>
          <w:szCs w:val="24"/>
        </w:rPr>
      </w:pPr>
      <w:r>
        <w:rPr>
          <w:rStyle w:val="None"/>
          <w:sz w:val="24"/>
          <w:szCs w:val="24"/>
          <w:lang w:val="en-US"/>
        </w:rPr>
        <w:t xml:space="preserve">Date: _ _ </w:t>
      </w:r>
      <w:r w:rsidR="0019160A">
        <w:rPr>
          <w:rStyle w:val="None"/>
          <w:sz w:val="24"/>
          <w:szCs w:val="24"/>
          <w:lang w:val="en-US"/>
        </w:rPr>
        <w:t>07/03/2021</w:t>
      </w:r>
      <w:r>
        <w:rPr>
          <w:rStyle w:val="None"/>
          <w:sz w:val="24"/>
          <w:szCs w:val="24"/>
          <w:lang w:val="en-US"/>
        </w:rPr>
        <w:t xml:space="preserve"> _ _</w:t>
      </w:r>
    </w:p>
    <w:p w:rsidR="00CE5E95" w:rsidRDefault="00CE5E95">
      <w:pPr>
        <w:pStyle w:val="Body"/>
        <w:jc w:val="both"/>
        <w:rPr>
          <w:rStyle w:val="None"/>
          <w:sz w:val="24"/>
          <w:szCs w:val="24"/>
        </w:rPr>
      </w:pPr>
    </w:p>
    <w:p w:rsidR="00CE5E95" w:rsidRDefault="00CE5E95">
      <w:pPr>
        <w:pStyle w:val="Body"/>
        <w:ind w:right="180"/>
        <w:jc w:val="both"/>
        <w:rPr>
          <w:rStyle w:val="None"/>
          <w:sz w:val="24"/>
          <w:szCs w:val="24"/>
        </w:rPr>
      </w:pPr>
    </w:p>
    <w:p w:rsidR="00CE5E95" w:rsidRDefault="00CE5E95">
      <w:pPr>
        <w:pStyle w:val="Body"/>
        <w:jc w:val="both"/>
        <w:rPr>
          <w:rStyle w:val="None"/>
          <w:sz w:val="24"/>
          <w:szCs w:val="24"/>
        </w:rPr>
      </w:pPr>
    </w:p>
    <w:p w:rsidR="00CE5E95" w:rsidRDefault="00CE5E95">
      <w:pPr>
        <w:pStyle w:val="Body"/>
        <w:ind w:right="237"/>
        <w:jc w:val="both"/>
        <w:sectPr w:rsidR="00CE5E95" w:rsidSect="0019160A">
          <w:headerReference w:type="even" r:id="rId44"/>
          <w:headerReference w:type="default" r:id="rId45"/>
          <w:footerReference w:type="even" r:id="rId46"/>
          <w:footerReference w:type="default" r:id="rId47"/>
          <w:headerReference w:type="first" r:id="rId48"/>
          <w:footerReference w:type="first" r:id="rId49"/>
          <w:pgSz w:w="11900" w:h="16840"/>
          <w:pgMar w:top="1440" w:right="1440" w:bottom="1440" w:left="1440" w:header="720" w:footer="720" w:gutter="0"/>
          <w:cols w:space="720"/>
          <w:titlePg/>
          <w:docGrid w:linePitch="326"/>
        </w:sectPr>
      </w:pPr>
    </w:p>
    <w:p w:rsidR="00CE5E95" w:rsidRDefault="00C36809">
      <w:pPr>
        <w:pStyle w:val="Body"/>
        <w:rPr>
          <w:rStyle w:val="None"/>
          <w:sz w:val="24"/>
          <w:szCs w:val="24"/>
        </w:rPr>
      </w:pPr>
      <w:r>
        <w:rPr>
          <w:rStyle w:val="None"/>
          <w:b/>
          <w:bCs/>
          <w:sz w:val="24"/>
          <w:szCs w:val="24"/>
          <w:lang w:val="en-US"/>
        </w:rPr>
        <w:lastRenderedPageBreak/>
        <w:t>Confirmation of the progress on the Occupational Competency Portfolio (OCP).</w:t>
      </w:r>
    </w:p>
    <w:p w:rsidR="00CE5E95" w:rsidRDefault="00CE5E95">
      <w:pPr>
        <w:pStyle w:val="Body"/>
        <w:rPr>
          <w:rStyle w:val="None"/>
          <w:sz w:val="24"/>
          <w:szCs w:val="24"/>
        </w:rPr>
      </w:pPr>
    </w:p>
    <w:p w:rsidR="00CE5E95" w:rsidRDefault="00C36809">
      <w:pPr>
        <w:pStyle w:val="Body"/>
        <w:rPr>
          <w:rStyle w:val="None"/>
          <w:sz w:val="24"/>
          <w:szCs w:val="24"/>
        </w:rPr>
      </w:pPr>
      <w:r>
        <w:rPr>
          <w:rStyle w:val="None"/>
          <w:sz w:val="24"/>
          <w:szCs w:val="24"/>
          <w:lang w:val="en-US"/>
        </w:rPr>
        <w:t xml:space="preserve">I confirm that I am progressing with the Occupational Competency Portfolio (OCP) in accordance to the regulations. </w:t>
      </w:r>
    </w:p>
    <w:p w:rsidR="00CE5E95" w:rsidRDefault="00CE5E95">
      <w:pPr>
        <w:pStyle w:val="Body"/>
        <w:rPr>
          <w:rStyle w:val="None"/>
          <w:sz w:val="24"/>
          <w:szCs w:val="24"/>
        </w:rPr>
      </w:pPr>
    </w:p>
    <w:p w:rsidR="00CE5E95" w:rsidRDefault="00C36809">
      <w:pPr>
        <w:pStyle w:val="Body"/>
        <w:jc w:val="both"/>
        <w:rPr>
          <w:rStyle w:val="None"/>
          <w:sz w:val="24"/>
          <w:szCs w:val="24"/>
        </w:rPr>
      </w:pPr>
      <w:r>
        <w:rPr>
          <w:rStyle w:val="None"/>
          <w:sz w:val="24"/>
          <w:szCs w:val="24"/>
          <w:lang w:val="en-US"/>
        </w:rPr>
        <w:t xml:space="preserve">Signed:  _ </w:t>
      </w:r>
      <w:r w:rsidR="0019160A">
        <w:rPr>
          <w:rStyle w:val="None"/>
          <w:sz w:val="24"/>
          <w:szCs w:val="24"/>
          <w:lang w:val="en-US"/>
        </w:rPr>
        <w:t>S.Thomas</w:t>
      </w:r>
      <w:r>
        <w:rPr>
          <w:rStyle w:val="None"/>
          <w:sz w:val="24"/>
          <w:szCs w:val="24"/>
          <w:lang w:val="en-US"/>
        </w:rPr>
        <w:t xml:space="preserve"> _ (Learner)</w:t>
      </w:r>
    </w:p>
    <w:p w:rsidR="00CE5E95" w:rsidRDefault="00CE5E95">
      <w:pPr>
        <w:pStyle w:val="Body"/>
        <w:jc w:val="both"/>
        <w:rPr>
          <w:rStyle w:val="None"/>
          <w:sz w:val="24"/>
          <w:szCs w:val="24"/>
        </w:rPr>
      </w:pPr>
    </w:p>
    <w:p w:rsidR="00CE5E95" w:rsidRDefault="00C36809">
      <w:pPr>
        <w:pStyle w:val="Body"/>
        <w:jc w:val="both"/>
        <w:rPr>
          <w:rStyle w:val="None"/>
          <w:sz w:val="24"/>
          <w:szCs w:val="24"/>
        </w:rPr>
      </w:pPr>
      <w:r>
        <w:rPr>
          <w:rStyle w:val="None"/>
          <w:sz w:val="24"/>
          <w:szCs w:val="24"/>
          <w:lang w:val="en-US"/>
        </w:rPr>
        <w:t xml:space="preserve">Date: _ </w:t>
      </w:r>
      <w:r w:rsidR="0019160A">
        <w:rPr>
          <w:rStyle w:val="None"/>
          <w:sz w:val="24"/>
          <w:szCs w:val="24"/>
          <w:lang w:val="en-US"/>
        </w:rPr>
        <w:t>07/03/2021</w:t>
      </w:r>
      <w:r>
        <w:rPr>
          <w:rStyle w:val="None"/>
          <w:sz w:val="24"/>
          <w:szCs w:val="24"/>
          <w:lang w:val="en-US"/>
        </w:rPr>
        <w:t xml:space="preserve"> _</w:t>
      </w:r>
    </w:p>
    <w:p w:rsidR="00CE5E95" w:rsidRDefault="00CE5E95">
      <w:pPr>
        <w:pStyle w:val="Body"/>
        <w:rPr>
          <w:rStyle w:val="None"/>
          <w:sz w:val="24"/>
          <w:szCs w:val="24"/>
        </w:rPr>
      </w:pPr>
    </w:p>
    <w:p w:rsidR="00CE5E95" w:rsidRDefault="00CE5E95">
      <w:pPr>
        <w:pStyle w:val="Body"/>
        <w:rPr>
          <w:rStyle w:val="None"/>
          <w:sz w:val="24"/>
          <w:szCs w:val="24"/>
        </w:rPr>
      </w:pPr>
    </w:p>
    <w:p w:rsidR="00CE5E95" w:rsidRDefault="00C36809">
      <w:pPr>
        <w:pStyle w:val="Body"/>
        <w:jc w:val="both"/>
        <w:rPr>
          <w:rStyle w:val="None"/>
          <w:sz w:val="24"/>
          <w:szCs w:val="24"/>
        </w:rPr>
      </w:pPr>
      <w:r>
        <w:rPr>
          <w:rStyle w:val="None"/>
          <w:sz w:val="24"/>
          <w:szCs w:val="24"/>
          <w:lang w:val="en-US"/>
        </w:rPr>
        <w:t xml:space="preserve">Signed:  _ _ </w:t>
      </w:r>
      <w:r w:rsidR="0019160A">
        <w:rPr>
          <w:rStyle w:val="None"/>
          <w:sz w:val="24"/>
          <w:szCs w:val="24"/>
          <w:lang w:val="en-US"/>
        </w:rPr>
        <w:t>M.Coombs</w:t>
      </w:r>
      <w:r>
        <w:rPr>
          <w:rStyle w:val="None"/>
          <w:sz w:val="24"/>
          <w:szCs w:val="24"/>
          <w:lang w:val="en-US"/>
        </w:rPr>
        <w:t xml:space="preserve"> _ _ (Tutor Constable) </w:t>
      </w:r>
    </w:p>
    <w:p w:rsidR="00CE5E95" w:rsidRDefault="00CE5E95">
      <w:pPr>
        <w:pStyle w:val="Body"/>
        <w:jc w:val="both"/>
        <w:rPr>
          <w:rStyle w:val="None"/>
          <w:sz w:val="24"/>
          <w:szCs w:val="24"/>
        </w:rPr>
      </w:pPr>
    </w:p>
    <w:p w:rsidR="00CE5E95" w:rsidRDefault="0019160A">
      <w:pPr>
        <w:pStyle w:val="Body"/>
        <w:jc w:val="both"/>
        <w:rPr>
          <w:rStyle w:val="None"/>
          <w:sz w:val="24"/>
          <w:szCs w:val="24"/>
        </w:rPr>
      </w:pPr>
      <w:r>
        <w:rPr>
          <w:rStyle w:val="None"/>
          <w:sz w:val="24"/>
          <w:szCs w:val="24"/>
          <w:lang w:val="en-US"/>
        </w:rPr>
        <w:t>Date: _ _ 07/03/2021_</w:t>
      </w:r>
      <w:r w:rsidR="00C36809">
        <w:rPr>
          <w:rStyle w:val="None"/>
          <w:sz w:val="24"/>
          <w:szCs w:val="24"/>
          <w:lang w:val="en-US"/>
        </w:rPr>
        <w:t xml:space="preserve"> _</w:t>
      </w:r>
    </w:p>
    <w:p w:rsidR="00CE5E95" w:rsidRDefault="00CE5E95">
      <w:pPr>
        <w:pStyle w:val="Body"/>
        <w:rPr>
          <w:rStyle w:val="None"/>
          <w:sz w:val="24"/>
          <w:szCs w:val="24"/>
        </w:rPr>
      </w:pPr>
    </w:p>
    <w:p w:rsidR="00CE5E95" w:rsidRDefault="00CE5E95">
      <w:pPr>
        <w:pStyle w:val="Body"/>
        <w:rPr>
          <w:rStyle w:val="None"/>
          <w:sz w:val="24"/>
          <w:szCs w:val="24"/>
        </w:rPr>
      </w:pPr>
    </w:p>
    <w:p w:rsidR="00CE5E95" w:rsidRDefault="00C36809">
      <w:pPr>
        <w:pStyle w:val="Body"/>
      </w:pPr>
      <w:r>
        <w:rPr>
          <w:rStyle w:val="None"/>
          <w:b/>
          <w:bCs/>
          <w:sz w:val="24"/>
          <w:szCs w:val="24"/>
          <w:lang w:val="en-US"/>
        </w:rPr>
        <w:t>(Please print this page, sign it, and scan it and add it back into the document)</w:t>
      </w:r>
      <w:r w:rsidR="0019160A">
        <w:rPr>
          <w:rStyle w:val="None"/>
          <w:b/>
          <w:bCs/>
          <w:sz w:val="24"/>
          <w:szCs w:val="24"/>
          <w:lang w:val="en-US"/>
        </w:rPr>
        <w:br/>
      </w:r>
      <w:r w:rsidR="0019160A">
        <w:rPr>
          <w:rStyle w:val="None"/>
          <w:b/>
          <w:bCs/>
          <w:sz w:val="24"/>
          <w:szCs w:val="24"/>
          <w:lang w:val="en-US"/>
        </w:rPr>
        <w:br/>
      </w:r>
      <w:r w:rsidR="0019160A">
        <w:rPr>
          <w:rStyle w:val="None"/>
          <w:b/>
          <w:bCs/>
          <w:sz w:val="24"/>
          <w:szCs w:val="24"/>
          <w:lang w:val="en-US"/>
        </w:rPr>
        <w:br/>
      </w:r>
      <w:r w:rsidR="0019160A">
        <w:rPr>
          <w:rStyle w:val="None"/>
          <w:b/>
          <w:bCs/>
          <w:sz w:val="24"/>
          <w:szCs w:val="24"/>
          <w:lang w:val="en-US"/>
        </w:rPr>
        <w:br/>
      </w:r>
      <w:r w:rsidR="0019160A">
        <w:rPr>
          <w:rStyle w:val="None"/>
          <w:b/>
          <w:bCs/>
          <w:sz w:val="24"/>
          <w:szCs w:val="24"/>
          <w:lang w:val="en-US"/>
        </w:rPr>
        <w:br/>
        <w:t xml:space="preserve">****I have emailed a printed and signed copy to </w:t>
      </w:r>
      <w:hyperlink r:id="rId50" w:history="1">
        <w:r w:rsidR="0019160A" w:rsidRPr="00BC0406">
          <w:rPr>
            <w:rStyle w:val="Hyperlink"/>
            <w:b/>
            <w:bCs/>
            <w:sz w:val="24"/>
            <w:szCs w:val="24"/>
            <w:lang w:val="en-US"/>
          </w:rPr>
          <w:t>wbl@uwtsd.ac.uk</w:t>
        </w:r>
      </w:hyperlink>
      <w:r w:rsidR="0019160A">
        <w:rPr>
          <w:rStyle w:val="None"/>
          <w:b/>
          <w:bCs/>
          <w:sz w:val="24"/>
          <w:szCs w:val="24"/>
          <w:lang w:val="en-US"/>
        </w:rPr>
        <w:t xml:space="preserve"> </w:t>
      </w:r>
      <w:r w:rsidR="00110E5E">
        <w:rPr>
          <w:rStyle w:val="None"/>
          <w:b/>
          <w:bCs/>
          <w:sz w:val="24"/>
          <w:szCs w:val="24"/>
          <w:lang w:val="en-US"/>
        </w:rPr>
        <w:t xml:space="preserve">on 07/03/2021 </w:t>
      </w:r>
      <w:bookmarkStart w:id="18" w:name="_GoBack"/>
      <w:bookmarkEnd w:id="18"/>
      <w:r w:rsidR="0019160A">
        <w:rPr>
          <w:rStyle w:val="None"/>
          <w:b/>
          <w:bCs/>
          <w:sz w:val="24"/>
          <w:szCs w:val="24"/>
          <w:lang w:val="en-US"/>
        </w:rPr>
        <w:t xml:space="preserve">and written the signatures out on </w:t>
      </w:r>
      <w:r w:rsidR="00D75A5F">
        <w:rPr>
          <w:rStyle w:val="None"/>
          <w:b/>
          <w:bCs/>
          <w:sz w:val="24"/>
          <w:szCs w:val="24"/>
          <w:lang w:val="en-US"/>
        </w:rPr>
        <w:t xml:space="preserve">this copy on </w:t>
      </w:r>
      <w:r w:rsidR="0019160A">
        <w:rPr>
          <w:rStyle w:val="None"/>
          <w:b/>
          <w:bCs/>
          <w:sz w:val="24"/>
          <w:szCs w:val="24"/>
          <w:lang w:val="en-US"/>
        </w:rPr>
        <w:t>word as I was unable to upload the signed copy on moodle. ****</w:t>
      </w:r>
    </w:p>
    <w:sectPr w:rsidR="00CE5E95" w:rsidSect="0019160A">
      <w:headerReference w:type="even" r:id="rId51"/>
      <w:headerReference w:type="default" r:id="rId52"/>
      <w:footerReference w:type="even" r:id="rId53"/>
      <w:footerReference w:type="default" r:id="rId54"/>
      <w:headerReference w:type="first" r:id="rId55"/>
      <w:footerReference w:type="first" r:id="rId56"/>
      <w:pgSz w:w="11900" w:h="16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4D5" w:rsidRDefault="00C36809">
      <w:r>
        <w:separator/>
      </w:r>
    </w:p>
  </w:endnote>
  <w:endnote w:type="continuationSeparator" w:id="0">
    <w:p w:rsidR="000A64D5" w:rsidRDefault="00C36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2" w:name="TITUS1FooterEvenPages"/>
    <w:r>
      <w:rPr>
        <w:sz w:val="17"/>
      </w:rPr>
      <w:t> </w:t>
    </w:r>
  </w:p>
  <w:bookmarkEnd w:id="2"/>
  <w:p w:rsidR="0019160A" w:rsidRDefault="0019160A" w:rsidP="0019160A">
    <w:pPr>
      <w:pStyle w:val="Footer"/>
      <w:jc w:val="right"/>
    </w:pPr>
    <w:r>
      <w:fldChar w:fldCharType="begin"/>
    </w:r>
    <w:r>
      <w:instrText xml:space="preserve"> PAGE </w:instrText>
    </w:r>
    <w:r>
      <w:fldChar w:fldCharType="separate"/>
    </w:r>
    <w:r w:rsidR="00110E5E">
      <w:rPr>
        <w:noProof/>
      </w:rPr>
      <w:t>6</w:t>
    </w:r>
    <w:r>
      <w:fldChar w:fldCharType="end"/>
    </w:r>
  </w:p>
  <w:p w:rsidR="0019160A" w:rsidRDefault="001916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3" w:name="TITUS1FooterPrimary"/>
    <w:r>
      <w:rPr>
        <w:sz w:val="17"/>
      </w:rPr>
      <w:t> </w:t>
    </w:r>
  </w:p>
  <w:bookmarkEnd w:id="3"/>
  <w:p w:rsidR="00CE5E95" w:rsidRDefault="00C36809">
    <w:pPr>
      <w:pStyle w:val="Footer"/>
      <w:jc w:val="right"/>
    </w:pPr>
    <w:r>
      <w:fldChar w:fldCharType="begin"/>
    </w:r>
    <w:r>
      <w:instrText xml:space="preserve"> PAGE </w:instrText>
    </w:r>
    <w:r>
      <w:fldChar w:fldCharType="separate"/>
    </w:r>
    <w:r w:rsidR="00110E5E">
      <w:rPr>
        <w:noProof/>
      </w:rP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5" w:name="TITUS1FooterFirstPage"/>
    <w:r>
      <w:rPr>
        <w:sz w:val="17"/>
      </w:rPr>
      <w:t> </w:t>
    </w:r>
  </w:p>
  <w:bookmarkEnd w:id="5"/>
  <w:p w:rsidR="0019160A" w:rsidRDefault="0019160A" w:rsidP="0019160A">
    <w:pPr>
      <w:pStyle w:val="Footer"/>
      <w:jc w:val="right"/>
    </w:pPr>
    <w:r>
      <w:fldChar w:fldCharType="begin"/>
    </w:r>
    <w:r>
      <w:instrText xml:space="preserve"> PAGE </w:instrText>
    </w:r>
    <w:r>
      <w:fldChar w:fldCharType="separate"/>
    </w:r>
    <w:r w:rsidR="00110E5E">
      <w:rPr>
        <w:noProof/>
      </w:rPr>
      <w:t>1</w:t>
    </w:r>
    <w:r>
      <w:fldChar w:fldCharType="end"/>
    </w:r>
  </w:p>
  <w:p w:rsidR="0019160A" w:rsidRDefault="001916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8" w:name="TITUS2FooterEvenPages"/>
    <w:r>
      <w:rPr>
        <w:sz w:val="17"/>
      </w:rPr>
      <w:t> </w:t>
    </w:r>
  </w:p>
  <w:bookmarkEnd w:id="8"/>
  <w:p w:rsidR="0019160A" w:rsidRDefault="0019160A" w:rsidP="0019160A">
    <w:pPr>
      <w:pStyle w:val="Footer"/>
      <w:jc w:val="right"/>
    </w:pPr>
  </w:p>
  <w:p w:rsidR="0019160A" w:rsidRDefault="0019160A" w:rsidP="0019160A">
    <w:pPr>
      <w:pStyle w:val="Footer"/>
      <w:jc w:val="right"/>
    </w:pPr>
    <w:r>
      <w:fldChar w:fldCharType="begin"/>
    </w:r>
    <w:r>
      <w:instrText xml:space="preserve"> PAGE </w:instrText>
    </w:r>
    <w:r>
      <w:fldChar w:fldCharType="separate"/>
    </w:r>
    <w:r w:rsidR="00110E5E">
      <w:rPr>
        <w:noProof/>
      </w:rPr>
      <w:t>20</w:t>
    </w:r>
    <w:r>
      <w:fldChar w:fldCharType="end"/>
    </w:r>
  </w:p>
  <w:p w:rsidR="0019160A" w:rsidRDefault="001916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9" w:name="TITUS2FooterPrimary"/>
    <w:r>
      <w:rPr>
        <w:sz w:val="17"/>
      </w:rPr>
      <w:t> </w:t>
    </w:r>
  </w:p>
  <w:bookmarkEnd w:id="9"/>
  <w:p w:rsidR="0019160A" w:rsidRDefault="0019160A">
    <w:pPr>
      <w:pStyle w:val="Footer"/>
      <w:jc w:val="right"/>
    </w:pPr>
  </w:p>
  <w:p w:rsidR="0019160A" w:rsidRDefault="0019160A">
    <w:pPr>
      <w:pStyle w:val="Footer"/>
      <w:jc w:val="right"/>
    </w:pPr>
    <w:r>
      <w:fldChar w:fldCharType="begin"/>
    </w:r>
    <w:r>
      <w:instrText xml:space="preserve"> PAGE </w:instrText>
    </w:r>
    <w:r>
      <w:fldChar w:fldCharType="separate"/>
    </w:r>
    <w:r w:rsidR="00110E5E">
      <w:rPr>
        <w:noProof/>
      </w:rPr>
      <w:t>21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11" w:name="TITUS2FooterFirstPage"/>
    <w:r>
      <w:rPr>
        <w:sz w:val="17"/>
      </w:rPr>
      <w:t> </w:t>
    </w:r>
  </w:p>
  <w:bookmarkEnd w:id="11"/>
  <w:p w:rsidR="0019160A" w:rsidRDefault="0019160A" w:rsidP="0019160A">
    <w:pPr>
      <w:pStyle w:val="Footer"/>
      <w:jc w:val="right"/>
    </w:pPr>
  </w:p>
  <w:p w:rsidR="0019160A" w:rsidRDefault="0019160A" w:rsidP="0019160A">
    <w:pPr>
      <w:pStyle w:val="Footer"/>
      <w:jc w:val="right"/>
    </w:pPr>
    <w:r>
      <w:fldChar w:fldCharType="begin"/>
    </w:r>
    <w:r>
      <w:instrText xml:space="preserve"> PAGE </w:instrText>
    </w:r>
    <w:r>
      <w:fldChar w:fldCharType="separate"/>
    </w:r>
    <w:r w:rsidR="00110E5E">
      <w:rPr>
        <w:noProof/>
      </w:rPr>
      <w:t>8</w:t>
    </w:r>
    <w:r>
      <w:fldChar w:fldCharType="end"/>
    </w:r>
  </w:p>
  <w:p w:rsidR="0019160A" w:rsidRDefault="0019160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14" w:name="TITUS3FooterEvenPages"/>
    <w:r>
      <w:rPr>
        <w:sz w:val="17"/>
      </w:rPr>
      <w:t> </w:t>
    </w:r>
  </w:p>
  <w:bookmarkEnd w:id="14"/>
  <w:p w:rsidR="0019160A" w:rsidRDefault="0019160A" w:rsidP="0019160A">
    <w:pPr>
      <w:pStyle w:val="Footer"/>
      <w:jc w:val="right"/>
    </w:pPr>
  </w:p>
  <w:p w:rsidR="0019160A" w:rsidRDefault="0019160A" w:rsidP="0019160A">
    <w:pPr>
      <w:pStyle w:val="Footer"/>
      <w:jc w:val="right"/>
    </w:pPr>
    <w:r>
      <w:fldChar w:fldCharType="begin"/>
    </w:r>
    <w:r>
      <w:instrText xml:space="preserve"> PAGE </w:instrText>
    </w:r>
    <w:r>
      <w:fldChar w:fldCharType="separate"/>
    </w:r>
    <w:r w:rsidR="00110E5E">
      <w:rPr>
        <w:noProof/>
      </w:rPr>
      <w:t>24</w:t>
    </w:r>
    <w:r>
      <w:fldChar w:fldCharType="end"/>
    </w:r>
  </w:p>
  <w:p w:rsidR="0019160A" w:rsidRDefault="0019160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15" w:name="TITUS3FooterPrimary"/>
    <w:r>
      <w:rPr>
        <w:sz w:val="17"/>
      </w:rPr>
      <w:t> </w:t>
    </w:r>
  </w:p>
  <w:bookmarkEnd w:id="15"/>
  <w:p w:rsidR="0019160A" w:rsidRDefault="0019160A">
    <w:pPr>
      <w:pStyle w:val="Footer"/>
      <w:jc w:val="right"/>
    </w:pPr>
  </w:p>
  <w:p w:rsidR="0019160A" w:rsidRDefault="0019160A">
    <w:pPr>
      <w:pStyle w:val="Footer"/>
      <w:jc w:val="right"/>
    </w:pPr>
    <w:r>
      <w:fldChar w:fldCharType="begin"/>
    </w:r>
    <w:r>
      <w:instrText xml:space="preserve"> PAGE </w:instrText>
    </w:r>
    <w:r>
      <w:fldChar w:fldCharType="separate"/>
    </w:r>
    <w:r w:rsidR="00110E5E">
      <w:rPr>
        <w:noProof/>
      </w:rPr>
      <w:t>23</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17" w:name="TITUS3FooterFirstPage"/>
    <w:r>
      <w:rPr>
        <w:sz w:val="17"/>
      </w:rPr>
      <w:t> </w:t>
    </w:r>
  </w:p>
  <w:bookmarkEnd w:id="17"/>
  <w:p w:rsidR="0019160A" w:rsidRDefault="0019160A" w:rsidP="0019160A">
    <w:pPr>
      <w:pStyle w:val="Footer"/>
      <w:jc w:val="right"/>
    </w:pPr>
  </w:p>
  <w:p w:rsidR="0019160A" w:rsidRDefault="0019160A" w:rsidP="0019160A">
    <w:pPr>
      <w:pStyle w:val="Footer"/>
      <w:jc w:val="right"/>
    </w:pPr>
    <w:r>
      <w:fldChar w:fldCharType="begin"/>
    </w:r>
    <w:r>
      <w:instrText xml:space="preserve"> PAGE </w:instrText>
    </w:r>
    <w:r>
      <w:fldChar w:fldCharType="separate"/>
    </w:r>
    <w:r w:rsidR="00110E5E">
      <w:rPr>
        <w:noProof/>
      </w:rPr>
      <w:t>22</w:t>
    </w:r>
    <w:r>
      <w:fldChar w:fldCharType="end"/>
    </w:r>
  </w:p>
  <w:p w:rsidR="0019160A" w:rsidRDefault="0019160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21" w:name="TITUS4FooterEvenPages"/>
    <w:r>
      <w:rPr>
        <w:sz w:val="17"/>
      </w:rPr>
      <w:t> </w:t>
    </w:r>
  </w:p>
  <w:bookmarkEnd w:id="21"/>
  <w:p w:rsidR="0019160A" w:rsidRDefault="0019160A" w:rsidP="0019160A">
    <w:pPr>
      <w:pStyle w:val="Footer"/>
      <w:jc w:val="right"/>
    </w:pPr>
  </w:p>
  <w:p w:rsidR="0019160A" w:rsidRDefault="0019160A" w:rsidP="0019160A">
    <w:pPr>
      <w:pStyle w:val="Footer"/>
      <w:jc w:val="right"/>
    </w:pPr>
    <w:r>
      <w:fldChar w:fldCharType="begin"/>
    </w:r>
    <w:r>
      <w:instrText xml:space="preserve"> PAGE </w:instrText>
    </w:r>
    <w:r>
      <w:fldChar w:fldCharType="separate"/>
    </w:r>
    <w:r>
      <w:rPr>
        <w:noProof/>
      </w:rPr>
      <w:t>24</w:t>
    </w:r>
    <w:r>
      <w:fldChar w:fldCharType="end"/>
    </w:r>
  </w:p>
  <w:p w:rsidR="0019160A" w:rsidRDefault="0019160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22" w:name="TITUS4FooterPrimary"/>
    <w:r>
      <w:rPr>
        <w:sz w:val="17"/>
      </w:rPr>
      <w:t> </w:t>
    </w:r>
  </w:p>
  <w:bookmarkEnd w:id="22"/>
  <w:p w:rsidR="0019160A" w:rsidRDefault="0019160A">
    <w:pPr>
      <w:pStyle w:val="Footer"/>
      <w:jc w:val="right"/>
    </w:pPr>
  </w:p>
  <w:p w:rsidR="0019160A" w:rsidRDefault="0019160A">
    <w:pPr>
      <w:pStyle w:val="Footer"/>
      <w:jc w:val="right"/>
    </w:pPr>
    <w:r>
      <w:fldChar w:fldCharType="begin"/>
    </w:r>
    <w:r>
      <w:instrText xml:space="preserve"> PAGE </w:instrText>
    </w:r>
    <w:r>
      <w:fldChar w:fldCharType="separate"/>
    </w:r>
    <w:r>
      <w:rPr>
        <w:noProof/>
      </w:rPr>
      <w:t>23</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Footer"/>
      <w:rPr>
        <w:sz w:val="17"/>
      </w:rPr>
    </w:pPr>
    <w:bookmarkStart w:id="24" w:name="TITUS4FooterFirstPage"/>
    <w:r>
      <w:rPr>
        <w:sz w:val="17"/>
      </w:rPr>
      <w:t> </w:t>
    </w:r>
  </w:p>
  <w:bookmarkEnd w:id="24"/>
  <w:p w:rsidR="0019160A" w:rsidRDefault="0019160A" w:rsidP="0019160A">
    <w:pPr>
      <w:pStyle w:val="Footer"/>
      <w:jc w:val="right"/>
    </w:pPr>
  </w:p>
  <w:p w:rsidR="0019160A" w:rsidRDefault="0019160A" w:rsidP="0019160A">
    <w:pPr>
      <w:pStyle w:val="Footer"/>
      <w:jc w:val="right"/>
    </w:pPr>
    <w:r>
      <w:fldChar w:fldCharType="begin"/>
    </w:r>
    <w:r>
      <w:instrText xml:space="preserve"> PAGE </w:instrText>
    </w:r>
    <w:r>
      <w:fldChar w:fldCharType="separate"/>
    </w:r>
    <w:r w:rsidR="00110E5E">
      <w:rPr>
        <w:noProof/>
      </w:rPr>
      <w:t>25</w:t>
    </w:r>
    <w:r>
      <w:fldChar w:fldCharType="end"/>
    </w:r>
  </w:p>
  <w:p w:rsidR="0019160A" w:rsidRDefault="00191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E95" w:rsidRDefault="00C36809">
      <w:r>
        <w:separator/>
      </w:r>
    </w:p>
  </w:footnote>
  <w:footnote w:type="continuationSeparator" w:id="0">
    <w:p w:rsidR="00CE5E95" w:rsidRDefault="00C36809">
      <w:r>
        <w:continuationSeparator/>
      </w:r>
    </w:p>
  </w:footnote>
  <w:footnote w:type="continuationNotice" w:id="1">
    <w:p w:rsidR="00CE5E95" w:rsidRDefault="00CE5E95"/>
  </w:footnote>
  <w:footnote w:id="2">
    <w:p w:rsidR="00CE5E95" w:rsidRDefault="00C36809">
      <w:pPr>
        <w:pStyle w:val="Footnote"/>
      </w:pPr>
      <w:r>
        <w:rPr>
          <w:vertAlign w:val="superscript"/>
        </w:rPr>
        <w:footnoteRef/>
      </w:r>
      <w:hyperlink r:id="rId1" w:history="1">
        <w:r>
          <w:rPr>
            <w:rStyle w:val="Link"/>
            <w:rFonts w:eastAsia="Arial Unicode MS" w:cs="Arial Unicode MS"/>
            <w:lang w:val="en-US"/>
          </w:rPr>
          <w:t>https://www.medicalnewstoday.com/articles/325818</w:t>
        </w:r>
      </w:hyperlink>
    </w:p>
  </w:footnote>
  <w:footnote w:id="3">
    <w:p w:rsidR="00CE5E95" w:rsidRDefault="00C36809">
      <w:pPr>
        <w:pStyle w:val="Footnote"/>
      </w:pPr>
      <w:r>
        <w:rPr>
          <w:vertAlign w:val="superscript"/>
        </w:rPr>
        <w:footnoteRef/>
      </w:r>
      <w:r>
        <w:rPr>
          <w:rFonts w:ascii="Arial" w:hAnsi="Arial"/>
          <w:i/>
          <w:iCs/>
          <w:lang w:val="en-US"/>
        </w:rPr>
        <w:t>Section 39, Criminal Justice Act, 1988</w:t>
      </w:r>
    </w:p>
  </w:footnote>
  <w:footnote w:id="4">
    <w:p w:rsidR="00CE5E95" w:rsidRDefault="00C36809">
      <w:pPr>
        <w:pStyle w:val="Footnote"/>
      </w:pPr>
      <w:r>
        <w:rPr>
          <w:vertAlign w:val="superscript"/>
        </w:rPr>
        <w:footnoteRef/>
      </w:r>
      <w:r>
        <w:rPr>
          <w:rFonts w:eastAsia="Arial Unicode MS" w:cs="Arial Unicode MS"/>
          <w:lang w:val="en-US"/>
        </w:rPr>
        <w:t xml:space="preserve"> https://www.app.college.police.uk/app-content/national-decision-model/the-national-decision-model/</w:t>
      </w:r>
    </w:p>
  </w:footnote>
  <w:footnote w:id="5">
    <w:p w:rsidR="00CE5E95" w:rsidRDefault="00C36809">
      <w:pPr>
        <w:pStyle w:val="Footnote"/>
      </w:pPr>
      <w:r>
        <w:rPr>
          <w:vertAlign w:val="superscript"/>
        </w:rPr>
        <w:footnoteRef/>
      </w:r>
      <w:r>
        <w:rPr>
          <w:rFonts w:eastAsia="Arial Unicode MS" w:cs="Arial Unicode MS"/>
        </w:rPr>
        <w:t xml:space="preserve"> </w:t>
      </w:r>
      <w:hyperlink r:id="rId2" w:history="1">
        <w:r>
          <w:rPr>
            <w:rStyle w:val="Link"/>
            <w:rFonts w:eastAsia="Arial Unicode MS" w:cs="Arial Unicode MS"/>
            <w:lang w:val="en-US"/>
          </w:rPr>
          <w:t>https://assets.publishing.service.gov.uk/government/uploads/system/uploads/attachment_data/file/405397/6.379_Supporting_guidance_web_doc_v3.pdf</w:t>
        </w:r>
      </w:hyperlink>
    </w:p>
  </w:footnote>
  <w:footnote w:id="6">
    <w:p w:rsidR="00CE5E95" w:rsidRDefault="00C36809">
      <w:pPr>
        <w:pStyle w:val="Footnote"/>
      </w:pPr>
      <w:r>
        <w:rPr>
          <w:vertAlign w:val="superscript"/>
        </w:rPr>
        <w:footnoteRef/>
      </w:r>
      <w:hyperlink r:id="rId3" w:history="1">
        <w:r>
          <w:rPr>
            <w:rStyle w:val="Link"/>
            <w:rFonts w:eastAsia="Arial Unicode MS" w:cs="Arial Unicode MS"/>
            <w:lang w:val="en-US"/>
          </w:rPr>
          <w:t>https://www.legislation.gov.uk/ukpga/1996/25/contents</w:t>
        </w:r>
      </w:hyperlink>
    </w:p>
  </w:footnote>
  <w:footnote w:id="7">
    <w:p w:rsidR="00CE5E95" w:rsidRDefault="00C36809">
      <w:pPr>
        <w:pStyle w:val="Footnote"/>
      </w:pPr>
      <w:r>
        <w:rPr>
          <w:vertAlign w:val="superscript"/>
        </w:rPr>
        <w:footnoteRef/>
      </w:r>
      <w:hyperlink r:id="rId4" w:history="1">
        <w:r>
          <w:rPr>
            <w:rStyle w:val="Link"/>
            <w:rFonts w:eastAsia="Arial Unicode MS" w:cs="Arial Unicode MS"/>
            <w:lang w:val="en-US"/>
          </w:rPr>
          <w:t>https://assets.publishing.service.gov.uk/government/uploads/system/uploads/attachment_data/file/447967/code-of-practice-approved.pdf</w:t>
        </w:r>
      </w:hyperlink>
    </w:p>
  </w:footnote>
  <w:footnote w:id="8">
    <w:p w:rsidR="00CE5E95" w:rsidRDefault="00C36809">
      <w:pPr>
        <w:pStyle w:val="Footnote"/>
      </w:pPr>
      <w:r>
        <w:rPr>
          <w:vertAlign w:val="superscript"/>
        </w:rPr>
        <w:footnoteRef/>
      </w:r>
      <w:r>
        <w:rPr>
          <w:vertAlign w:val="superscript"/>
        </w:rPr>
        <w:footnoteRef/>
      </w:r>
      <w:hyperlink r:id="rId5" w:history="1">
        <w:r>
          <w:rPr>
            <w:rStyle w:val="Link"/>
            <w:rFonts w:eastAsia="Arial Unicode MS" w:cs="Arial Unicode MS"/>
            <w:lang w:val="en-US"/>
          </w:rPr>
          <w:t>https://assets.publishing.service.gov.uk/government/uploads/system/uploads/attachment_data/file/447967/code-of-practice-approved.pdf</w:t>
        </w:r>
      </w:hyperlink>
    </w:p>
  </w:footnote>
  <w:footnote w:id="9">
    <w:p w:rsidR="00CE5E95" w:rsidRDefault="00C36809">
      <w:pPr>
        <w:pStyle w:val="Footnote"/>
      </w:pPr>
      <w:r>
        <w:rPr>
          <w:vertAlign w:val="superscript"/>
        </w:rPr>
        <w:footnoteRef/>
      </w:r>
      <w:r>
        <w:rPr>
          <w:rFonts w:eastAsia="Arial Unicode MS" w:cs="Arial Unicode MS"/>
          <w:lang w:val="en-US"/>
        </w:rPr>
        <w:t xml:space="preserve"> Code of Ethics, ‘A Code of Practice for the Principles and Standards of Professional Behaviour for the Policing Profession of England and Wales’ July 2014</w:t>
      </w:r>
    </w:p>
  </w:footnote>
  <w:footnote w:id="10">
    <w:p w:rsidR="00CE5E95" w:rsidRDefault="00C36809">
      <w:pPr>
        <w:pStyle w:val="Footnote"/>
      </w:pPr>
      <w:r>
        <w:rPr>
          <w:vertAlign w:val="superscript"/>
        </w:rPr>
        <w:footnoteRef/>
      </w:r>
      <w:r>
        <w:rPr>
          <w:rFonts w:eastAsia="Arial Unicode MS" w:cs="Arial Unicode MS"/>
          <w:lang w:val="en-US"/>
        </w:rPr>
        <w:t xml:space="preserve">Code of Ethics, </w:t>
      </w:r>
      <w:r>
        <w:rPr>
          <w:rFonts w:eastAsia="Arial Unicode MS" w:cs="Arial Unicode MS"/>
        </w:rPr>
        <w:t>‘</w:t>
      </w:r>
      <w:r>
        <w:rPr>
          <w:rFonts w:eastAsia="Arial Unicode MS" w:cs="Arial Unicode MS"/>
          <w:lang w:val="en-US"/>
        </w:rPr>
        <w:t>A Code of Practice for the Principles and Standards of Professional Behaviour for the Policing Profession of England and Wales</w:t>
      </w:r>
      <w:r>
        <w:rPr>
          <w:rFonts w:eastAsia="Arial Unicode MS" w:cs="Arial Unicode MS"/>
        </w:rPr>
        <w:t xml:space="preserve">’ </w:t>
      </w:r>
      <w:r>
        <w:rPr>
          <w:rFonts w:eastAsia="Arial Unicode MS" w:cs="Arial Unicode MS"/>
          <w:lang w:val="en-US"/>
        </w:rPr>
        <w:t>July 2014, page 4</w:t>
      </w:r>
    </w:p>
  </w:footnote>
  <w:footnote w:id="11">
    <w:p w:rsidR="00CE5E95" w:rsidRDefault="00C36809">
      <w:pPr>
        <w:pStyle w:val="Footnote"/>
      </w:pPr>
      <w:r>
        <w:rPr>
          <w:vertAlign w:val="superscript"/>
        </w:rPr>
        <w:footnoteRef/>
      </w:r>
      <w:hyperlink r:id="rId6" w:history="1">
        <w:r>
          <w:rPr>
            <w:rStyle w:val="Link"/>
            <w:rFonts w:eastAsia="Arial Unicode MS" w:cs="Arial Unicode MS"/>
            <w:lang w:val="en-US"/>
          </w:rPr>
          <w:t>https://www.legislation.gov.uk/ukpga/1971/48</w:t>
        </w:r>
      </w:hyperlink>
    </w:p>
  </w:footnote>
  <w:footnote w:id="12">
    <w:p w:rsidR="00CE5E95" w:rsidRDefault="00C36809">
      <w:pPr>
        <w:pStyle w:val="Footnote"/>
      </w:pPr>
      <w:r>
        <w:rPr>
          <w:vertAlign w:val="superscript"/>
        </w:rPr>
        <w:footnoteRef/>
      </w:r>
      <w:r>
        <w:rPr>
          <w:rFonts w:eastAsia="Arial Unicode MS" w:cs="Arial Unicode MS"/>
        </w:rPr>
        <w:t xml:space="preserve"> </w:t>
      </w:r>
      <w:hyperlink r:id="rId7" w:history="1">
        <w:r>
          <w:rPr>
            <w:rStyle w:val="Link"/>
            <w:rFonts w:eastAsia="Arial Unicode MS" w:cs="Arial Unicode MS"/>
            <w:lang w:val="en-US"/>
          </w:rPr>
          <w:t>https://paas-s3-broker-prod-lon-6453d964-1d1a-432a-9260-5e0ba7d2fc51.s3.eu-west-2.amazonaws.com/s3fs-public/2021-02/code_of_ethics.pdf</w:t>
        </w:r>
      </w:hyperlink>
    </w:p>
  </w:footnote>
  <w:footnote w:id="13">
    <w:p w:rsidR="00CE5E95" w:rsidRDefault="00C36809">
      <w:pPr>
        <w:pStyle w:val="Footnote"/>
      </w:pPr>
      <w:r>
        <w:rPr>
          <w:vertAlign w:val="superscript"/>
        </w:rPr>
        <w:footnoteRef/>
      </w:r>
      <w:r>
        <w:rPr>
          <w:rFonts w:eastAsia="Arial Unicode MS" w:cs="Arial Unicode MS"/>
          <w:lang w:val="en-US"/>
        </w:rPr>
        <w:t>https://www.app.college.police.uk/app-content/detention-and-custody-2/detainee-care/alcohol-and-drugs/</w:t>
      </w:r>
    </w:p>
  </w:footnote>
  <w:footnote w:id="14">
    <w:p w:rsidR="00CE5E95" w:rsidRDefault="00C36809">
      <w:pPr>
        <w:pStyle w:val="Footnote"/>
      </w:pPr>
      <w:r>
        <w:rPr>
          <w:vertAlign w:val="superscript"/>
        </w:rPr>
        <w:footnoteRef/>
      </w:r>
      <w:hyperlink r:id="rId8" w:history="1">
        <w:r>
          <w:rPr>
            <w:rStyle w:val="Link"/>
            <w:rFonts w:eastAsia="Arial Unicode MS" w:cs="Arial Unicode MS"/>
            <w:lang w:val="en-US"/>
          </w:rPr>
          <w:t>https://assets.publishing.service.gov.uk/government/uploads/system/uploads/attachment_data/file/364707/PaceCodeC2014.pdf</w:t>
        </w:r>
      </w:hyperlink>
    </w:p>
  </w:footnote>
  <w:footnote w:id="15">
    <w:p w:rsidR="00CE5E95" w:rsidRDefault="00C36809">
      <w:pPr>
        <w:pStyle w:val="Footnote"/>
      </w:pPr>
      <w:r>
        <w:rPr>
          <w:vertAlign w:val="superscript"/>
        </w:rPr>
        <w:footnoteRef/>
      </w:r>
      <w:r>
        <w:rPr>
          <w:rFonts w:eastAsia="Arial Unicode MS" w:cs="Arial Unicode MS"/>
          <w:lang w:val="en-US"/>
        </w:rPr>
        <w:t>https://www.app.college.police.uk/app-content/national-decision-model/the-national-decision-model/</w:t>
      </w:r>
    </w:p>
  </w:footnote>
  <w:footnote w:id="16">
    <w:p w:rsidR="00CE5E95" w:rsidRDefault="00C36809">
      <w:pPr>
        <w:pStyle w:val="Footnote"/>
      </w:pPr>
      <w:r>
        <w:rPr>
          <w:vertAlign w:val="superscript"/>
        </w:rPr>
        <w:footnoteRef/>
      </w:r>
      <w:hyperlink r:id="rId9" w:history="1">
        <w:r>
          <w:rPr>
            <w:rStyle w:val="Link"/>
            <w:rFonts w:eastAsia="Arial Unicode MS" w:cs="Arial Unicode MS"/>
            <w:lang w:val="en-US"/>
          </w:rPr>
          <w:t>https://www.cps.gov.uk/legal-guidance/cautioning-and-diversion</w:t>
        </w:r>
      </w:hyperlink>
    </w:p>
  </w:footnote>
  <w:footnote w:id="17">
    <w:p w:rsidR="00CE5E95" w:rsidRDefault="00C36809">
      <w:pPr>
        <w:pStyle w:val="Footnote"/>
      </w:pPr>
      <w:r>
        <w:rPr>
          <w:vertAlign w:val="superscript"/>
        </w:rPr>
        <w:footnoteRef/>
      </w:r>
      <w:hyperlink r:id="rId10" w:history="1">
        <w:r>
          <w:rPr>
            <w:rStyle w:val="Link"/>
            <w:rFonts w:eastAsia="Arial Unicode MS" w:cs="Arial Unicode MS"/>
            <w:lang w:val="en-US"/>
          </w:rPr>
          <w:t>https://assets.publishing.service.gov.uk/government/uploads/system/uploads/attachment_data/file/117682/appropriate-adults-guide.pdf</w:t>
        </w:r>
      </w:hyperlink>
    </w:p>
  </w:footnote>
  <w:footnote w:id="18">
    <w:p w:rsidR="00CE5E95" w:rsidRDefault="00C36809">
      <w:pPr>
        <w:pStyle w:val="Footnote"/>
      </w:pPr>
      <w:r>
        <w:rPr>
          <w:vertAlign w:val="superscript"/>
        </w:rPr>
        <w:footnoteRef/>
      </w:r>
      <w:hyperlink r:id="rId11" w:history="1">
        <w:r>
          <w:rPr>
            <w:rStyle w:val="Link"/>
            <w:rFonts w:eastAsia="Arial Unicode MS" w:cs="Arial Unicode MS"/>
            <w:lang w:val="en-US"/>
          </w:rPr>
          <w:t>https://www.legislation.gov.uk/ukpga/1986/64/section/4A</w:t>
        </w:r>
      </w:hyperlink>
    </w:p>
  </w:footnote>
  <w:footnote w:id="19">
    <w:p w:rsidR="00CE5E95" w:rsidRDefault="00C36809">
      <w:pPr>
        <w:pStyle w:val="Footnote"/>
      </w:pPr>
      <w:r>
        <w:rPr>
          <w:vertAlign w:val="superscript"/>
        </w:rPr>
        <w:footnoteRef/>
      </w:r>
      <w:hyperlink r:id="rId12" w:history="1">
        <w:r>
          <w:rPr>
            <w:rStyle w:val="Link"/>
            <w:rFonts w:eastAsia="Arial Unicode MS" w:cs="Arial Unicode MS"/>
            <w:lang w:val="en-US"/>
          </w:rPr>
          <w:t>https://www.app.college.police.uk/app-content/engagement-and-communication/engaging-with-communities/</w:t>
        </w:r>
      </w:hyperlink>
    </w:p>
  </w:footnote>
  <w:footnote w:id="20">
    <w:p w:rsidR="00CE5E95" w:rsidRDefault="00C36809">
      <w:pPr>
        <w:pStyle w:val="Footnote"/>
      </w:pPr>
      <w:r>
        <w:rPr>
          <w:vertAlign w:val="superscript"/>
        </w:rPr>
        <w:footnoteRef/>
      </w:r>
      <w:hyperlink r:id="rId13" w:history="1">
        <w:r>
          <w:rPr>
            <w:rStyle w:val="Link"/>
            <w:rFonts w:eastAsia="Arial Unicode MS" w:cs="Arial Unicode MS"/>
            <w:lang w:val="en-US"/>
          </w:rPr>
          <w:t>https://www.app.college.police.uk/app-content/engagement-and-communication/engaging-with-communities/</w:t>
        </w:r>
      </w:hyperlink>
    </w:p>
  </w:footnote>
  <w:footnote w:id="21">
    <w:p w:rsidR="00CE5E95" w:rsidRDefault="00C36809">
      <w:pPr>
        <w:pStyle w:val="Footnote"/>
      </w:pPr>
      <w:r>
        <w:rPr>
          <w:vertAlign w:val="superscript"/>
        </w:rPr>
        <w:footnoteRef/>
      </w:r>
      <w:r>
        <w:rPr>
          <w:rFonts w:eastAsia="Arial Unicode MS" w:cs="Arial Unicode MS"/>
          <w:lang w:val="en-US"/>
        </w:rPr>
        <w:t>https://www.app.college.police.uk/app-content/engagement-and-communication/engaging-with-communities/</w:t>
      </w:r>
    </w:p>
  </w:footnote>
  <w:footnote w:id="22">
    <w:p w:rsidR="00CE5E95" w:rsidRDefault="00C36809">
      <w:pPr>
        <w:pStyle w:val="Footnote"/>
      </w:pPr>
      <w:r>
        <w:rPr>
          <w:vertAlign w:val="superscript"/>
        </w:rPr>
        <w:footnoteRef/>
      </w:r>
      <w:hyperlink r:id="rId14" w:history="1">
        <w:r>
          <w:rPr>
            <w:rStyle w:val="Hyperlink1"/>
            <w:rFonts w:eastAsia="Arial Unicode MS" w:cs="Arial Unicode MS"/>
            <w:lang w:val="en-US"/>
          </w:rPr>
          <w:t>https://www.nhs.uk/conditions/coronavirus-covid-19/staying-at-home-to-avoid-getting-coronavirus/staying-at-home-and-away-from-other-people/</w:t>
        </w:r>
      </w:hyperlink>
    </w:p>
  </w:footnote>
  <w:footnote w:id="23">
    <w:p w:rsidR="00CE5E95" w:rsidRDefault="00C36809">
      <w:pPr>
        <w:pStyle w:val="Footnote"/>
      </w:pPr>
      <w:r>
        <w:rPr>
          <w:rStyle w:val="None"/>
          <w:vertAlign w:val="superscript"/>
        </w:rPr>
        <w:footnoteRef/>
      </w:r>
      <w:r>
        <w:rPr>
          <w:rFonts w:eastAsia="Arial Unicode MS" w:cs="Arial Unicode MS"/>
          <w:lang w:val="en-US"/>
        </w:rPr>
        <w:t>Sherman, L. (1998) Evidence-Based Policing. Ideas in American Policing Series. Washington, DC: Police Foundation</w:t>
      </w:r>
    </w:p>
  </w:footnote>
  <w:footnote w:id="24">
    <w:p w:rsidR="00CE5E95" w:rsidRDefault="00C36809">
      <w:pPr>
        <w:pStyle w:val="Footnote"/>
      </w:pPr>
      <w:r>
        <w:rPr>
          <w:rStyle w:val="None"/>
          <w:vertAlign w:val="superscript"/>
        </w:rPr>
        <w:footnoteRef/>
      </w:r>
      <w:r>
        <w:rPr>
          <w:rFonts w:eastAsia="Arial Unicode MS" w:cs="Arial Unicode MS"/>
        </w:rPr>
        <w:t xml:space="preserve"> </w:t>
      </w:r>
      <w:hyperlink r:id="rId15" w:history="1">
        <w:r>
          <w:rPr>
            <w:rStyle w:val="Link"/>
            <w:rFonts w:eastAsia="Arial Unicode MS" w:cs="Arial Unicode MS"/>
            <w:lang w:val="en-US"/>
          </w:rPr>
          <w:t>https://whatworks.college.police.uk/About/Pages/What-is-EBP.aspx</w:t>
        </w:r>
      </w:hyperlink>
    </w:p>
  </w:footnote>
  <w:footnote w:id="25">
    <w:p w:rsidR="00CE5E95" w:rsidRDefault="00C36809">
      <w:pPr>
        <w:pStyle w:val="Footnote"/>
      </w:pPr>
      <w:r>
        <w:rPr>
          <w:rStyle w:val="None"/>
          <w:vertAlign w:val="superscript"/>
        </w:rPr>
        <w:footnoteRef/>
      </w:r>
      <w:r>
        <w:rPr>
          <w:rFonts w:eastAsia="Arial Unicode MS" w:cs="Arial Unicode MS"/>
        </w:rPr>
        <w:t xml:space="preserve"> </w:t>
      </w:r>
      <w:hyperlink r:id="rId16" w:history="1">
        <w:r>
          <w:rPr>
            <w:rStyle w:val="Link"/>
            <w:rFonts w:eastAsia="Arial Unicode MS" w:cs="Arial Unicode MS"/>
            <w:lang w:val="en-US"/>
          </w:rPr>
          <w:t>https://www.legislation.gov.uk/ukpga/2014/12/enacted</w:t>
        </w:r>
      </w:hyperlink>
    </w:p>
  </w:footnote>
  <w:footnote w:id="26">
    <w:p w:rsidR="00CE5E95" w:rsidRDefault="00C36809">
      <w:pPr>
        <w:pStyle w:val="Footnote"/>
      </w:pPr>
      <w:r>
        <w:rPr>
          <w:rStyle w:val="None"/>
          <w:vertAlign w:val="superscript"/>
        </w:rPr>
        <w:footnoteRef/>
      </w:r>
      <w:hyperlink r:id="rId17" w:history="1">
        <w:r>
          <w:rPr>
            <w:rStyle w:val="Link"/>
            <w:rFonts w:eastAsia="Arial Unicode MS" w:cs="Arial Unicode MS"/>
            <w:lang w:val="en-US"/>
          </w:rPr>
          <w:t>https://www.legislation.gov.uk/ukpga/2014/12/enacted</w:t>
        </w:r>
      </w:hyperlink>
    </w:p>
  </w:footnote>
  <w:footnote w:id="27">
    <w:p w:rsidR="00CE5E95" w:rsidRDefault="00C36809">
      <w:pPr>
        <w:pStyle w:val="Footnote"/>
      </w:pPr>
      <w:r>
        <w:rPr>
          <w:rStyle w:val="None"/>
          <w:vertAlign w:val="superscript"/>
        </w:rPr>
        <w:footnoteRef/>
      </w:r>
      <w:hyperlink r:id="rId18" w:history="1">
        <w:r>
          <w:rPr>
            <w:rStyle w:val="Link"/>
            <w:rFonts w:eastAsia="Arial Unicode MS" w:cs="Arial Unicode MS"/>
            <w:lang w:val="en-US"/>
          </w:rPr>
          <w:t>http://www.safernpt.org/1120</w:t>
        </w:r>
      </w:hyperlink>
    </w:p>
  </w:footnote>
  <w:footnote w:id="28">
    <w:p w:rsidR="00CE5E95" w:rsidRDefault="00C36809">
      <w:pPr>
        <w:pStyle w:val="Footnote"/>
      </w:pPr>
      <w:r>
        <w:rPr>
          <w:rStyle w:val="None"/>
          <w:vertAlign w:val="superscript"/>
        </w:rPr>
        <w:footnoteRef/>
      </w:r>
      <w:r>
        <w:rPr>
          <w:rFonts w:eastAsia="Arial Unicode MS" w:cs="Arial Unicode MS"/>
        </w:rPr>
        <w:t xml:space="preserve"> </w:t>
      </w:r>
      <w:hyperlink r:id="rId19" w:history="1">
        <w:r>
          <w:rPr>
            <w:rStyle w:val="Link"/>
            <w:rFonts w:eastAsia="Arial Unicode MS" w:cs="Arial Unicode MS"/>
            <w:lang w:val="en-US"/>
          </w:rPr>
          <w:t>https://gov.wales/sites/default/files/publications/2019-06/antisocial-behaviour-policy-review.pdf</w:t>
        </w:r>
      </w:hyperlink>
    </w:p>
  </w:footnote>
  <w:footnote w:id="29">
    <w:p w:rsidR="00CE5E95" w:rsidRDefault="00110E5E">
      <w:pPr>
        <w:pStyle w:val="Footnote"/>
      </w:pPr>
      <w:hyperlink r:id="rId20" w:history="1">
        <w:r w:rsidR="00C36809">
          <w:rPr>
            <w:rStyle w:val="Link"/>
            <w:rFonts w:eastAsia="Arial Unicode MS" w:cs="Arial Unicode MS"/>
            <w:lang w:val="en-US"/>
          </w:rPr>
          <w:t>https://gov.wales/sites/default/files/publications/2019-06/antisocial-behaviour-policy-review.pdf</w:t>
        </w:r>
      </w:hyperlink>
    </w:p>
  </w:footnote>
  <w:footnote w:id="30">
    <w:p w:rsidR="00CE5E95" w:rsidRDefault="00C36809">
      <w:pPr>
        <w:pStyle w:val="Footnote"/>
      </w:pPr>
      <w:r>
        <w:rPr>
          <w:rStyle w:val="None"/>
          <w:vertAlign w:val="superscript"/>
        </w:rPr>
        <w:footnoteRef/>
      </w:r>
      <w:hyperlink r:id="rId21" w:history="1">
        <w:r>
          <w:rPr>
            <w:rStyle w:val="Link"/>
            <w:rFonts w:eastAsia="Arial Unicode MS" w:cs="Arial Unicode MS"/>
            <w:lang w:val="en-US"/>
          </w:rPr>
          <w:t>https://www.legislation.gov.uk/ukpga/1986/64/section/3</w:t>
        </w:r>
      </w:hyperlink>
    </w:p>
  </w:footnote>
  <w:footnote w:id="31">
    <w:p w:rsidR="00CE5E95" w:rsidRDefault="00C36809">
      <w:pPr>
        <w:pStyle w:val="Footnote"/>
      </w:pPr>
      <w:r>
        <w:rPr>
          <w:rStyle w:val="None"/>
          <w:vertAlign w:val="superscript"/>
        </w:rPr>
        <w:footnoteRef/>
      </w:r>
      <w:r>
        <w:rPr>
          <w:rFonts w:eastAsia="Arial Unicode MS" w:cs="Arial Unicode MS"/>
          <w:lang w:val="en-US"/>
        </w:rPr>
        <w:t xml:space="preserve"> https://www.app.college.police.uk/app-content/national-decision-model/the-national-decision-model/</w:t>
      </w:r>
    </w:p>
  </w:footnote>
  <w:footnote w:id="32">
    <w:p w:rsidR="00CE5E95" w:rsidRDefault="00C36809">
      <w:pPr>
        <w:pStyle w:val="Footnote"/>
      </w:pPr>
      <w:r>
        <w:rPr>
          <w:rStyle w:val="None"/>
          <w:vertAlign w:val="superscript"/>
        </w:rPr>
        <w:footnoteRef/>
      </w:r>
      <w:r>
        <w:rPr>
          <w:rFonts w:eastAsia="Arial Unicode MS" w:cs="Arial Unicode MS"/>
        </w:rPr>
        <w:t xml:space="preserve"> </w:t>
      </w:r>
      <w:hyperlink r:id="rId22" w:history="1">
        <w:r>
          <w:rPr>
            <w:rStyle w:val="Link"/>
            <w:rFonts w:eastAsia="Arial Unicode MS" w:cs="Arial Unicode MS"/>
            <w:lang w:val="en-US"/>
          </w:rPr>
          <w:t>https://paas-s3-broker-prod-lon-6453d964-1d1a-432a-9260-5e0ba7d2fc51.s3.eu-west-2.amazonaws.com/s3fs-public/2021-02/code_of_ethics.pdf</w:t>
        </w:r>
      </w:hyperlink>
    </w:p>
  </w:footnote>
  <w:footnote w:id="33">
    <w:p w:rsidR="00CE5E95" w:rsidRDefault="00C36809">
      <w:pPr>
        <w:pStyle w:val="Footnote"/>
      </w:pPr>
      <w:r>
        <w:rPr>
          <w:rStyle w:val="None"/>
          <w:vertAlign w:val="superscript"/>
        </w:rPr>
        <w:footnoteRef/>
      </w:r>
      <w:r>
        <w:rPr>
          <w:rFonts w:eastAsia="Arial Unicode MS" w:cs="Arial Unicode MS"/>
          <w:lang w:val="en-US"/>
        </w:rPr>
        <w:t xml:space="preserve"> https://profdev.college.police.uk/professional-profile/police-constable/</w:t>
      </w:r>
    </w:p>
  </w:footnote>
  <w:footnote w:id="34">
    <w:p w:rsidR="00CE5E95" w:rsidRDefault="00C36809">
      <w:pPr>
        <w:pStyle w:val="Footnote"/>
      </w:pPr>
      <w:r>
        <w:rPr>
          <w:rStyle w:val="None"/>
          <w:vertAlign w:val="superscript"/>
        </w:rPr>
        <w:footnoteRef/>
      </w:r>
      <w:r>
        <w:rPr>
          <w:rFonts w:eastAsia="Arial Unicode MS" w:cs="Arial Unicode MS"/>
          <w:lang w:val="en-US"/>
        </w:rPr>
        <w:t>https://profdev.college.police.uk/professional-profile/police-constable/</w:t>
      </w:r>
    </w:p>
  </w:footnote>
  <w:footnote w:id="35">
    <w:p w:rsidR="00CE5E95" w:rsidRDefault="00C36809">
      <w:pPr>
        <w:pStyle w:val="Footnote"/>
      </w:pPr>
      <w:r>
        <w:rPr>
          <w:rStyle w:val="None"/>
          <w:vertAlign w:val="superscript"/>
        </w:rPr>
        <w:footnoteRef/>
      </w:r>
      <w:r>
        <w:rPr>
          <w:rFonts w:eastAsia="Arial Unicode MS" w:cs="Arial Unicode MS"/>
        </w:rPr>
        <w:t xml:space="preserve"> </w:t>
      </w:r>
      <w:hyperlink r:id="rId23" w:history="1">
        <w:r>
          <w:rPr>
            <w:rStyle w:val="Link"/>
            <w:rFonts w:eastAsia="Arial Unicode MS" w:cs="Arial Unicode MS"/>
            <w:lang w:val="en-US"/>
          </w:rPr>
          <w:t>https://www.app.college.police.uk/app-content/public-order/core-principles-and-legislation/police-use-of-force</w:t>
        </w:r>
      </w:hyperlink>
    </w:p>
  </w:footnote>
  <w:footnote w:id="36">
    <w:p w:rsidR="00CE5E95" w:rsidRDefault="00C36809">
      <w:pPr>
        <w:pStyle w:val="Footnote"/>
      </w:pPr>
      <w:r>
        <w:rPr>
          <w:rStyle w:val="None"/>
          <w:vertAlign w:val="superscript"/>
        </w:rPr>
        <w:footnoteRef/>
      </w:r>
      <w:hyperlink r:id="rId24" w:history="1">
        <w:r>
          <w:rPr>
            <w:rStyle w:val="Link"/>
            <w:rFonts w:eastAsia="Arial Unicode MS" w:cs="Arial Unicode MS"/>
            <w:lang w:val="en-US"/>
          </w:rPr>
          <w:t>https://www.app.college.police.uk/app-content/public-order/core-principles-and-legislation/police-use-of-force</w:t>
        </w:r>
      </w:hyperlink>
    </w:p>
  </w:footnote>
  <w:footnote w:id="37">
    <w:p w:rsidR="00CE5E95" w:rsidRDefault="00C36809">
      <w:pPr>
        <w:pStyle w:val="Footnote"/>
      </w:pPr>
      <w:r>
        <w:rPr>
          <w:rStyle w:val="None"/>
          <w:vertAlign w:val="superscript"/>
        </w:rPr>
        <w:footnoteRef/>
      </w:r>
      <w:hyperlink r:id="rId25" w:history="1">
        <w:r>
          <w:rPr>
            <w:rStyle w:val="Link"/>
            <w:rFonts w:eastAsia="Arial Unicode MS" w:cs="Arial Unicode MS"/>
            <w:lang w:val="en-US"/>
          </w:rPr>
          <w:t>https://www.legislation.gov.uk/ukpga/1984/60/section/24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A5F" w:rsidRDefault="00110E5E" w:rsidP="00110E5E">
    <w:pPr>
      <w:pStyle w:val="HeaderFooter"/>
      <w:rPr>
        <w:sz w:val="17"/>
      </w:rPr>
    </w:pPr>
    <w:bookmarkStart w:id="0" w:name="TITUS1HeaderEvenPages"/>
    <w:r>
      <w:rPr>
        <w:sz w:val="17"/>
      </w:rPr>
      <w:t> </w:t>
    </w:r>
  </w:p>
  <w:bookmarkEnd w:id="0"/>
  <w:p w:rsidR="00D75A5F" w:rsidRDefault="00D75A5F" w:rsidP="00D75A5F">
    <w:pPr>
      <w:pStyle w:val="HeaderFooter"/>
    </w:pPr>
  </w:p>
  <w:p w:rsidR="0019160A" w:rsidRDefault="00191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95" w:rsidRDefault="00110E5E" w:rsidP="00110E5E">
    <w:pPr>
      <w:pStyle w:val="HeaderFooter"/>
      <w:rPr>
        <w:sz w:val="17"/>
      </w:rPr>
    </w:pPr>
    <w:bookmarkStart w:id="1" w:name="TITUS1HeaderPrimary"/>
    <w:r>
      <w:rPr>
        <w:sz w:val="17"/>
      </w:rPr>
      <w:t> </w:t>
    </w:r>
  </w:p>
  <w:bookmarkEnd w:id="1"/>
  <w:p w:rsidR="0019160A" w:rsidRDefault="0019160A">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
      <w:rPr>
        <w:color w:val="000000"/>
        <w:sz w:val="17"/>
      </w:rPr>
    </w:pPr>
    <w:bookmarkStart w:id="4" w:name="TITUS1HeaderFirstPage"/>
    <w:r>
      <w:rPr>
        <w:color w:val="000000"/>
        <w:sz w:val="17"/>
      </w:rPr>
      <w:t> </w:t>
    </w:r>
  </w:p>
  <w:bookmarkEnd w:id="4"/>
  <w:p w:rsidR="0019160A" w:rsidRDefault="001916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6" w:name="TITUS2HeaderEvenPages"/>
    <w:r>
      <w:rPr>
        <w:sz w:val="17"/>
      </w:rPr>
      <w:t> </w:t>
    </w:r>
  </w:p>
  <w:bookmarkEnd w:id="6"/>
  <w:p w:rsidR="0019160A" w:rsidRDefault="0019160A" w:rsidP="0019160A">
    <w:pPr>
      <w:pStyle w:val="HeaderFooter"/>
    </w:pPr>
  </w:p>
  <w:p w:rsidR="0019160A" w:rsidRDefault="0019160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7" w:name="TITUS2HeaderPrimary"/>
    <w:r>
      <w:rPr>
        <w:sz w:val="17"/>
      </w:rPr>
      <w:t> </w:t>
    </w:r>
  </w:p>
  <w:bookmarkEnd w:id="7"/>
  <w:p w:rsidR="0019160A" w:rsidRDefault="0019160A">
    <w:pPr>
      <w:pStyle w:val="HeaderFoo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10" w:name="TITUS2HeaderFirstPage"/>
    <w:r>
      <w:rPr>
        <w:sz w:val="17"/>
      </w:rPr>
      <w:t> </w:t>
    </w:r>
  </w:p>
  <w:bookmarkEnd w:id="10"/>
  <w:p w:rsidR="0019160A" w:rsidRDefault="0019160A" w:rsidP="0019160A">
    <w:pPr>
      <w:pStyle w:val="HeaderFooter"/>
    </w:pPr>
  </w:p>
  <w:p w:rsidR="0019160A" w:rsidRDefault="0019160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12" w:name="TITUS3HeaderEvenPages"/>
    <w:r>
      <w:rPr>
        <w:sz w:val="17"/>
      </w:rPr>
      <w:t> </w:t>
    </w:r>
  </w:p>
  <w:bookmarkEnd w:id="12"/>
  <w:p w:rsidR="0019160A" w:rsidRDefault="0019160A" w:rsidP="0019160A">
    <w:pPr>
      <w:pStyle w:val="HeaderFooter"/>
    </w:pPr>
  </w:p>
  <w:p w:rsidR="0019160A" w:rsidRDefault="0019160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13" w:name="TITUS3HeaderPrimary"/>
    <w:r>
      <w:rPr>
        <w:sz w:val="17"/>
      </w:rPr>
      <w:t> </w:t>
    </w:r>
  </w:p>
  <w:bookmarkEnd w:id="13"/>
  <w:p w:rsidR="0019160A" w:rsidRDefault="0019160A">
    <w:pPr>
      <w:pStyle w:val="HeaderFoot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16" w:name="TITUS3HeaderFirstPage"/>
    <w:r>
      <w:rPr>
        <w:sz w:val="17"/>
      </w:rPr>
      <w:t> </w:t>
    </w:r>
  </w:p>
  <w:bookmarkEnd w:id="16"/>
  <w:p w:rsidR="0019160A" w:rsidRDefault="0019160A" w:rsidP="0019160A">
    <w:pPr>
      <w:pStyle w:val="HeaderFooter"/>
    </w:pPr>
  </w:p>
  <w:p w:rsidR="0019160A" w:rsidRDefault="0019160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19" w:name="TITUS4HeaderEvenPages"/>
    <w:r>
      <w:rPr>
        <w:sz w:val="17"/>
      </w:rPr>
      <w:t> </w:t>
    </w:r>
  </w:p>
  <w:bookmarkEnd w:id="19"/>
  <w:p w:rsidR="0019160A" w:rsidRDefault="0019160A" w:rsidP="0019160A">
    <w:pPr>
      <w:pStyle w:val="HeaderFooter"/>
    </w:pPr>
  </w:p>
  <w:p w:rsidR="0019160A" w:rsidRDefault="0019160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20" w:name="TITUS4HeaderPrimary"/>
    <w:r>
      <w:rPr>
        <w:sz w:val="17"/>
      </w:rPr>
      <w:t> </w:t>
    </w:r>
  </w:p>
  <w:bookmarkEnd w:id="20"/>
  <w:p w:rsidR="0019160A" w:rsidRDefault="0019160A">
    <w:pPr>
      <w:pStyle w:val="HeaderFoot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60A" w:rsidRDefault="00110E5E" w:rsidP="00110E5E">
    <w:pPr>
      <w:pStyle w:val="HeaderFooter"/>
      <w:rPr>
        <w:sz w:val="17"/>
      </w:rPr>
    </w:pPr>
    <w:bookmarkStart w:id="23" w:name="TITUS4HeaderFirstPage"/>
    <w:r>
      <w:rPr>
        <w:sz w:val="17"/>
      </w:rPr>
      <w:t> </w:t>
    </w:r>
  </w:p>
  <w:bookmarkEnd w:id="23"/>
  <w:p w:rsidR="0019160A" w:rsidRDefault="0019160A" w:rsidP="0019160A">
    <w:pPr>
      <w:pStyle w:val="HeaderFooter"/>
    </w:pPr>
  </w:p>
  <w:p w:rsidR="0019160A" w:rsidRDefault="00191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1930"/>
    <w:multiLevelType w:val="hybridMultilevel"/>
    <w:tmpl w:val="ED94DF20"/>
    <w:styleLink w:val="ImportedStyle1"/>
    <w:lvl w:ilvl="0" w:tplc="8C1EBE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A208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B88CBE">
      <w:start w:val="1"/>
      <w:numFmt w:val="lowerRoman"/>
      <w:lvlText w:val="%3."/>
      <w:lvlJc w:val="left"/>
      <w:pPr>
        <w:ind w:left="2160" w:hanging="294"/>
      </w:pPr>
      <w:rPr>
        <w:rFonts w:hAnsi="Arial Unicode MS"/>
        <w:caps w:val="0"/>
        <w:smallCaps w:val="0"/>
        <w:strike w:val="0"/>
        <w:dstrike w:val="0"/>
        <w:outline w:val="0"/>
        <w:emboss w:val="0"/>
        <w:imprint w:val="0"/>
        <w:spacing w:val="0"/>
        <w:w w:val="100"/>
        <w:kern w:val="0"/>
        <w:position w:val="0"/>
        <w:highlight w:val="none"/>
        <w:vertAlign w:val="baseline"/>
      </w:rPr>
    </w:lvl>
    <w:lvl w:ilvl="3" w:tplc="C44AC19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184A3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440CBC4">
      <w:start w:val="1"/>
      <w:numFmt w:val="lowerRoman"/>
      <w:lvlText w:val="%6."/>
      <w:lvlJc w:val="left"/>
      <w:pPr>
        <w:ind w:left="4320" w:hanging="294"/>
      </w:pPr>
      <w:rPr>
        <w:rFonts w:hAnsi="Arial Unicode MS"/>
        <w:caps w:val="0"/>
        <w:smallCaps w:val="0"/>
        <w:strike w:val="0"/>
        <w:dstrike w:val="0"/>
        <w:outline w:val="0"/>
        <w:emboss w:val="0"/>
        <w:imprint w:val="0"/>
        <w:spacing w:val="0"/>
        <w:w w:val="100"/>
        <w:kern w:val="0"/>
        <w:position w:val="0"/>
        <w:highlight w:val="none"/>
        <w:vertAlign w:val="baseline"/>
      </w:rPr>
    </w:lvl>
    <w:lvl w:ilvl="6" w:tplc="C88AF3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288CB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A8BFA0">
      <w:start w:val="1"/>
      <w:numFmt w:val="lowerRoman"/>
      <w:lvlText w:val="%9."/>
      <w:lvlJc w:val="left"/>
      <w:pPr>
        <w:ind w:left="6480" w:hanging="2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DC618E1"/>
    <w:multiLevelType w:val="hybridMultilevel"/>
    <w:tmpl w:val="5A8AC75E"/>
    <w:styleLink w:val="ImportedStyle4"/>
    <w:lvl w:ilvl="0" w:tplc="0C00C7F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1AE4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C2E0D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2CCB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166E6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49022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A848B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800630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FFC94F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5A05FE3"/>
    <w:multiLevelType w:val="hybridMultilevel"/>
    <w:tmpl w:val="C8668182"/>
    <w:styleLink w:val="ImportedStyle3"/>
    <w:lvl w:ilvl="0" w:tplc="FF06112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81815D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3EE03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FF2C1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D20E0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2DE6D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08C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D30847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EE64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D6A1F9C"/>
    <w:multiLevelType w:val="hybridMultilevel"/>
    <w:tmpl w:val="5A8AC75E"/>
    <w:numStyleLink w:val="ImportedStyle4"/>
  </w:abstractNum>
  <w:abstractNum w:abstractNumId="4" w15:restartNumberingAfterBreak="0">
    <w:nsid w:val="57E12A61"/>
    <w:multiLevelType w:val="hybridMultilevel"/>
    <w:tmpl w:val="C8668182"/>
    <w:numStyleLink w:val="ImportedStyle3"/>
  </w:abstractNum>
  <w:abstractNum w:abstractNumId="5" w15:restartNumberingAfterBreak="0">
    <w:nsid w:val="72DB7D6F"/>
    <w:multiLevelType w:val="hybridMultilevel"/>
    <w:tmpl w:val="D32A8244"/>
    <w:styleLink w:val="ImportedStyle2"/>
    <w:lvl w:ilvl="0" w:tplc="CE285E2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041060">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3429222">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66E96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08308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5EE352">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16CAA9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200DA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BEEBD0A">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F7454D7"/>
    <w:multiLevelType w:val="hybridMultilevel"/>
    <w:tmpl w:val="D32A8244"/>
    <w:numStyleLink w:val="ImportedStyle2"/>
  </w:abstractNum>
  <w:abstractNum w:abstractNumId="7" w15:restartNumberingAfterBreak="0">
    <w:nsid w:val="7F7A4353"/>
    <w:multiLevelType w:val="hybridMultilevel"/>
    <w:tmpl w:val="ED94DF20"/>
    <w:numStyleLink w:val="ImportedStyle1"/>
  </w:abstractNum>
  <w:num w:numId="1">
    <w:abstractNumId w:val="0"/>
  </w:num>
  <w:num w:numId="2">
    <w:abstractNumId w:val="7"/>
  </w:num>
  <w:num w:numId="3">
    <w:abstractNumId w:val="5"/>
  </w:num>
  <w:num w:numId="4">
    <w:abstractNumId w:val="6"/>
  </w:num>
  <w:num w:numId="5">
    <w:abstractNumId w:val="2"/>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evenAndOddHeaders/>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E95"/>
    <w:rsid w:val="000A64D5"/>
    <w:rsid w:val="00110E5E"/>
    <w:rsid w:val="0019160A"/>
    <w:rsid w:val="00C36809"/>
    <w:rsid w:val="00CE5E95"/>
    <w:rsid w:val="00D75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39E4B"/>
  <w15:docId w15:val="{C390BD4E-98D6-4607-9F3E-6E7AA4713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320"/>
        <w:tab w:val="right" w:pos="8640"/>
      </w:tabs>
    </w:pPr>
    <w:rPr>
      <w:rFonts w:ascii="Arial" w:hAnsi="Arial" w:cs="Arial Unicode MS"/>
      <w:color w:val="000000"/>
      <w:u w:color="000000"/>
      <w:lang w:val="en-US"/>
    </w:rPr>
  </w:style>
  <w:style w:type="paragraph" w:customStyle="1" w:styleId="Body">
    <w:name w:val="Body"/>
    <w:rPr>
      <w:rFonts w:ascii="Arial" w:hAnsi="Arial" w:cs="Arial Unicode MS"/>
      <w:color w:val="000000"/>
      <w:u w:color="000000"/>
    </w:rPr>
  </w:style>
  <w:style w:type="paragraph" w:styleId="ListParagraph">
    <w:name w:val="List Paragraph"/>
    <w:pPr>
      <w:ind w:left="720"/>
    </w:pPr>
    <w:rPr>
      <w:rFonts w:ascii="Arial" w:hAnsi="Arial" w:cs="Arial Unicode MS"/>
      <w:color w:val="000000"/>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Link">
    <w:name w:val="Link"/>
    <w:rPr>
      <w:color w:val="0000FF"/>
      <w:u w:val="single" w:color="0000FF"/>
    </w:rPr>
  </w:style>
  <w:style w:type="character" w:customStyle="1" w:styleId="Hyperlink0">
    <w:name w:val="Hyperlink.0"/>
    <w:basedOn w:val="Link"/>
    <w:rPr>
      <w:color w:val="0000FF"/>
      <w:sz w:val="24"/>
      <w:szCs w:val="24"/>
      <w:u w:val="single" w:color="0000FF"/>
    </w:r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paragraph" w:customStyle="1" w:styleId="Footnote">
    <w:name w:val="Footnote"/>
    <w:rPr>
      <w:rFonts w:ascii="Helvetica" w:eastAsia="Helvetica" w:hAnsi="Helvetica" w:cs="Helvetica"/>
      <w:color w:val="000000"/>
      <w:sz w:val="22"/>
      <w:szCs w:val="22"/>
    </w:rPr>
  </w:style>
  <w:style w:type="character" w:customStyle="1" w:styleId="Red">
    <w:name w:val="Red"/>
    <w:rPr>
      <w:color w:val="C82505"/>
      <w:lang w:val="en-US"/>
    </w:rPr>
  </w:style>
  <w:style w:type="paragraph" w:customStyle="1" w:styleId="TableParagraph">
    <w:name w:val="Table Paragraph"/>
    <w:pPr>
      <w:widowControl w:val="0"/>
      <w:ind w:left="108"/>
    </w:pPr>
    <w:rPr>
      <w:rFonts w:ascii="Arial" w:eastAsia="Arial" w:hAnsi="Arial" w:cs="Arial"/>
      <w:color w:val="000000"/>
      <w:sz w:val="22"/>
      <w:szCs w:val="22"/>
      <w:u w:color="000000"/>
      <w:lang w:val="en-US"/>
    </w:rPr>
  </w:style>
  <w:style w:type="character" w:customStyle="1" w:styleId="None">
    <w:name w:val="None"/>
  </w:style>
  <w:style w:type="character" w:customStyle="1" w:styleId="Hyperlink1">
    <w:name w:val="Hyperlink.1"/>
    <w:basedOn w:val="None"/>
    <w:rPr>
      <w:u w:color="000000"/>
    </w:rPr>
  </w:style>
  <w:style w:type="paragraph" w:customStyle="1" w:styleId="Default">
    <w:name w:val="Default"/>
    <w:rPr>
      <w:rFonts w:ascii="Helvetica" w:hAnsi="Helvetica" w:cs="Arial Unicode MS"/>
      <w:color w:val="000000"/>
      <w:sz w:val="22"/>
      <w:szCs w:val="22"/>
      <w:lang w:val="en-US"/>
    </w:rPr>
  </w:style>
  <w:style w:type="character" w:customStyle="1" w:styleId="Hyperlink2">
    <w:name w:val="Hyperlink.2"/>
    <w:basedOn w:val="Hyperlink"/>
    <w:rPr>
      <w:u w:val="single"/>
    </w:rPr>
  </w:style>
  <w:style w:type="character" w:customStyle="1" w:styleId="Hyperlink3">
    <w:name w:val="Hyperlink.3"/>
    <w:basedOn w:val="Hyperlink"/>
    <w:rPr>
      <w:u w:val="single"/>
    </w:rPr>
  </w:style>
  <w:style w:type="character" w:customStyle="1" w:styleId="Hyperlink4">
    <w:name w:val="Hyperlink.4"/>
    <w:basedOn w:val="Hyperlink"/>
    <w:rPr>
      <w:u w:val="single"/>
    </w:rPr>
  </w:style>
  <w:style w:type="character" w:customStyle="1" w:styleId="Hyperlink5">
    <w:name w:val="Hyperlink.5"/>
    <w:basedOn w:val="Hyperlink"/>
    <w:rPr>
      <w:u w:val="single"/>
    </w:rPr>
  </w:style>
  <w:style w:type="character" w:customStyle="1" w:styleId="Hyperlink6">
    <w:name w:val="Hyperlink.6"/>
    <w:basedOn w:val="Hyperlink"/>
    <w:rPr>
      <w:u w:val="single"/>
    </w:rPr>
  </w:style>
  <w:style w:type="character" w:customStyle="1" w:styleId="Hyperlink7">
    <w:name w:val="Hyperlink.7"/>
    <w:basedOn w:val="Hyperlink"/>
    <w:rPr>
      <w:u w:val="single"/>
    </w:rPr>
  </w:style>
  <w:style w:type="character" w:customStyle="1" w:styleId="Hyperlink8">
    <w:name w:val="Hyperlink.8"/>
    <w:basedOn w:val="Hyperlink"/>
    <w:rPr>
      <w:u w:val="single"/>
    </w:rPr>
  </w:style>
  <w:style w:type="character" w:customStyle="1" w:styleId="Hyperlink9">
    <w:name w:val="Hyperlink.9"/>
    <w:basedOn w:val="Hyperlink"/>
    <w:rPr>
      <w:u w:val="single"/>
    </w:rPr>
  </w:style>
  <w:style w:type="character" w:customStyle="1" w:styleId="Hyperlink10">
    <w:name w:val="Hyperlink.10"/>
    <w:basedOn w:val="Hyperlink"/>
    <w:rPr>
      <w:u w:val="single"/>
    </w:rPr>
  </w:style>
  <w:style w:type="character" w:customStyle="1" w:styleId="Hyperlink11">
    <w:name w:val="Hyperlink.11"/>
    <w:basedOn w:val="Hyperlink"/>
    <w:rPr>
      <w:u w:val="single"/>
    </w:rPr>
  </w:style>
  <w:style w:type="character" w:customStyle="1" w:styleId="Hyperlink12">
    <w:name w:val="Hyperlink.12"/>
    <w:basedOn w:val="Hyperlink"/>
    <w:rPr>
      <w:u w:val="single"/>
    </w:rPr>
  </w:style>
  <w:style w:type="character" w:customStyle="1" w:styleId="Hyperlink13">
    <w:name w:val="Hyperlink.13"/>
    <w:basedOn w:val="Hyperlink"/>
    <w:rPr>
      <w:u w:val="single"/>
    </w:rPr>
  </w:style>
  <w:style w:type="character" w:customStyle="1" w:styleId="Hyperlink14">
    <w:name w:val="Hyperlink.14"/>
    <w:basedOn w:val="Hyperlink"/>
    <w:rPr>
      <w:u w:val="single"/>
    </w:rPr>
  </w:style>
  <w:style w:type="character" w:customStyle="1" w:styleId="Hyperlink15">
    <w:name w:val="Hyperlink.15"/>
    <w:basedOn w:val="Hyperlink"/>
    <w:rPr>
      <w:u w:val="single"/>
    </w:rPr>
  </w:style>
  <w:style w:type="character" w:customStyle="1" w:styleId="Hyperlink16">
    <w:name w:val="Hyperlink.16"/>
    <w:basedOn w:val="Hyperlink"/>
    <w:rPr>
      <w:u w:val="single"/>
    </w:rPr>
  </w:style>
  <w:style w:type="character" w:customStyle="1" w:styleId="Hyperlink17">
    <w:name w:val="Hyperlink.17"/>
    <w:basedOn w:val="Hyperlink"/>
    <w:rPr>
      <w:u w:val="single"/>
    </w:rPr>
  </w:style>
  <w:style w:type="character" w:customStyle="1" w:styleId="Hyperlink18">
    <w:name w:val="Hyperlink.18"/>
    <w:basedOn w:val="Hyperlink"/>
    <w:rPr>
      <w:u w:val="single"/>
    </w:rPr>
  </w:style>
  <w:style w:type="paragraph" w:styleId="Header">
    <w:name w:val="header"/>
    <w:basedOn w:val="Normal"/>
    <w:link w:val="HeaderChar"/>
    <w:uiPriority w:val="99"/>
    <w:unhideWhenUsed/>
    <w:rsid w:val="0019160A"/>
    <w:pPr>
      <w:tabs>
        <w:tab w:val="center" w:pos="4513"/>
        <w:tab w:val="right" w:pos="9026"/>
      </w:tabs>
    </w:pPr>
  </w:style>
  <w:style w:type="character" w:customStyle="1" w:styleId="HeaderChar">
    <w:name w:val="Header Char"/>
    <w:basedOn w:val="DefaultParagraphFont"/>
    <w:link w:val="Header"/>
    <w:uiPriority w:val="99"/>
    <w:rsid w:val="0019160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s://assets.publishing.service.gov.uk/government/uploads/system/uploads/attachment_data/file/447967/code-of-practice-approved.pdf" TargetMode="External"/><Relationship Id="rId39" Type="http://schemas.openxmlformats.org/officeDocument/2006/relationships/hyperlink" Target="https://gov.wales/sites/default/files/publications/2019-06/antisocial-behaviour-policy-review.pdf" TargetMode="External"/><Relationship Id="rId21" Type="http://schemas.openxmlformats.org/officeDocument/2006/relationships/footer" Target="footer6.xml"/><Relationship Id="rId34" Type="http://schemas.openxmlformats.org/officeDocument/2006/relationships/hyperlink" Target="https://www.app.college.police.uk/app-content/engagement-and-communication/engaging-with-communities/" TargetMode="External"/><Relationship Id="rId42" Type="http://schemas.openxmlformats.org/officeDocument/2006/relationships/hyperlink" Target="https://www.app.college.police.uk/app-content/public-order/core-principles-and-legislation/police-use-of-force" TargetMode="External"/><Relationship Id="rId47" Type="http://schemas.openxmlformats.org/officeDocument/2006/relationships/footer" Target="footer8.xml"/><Relationship Id="rId50" Type="http://schemas.openxmlformats.org/officeDocument/2006/relationships/hyperlink" Target="mailto:wbl@uwtsd.ac.uk" TargetMode="External"/><Relationship Id="rId55"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www.legislation.gov.uk/ukpga/1996/25/contents" TargetMode="External"/><Relationship Id="rId33" Type="http://schemas.openxmlformats.org/officeDocument/2006/relationships/hyperlink" Target="https://www.legislation.gov.uk/ukpga/1986/64/section/4A" TargetMode="External"/><Relationship Id="rId38" Type="http://schemas.openxmlformats.org/officeDocument/2006/relationships/hyperlink" Target="http://www.safernpt.org/1120" TargetMode="External"/><Relationship Id="rId46"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s://assets.publishing.service.gov.uk/government/uploads/system/uploads/attachment_data/file/364707/PaceCodeC2014.pdf" TargetMode="External"/><Relationship Id="rId41" Type="http://schemas.openxmlformats.org/officeDocument/2006/relationships/hyperlink" Target="https://profdev.college.police.uk/professional-profile/police-constable/" TargetMode="External"/><Relationship Id="rId54"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assets.publishing.service.gov.uk/government/uploads/system/uploads/attachment_data/file/405397/6.379_Supporting_guidance_web_doc_v3.pdf" TargetMode="External"/><Relationship Id="rId32" Type="http://schemas.openxmlformats.org/officeDocument/2006/relationships/hyperlink" Target="https://assets.publishing.service.gov.uk/government/uploads/system/uploads/attachment_data/file/117682/appropriate-adults-guide.pdf" TargetMode="External"/><Relationship Id="rId37" Type="http://schemas.openxmlformats.org/officeDocument/2006/relationships/hyperlink" Target="https://www.legislation.gov.uk/ukpga/2014/12/enacted" TargetMode="External"/><Relationship Id="rId40" Type="http://schemas.openxmlformats.org/officeDocument/2006/relationships/hyperlink" Target="https://www.legislation.gov.uk/ukpga/1986/64/section/3" TargetMode="External"/><Relationship Id="rId45" Type="http://schemas.openxmlformats.org/officeDocument/2006/relationships/header" Target="header8.xml"/><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ww.app.college.police.uk/app-content/detention-and-custody-2/detainee-care/alcohol-and-drugs/" TargetMode="External"/><Relationship Id="rId36" Type="http://schemas.openxmlformats.org/officeDocument/2006/relationships/hyperlink" Target="https://whatworks.college.police.uk/About/Pages/What-is-EBP.aspx" TargetMode="External"/><Relationship Id="rId49" Type="http://schemas.openxmlformats.org/officeDocument/2006/relationships/footer" Target="footer9.xml"/><Relationship Id="rId57"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yperlink" Target="https://www.cps.gov.uk/legal-guidance/cautioning-and-diversion" TargetMode="External"/><Relationship Id="rId44" Type="http://schemas.openxmlformats.org/officeDocument/2006/relationships/header" Target="header7.xml"/><Relationship Id="rId52"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520Practice%2520for%2520Policing%2520Students%2520-%2520Selina%2520Copley%2520Chapter5.pdf" TargetMode="External"/><Relationship Id="rId14" Type="http://schemas.openxmlformats.org/officeDocument/2006/relationships/header" Target="header3.xml"/><Relationship Id="rId22" Type="http://schemas.openxmlformats.org/officeDocument/2006/relationships/hyperlink" Target="https://www.medicalnewstoday.com/articles/325818" TargetMode="External"/><Relationship Id="rId27" Type="http://schemas.openxmlformats.org/officeDocument/2006/relationships/hyperlink" Target="https://www.legislation.gov.uk/ukpga/1971/48"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www.nhs.uk/conditions/coronavirus-covid-19/staying-at-home-to-avoid-getting-coronavirus/staying-at-home-and-away-from-other-people/" TargetMode="External"/><Relationship Id="rId43" Type="http://schemas.openxmlformats.org/officeDocument/2006/relationships/hyperlink" Target="https://www.legislation.gov.uk/ukpga/1984/60/section/24" TargetMode="External"/><Relationship Id="rId48" Type="http://schemas.openxmlformats.org/officeDocument/2006/relationships/header" Target="header9.xml"/><Relationship Id="rId56" Type="http://schemas.openxmlformats.org/officeDocument/2006/relationships/footer" Target="footer12.xm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51" Type="http://schemas.openxmlformats.org/officeDocument/2006/relationships/header" Target="header10.xm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64707/PaceCodeC2014.pdf" TargetMode="External"/><Relationship Id="rId13" Type="http://schemas.openxmlformats.org/officeDocument/2006/relationships/hyperlink" Target="https://www.app.college.police.uk/app-content/engagement-and-communication/engaging-with-communities/" TargetMode="External"/><Relationship Id="rId18" Type="http://schemas.openxmlformats.org/officeDocument/2006/relationships/hyperlink" Target="http://www.safernpt.org/1120" TargetMode="External"/><Relationship Id="rId3" Type="http://schemas.openxmlformats.org/officeDocument/2006/relationships/hyperlink" Target="https://www.legislation.gov.uk/ukpga/1996/25/contents" TargetMode="External"/><Relationship Id="rId21" Type="http://schemas.openxmlformats.org/officeDocument/2006/relationships/hyperlink" Target="https://www.legislation.gov.uk/ukpga/1986/64/section/3" TargetMode="External"/><Relationship Id="rId7" Type="http://schemas.openxmlformats.org/officeDocument/2006/relationships/hyperlink" Target="https://paas-s3-broker-prod-lon-6453d964-1d1a-432a-9260-5e0ba7d2fc51.s3.eu-west-2.amazonaws.com/s3fs-public/2021-02/code_of_ethics.pdf" TargetMode="External"/><Relationship Id="rId12" Type="http://schemas.openxmlformats.org/officeDocument/2006/relationships/hyperlink" Target="https://www.app.college.police.uk/app-content/engagement-and-communication/engaging-with-communities/" TargetMode="External"/><Relationship Id="rId17" Type="http://schemas.openxmlformats.org/officeDocument/2006/relationships/hyperlink" Target="https://www.legislation.gov.uk/ukpga/2014/12/enacted" TargetMode="External"/><Relationship Id="rId25" Type="http://schemas.openxmlformats.org/officeDocument/2006/relationships/hyperlink" Target="https://www.legislation.gov.uk/ukpga/1984/60/section/24" TargetMode="External"/><Relationship Id="rId2" Type="http://schemas.openxmlformats.org/officeDocument/2006/relationships/hyperlink" Target="https://assets.publishing.service.gov.uk/government/uploads/system/uploads/attachment_data/file/405397/6.379_Supporting_guidance_web_doc_v3.pdf" TargetMode="External"/><Relationship Id="rId16" Type="http://schemas.openxmlformats.org/officeDocument/2006/relationships/hyperlink" Target="https://www.legislation.gov.uk/ukpga/2014/12/enacted" TargetMode="External"/><Relationship Id="rId20" Type="http://schemas.openxmlformats.org/officeDocument/2006/relationships/hyperlink" Target="https://gov.wales/sites/default/files/publications/2019-06/antisocial-behaviour-policy-review.pdf" TargetMode="External"/><Relationship Id="rId1" Type="http://schemas.openxmlformats.org/officeDocument/2006/relationships/hyperlink" Target="https://www.medicalnewstoday.com/articles/325818" TargetMode="External"/><Relationship Id="rId6" Type="http://schemas.openxmlformats.org/officeDocument/2006/relationships/hyperlink" Target="https://www.legislation.gov.uk/ukpga/1971/48" TargetMode="External"/><Relationship Id="rId11" Type="http://schemas.openxmlformats.org/officeDocument/2006/relationships/hyperlink" Target="https://www.legislation.gov.uk/ukpga/1986/64/section/4A" TargetMode="External"/><Relationship Id="rId24" Type="http://schemas.openxmlformats.org/officeDocument/2006/relationships/hyperlink" Target="https://www.app.college.police.uk/app-content/public-order/core-principles-and-legislation/police-use-of-force" TargetMode="External"/><Relationship Id="rId5" Type="http://schemas.openxmlformats.org/officeDocument/2006/relationships/hyperlink" Target="https://assets.publishing.service.gov.uk/government/uploads/system/uploads/attachment_data/file/447967/code-of-practice-approved.pdf" TargetMode="External"/><Relationship Id="rId15" Type="http://schemas.openxmlformats.org/officeDocument/2006/relationships/hyperlink" Target="https://whatworks.college.police.uk/About/Pages/What-is-EBP.aspx" TargetMode="External"/><Relationship Id="rId23" Type="http://schemas.openxmlformats.org/officeDocument/2006/relationships/hyperlink" Target="https://www.app.college.police.uk/app-content/public-order/core-principles-and-legislation/police-use-of-force" TargetMode="External"/><Relationship Id="rId10" Type="http://schemas.openxmlformats.org/officeDocument/2006/relationships/hyperlink" Target="https://assets.publishing.service.gov.uk/government/uploads/system/uploads/attachment_data/file/117682/appropriate-adults-guide.pdf" TargetMode="External"/><Relationship Id="rId19" Type="http://schemas.openxmlformats.org/officeDocument/2006/relationships/hyperlink" Target="https://gov.wales/sites/default/files/publications/2019-06/antisocial-behaviour-policy-review.pdf" TargetMode="External"/><Relationship Id="rId4" Type="http://schemas.openxmlformats.org/officeDocument/2006/relationships/hyperlink" Target="https://assets.publishing.service.gov.uk/government/uploads/system/uploads/attachment_data/file/447967/code-of-practice-approved.pdf" TargetMode="External"/><Relationship Id="rId9" Type="http://schemas.openxmlformats.org/officeDocument/2006/relationships/hyperlink" Target="https://www.cps.gov.uk/legal-guidance/cautioning-and-diversion" TargetMode="External"/><Relationship Id="rId14" Type="http://schemas.openxmlformats.org/officeDocument/2006/relationships/hyperlink" Target="https://www.nhs.uk/conditions/coronavirus-covid-19/staying-at-home-to-avoid-getting-coronavirus/staying-at-home-and-away-from-other-people/" TargetMode="External"/><Relationship Id="rId22" Type="http://schemas.openxmlformats.org/officeDocument/2006/relationships/hyperlink" Target="https://paas-s3-broker-prod-lon-6453d964-1d1a-432a-9260-5e0ba7d2fc51.s3.eu-west-2.amazonaws.com/s3fs-public/2021-02/code_of_ethics.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25</Pages>
  <Words>7407</Words>
  <Characters>42220</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Thomas,Sam swp6702</dc:creator>
  <cp:lastModifiedBy>Sam Thomas</cp:lastModifiedBy>
  <cp:revision>5</cp:revision>
  <dcterms:created xsi:type="dcterms:W3CDTF">2021-03-07T18:24:00Z</dcterms:created>
  <dcterms:modified xsi:type="dcterms:W3CDTF">2021-03-08T22:23:00Z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6ab7ebd6-4ed1-493d-aebc-8edcc0e73d92</vt:lpwstr>
  </property>
  <property fmtid="{D5CDD505-2E9C-101B-9397-08002B2CF9AE}" pid="3" name="Classification">
    <vt:lpwstr>OFFICIAL</vt:lpwstr>
  </property>
  <property fmtid="{D5CDD505-2E9C-101B-9397-08002B2CF9AE}" pid="4" name="Visibility">
    <vt:lpwstr>NOT VISIBLE</vt:lpwstr>
  </property>
</Properties>
</file>