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0213EB" w14:textId="77777777" w:rsidR="001035E0" w:rsidRDefault="001035E0">
      <w:bookmarkStart w:id="0" w:name="_GoBack"/>
      <w:bookmarkEnd w:id="0"/>
    </w:p>
    <w:tbl>
      <w:tblPr>
        <w:tblStyle w:val="a"/>
        <w:tblW w:w="7209" w:type="dxa"/>
        <w:tblBorders>
          <w:left w:val="single" w:sz="12" w:space="0" w:color="auto"/>
        </w:tblBorders>
        <w:tblLayout w:type="fixed"/>
        <w:tblLook w:val="0400" w:firstRow="0" w:lastRow="0" w:firstColumn="0" w:lastColumn="0" w:noHBand="0" w:noVBand="1"/>
      </w:tblPr>
      <w:tblGrid>
        <w:gridCol w:w="7209"/>
      </w:tblGrid>
      <w:tr w:rsidR="001035E0" w14:paraId="271E1F4B" w14:textId="77777777" w:rsidTr="000F4DF1">
        <w:tc>
          <w:tcPr>
            <w:tcW w:w="7209" w:type="dxa"/>
            <w:tcMar>
              <w:top w:w="216" w:type="dxa"/>
              <w:left w:w="115" w:type="dxa"/>
              <w:bottom w:w="216" w:type="dxa"/>
              <w:right w:w="115" w:type="dxa"/>
            </w:tcMar>
          </w:tcPr>
          <w:p w14:paraId="43C2E6D4" w14:textId="77777777" w:rsidR="001035E0" w:rsidRDefault="00440DD1">
            <w:pPr>
              <w:pBdr>
                <w:top w:val="nil"/>
                <w:left w:val="nil"/>
                <w:bottom w:val="nil"/>
                <w:right w:val="nil"/>
                <w:between w:val="nil"/>
              </w:pBdr>
              <w:spacing w:after="0" w:line="240" w:lineRule="auto"/>
              <w:rPr>
                <w:color w:val="2E75B5"/>
                <w:sz w:val="24"/>
                <w:szCs w:val="24"/>
              </w:rPr>
            </w:pPr>
            <w:r>
              <w:rPr>
                <w:rFonts w:ascii="Times New Roman" w:eastAsia="Times New Roman" w:hAnsi="Times New Roman" w:cs="Times New Roman"/>
                <w:color w:val="000000"/>
                <w:sz w:val="24"/>
                <w:szCs w:val="24"/>
              </w:rPr>
              <w:t>University of Wales Trinity Saint David</w:t>
            </w:r>
          </w:p>
        </w:tc>
      </w:tr>
      <w:tr w:rsidR="001035E0" w14:paraId="1A3F959E" w14:textId="77777777" w:rsidTr="000F4DF1">
        <w:tc>
          <w:tcPr>
            <w:tcW w:w="7209" w:type="dxa"/>
          </w:tcPr>
          <w:p w14:paraId="49A356A3" w14:textId="77777777" w:rsidR="001035E0" w:rsidRDefault="00440DD1">
            <w:pPr>
              <w:pBdr>
                <w:top w:val="nil"/>
                <w:left w:val="nil"/>
                <w:bottom w:val="nil"/>
                <w:right w:val="nil"/>
                <w:between w:val="nil"/>
              </w:pBdr>
              <w:spacing w:after="0" w:line="216" w:lineRule="auto"/>
              <w:rPr>
                <w:color w:val="5B9BD5"/>
                <w:sz w:val="88"/>
                <w:szCs w:val="88"/>
              </w:rPr>
            </w:pPr>
            <w:r>
              <w:rPr>
                <w:rFonts w:ascii="Times New Roman" w:eastAsia="Times New Roman" w:hAnsi="Times New Roman" w:cs="Times New Roman"/>
                <w:color w:val="000000"/>
                <w:sz w:val="88"/>
                <w:szCs w:val="88"/>
              </w:rPr>
              <w:t xml:space="preserve">Critically discuss the methods used to explore the language deficits experienced by aphasic patients.  </w:t>
            </w:r>
          </w:p>
        </w:tc>
      </w:tr>
      <w:tr w:rsidR="001035E0" w14:paraId="152AC4B5" w14:textId="77777777" w:rsidTr="000F4DF1">
        <w:tc>
          <w:tcPr>
            <w:tcW w:w="7209" w:type="dxa"/>
            <w:tcMar>
              <w:top w:w="216" w:type="dxa"/>
              <w:left w:w="115" w:type="dxa"/>
              <w:bottom w:w="216" w:type="dxa"/>
              <w:right w:w="115" w:type="dxa"/>
            </w:tcMar>
          </w:tcPr>
          <w:p w14:paraId="145B7F2E" w14:textId="77777777" w:rsidR="001035E0" w:rsidRDefault="00440DD1">
            <w:pPr>
              <w:pBdr>
                <w:top w:val="nil"/>
                <w:left w:val="nil"/>
                <w:bottom w:val="nil"/>
                <w:right w:val="nil"/>
                <w:between w:val="nil"/>
              </w:pBdr>
              <w:spacing w:after="0" w:line="240" w:lineRule="auto"/>
              <w:rPr>
                <w:color w:val="2E75B5"/>
                <w:sz w:val="24"/>
                <w:szCs w:val="24"/>
              </w:rPr>
            </w:pPr>
            <w:r>
              <w:rPr>
                <w:rFonts w:ascii="Times New Roman" w:eastAsia="Times New Roman" w:hAnsi="Times New Roman" w:cs="Times New Roman"/>
                <w:color w:val="000000"/>
                <w:sz w:val="24"/>
                <w:szCs w:val="24"/>
              </w:rPr>
              <w:t>Brain, Behaviour, and Cognition</w:t>
            </w:r>
          </w:p>
        </w:tc>
      </w:tr>
      <w:tr w:rsidR="001035E0" w14:paraId="4E527DAD" w14:textId="77777777" w:rsidTr="000F4DF1">
        <w:tc>
          <w:tcPr>
            <w:tcW w:w="7209" w:type="dxa"/>
            <w:tcMar>
              <w:top w:w="216" w:type="dxa"/>
              <w:left w:w="115" w:type="dxa"/>
              <w:bottom w:w="216" w:type="dxa"/>
              <w:right w:w="115" w:type="dxa"/>
            </w:tcMar>
          </w:tcPr>
          <w:p w14:paraId="24C901B0" w14:textId="77777777" w:rsidR="001035E0" w:rsidRDefault="001035E0">
            <w:pPr>
              <w:pBdr>
                <w:top w:val="nil"/>
                <w:left w:val="nil"/>
                <w:bottom w:val="nil"/>
                <w:right w:val="nil"/>
                <w:between w:val="nil"/>
              </w:pBdr>
              <w:spacing w:after="0" w:line="240" w:lineRule="auto"/>
              <w:rPr>
                <w:color w:val="5B9BD5"/>
              </w:rPr>
            </w:pPr>
          </w:p>
        </w:tc>
      </w:tr>
    </w:tbl>
    <w:p w14:paraId="4DAC2D4A" w14:textId="77777777" w:rsidR="001035E0" w:rsidRDefault="00440DD1">
      <w:pPr>
        <w:rPr>
          <w:rFonts w:ascii="Times New Roman" w:eastAsia="Times New Roman" w:hAnsi="Times New Roman" w:cs="Times New Roman"/>
          <w:sz w:val="24"/>
          <w:szCs w:val="24"/>
        </w:rPr>
      </w:pPr>
      <w:r>
        <w:br w:type="page"/>
      </w:r>
    </w:p>
    <w:p w14:paraId="615248BF" w14:textId="507CC6AF" w:rsidR="001035E0" w:rsidRDefault="00440DD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t>To enable the critical discussion of methods used to explore language deficits experienced by aphasic patients, it would first be prudent to explain what are meant by language deficits in relationship to aphasia. Aphasia is caused by damage to the language specific areas of the brain through physical injury, brain tumour or stroke.</w:t>
      </w:r>
      <w:r w:rsidR="00C97FEF">
        <w:rPr>
          <w:rFonts w:ascii="Times New Roman" w:eastAsia="Times New Roman" w:hAnsi="Times New Roman" w:cs="Times New Roman"/>
          <w:sz w:val="24"/>
          <w:szCs w:val="24"/>
        </w:rPr>
        <w:t xml:space="preserve"> </w:t>
      </w:r>
      <w:r w:rsidR="00C97FEF" w:rsidRPr="00C97FEF">
        <w:rPr>
          <w:rFonts w:ascii="Times New Roman" w:eastAsia="Times New Roman" w:hAnsi="Times New Roman" w:cs="Times New Roman"/>
          <w:sz w:val="24"/>
          <w:szCs w:val="24"/>
        </w:rPr>
        <w:t>It should also be noted that language aphasia can be caused gradually by such conditions as Alzheimer’s disease.</w:t>
      </w:r>
    </w:p>
    <w:p w14:paraId="0F2CE155" w14:textId="77777777" w:rsidR="002F0541" w:rsidRDefault="00440DD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Aphasia can be classified in either one of two ways. Firstly, receptive, where the individual has a difficulty in understanding language, and secondly, expressive, where the individual has a difficulty in using language. The term language refers not only to the spoken word, but to written, gesticulated or drawn. </w:t>
      </w:r>
    </w:p>
    <w:p w14:paraId="2CBDB190" w14:textId="32A3A27D" w:rsidR="001035E0" w:rsidRDefault="00440DD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a multitude of language aphasia’s the main aphasias being, Global aphasia, Broca’s aphasia, Mixed non-fluent aphasia, Wernicke’s aphasia, anomic aphasia and primary progressive aphasia, moreover</w:t>
      </w:r>
      <w:r w:rsidR="002F0541">
        <w:rPr>
          <w:rFonts w:ascii="Times New Roman" w:eastAsia="Times New Roman" w:hAnsi="Times New Roman" w:cs="Times New Roman"/>
          <w:sz w:val="24"/>
          <w:szCs w:val="24"/>
        </w:rPr>
        <w:t>, there</w:t>
      </w:r>
      <w:r>
        <w:rPr>
          <w:rFonts w:ascii="Times New Roman" w:eastAsia="Times New Roman" w:hAnsi="Times New Roman" w:cs="Times New Roman"/>
          <w:sz w:val="24"/>
          <w:szCs w:val="24"/>
        </w:rPr>
        <w:t xml:space="preserve"> are additional </w:t>
      </w:r>
      <w:r w:rsidR="002F0541">
        <w:rPr>
          <w:rFonts w:ascii="Times New Roman" w:eastAsia="Times New Roman" w:hAnsi="Times New Roman" w:cs="Times New Roman"/>
          <w:sz w:val="24"/>
          <w:szCs w:val="24"/>
        </w:rPr>
        <w:t>variations</w:t>
      </w:r>
      <w:r>
        <w:rPr>
          <w:rFonts w:ascii="Times New Roman" w:eastAsia="Times New Roman" w:hAnsi="Times New Roman" w:cs="Times New Roman"/>
          <w:sz w:val="24"/>
          <w:szCs w:val="24"/>
        </w:rPr>
        <w:t xml:space="preserve"> of aphasia that do not fit specifically into one of the main types of aphasia. This being the case</w:t>
      </w:r>
      <w:r w:rsidR="002F054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there are many screening and testing tools both available as is or in kit form to be adaptable to what best suits an individual, thus due to word count restrictions, this paper will only </w:t>
      </w:r>
      <w:r w:rsidR="002F0541">
        <w:rPr>
          <w:rFonts w:ascii="Times New Roman" w:eastAsia="Times New Roman" w:hAnsi="Times New Roman" w:cs="Times New Roman"/>
          <w:sz w:val="24"/>
          <w:szCs w:val="24"/>
        </w:rPr>
        <w:t xml:space="preserve">critically examine </w:t>
      </w:r>
      <w:r>
        <w:rPr>
          <w:rFonts w:ascii="Times New Roman" w:eastAsia="Times New Roman" w:hAnsi="Times New Roman" w:cs="Times New Roman"/>
          <w:sz w:val="24"/>
          <w:szCs w:val="24"/>
        </w:rPr>
        <w:t>at three tools. Firstly, the Language screening test (Flamand-Roze, C., Falissard, B., Roze, E., Maintigneux, L., Beziz, J., Chacon, A., Join-Lambert, C., Adams, D., Denier, C., 2011). Secondly, The Aphasia rapid test (ART) (</w:t>
      </w:r>
      <w:r>
        <w:rPr>
          <w:rFonts w:ascii="Times New Roman" w:eastAsia="Times New Roman" w:hAnsi="Times New Roman" w:cs="Times New Roman"/>
          <w:sz w:val="24"/>
          <w:szCs w:val="24"/>
          <w:highlight w:val="white"/>
        </w:rPr>
        <w:t>Azuar, C., Leger, A., Arbizu, C., Henry-Amar, F., Chomel-Guillaume, S., Samson, Y., 2013</w:t>
      </w:r>
      <w:r>
        <w:rPr>
          <w:rFonts w:ascii="Times New Roman" w:eastAsia="Times New Roman" w:hAnsi="Times New Roman" w:cs="Times New Roman"/>
          <w:sz w:val="24"/>
          <w:szCs w:val="24"/>
        </w:rPr>
        <w:t>). And thirdly, the Ullevaal aphasia screening test (UAS) (Thommessen, Bautz-Holter, &amp; Laake, 1999)</w:t>
      </w:r>
    </w:p>
    <w:p w14:paraId="0451A38E" w14:textId="06A57C47" w:rsidR="001035E0" w:rsidRDefault="00440DD1">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 first screening tool to be discussed is the language screening test, which was designed to be brief, this it does by being completed in less than two minutes (Flamand-Roze, et al., 2011). The reason that the language screening test, was designed to be administered at </w:t>
      </w:r>
      <w:r>
        <w:rPr>
          <w:rFonts w:ascii="Times New Roman" w:eastAsia="Times New Roman" w:hAnsi="Times New Roman" w:cs="Times New Roman"/>
          <w:sz w:val="24"/>
          <w:szCs w:val="24"/>
        </w:rPr>
        <w:lastRenderedPageBreak/>
        <w:t xml:space="preserve">the bedside of the patient by nursing staff in the acute and chronic phases of stroke. The language screening test is used as a tool to explore; naming, repetition and automatic speech from the expressive index to assess for Broca’s area, as this is linked to expressive language, for example, correct , of the individual, and recognition and verbal instruction from the receptive index; how the individual perceives spoken language as this could indicate problems in the Wernicke’s area. However, it does not assess either the writing or comprehension of text (Rohde, et al., 2018). The language screening test was validated psychometrically against the Boston </w:t>
      </w:r>
      <w:r>
        <w:rPr>
          <w:rFonts w:ascii="Times New Roman" w:eastAsia="Times New Roman" w:hAnsi="Times New Roman" w:cs="Times New Roman"/>
          <w:sz w:val="24"/>
          <w:szCs w:val="24"/>
          <w:highlight w:val="white"/>
        </w:rPr>
        <w:t xml:space="preserve">diagnostic aphasia examination (Goodglass &amp; Kaplan, 1972), scored high on both sensitivity .98 and specificity 1.00, and with a high reliability for both the intraclass correlation coefficient =.96 and inter-rater agreement =.998 (Flamand-Roze, et al., 2011; Rohde, et al., 2018). The intraclass correlation coefficient is a measure for estimating the reliability of sets of ratings, based upon the analysis of variance and estimation of variance components for one-way classification (Bartko, 1966), the inter-rater agreement is a reliability measure that presents specific linear agreement weights and minimal sample sizes (Cicchetti, 1976). As has been previously stated, </w:t>
      </w:r>
      <w:r w:rsidR="002F0541">
        <w:rPr>
          <w:rFonts w:ascii="Times New Roman" w:eastAsia="Times New Roman" w:hAnsi="Times New Roman" w:cs="Times New Roman"/>
          <w:sz w:val="24"/>
          <w:szCs w:val="24"/>
        </w:rPr>
        <w:t>the language screening test</w:t>
      </w:r>
      <w:r>
        <w:rPr>
          <w:rFonts w:ascii="Times New Roman" w:eastAsia="Times New Roman" w:hAnsi="Times New Roman" w:cs="Times New Roman"/>
          <w:sz w:val="24"/>
          <w:szCs w:val="24"/>
          <w:highlight w:val="white"/>
        </w:rPr>
        <w:t xml:space="preserve"> does not look at written language, so this would need to be checked after referral to the speech and language therapist, although it does, however, examine gesticulation, which would make it useful for the examination of individuals whose first language is sign language. </w:t>
      </w:r>
      <w:r w:rsidR="002F0541">
        <w:rPr>
          <w:rFonts w:ascii="Times New Roman" w:eastAsia="Times New Roman" w:hAnsi="Times New Roman" w:cs="Times New Roman"/>
          <w:sz w:val="24"/>
          <w:szCs w:val="24"/>
          <w:highlight w:val="white"/>
        </w:rPr>
        <w:t>Arguably</w:t>
      </w:r>
      <w:r>
        <w:rPr>
          <w:rFonts w:ascii="Times New Roman" w:eastAsia="Times New Roman" w:hAnsi="Times New Roman" w:cs="Times New Roman"/>
          <w:sz w:val="24"/>
          <w:szCs w:val="24"/>
          <w:highlight w:val="white"/>
        </w:rPr>
        <w:t>, due to the simplicity of the test, it is possible to have it translated and administered in any language,</w:t>
      </w:r>
    </w:p>
    <w:p w14:paraId="4AFC2194" w14:textId="38BFCCA2" w:rsidR="001035E0" w:rsidRDefault="00440DD1">
      <w:pPr>
        <w:spacing w:line="48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ab/>
        <w:t xml:space="preserve">The Aphasia rapid test (Azuar, et al., 2013) was </w:t>
      </w:r>
      <w:r>
        <w:rPr>
          <w:rFonts w:ascii="Times New Roman" w:eastAsia="Times New Roman" w:hAnsi="Times New Roman" w:cs="Times New Roman"/>
          <w:sz w:val="24"/>
          <w:szCs w:val="24"/>
          <w:highlight w:val="white"/>
        </w:rPr>
        <w:t xml:space="preserve">designed to be administered by any health professional as a brief bedside assessment to rate and monitor the severity of aphasia in acute stroke patients and has shown to be highly predictive of the three-month verbal outcome (Rohde, et al., 2018). The </w:t>
      </w:r>
      <w:r>
        <w:rPr>
          <w:rFonts w:ascii="Times New Roman" w:eastAsia="Times New Roman" w:hAnsi="Times New Roman" w:cs="Times New Roman"/>
          <w:sz w:val="24"/>
          <w:szCs w:val="24"/>
        </w:rPr>
        <w:t>Aphasia rapid test</w:t>
      </w:r>
      <w:r>
        <w:rPr>
          <w:rFonts w:ascii="Times New Roman" w:eastAsia="Times New Roman" w:hAnsi="Times New Roman" w:cs="Times New Roman"/>
          <w:sz w:val="24"/>
          <w:szCs w:val="24"/>
          <w:highlight w:val="white"/>
        </w:rPr>
        <w:t xml:space="preserve"> examines the execution (Guyette &amp; Diedrich, 1981) of simple and complex orders, repetition, object naming, scoring of dysarthria, verbal semantic fluency task (Azuar, et al., 2013; Rohde, et al., 2018). The </w:t>
      </w:r>
      <w:r>
        <w:rPr>
          <w:rFonts w:ascii="Times New Roman" w:eastAsia="Times New Roman" w:hAnsi="Times New Roman" w:cs="Times New Roman"/>
          <w:sz w:val="24"/>
          <w:szCs w:val="24"/>
        </w:rPr>
        <w:t>Aphasia rapid test</w:t>
      </w:r>
      <w:r>
        <w:rPr>
          <w:rFonts w:ascii="Times New Roman" w:eastAsia="Times New Roman" w:hAnsi="Times New Roman" w:cs="Times New Roman"/>
          <w:sz w:val="24"/>
          <w:szCs w:val="24"/>
          <w:highlight w:val="white"/>
        </w:rPr>
        <w:t xml:space="preserve"> has an administration time of three minutes (Azuar, et al., 2013). Psychometrically the ART has a validity on sensitivity of .90, which is high, and (Rohde, et al., 2018) moderate specificity of .80 (Azuar, et al., 2013). Although it should be noted that the aphasia rapid test does not differentiate between aphasia, apraxia of speech and dysarthria, and thus, should not be utilised as a diagnostic tool (Rohde, et al., 2018). Psychometric reliability had an inter-rater = .99, which is high on concordance coefficient, and a weighted Kappa of .93, which again is high. As mentioned, the ART does not discriminate between aphasia, as has been previously explained, apraxia of speech, is developmental, and is a difficulty with imitative speech production (Guyette &amp; Diedrich, 1981), whereas, dysarthria is described as a faulty pronunciation or deviation caused by neuromuscular problems in the motor production of language, often coming across as slurred speech (Enderby P. , 1980).</w:t>
      </w:r>
    </w:p>
    <w:p w14:paraId="45A0FDF0" w14:textId="2A611EC2" w:rsidR="001035E0" w:rsidRDefault="00440DD1">
      <w:pPr>
        <w:spacing w:line="48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 xml:space="preserve">The Ullevaal aphasia screening test (UAS) (Thommessen, Bautz-Holter, &amp; Laake, 1999) has an administration time of between five and fifteen minutes and was designed to be administered at the patient’s bedside by nursing staff (Rohde, et al., 2018). The UAS evaluates expression, comprehension, repetition, reading, reproduction of word strings, writing and free communication based on the painting </w:t>
      </w:r>
      <w:r>
        <w:rPr>
          <w:rFonts w:ascii="Times New Roman" w:eastAsia="Times New Roman" w:hAnsi="Times New Roman" w:cs="Times New Roman"/>
          <w:i/>
          <w:sz w:val="24"/>
          <w:szCs w:val="24"/>
          <w:highlight w:val="white"/>
        </w:rPr>
        <w:t xml:space="preserve">Self-portrait </w:t>
      </w:r>
      <w:r>
        <w:rPr>
          <w:rFonts w:ascii="Times New Roman" w:eastAsia="Times New Roman" w:hAnsi="Times New Roman" w:cs="Times New Roman"/>
          <w:sz w:val="24"/>
          <w:szCs w:val="24"/>
          <w:highlight w:val="white"/>
        </w:rPr>
        <w:t>by Theordor Kittelsen, to elicit a more emotive language (Rohde, et al., 2018). This then classifies patients into one of four categories namely, no, mild, moderate or severe The psychometric data for the UAS for validity has a sensitivity of 75% which is low to moderate, and a specificity of 90%, classed as moderate (Rohde, et al., 2018). The authors of the UAS explain that predictive value of a negative test was considered satisfactorily high (Rohde, et al., 2018). The reliability was tested using a weighted kappa = .83, which gave a coefficient of agreements rated as moderately high (Rohde, et al., 2018).</w:t>
      </w:r>
    </w:p>
    <w:p w14:paraId="4C3AAB7D" w14:textId="2B7D3867" w:rsidR="00440DD1" w:rsidRDefault="00440DD1">
      <w:pPr>
        <w:spacing w:line="48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
        <w:t>In conclusion, the three models looked at, the language screening test, aphasia rapid test and the Ullevaal aphasia screening test have all shown to be adequate for the initial screening of patients experiencing stroke symptoms, thus expediting the referral to more specialised services of speech and language therapy, where it may be possible then to alleviate some of the stress caused by either the loss or difficulty in both language production</w:t>
      </w:r>
      <w:r w:rsidR="002F0541">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and reception. </w:t>
      </w:r>
    </w:p>
    <w:p w14:paraId="4FF956A1" w14:textId="06AE34B9" w:rsidR="001035E0" w:rsidRDefault="00440DD1" w:rsidP="00440DD1">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01D1C94F" w14:textId="64294597" w:rsidR="001035E0" w:rsidRDefault="00440DD1">
      <w:pPr>
        <w:pStyle w:val="Heading1"/>
        <w:jc w:val="center"/>
        <w:rPr>
          <w:rFonts w:ascii="Times New Roman" w:eastAsia="Times New Roman" w:hAnsi="Times New Roman" w:cs="Times New Roman"/>
          <w:color w:val="000000"/>
        </w:rPr>
      </w:pPr>
      <w:r>
        <w:rPr>
          <w:rFonts w:ascii="Times New Roman" w:eastAsia="Times New Roman" w:hAnsi="Times New Roman" w:cs="Times New Roman"/>
          <w:color w:val="000000"/>
        </w:rPr>
        <w:t>References</w:t>
      </w:r>
    </w:p>
    <w:p w14:paraId="1E5FAE63" w14:textId="77777777" w:rsidR="00440DD1" w:rsidRPr="00440DD1" w:rsidRDefault="00440DD1" w:rsidP="00440DD1">
      <w:pPr>
        <w:rPr>
          <w:lang w:val="en-US"/>
        </w:rPr>
      </w:pPr>
    </w:p>
    <w:p w14:paraId="68248894" w14:textId="77777777" w:rsidR="001035E0" w:rsidRDefault="00440DD1">
      <w:pPr>
        <w:pBdr>
          <w:top w:val="nil"/>
          <w:left w:val="nil"/>
          <w:bottom w:val="nil"/>
          <w:right w:val="nil"/>
          <w:between w:val="nil"/>
        </w:pBdr>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rPr>
        <w:t xml:space="preserve">Azuar, C., Leger, A., Arbizu, C., Henry-Amar, F., Chomel-Guillaume, S., &amp; Sampson, Y. (2013). The aphasia rapid test: an HIHSS-like aphasia test. </w:t>
      </w:r>
      <w:r>
        <w:rPr>
          <w:rFonts w:ascii="Times New Roman" w:eastAsia="Times New Roman" w:hAnsi="Times New Roman" w:cs="Times New Roman"/>
          <w:i/>
          <w:color w:val="000000"/>
        </w:rPr>
        <w:t>Journal of neurology, 260</w:t>
      </w:r>
      <w:r>
        <w:rPr>
          <w:rFonts w:ascii="Times New Roman" w:eastAsia="Times New Roman" w:hAnsi="Times New Roman" w:cs="Times New Roman"/>
          <w:color w:val="000000"/>
        </w:rPr>
        <w:t>(8), 2110-2117.</w:t>
      </w:r>
    </w:p>
    <w:p w14:paraId="5C988E67" w14:textId="1D13289A" w:rsidR="001035E0" w:rsidRDefault="00440DD1">
      <w:pPr>
        <w:pBdr>
          <w:top w:val="nil"/>
          <w:left w:val="nil"/>
          <w:bottom w:val="nil"/>
          <w:right w:val="nil"/>
          <w:between w:val="nil"/>
        </w:pBdr>
        <w:ind w:left="720" w:hanging="720"/>
        <w:rPr>
          <w:rFonts w:ascii="Times New Roman" w:eastAsia="Times New Roman" w:hAnsi="Times New Roman" w:cs="Times New Roman"/>
          <w:color w:val="000000"/>
        </w:rPr>
      </w:pPr>
      <w:r>
        <w:rPr>
          <w:rFonts w:ascii="Times New Roman" w:eastAsia="Times New Roman" w:hAnsi="Times New Roman" w:cs="Times New Roman"/>
          <w:color w:val="000000"/>
        </w:rPr>
        <w:t xml:space="preserve">Bartko, J. J. (1966). The intraclass correlation coefficient as a measure of reliability. </w:t>
      </w:r>
      <w:r>
        <w:rPr>
          <w:rFonts w:ascii="Times New Roman" w:eastAsia="Times New Roman" w:hAnsi="Times New Roman" w:cs="Times New Roman"/>
          <w:i/>
          <w:color w:val="000000"/>
        </w:rPr>
        <w:t>Psychological Reports, 19</w:t>
      </w:r>
      <w:r>
        <w:rPr>
          <w:rFonts w:ascii="Times New Roman" w:eastAsia="Times New Roman" w:hAnsi="Times New Roman" w:cs="Times New Roman"/>
          <w:color w:val="000000"/>
        </w:rPr>
        <w:t>(1), 3-11.</w:t>
      </w:r>
    </w:p>
    <w:p w14:paraId="639BE0D4" w14:textId="77777777" w:rsidR="001035E0" w:rsidRDefault="00440DD1">
      <w:pPr>
        <w:pBdr>
          <w:top w:val="nil"/>
          <w:left w:val="nil"/>
          <w:bottom w:val="nil"/>
          <w:right w:val="nil"/>
          <w:between w:val="nil"/>
        </w:pBdr>
        <w:ind w:left="720" w:hanging="720"/>
        <w:rPr>
          <w:rFonts w:ascii="Times New Roman" w:eastAsia="Times New Roman" w:hAnsi="Times New Roman" w:cs="Times New Roman"/>
          <w:color w:val="000000"/>
        </w:rPr>
      </w:pPr>
      <w:r>
        <w:rPr>
          <w:rFonts w:ascii="Times New Roman" w:eastAsia="Times New Roman" w:hAnsi="Times New Roman" w:cs="Times New Roman"/>
          <w:color w:val="000000"/>
        </w:rPr>
        <w:t xml:space="preserve">Cicchetti, D. V. (1976). Assessing inter-rater reliability for rating scales: resolving some basic issues. </w:t>
      </w:r>
      <w:r>
        <w:rPr>
          <w:rFonts w:ascii="Times New Roman" w:eastAsia="Times New Roman" w:hAnsi="Times New Roman" w:cs="Times New Roman"/>
          <w:i/>
          <w:color w:val="000000"/>
        </w:rPr>
        <w:t>The British Journal of Psychiatry, 129</w:t>
      </w:r>
      <w:r>
        <w:rPr>
          <w:rFonts w:ascii="Times New Roman" w:eastAsia="Times New Roman" w:hAnsi="Times New Roman" w:cs="Times New Roman"/>
          <w:color w:val="000000"/>
        </w:rPr>
        <w:t>(5), 452-459.</w:t>
      </w:r>
    </w:p>
    <w:p w14:paraId="6E0D15EE" w14:textId="77777777" w:rsidR="001035E0" w:rsidRDefault="00440DD1">
      <w:pPr>
        <w:pBdr>
          <w:top w:val="nil"/>
          <w:left w:val="nil"/>
          <w:bottom w:val="nil"/>
          <w:right w:val="nil"/>
          <w:between w:val="nil"/>
        </w:pBdr>
        <w:ind w:left="720" w:hanging="720"/>
        <w:rPr>
          <w:rFonts w:ascii="Times New Roman" w:eastAsia="Times New Roman" w:hAnsi="Times New Roman" w:cs="Times New Roman"/>
          <w:color w:val="000000"/>
        </w:rPr>
      </w:pPr>
      <w:r>
        <w:rPr>
          <w:rFonts w:ascii="Times New Roman" w:eastAsia="Times New Roman" w:hAnsi="Times New Roman" w:cs="Times New Roman"/>
          <w:color w:val="000000"/>
        </w:rPr>
        <w:t xml:space="preserve">Enderby, P. (1980). Frenchay dysarthria assessment. </w:t>
      </w:r>
      <w:r>
        <w:rPr>
          <w:rFonts w:ascii="Times New Roman" w:eastAsia="Times New Roman" w:hAnsi="Times New Roman" w:cs="Times New Roman"/>
          <w:i/>
          <w:color w:val="000000"/>
        </w:rPr>
        <w:t>British Journal of Disorders of Communication, 15</w:t>
      </w:r>
      <w:r>
        <w:rPr>
          <w:rFonts w:ascii="Times New Roman" w:eastAsia="Times New Roman" w:hAnsi="Times New Roman" w:cs="Times New Roman"/>
          <w:color w:val="000000"/>
        </w:rPr>
        <w:t>(3), 165-173.</w:t>
      </w:r>
    </w:p>
    <w:p w14:paraId="070F4167" w14:textId="77777777" w:rsidR="001035E0" w:rsidRDefault="00440DD1">
      <w:pPr>
        <w:pBdr>
          <w:top w:val="nil"/>
          <w:left w:val="nil"/>
          <w:bottom w:val="nil"/>
          <w:right w:val="nil"/>
          <w:between w:val="nil"/>
        </w:pBdr>
        <w:ind w:left="720" w:hanging="720"/>
        <w:rPr>
          <w:rFonts w:ascii="Times New Roman" w:eastAsia="Times New Roman" w:hAnsi="Times New Roman" w:cs="Times New Roman"/>
          <w:color w:val="000000"/>
        </w:rPr>
      </w:pPr>
      <w:r>
        <w:rPr>
          <w:rFonts w:ascii="Times New Roman" w:eastAsia="Times New Roman" w:hAnsi="Times New Roman" w:cs="Times New Roman"/>
          <w:color w:val="000000"/>
        </w:rPr>
        <w:t xml:space="preserve">Flamand-Roze, C., Falissard, B., Roze, E., Maintigneux, L., Beziz, J., Chacon, A., . . . Denier, C. (2011). Validation of a new language screening tool for patients with acute stroke: the language screening test. </w:t>
      </w:r>
      <w:r>
        <w:rPr>
          <w:rFonts w:ascii="Times New Roman" w:eastAsia="Times New Roman" w:hAnsi="Times New Roman" w:cs="Times New Roman"/>
          <w:i/>
          <w:color w:val="000000"/>
        </w:rPr>
        <w:t>Stroke, 42</w:t>
      </w:r>
      <w:r>
        <w:rPr>
          <w:rFonts w:ascii="Times New Roman" w:eastAsia="Times New Roman" w:hAnsi="Times New Roman" w:cs="Times New Roman"/>
          <w:color w:val="000000"/>
        </w:rPr>
        <w:t>(5), 1224-1229.</w:t>
      </w:r>
    </w:p>
    <w:p w14:paraId="6F4CBC4B" w14:textId="77777777" w:rsidR="001035E0" w:rsidRDefault="00440DD1">
      <w:pPr>
        <w:pBdr>
          <w:top w:val="nil"/>
          <w:left w:val="nil"/>
          <w:bottom w:val="nil"/>
          <w:right w:val="nil"/>
          <w:between w:val="nil"/>
        </w:pBdr>
        <w:ind w:left="720" w:hanging="720"/>
        <w:rPr>
          <w:rFonts w:ascii="Times New Roman" w:eastAsia="Times New Roman" w:hAnsi="Times New Roman" w:cs="Times New Roman"/>
          <w:color w:val="000000"/>
        </w:rPr>
      </w:pPr>
      <w:r>
        <w:rPr>
          <w:rFonts w:ascii="Times New Roman" w:eastAsia="Times New Roman" w:hAnsi="Times New Roman" w:cs="Times New Roman"/>
          <w:color w:val="000000"/>
        </w:rPr>
        <w:t xml:space="preserve">Goodglass, H., &amp; Kaplan, E. (1972). </w:t>
      </w:r>
      <w:r>
        <w:rPr>
          <w:rFonts w:ascii="Times New Roman" w:eastAsia="Times New Roman" w:hAnsi="Times New Roman" w:cs="Times New Roman"/>
          <w:i/>
          <w:color w:val="000000"/>
        </w:rPr>
        <w:t>The assessment of aphasia and related disorders.</w:t>
      </w:r>
      <w:r>
        <w:rPr>
          <w:rFonts w:ascii="Times New Roman" w:eastAsia="Times New Roman" w:hAnsi="Times New Roman" w:cs="Times New Roman"/>
          <w:color w:val="000000"/>
        </w:rPr>
        <w:t xml:space="preserve"> Philadelphia, PA: Lea &amp; Febiger.</w:t>
      </w:r>
    </w:p>
    <w:p w14:paraId="6DE08C12" w14:textId="77777777" w:rsidR="001035E0" w:rsidRDefault="00440DD1">
      <w:pPr>
        <w:pBdr>
          <w:top w:val="nil"/>
          <w:left w:val="nil"/>
          <w:bottom w:val="nil"/>
          <w:right w:val="nil"/>
          <w:between w:val="nil"/>
        </w:pBdr>
        <w:ind w:left="720" w:hanging="720"/>
        <w:rPr>
          <w:rFonts w:ascii="Times New Roman" w:eastAsia="Times New Roman" w:hAnsi="Times New Roman" w:cs="Times New Roman"/>
          <w:color w:val="000000"/>
        </w:rPr>
      </w:pPr>
      <w:r>
        <w:rPr>
          <w:rFonts w:ascii="Times New Roman" w:eastAsia="Times New Roman" w:hAnsi="Times New Roman" w:cs="Times New Roman"/>
          <w:color w:val="000000"/>
        </w:rPr>
        <w:t xml:space="preserve">Guyette, T. W., &amp; Diedrich, W. M. (1981). A critical review of developmental apraxia of speech. </w:t>
      </w:r>
      <w:r>
        <w:rPr>
          <w:rFonts w:ascii="Times New Roman" w:eastAsia="Times New Roman" w:hAnsi="Times New Roman" w:cs="Times New Roman"/>
          <w:i/>
          <w:color w:val="000000"/>
        </w:rPr>
        <w:t>Speech and Language, 5</w:t>
      </w:r>
      <w:r>
        <w:rPr>
          <w:rFonts w:ascii="Times New Roman" w:eastAsia="Times New Roman" w:hAnsi="Times New Roman" w:cs="Times New Roman"/>
          <w:color w:val="000000"/>
        </w:rPr>
        <w:t>, 1-49.</w:t>
      </w:r>
    </w:p>
    <w:p w14:paraId="5A6A6E12" w14:textId="77777777" w:rsidR="001035E0" w:rsidRDefault="00440DD1">
      <w:pPr>
        <w:pBdr>
          <w:top w:val="nil"/>
          <w:left w:val="nil"/>
          <w:bottom w:val="nil"/>
          <w:right w:val="nil"/>
          <w:between w:val="nil"/>
        </w:pBdr>
        <w:ind w:left="720" w:hanging="720"/>
        <w:rPr>
          <w:rFonts w:ascii="Times New Roman" w:eastAsia="Times New Roman" w:hAnsi="Times New Roman" w:cs="Times New Roman"/>
          <w:color w:val="000000"/>
        </w:rPr>
      </w:pPr>
      <w:r>
        <w:rPr>
          <w:rFonts w:ascii="Times New Roman" w:eastAsia="Times New Roman" w:hAnsi="Times New Roman" w:cs="Times New Roman"/>
          <w:color w:val="000000"/>
        </w:rPr>
        <w:t xml:space="preserve">Rohde, A., Worrall, L., Godecke, E., O'Halloran, R., Farrell, A., &amp; Massey, M. (2018). Diagnosis of aphasia in stroke populations: A systematic review of language tests. </w:t>
      </w:r>
      <w:r>
        <w:rPr>
          <w:rFonts w:ascii="Times New Roman" w:eastAsia="Times New Roman" w:hAnsi="Times New Roman" w:cs="Times New Roman"/>
          <w:i/>
          <w:color w:val="000000"/>
        </w:rPr>
        <w:t>PLoS ONE, 13</w:t>
      </w:r>
      <w:r>
        <w:rPr>
          <w:rFonts w:ascii="Times New Roman" w:eastAsia="Times New Roman" w:hAnsi="Times New Roman" w:cs="Times New Roman"/>
          <w:color w:val="000000"/>
        </w:rPr>
        <w:t xml:space="preserve">(3), e0194143. doi:10.1371/journal.pone.0194143 </w:t>
      </w:r>
    </w:p>
    <w:p w14:paraId="400D9928" w14:textId="77777777" w:rsidR="001035E0" w:rsidRDefault="00440DD1">
      <w:pPr>
        <w:pBdr>
          <w:top w:val="nil"/>
          <w:left w:val="nil"/>
          <w:bottom w:val="nil"/>
          <w:right w:val="nil"/>
          <w:between w:val="nil"/>
        </w:pBdr>
        <w:ind w:left="720" w:hanging="720"/>
        <w:rPr>
          <w:rFonts w:ascii="Times New Roman" w:eastAsia="Times New Roman" w:hAnsi="Times New Roman" w:cs="Times New Roman"/>
          <w:color w:val="000000"/>
        </w:rPr>
      </w:pPr>
      <w:r>
        <w:rPr>
          <w:rFonts w:ascii="Times New Roman" w:eastAsia="Times New Roman" w:hAnsi="Times New Roman" w:cs="Times New Roman"/>
          <w:color w:val="000000"/>
        </w:rPr>
        <w:t xml:space="preserve">Thommessen, B., Bautz-Holter, E., &amp; Laake, K. (1999). Screening by nurses for aphasia in stroke - the Ullevaal Aphasia Screening (UAS) test. </w:t>
      </w:r>
      <w:r>
        <w:rPr>
          <w:rFonts w:ascii="Times New Roman" w:eastAsia="Times New Roman" w:hAnsi="Times New Roman" w:cs="Times New Roman"/>
          <w:i/>
          <w:color w:val="000000"/>
        </w:rPr>
        <w:t>Disability and Rehabilitation, 21</w:t>
      </w:r>
      <w:r>
        <w:rPr>
          <w:rFonts w:ascii="Times New Roman" w:eastAsia="Times New Roman" w:hAnsi="Times New Roman" w:cs="Times New Roman"/>
          <w:color w:val="000000"/>
        </w:rPr>
        <w:t>(3), 110-115.</w:t>
      </w:r>
    </w:p>
    <w:p w14:paraId="64B96D98" w14:textId="77777777" w:rsidR="001035E0" w:rsidRDefault="001035E0">
      <w:pPr>
        <w:rPr>
          <w:rFonts w:ascii="Times New Roman" w:eastAsia="Times New Roman" w:hAnsi="Times New Roman" w:cs="Times New Roman"/>
        </w:rPr>
      </w:pPr>
    </w:p>
    <w:p w14:paraId="38AE46CC" w14:textId="77777777" w:rsidR="001035E0" w:rsidRDefault="001035E0">
      <w:pPr>
        <w:spacing w:line="480" w:lineRule="auto"/>
        <w:rPr>
          <w:rFonts w:ascii="Times New Roman" w:eastAsia="Times New Roman" w:hAnsi="Times New Roman" w:cs="Times New Roman"/>
          <w:sz w:val="24"/>
          <w:szCs w:val="24"/>
          <w:highlight w:val="white"/>
        </w:rPr>
      </w:pPr>
      <w:bookmarkStart w:id="1" w:name="_gjdgxs" w:colFirst="0" w:colLast="0"/>
      <w:bookmarkEnd w:id="1"/>
    </w:p>
    <w:p w14:paraId="10DECD24" w14:textId="77777777" w:rsidR="001035E0" w:rsidRDefault="001035E0">
      <w:pPr>
        <w:spacing w:line="480" w:lineRule="auto"/>
        <w:rPr>
          <w:rFonts w:ascii="Times New Roman" w:eastAsia="Times New Roman" w:hAnsi="Times New Roman" w:cs="Times New Roman"/>
          <w:sz w:val="24"/>
          <w:szCs w:val="24"/>
        </w:rPr>
      </w:pPr>
    </w:p>
    <w:p w14:paraId="4E708710" w14:textId="77777777" w:rsidR="001035E0" w:rsidRDefault="001035E0">
      <w:pPr>
        <w:spacing w:line="480" w:lineRule="auto"/>
        <w:rPr>
          <w:rFonts w:ascii="Times New Roman" w:eastAsia="Times New Roman" w:hAnsi="Times New Roman" w:cs="Times New Roman"/>
          <w:sz w:val="24"/>
          <w:szCs w:val="24"/>
        </w:rPr>
      </w:pPr>
    </w:p>
    <w:sectPr w:rsidR="001035E0" w:rsidSect="00481994">
      <w:headerReference w:type="default" r:id="rId6"/>
      <w:footerReference w:type="default" r:id="rId7"/>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83CBDA" w14:textId="77777777" w:rsidR="009F1340" w:rsidRDefault="00440DD1">
      <w:pPr>
        <w:spacing w:after="0" w:line="240" w:lineRule="auto"/>
      </w:pPr>
      <w:r>
        <w:separator/>
      </w:r>
    </w:p>
  </w:endnote>
  <w:endnote w:type="continuationSeparator" w:id="0">
    <w:p w14:paraId="5AD20B6E" w14:textId="77777777" w:rsidR="009F1340" w:rsidRDefault="00440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B5A585" w14:textId="51DA0F84" w:rsidR="001035E0" w:rsidRDefault="00440DD1">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F0541">
      <w:rPr>
        <w:noProof/>
        <w:color w:val="000000"/>
      </w:rPr>
      <w:t>1</w:t>
    </w:r>
    <w:r>
      <w:rPr>
        <w:color w:val="000000"/>
      </w:rPr>
      <w:fldChar w:fldCharType="end"/>
    </w:r>
  </w:p>
  <w:p w14:paraId="709BC7FD" w14:textId="77777777" w:rsidR="001035E0" w:rsidRDefault="001035E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54C3C1" w14:textId="77777777" w:rsidR="009F1340" w:rsidRDefault="00440DD1">
      <w:pPr>
        <w:spacing w:after="0" w:line="240" w:lineRule="auto"/>
      </w:pPr>
      <w:r>
        <w:separator/>
      </w:r>
    </w:p>
  </w:footnote>
  <w:footnote w:type="continuationSeparator" w:id="0">
    <w:p w14:paraId="1DC7CBE0" w14:textId="77777777" w:rsidR="009F1340" w:rsidRDefault="00440D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24D206" w14:textId="77777777" w:rsidR="001035E0" w:rsidRDefault="00440DD1">
    <w:pPr>
      <w:pBdr>
        <w:top w:val="nil"/>
        <w:left w:val="nil"/>
        <w:bottom w:val="nil"/>
        <w:right w:val="nil"/>
        <w:between w:val="nil"/>
      </w:pBdr>
      <w:tabs>
        <w:tab w:val="center" w:pos="4513"/>
        <w:tab w:val="right" w:pos="9026"/>
      </w:tabs>
      <w:spacing w:after="0" w:line="240" w:lineRule="auto"/>
      <w:rPr>
        <w:color w:val="000000"/>
      </w:rPr>
    </w:pPr>
    <w:r>
      <w:rPr>
        <w:color w:val="000000"/>
      </w:rPr>
      <w:t xml:space="preserve">Language aphasia methods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5E0"/>
    <w:rsid w:val="000F4DF1"/>
    <w:rsid w:val="001035E0"/>
    <w:rsid w:val="002F0541"/>
    <w:rsid w:val="00440DD1"/>
    <w:rsid w:val="00481994"/>
    <w:rsid w:val="009F1340"/>
    <w:rsid w:val="00C97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C2390"/>
  <w15:docId w15:val="{4BBD7FB9-77C7-4C43-92CA-8152550A3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172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5129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907"/>
  </w:style>
  <w:style w:type="paragraph" w:styleId="Footer">
    <w:name w:val="footer"/>
    <w:basedOn w:val="Normal"/>
    <w:link w:val="FooterChar"/>
    <w:uiPriority w:val="99"/>
    <w:unhideWhenUsed/>
    <w:rsid w:val="005129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907"/>
  </w:style>
  <w:style w:type="character" w:customStyle="1" w:styleId="Heading1Char">
    <w:name w:val="Heading 1 Char"/>
    <w:basedOn w:val="DefaultParagraphFont"/>
    <w:link w:val="Heading1"/>
    <w:uiPriority w:val="9"/>
    <w:rsid w:val="0050172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0172B"/>
  </w:style>
  <w:style w:type="paragraph" w:styleId="NoSpacing">
    <w:name w:val="No Spacing"/>
    <w:link w:val="NoSpacingChar"/>
    <w:uiPriority w:val="1"/>
    <w:qFormat/>
    <w:rsid w:val="00644B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4B3D"/>
    <w:rPr>
      <w:rFonts w:eastAsiaTheme="minorEastAsia"/>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44" w:type="dxa"/>
        <w:right w:w="115"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2F05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054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1263</Words>
  <Characters>7201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Sean Morgan (0851699)</cp:lastModifiedBy>
  <cp:revision>5</cp:revision>
  <dcterms:created xsi:type="dcterms:W3CDTF">2019-03-07T21:59:00Z</dcterms:created>
  <dcterms:modified xsi:type="dcterms:W3CDTF">2019-03-07T22:06:00Z</dcterms:modified>
</cp:coreProperties>
</file>