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522B9" w14:textId="77777777" w:rsidR="006152BF" w:rsidRDefault="006152BF" w:rsidP="006152BF">
      <w:pPr>
        <w:jc w:val="center"/>
        <w:rPr>
          <w:b/>
          <w:bCs/>
        </w:rPr>
      </w:pPr>
    </w:p>
    <w:p w14:paraId="21CB3684" w14:textId="77777777" w:rsidR="006152BF" w:rsidRDefault="006152BF" w:rsidP="006152BF">
      <w:pPr>
        <w:jc w:val="center"/>
        <w:rPr>
          <w:b/>
          <w:bCs/>
        </w:rPr>
      </w:pPr>
    </w:p>
    <w:p w14:paraId="24CD7DA6" w14:textId="77777777" w:rsidR="006152BF" w:rsidRDefault="006152BF" w:rsidP="006152BF">
      <w:pPr>
        <w:jc w:val="center"/>
        <w:rPr>
          <w:b/>
          <w:bCs/>
        </w:rPr>
      </w:pPr>
    </w:p>
    <w:p w14:paraId="6B1CD82C" w14:textId="3BFEAE46" w:rsidR="006152BF" w:rsidRDefault="006152BF" w:rsidP="006152BF">
      <w:pPr>
        <w:jc w:val="center"/>
        <w:rPr>
          <w:b/>
          <w:bCs/>
        </w:rPr>
      </w:pPr>
      <w:r>
        <w:rPr>
          <w:b/>
          <w:bCs/>
        </w:rPr>
        <w:t xml:space="preserve">The Contributing Factors to the Prevalence of </w:t>
      </w:r>
      <w:r w:rsidR="00E7048F">
        <w:rPr>
          <w:b/>
          <w:bCs/>
        </w:rPr>
        <w:t>dementia between 40 years and above in UK</w:t>
      </w:r>
    </w:p>
    <w:p w14:paraId="52BC2DD7" w14:textId="77777777" w:rsidR="00EE7D98" w:rsidRPr="00EE7D98" w:rsidRDefault="00EE7D98" w:rsidP="00EE7D98">
      <w:pPr>
        <w:rPr>
          <w:rFonts w:ascii="Arial" w:hAnsi="Arial" w:cs="Arial"/>
          <w:sz w:val="22"/>
        </w:rPr>
      </w:pPr>
      <w:r w:rsidRPr="00EE7D98">
        <w:rPr>
          <w:rFonts w:ascii="Arial" w:hAnsi="Arial" w:cs="Arial"/>
          <w:sz w:val="22"/>
        </w:rPr>
        <w:t>Student code and name: Catalina Tihulca 2027642</w:t>
      </w:r>
    </w:p>
    <w:p w14:paraId="18376388" w14:textId="77777777" w:rsidR="00EE7D98" w:rsidRPr="00EE7D98" w:rsidRDefault="00EE7D98" w:rsidP="00EE7D98">
      <w:pPr>
        <w:rPr>
          <w:rFonts w:ascii="Arial" w:hAnsi="Arial" w:cs="Arial"/>
          <w:color w:val="373A3C"/>
          <w:sz w:val="22"/>
        </w:rPr>
      </w:pPr>
      <w:r w:rsidRPr="00EE7D98">
        <w:rPr>
          <w:rFonts w:ascii="Arial" w:hAnsi="Arial" w:cs="Arial"/>
          <w:sz w:val="22"/>
        </w:rPr>
        <w:t xml:space="preserve">Module name and code: Introduction to Research </w:t>
      </w:r>
      <w:r w:rsidRPr="00EE7D98">
        <w:rPr>
          <w:rFonts w:ascii="Arial" w:hAnsi="Arial" w:cs="Arial"/>
          <w:color w:val="373A3C"/>
          <w:sz w:val="22"/>
        </w:rPr>
        <w:t>BMHP 5005</w:t>
      </w:r>
    </w:p>
    <w:p w14:paraId="1FF20464" w14:textId="77777777" w:rsidR="00EE7D98" w:rsidRPr="00EE7D98" w:rsidRDefault="00EE7D98" w:rsidP="00EE7D98">
      <w:pPr>
        <w:rPr>
          <w:rFonts w:ascii="Arial" w:hAnsi="Arial" w:cs="Arial"/>
          <w:bCs/>
          <w:sz w:val="22"/>
        </w:rPr>
      </w:pPr>
      <w:r w:rsidRPr="00EE7D98">
        <w:rPr>
          <w:rFonts w:ascii="Arial" w:hAnsi="Arial" w:cs="Arial"/>
          <w:bCs/>
          <w:sz w:val="22"/>
        </w:rPr>
        <w:t xml:space="preserve">Lecturer Name: </w:t>
      </w:r>
      <w:r w:rsidRPr="00EE7D98">
        <w:rPr>
          <w:rFonts w:ascii="Arial" w:hAnsi="Arial" w:cs="Arial"/>
          <w:bCs/>
          <w:color w:val="373A3C"/>
          <w:sz w:val="22"/>
        </w:rPr>
        <w:t xml:space="preserve"> Robert </w:t>
      </w:r>
      <w:proofErr w:type="spellStart"/>
      <w:r w:rsidRPr="00EE7D98">
        <w:rPr>
          <w:rFonts w:ascii="Arial" w:hAnsi="Arial" w:cs="Arial"/>
          <w:bCs/>
          <w:color w:val="373A3C"/>
          <w:sz w:val="22"/>
        </w:rPr>
        <w:t>Nartowski</w:t>
      </w:r>
      <w:proofErr w:type="spellEnd"/>
    </w:p>
    <w:p w14:paraId="55DCD503" w14:textId="77777777" w:rsidR="00E2264D" w:rsidRPr="00EE7D98" w:rsidRDefault="00E2264D">
      <w:pPr>
        <w:rPr>
          <w:rFonts w:ascii="Arial" w:hAnsi="Arial" w:cs="Arial"/>
          <w:b/>
          <w:bCs/>
          <w:sz w:val="22"/>
        </w:rPr>
      </w:pPr>
      <w:r w:rsidRPr="00EE7D98">
        <w:rPr>
          <w:rFonts w:ascii="Arial" w:hAnsi="Arial" w:cs="Arial"/>
          <w:b/>
          <w:bCs/>
          <w:sz w:val="22"/>
        </w:rPr>
        <w:br w:type="page"/>
      </w:r>
    </w:p>
    <w:sdt>
      <w:sdtPr>
        <w:rPr>
          <w:rFonts w:ascii="Arial" w:eastAsiaTheme="minorHAnsi" w:hAnsi="Arial" w:cs="Arial"/>
          <w:b w:val="0"/>
          <w:color w:val="auto"/>
          <w:sz w:val="22"/>
          <w:szCs w:val="22"/>
        </w:rPr>
        <w:id w:val="-701474287"/>
        <w:docPartObj>
          <w:docPartGallery w:val="Table of Contents"/>
          <w:docPartUnique/>
        </w:docPartObj>
      </w:sdtPr>
      <w:sdtEndPr>
        <w:rPr>
          <w:bCs/>
          <w:noProof/>
        </w:rPr>
      </w:sdtEndPr>
      <w:sdtContent>
        <w:p w14:paraId="0840BB5C" w14:textId="5866640A" w:rsidR="005128BE" w:rsidRPr="00EE7D98" w:rsidRDefault="005128BE" w:rsidP="005128BE">
          <w:pPr>
            <w:pStyle w:val="TOCHeading"/>
            <w:jc w:val="center"/>
            <w:rPr>
              <w:rFonts w:ascii="Arial" w:hAnsi="Arial" w:cs="Arial"/>
              <w:sz w:val="22"/>
              <w:szCs w:val="22"/>
            </w:rPr>
          </w:pPr>
          <w:r w:rsidRPr="00EE7D98">
            <w:rPr>
              <w:rFonts w:ascii="Arial" w:hAnsi="Arial" w:cs="Arial"/>
              <w:sz w:val="22"/>
              <w:szCs w:val="22"/>
            </w:rPr>
            <w:t>Contents</w:t>
          </w:r>
        </w:p>
        <w:p w14:paraId="45764FE3" w14:textId="1BB2548B" w:rsidR="00650CE5" w:rsidRDefault="005128BE">
          <w:pPr>
            <w:pStyle w:val="TOC1"/>
            <w:tabs>
              <w:tab w:val="right" w:leader="dot" w:pos="9350"/>
            </w:tabs>
            <w:rPr>
              <w:rFonts w:asciiTheme="minorHAnsi" w:eastAsiaTheme="minorEastAsia" w:hAnsiTheme="minorHAnsi"/>
              <w:noProof/>
              <w:sz w:val="22"/>
              <w:lang w:val="en-GB" w:eastAsia="en-GB"/>
            </w:rPr>
          </w:pPr>
          <w:r w:rsidRPr="00EE7D98">
            <w:rPr>
              <w:rFonts w:ascii="Arial" w:hAnsi="Arial" w:cs="Arial"/>
              <w:sz w:val="22"/>
            </w:rPr>
            <w:fldChar w:fldCharType="begin"/>
          </w:r>
          <w:r w:rsidRPr="00EE7D98">
            <w:rPr>
              <w:rFonts w:ascii="Arial" w:hAnsi="Arial" w:cs="Arial"/>
              <w:sz w:val="22"/>
            </w:rPr>
            <w:instrText xml:space="preserve"> TOC \o "1-3" \h \z \u </w:instrText>
          </w:r>
          <w:r w:rsidRPr="00EE7D98">
            <w:rPr>
              <w:rFonts w:ascii="Arial" w:hAnsi="Arial" w:cs="Arial"/>
              <w:sz w:val="22"/>
            </w:rPr>
            <w:fldChar w:fldCharType="separate"/>
          </w:r>
          <w:hyperlink w:anchor="_Toc118449061" w:history="1">
            <w:r w:rsidR="00650CE5" w:rsidRPr="00D9453A">
              <w:rPr>
                <w:rStyle w:val="Hyperlink"/>
                <w:rFonts w:ascii="Arial" w:hAnsi="Arial" w:cs="Arial"/>
                <w:noProof/>
              </w:rPr>
              <w:t>Abstract</w:t>
            </w:r>
            <w:r w:rsidR="00650CE5">
              <w:rPr>
                <w:noProof/>
                <w:webHidden/>
              </w:rPr>
              <w:tab/>
            </w:r>
            <w:r w:rsidR="00650CE5">
              <w:rPr>
                <w:noProof/>
                <w:webHidden/>
              </w:rPr>
              <w:fldChar w:fldCharType="begin"/>
            </w:r>
            <w:r w:rsidR="00650CE5">
              <w:rPr>
                <w:noProof/>
                <w:webHidden/>
              </w:rPr>
              <w:instrText xml:space="preserve"> PAGEREF _Toc118449061 \h </w:instrText>
            </w:r>
            <w:r w:rsidR="00650CE5">
              <w:rPr>
                <w:noProof/>
                <w:webHidden/>
              </w:rPr>
            </w:r>
            <w:r w:rsidR="00650CE5">
              <w:rPr>
                <w:noProof/>
                <w:webHidden/>
              </w:rPr>
              <w:fldChar w:fldCharType="separate"/>
            </w:r>
            <w:r w:rsidR="00650CE5">
              <w:rPr>
                <w:noProof/>
                <w:webHidden/>
              </w:rPr>
              <w:t>3</w:t>
            </w:r>
            <w:r w:rsidR="00650CE5">
              <w:rPr>
                <w:noProof/>
                <w:webHidden/>
              </w:rPr>
              <w:fldChar w:fldCharType="end"/>
            </w:r>
          </w:hyperlink>
        </w:p>
        <w:p w14:paraId="66E39187" w14:textId="3F1064A3" w:rsidR="00650CE5" w:rsidRDefault="00000000">
          <w:pPr>
            <w:pStyle w:val="TOC1"/>
            <w:tabs>
              <w:tab w:val="right" w:leader="dot" w:pos="9350"/>
            </w:tabs>
            <w:rPr>
              <w:rFonts w:asciiTheme="minorHAnsi" w:eastAsiaTheme="minorEastAsia" w:hAnsiTheme="minorHAnsi"/>
              <w:noProof/>
              <w:sz w:val="22"/>
              <w:lang w:val="en-GB" w:eastAsia="en-GB"/>
            </w:rPr>
          </w:pPr>
          <w:hyperlink w:anchor="_Toc118449062" w:history="1">
            <w:r w:rsidR="00650CE5" w:rsidRPr="00D9453A">
              <w:rPr>
                <w:rStyle w:val="Hyperlink"/>
                <w:rFonts w:ascii="Arial" w:hAnsi="Arial" w:cs="Arial"/>
                <w:noProof/>
              </w:rPr>
              <w:t>Background Information</w:t>
            </w:r>
            <w:r w:rsidR="00650CE5">
              <w:rPr>
                <w:noProof/>
                <w:webHidden/>
              </w:rPr>
              <w:tab/>
            </w:r>
            <w:r w:rsidR="00650CE5">
              <w:rPr>
                <w:noProof/>
                <w:webHidden/>
              </w:rPr>
              <w:fldChar w:fldCharType="begin"/>
            </w:r>
            <w:r w:rsidR="00650CE5">
              <w:rPr>
                <w:noProof/>
                <w:webHidden/>
              </w:rPr>
              <w:instrText xml:space="preserve"> PAGEREF _Toc118449062 \h </w:instrText>
            </w:r>
            <w:r w:rsidR="00650CE5">
              <w:rPr>
                <w:noProof/>
                <w:webHidden/>
              </w:rPr>
            </w:r>
            <w:r w:rsidR="00650CE5">
              <w:rPr>
                <w:noProof/>
                <w:webHidden/>
              </w:rPr>
              <w:fldChar w:fldCharType="separate"/>
            </w:r>
            <w:r w:rsidR="00650CE5">
              <w:rPr>
                <w:noProof/>
                <w:webHidden/>
              </w:rPr>
              <w:t>4</w:t>
            </w:r>
            <w:r w:rsidR="00650CE5">
              <w:rPr>
                <w:noProof/>
                <w:webHidden/>
              </w:rPr>
              <w:fldChar w:fldCharType="end"/>
            </w:r>
          </w:hyperlink>
        </w:p>
        <w:p w14:paraId="4352CE9F" w14:textId="26DE66A2" w:rsidR="00650CE5" w:rsidRDefault="00000000">
          <w:pPr>
            <w:pStyle w:val="TOC1"/>
            <w:tabs>
              <w:tab w:val="right" w:leader="dot" w:pos="9350"/>
            </w:tabs>
            <w:rPr>
              <w:rFonts w:asciiTheme="minorHAnsi" w:eastAsiaTheme="minorEastAsia" w:hAnsiTheme="minorHAnsi"/>
              <w:noProof/>
              <w:sz w:val="22"/>
              <w:lang w:val="en-GB" w:eastAsia="en-GB"/>
            </w:rPr>
          </w:pPr>
          <w:hyperlink w:anchor="_Toc118449063" w:history="1">
            <w:r w:rsidR="00650CE5" w:rsidRPr="00D9453A">
              <w:rPr>
                <w:rStyle w:val="Hyperlink"/>
                <w:rFonts w:ascii="Arial" w:hAnsi="Arial" w:cs="Arial"/>
                <w:noProof/>
              </w:rPr>
              <w:t>Methods</w:t>
            </w:r>
            <w:r w:rsidR="00650CE5">
              <w:rPr>
                <w:noProof/>
                <w:webHidden/>
              </w:rPr>
              <w:tab/>
            </w:r>
            <w:r w:rsidR="00650CE5">
              <w:rPr>
                <w:noProof/>
                <w:webHidden/>
              </w:rPr>
              <w:fldChar w:fldCharType="begin"/>
            </w:r>
            <w:r w:rsidR="00650CE5">
              <w:rPr>
                <w:noProof/>
                <w:webHidden/>
              </w:rPr>
              <w:instrText xml:space="preserve"> PAGEREF _Toc118449063 \h </w:instrText>
            </w:r>
            <w:r w:rsidR="00650CE5">
              <w:rPr>
                <w:noProof/>
                <w:webHidden/>
              </w:rPr>
            </w:r>
            <w:r w:rsidR="00650CE5">
              <w:rPr>
                <w:noProof/>
                <w:webHidden/>
              </w:rPr>
              <w:fldChar w:fldCharType="separate"/>
            </w:r>
            <w:r w:rsidR="00650CE5">
              <w:rPr>
                <w:noProof/>
                <w:webHidden/>
              </w:rPr>
              <w:t>4</w:t>
            </w:r>
            <w:r w:rsidR="00650CE5">
              <w:rPr>
                <w:noProof/>
                <w:webHidden/>
              </w:rPr>
              <w:fldChar w:fldCharType="end"/>
            </w:r>
          </w:hyperlink>
        </w:p>
        <w:p w14:paraId="5ACD76C9" w14:textId="1B58DB63" w:rsidR="00650CE5" w:rsidRDefault="00000000">
          <w:pPr>
            <w:pStyle w:val="TOC2"/>
            <w:tabs>
              <w:tab w:val="right" w:leader="dot" w:pos="9350"/>
            </w:tabs>
            <w:rPr>
              <w:rFonts w:asciiTheme="minorHAnsi" w:eastAsiaTheme="minorEastAsia" w:hAnsiTheme="minorHAnsi"/>
              <w:noProof/>
              <w:sz w:val="22"/>
              <w:lang w:val="en-GB" w:eastAsia="en-GB"/>
            </w:rPr>
          </w:pPr>
          <w:hyperlink w:anchor="_Toc118449064" w:history="1">
            <w:r w:rsidR="00650CE5" w:rsidRPr="00D9453A">
              <w:rPr>
                <w:rStyle w:val="Hyperlink"/>
                <w:rFonts w:ascii="Arial" w:hAnsi="Arial" w:cs="Arial"/>
                <w:noProof/>
              </w:rPr>
              <w:t>The Baseline of the sample</w:t>
            </w:r>
            <w:r w:rsidR="00650CE5">
              <w:rPr>
                <w:noProof/>
                <w:webHidden/>
              </w:rPr>
              <w:tab/>
            </w:r>
            <w:r w:rsidR="00650CE5">
              <w:rPr>
                <w:noProof/>
                <w:webHidden/>
              </w:rPr>
              <w:fldChar w:fldCharType="begin"/>
            </w:r>
            <w:r w:rsidR="00650CE5">
              <w:rPr>
                <w:noProof/>
                <w:webHidden/>
              </w:rPr>
              <w:instrText xml:space="preserve"> PAGEREF _Toc118449064 \h </w:instrText>
            </w:r>
            <w:r w:rsidR="00650CE5">
              <w:rPr>
                <w:noProof/>
                <w:webHidden/>
              </w:rPr>
            </w:r>
            <w:r w:rsidR="00650CE5">
              <w:rPr>
                <w:noProof/>
                <w:webHidden/>
              </w:rPr>
              <w:fldChar w:fldCharType="separate"/>
            </w:r>
            <w:r w:rsidR="00650CE5">
              <w:rPr>
                <w:noProof/>
                <w:webHidden/>
              </w:rPr>
              <w:t>5</w:t>
            </w:r>
            <w:r w:rsidR="00650CE5">
              <w:rPr>
                <w:noProof/>
                <w:webHidden/>
              </w:rPr>
              <w:fldChar w:fldCharType="end"/>
            </w:r>
          </w:hyperlink>
        </w:p>
        <w:p w14:paraId="1752F2BC" w14:textId="78CB26B2" w:rsidR="00650CE5" w:rsidRDefault="00000000">
          <w:pPr>
            <w:pStyle w:val="TOC2"/>
            <w:tabs>
              <w:tab w:val="right" w:leader="dot" w:pos="9350"/>
            </w:tabs>
            <w:rPr>
              <w:rFonts w:asciiTheme="minorHAnsi" w:eastAsiaTheme="minorEastAsia" w:hAnsiTheme="minorHAnsi"/>
              <w:noProof/>
              <w:sz w:val="22"/>
              <w:lang w:val="en-GB" w:eastAsia="en-GB"/>
            </w:rPr>
          </w:pPr>
          <w:hyperlink w:anchor="_Toc118449065" w:history="1">
            <w:r w:rsidR="00650CE5" w:rsidRPr="00D9453A">
              <w:rPr>
                <w:rStyle w:val="Hyperlink"/>
                <w:rFonts w:ascii="Arial" w:hAnsi="Arial" w:cs="Arial"/>
                <w:noProof/>
              </w:rPr>
              <w:t>Approach and Sequence of the Interviews.</w:t>
            </w:r>
            <w:r w:rsidR="00650CE5">
              <w:rPr>
                <w:noProof/>
                <w:webHidden/>
              </w:rPr>
              <w:tab/>
            </w:r>
            <w:r w:rsidR="00650CE5">
              <w:rPr>
                <w:noProof/>
                <w:webHidden/>
              </w:rPr>
              <w:fldChar w:fldCharType="begin"/>
            </w:r>
            <w:r w:rsidR="00650CE5">
              <w:rPr>
                <w:noProof/>
                <w:webHidden/>
              </w:rPr>
              <w:instrText xml:space="preserve"> PAGEREF _Toc118449065 \h </w:instrText>
            </w:r>
            <w:r w:rsidR="00650CE5">
              <w:rPr>
                <w:noProof/>
                <w:webHidden/>
              </w:rPr>
            </w:r>
            <w:r w:rsidR="00650CE5">
              <w:rPr>
                <w:noProof/>
                <w:webHidden/>
              </w:rPr>
              <w:fldChar w:fldCharType="separate"/>
            </w:r>
            <w:r w:rsidR="00650CE5">
              <w:rPr>
                <w:noProof/>
                <w:webHidden/>
              </w:rPr>
              <w:t>5</w:t>
            </w:r>
            <w:r w:rsidR="00650CE5">
              <w:rPr>
                <w:noProof/>
                <w:webHidden/>
              </w:rPr>
              <w:fldChar w:fldCharType="end"/>
            </w:r>
          </w:hyperlink>
        </w:p>
        <w:p w14:paraId="6436D77C" w14:textId="0F7B1688" w:rsidR="00650CE5" w:rsidRDefault="00000000">
          <w:pPr>
            <w:pStyle w:val="TOC2"/>
            <w:tabs>
              <w:tab w:val="right" w:leader="dot" w:pos="9350"/>
            </w:tabs>
            <w:rPr>
              <w:rFonts w:asciiTheme="minorHAnsi" w:eastAsiaTheme="minorEastAsia" w:hAnsiTheme="minorHAnsi"/>
              <w:noProof/>
              <w:sz w:val="22"/>
              <w:lang w:val="en-GB" w:eastAsia="en-GB"/>
            </w:rPr>
          </w:pPr>
          <w:hyperlink w:anchor="_Toc118449066" w:history="1">
            <w:r w:rsidR="00650CE5" w:rsidRPr="00D9453A">
              <w:rPr>
                <w:rStyle w:val="Hyperlink"/>
                <w:rFonts w:ascii="Arial" w:hAnsi="Arial" w:cs="Arial"/>
                <w:noProof/>
              </w:rPr>
              <w:t>Prevalence assessment</w:t>
            </w:r>
            <w:r w:rsidR="00650CE5">
              <w:rPr>
                <w:noProof/>
                <w:webHidden/>
              </w:rPr>
              <w:tab/>
            </w:r>
            <w:r w:rsidR="00650CE5">
              <w:rPr>
                <w:noProof/>
                <w:webHidden/>
              </w:rPr>
              <w:fldChar w:fldCharType="begin"/>
            </w:r>
            <w:r w:rsidR="00650CE5">
              <w:rPr>
                <w:noProof/>
                <w:webHidden/>
              </w:rPr>
              <w:instrText xml:space="preserve"> PAGEREF _Toc118449066 \h </w:instrText>
            </w:r>
            <w:r w:rsidR="00650CE5">
              <w:rPr>
                <w:noProof/>
                <w:webHidden/>
              </w:rPr>
            </w:r>
            <w:r w:rsidR="00650CE5">
              <w:rPr>
                <w:noProof/>
                <w:webHidden/>
              </w:rPr>
              <w:fldChar w:fldCharType="separate"/>
            </w:r>
            <w:r w:rsidR="00650CE5">
              <w:rPr>
                <w:noProof/>
                <w:webHidden/>
              </w:rPr>
              <w:t>6</w:t>
            </w:r>
            <w:r w:rsidR="00650CE5">
              <w:rPr>
                <w:noProof/>
                <w:webHidden/>
              </w:rPr>
              <w:fldChar w:fldCharType="end"/>
            </w:r>
          </w:hyperlink>
        </w:p>
        <w:p w14:paraId="26F58AF0" w14:textId="586B7E2C" w:rsidR="00650CE5" w:rsidRDefault="00000000">
          <w:pPr>
            <w:pStyle w:val="TOC1"/>
            <w:tabs>
              <w:tab w:val="right" w:leader="dot" w:pos="9350"/>
            </w:tabs>
            <w:rPr>
              <w:rFonts w:asciiTheme="minorHAnsi" w:eastAsiaTheme="minorEastAsia" w:hAnsiTheme="minorHAnsi"/>
              <w:noProof/>
              <w:sz w:val="22"/>
              <w:lang w:val="en-GB" w:eastAsia="en-GB"/>
            </w:rPr>
          </w:pPr>
          <w:hyperlink w:anchor="_Toc118449067" w:history="1">
            <w:r w:rsidR="00650CE5" w:rsidRPr="00D9453A">
              <w:rPr>
                <w:rStyle w:val="Hyperlink"/>
                <w:rFonts w:ascii="Arial" w:hAnsi="Arial" w:cs="Arial"/>
                <w:noProof/>
              </w:rPr>
              <w:t>A Thematic Review of The Published Literature</w:t>
            </w:r>
            <w:r w:rsidR="00650CE5">
              <w:rPr>
                <w:noProof/>
                <w:webHidden/>
              </w:rPr>
              <w:tab/>
            </w:r>
            <w:r w:rsidR="00650CE5">
              <w:rPr>
                <w:noProof/>
                <w:webHidden/>
              </w:rPr>
              <w:fldChar w:fldCharType="begin"/>
            </w:r>
            <w:r w:rsidR="00650CE5">
              <w:rPr>
                <w:noProof/>
                <w:webHidden/>
              </w:rPr>
              <w:instrText xml:space="preserve"> PAGEREF _Toc118449067 \h </w:instrText>
            </w:r>
            <w:r w:rsidR="00650CE5">
              <w:rPr>
                <w:noProof/>
                <w:webHidden/>
              </w:rPr>
            </w:r>
            <w:r w:rsidR="00650CE5">
              <w:rPr>
                <w:noProof/>
                <w:webHidden/>
              </w:rPr>
              <w:fldChar w:fldCharType="separate"/>
            </w:r>
            <w:r w:rsidR="00650CE5">
              <w:rPr>
                <w:noProof/>
                <w:webHidden/>
              </w:rPr>
              <w:t>7</w:t>
            </w:r>
            <w:r w:rsidR="00650CE5">
              <w:rPr>
                <w:noProof/>
                <w:webHidden/>
              </w:rPr>
              <w:fldChar w:fldCharType="end"/>
            </w:r>
          </w:hyperlink>
        </w:p>
        <w:p w14:paraId="34DFD954" w14:textId="53F93CDD" w:rsidR="00650CE5" w:rsidRDefault="00000000">
          <w:pPr>
            <w:pStyle w:val="TOC1"/>
            <w:tabs>
              <w:tab w:val="right" w:leader="dot" w:pos="9350"/>
            </w:tabs>
            <w:rPr>
              <w:rFonts w:asciiTheme="minorHAnsi" w:eastAsiaTheme="minorEastAsia" w:hAnsiTheme="minorHAnsi"/>
              <w:noProof/>
              <w:sz w:val="22"/>
              <w:lang w:val="en-GB" w:eastAsia="en-GB"/>
            </w:rPr>
          </w:pPr>
          <w:hyperlink w:anchor="_Toc118449068" w:history="1">
            <w:r w:rsidR="00650CE5" w:rsidRPr="00D9453A">
              <w:rPr>
                <w:rStyle w:val="Hyperlink"/>
                <w:rFonts w:ascii="Arial" w:hAnsi="Arial" w:cs="Arial"/>
                <w:noProof/>
              </w:rPr>
              <w:t>Findings</w:t>
            </w:r>
            <w:r w:rsidR="00650CE5">
              <w:rPr>
                <w:noProof/>
                <w:webHidden/>
              </w:rPr>
              <w:tab/>
            </w:r>
            <w:r w:rsidR="00650CE5">
              <w:rPr>
                <w:noProof/>
                <w:webHidden/>
              </w:rPr>
              <w:fldChar w:fldCharType="begin"/>
            </w:r>
            <w:r w:rsidR="00650CE5">
              <w:rPr>
                <w:noProof/>
                <w:webHidden/>
              </w:rPr>
              <w:instrText xml:space="preserve"> PAGEREF _Toc118449068 \h </w:instrText>
            </w:r>
            <w:r w:rsidR="00650CE5">
              <w:rPr>
                <w:noProof/>
                <w:webHidden/>
              </w:rPr>
            </w:r>
            <w:r w:rsidR="00650CE5">
              <w:rPr>
                <w:noProof/>
                <w:webHidden/>
              </w:rPr>
              <w:fldChar w:fldCharType="separate"/>
            </w:r>
            <w:r w:rsidR="00650CE5">
              <w:rPr>
                <w:noProof/>
                <w:webHidden/>
              </w:rPr>
              <w:t>8</w:t>
            </w:r>
            <w:r w:rsidR="00650CE5">
              <w:rPr>
                <w:noProof/>
                <w:webHidden/>
              </w:rPr>
              <w:fldChar w:fldCharType="end"/>
            </w:r>
          </w:hyperlink>
        </w:p>
        <w:p w14:paraId="0AA13194" w14:textId="09F0BD51" w:rsidR="00650CE5" w:rsidRDefault="00000000">
          <w:pPr>
            <w:pStyle w:val="TOC1"/>
            <w:tabs>
              <w:tab w:val="right" w:leader="dot" w:pos="9350"/>
            </w:tabs>
            <w:rPr>
              <w:rFonts w:asciiTheme="minorHAnsi" w:eastAsiaTheme="minorEastAsia" w:hAnsiTheme="minorHAnsi"/>
              <w:noProof/>
              <w:sz w:val="22"/>
              <w:lang w:val="en-GB" w:eastAsia="en-GB"/>
            </w:rPr>
          </w:pPr>
          <w:hyperlink w:anchor="_Toc118449069" w:history="1">
            <w:r w:rsidR="00650CE5" w:rsidRPr="00D9453A">
              <w:rPr>
                <w:rStyle w:val="Hyperlink"/>
                <w:rFonts w:ascii="Arial" w:hAnsi="Arial" w:cs="Arial"/>
                <w:noProof/>
              </w:rPr>
              <w:t>Discussions</w:t>
            </w:r>
            <w:r w:rsidR="00650CE5">
              <w:rPr>
                <w:noProof/>
                <w:webHidden/>
              </w:rPr>
              <w:tab/>
            </w:r>
            <w:r w:rsidR="00650CE5">
              <w:rPr>
                <w:noProof/>
                <w:webHidden/>
              </w:rPr>
              <w:fldChar w:fldCharType="begin"/>
            </w:r>
            <w:r w:rsidR="00650CE5">
              <w:rPr>
                <w:noProof/>
                <w:webHidden/>
              </w:rPr>
              <w:instrText xml:space="preserve"> PAGEREF _Toc118449069 \h </w:instrText>
            </w:r>
            <w:r w:rsidR="00650CE5">
              <w:rPr>
                <w:noProof/>
                <w:webHidden/>
              </w:rPr>
            </w:r>
            <w:r w:rsidR="00650CE5">
              <w:rPr>
                <w:noProof/>
                <w:webHidden/>
              </w:rPr>
              <w:fldChar w:fldCharType="separate"/>
            </w:r>
            <w:r w:rsidR="00650CE5">
              <w:rPr>
                <w:noProof/>
                <w:webHidden/>
              </w:rPr>
              <w:t>10</w:t>
            </w:r>
            <w:r w:rsidR="00650CE5">
              <w:rPr>
                <w:noProof/>
                <w:webHidden/>
              </w:rPr>
              <w:fldChar w:fldCharType="end"/>
            </w:r>
          </w:hyperlink>
        </w:p>
        <w:p w14:paraId="64F7A7DF" w14:textId="57738AE1" w:rsidR="00650CE5" w:rsidRDefault="00000000">
          <w:pPr>
            <w:pStyle w:val="TOC1"/>
            <w:tabs>
              <w:tab w:val="right" w:leader="dot" w:pos="9350"/>
            </w:tabs>
            <w:rPr>
              <w:rFonts w:asciiTheme="minorHAnsi" w:eastAsiaTheme="minorEastAsia" w:hAnsiTheme="minorHAnsi"/>
              <w:noProof/>
              <w:sz w:val="22"/>
              <w:lang w:val="en-GB" w:eastAsia="en-GB"/>
            </w:rPr>
          </w:pPr>
          <w:hyperlink w:anchor="_Toc118449070" w:history="1">
            <w:r w:rsidR="00650CE5" w:rsidRPr="00D9453A">
              <w:rPr>
                <w:rStyle w:val="Hyperlink"/>
                <w:rFonts w:ascii="Arial" w:hAnsi="Arial" w:cs="Arial"/>
                <w:noProof/>
              </w:rPr>
              <w:t>Conclusion and Recommendations</w:t>
            </w:r>
            <w:r w:rsidR="00650CE5">
              <w:rPr>
                <w:noProof/>
                <w:webHidden/>
              </w:rPr>
              <w:tab/>
            </w:r>
            <w:r w:rsidR="00650CE5">
              <w:rPr>
                <w:noProof/>
                <w:webHidden/>
              </w:rPr>
              <w:fldChar w:fldCharType="begin"/>
            </w:r>
            <w:r w:rsidR="00650CE5">
              <w:rPr>
                <w:noProof/>
                <w:webHidden/>
              </w:rPr>
              <w:instrText xml:space="preserve"> PAGEREF _Toc118449070 \h </w:instrText>
            </w:r>
            <w:r w:rsidR="00650CE5">
              <w:rPr>
                <w:noProof/>
                <w:webHidden/>
              </w:rPr>
            </w:r>
            <w:r w:rsidR="00650CE5">
              <w:rPr>
                <w:noProof/>
                <w:webHidden/>
              </w:rPr>
              <w:fldChar w:fldCharType="separate"/>
            </w:r>
            <w:r w:rsidR="00650CE5">
              <w:rPr>
                <w:noProof/>
                <w:webHidden/>
              </w:rPr>
              <w:t>14</w:t>
            </w:r>
            <w:r w:rsidR="00650CE5">
              <w:rPr>
                <w:noProof/>
                <w:webHidden/>
              </w:rPr>
              <w:fldChar w:fldCharType="end"/>
            </w:r>
          </w:hyperlink>
        </w:p>
        <w:p w14:paraId="0BEFFD31" w14:textId="747CB4D4" w:rsidR="00650CE5" w:rsidRDefault="00000000">
          <w:pPr>
            <w:pStyle w:val="TOC1"/>
            <w:tabs>
              <w:tab w:val="right" w:leader="dot" w:pos="9350"/>
            </w:tabs>
            <w:rPr>
              <w:rFonts w:asciiTheme="minorHAnsi" w:eastAsiaTheme="minorEastAsia" w:hAnsiTheme="minorHAnsi"/>
              <w:noProof/>
              <w:sz w:val="22"/>
              <w:lang w:val="en-GB" w:eastAsia="en-GB"/>
            </w:rPr>
          </w:pPr>
          <w:hyperlink w:anchor="_Toc118449071" w:history="1">
            <w:r w:rsidR="00650CE5" w:rsidRPr="00D9453A">
              <w:rPr>
                <w:rStyle w:val="Hyperlink"/>
                <w:noProof/>
              </w:rPr>
              <w:t>References</w:t>
            </w:r>
            <w:r w:rsidR="00650CE5">
              <w:rPr>
                <w:noProof/>
                <w:webHidden/>
              </w:rPr>
              <w:tab/>
            </w:r>
            <w:r w:rsidR="00650CE5">
              <w:rPr>
                <w:noProof/>
                <w:webHidden/>
              </w:rPr>
              <w:fldChar w:fldCharType="begin"/>
            </w:r>
            <w:r w:rsidR="00650CE5">
              <w:rPr>
                <w:noProof/>
                <w:webHidden/>
              </w:rPr>
              <w:instrText xml:space="preserve"> PAGEREF _Toc118449071 \h </w:instrText>
            </w:r>
            <w:r w:rsidR="00650CE5">
              <w:rPr>
                <w:noProof/>
                <w:webHidden/>
              </w:rPr>
            </w:r>
            <w:r w:rsidR="00650CE5">
              <w:rPr>
                <w:noProof/>
                <w:webHidden/>
              </w:rPr>
              <w:fldChar w:fldCharType="separate"/>
            </w:r>
            <w:r w:rsidR="00650CE5">
              <w:rPr>
                <w:noProof/>
                <w:webHidden/>
              </w:rPr>
              <w:t>16</w:t>
            </w:r>
            <w:r w:rsidR="00650CE5">
              <w:rPr>
                <w:noProof/>
                <w:webHidden/>
              </w:rPr>
              <w:fldChar w:fldCharType="end"/>
            </w:r>
          </w:hyperlink>
        </w:p>
        <w:p w14:paraId="3660806E" w14:textId="10D0F8DA" w:rsidR="005128BE" w:rsidRPr="00EE7D98" w:rsidRDefault="005128BE">
          <w:pPr>
            <w:rPr>
              <w:rFonts w:ascii="Arial" w:hAnsi="Arial" w:cs="Arial"/>
              <w:sz w:val="22"/>
            </w:rPr>
          </w:pPr>
          <w:r w:rsidRPr="00EE7D98">
            <w:rPr>
              <w:rFonts w:ascii="Arial" w:hAnsi="Arial" w:cs="Arial"/>
              <w:b/>
              <w:bCs/>
              <w:noProof/>
              <w:sz w:val="22"/>
            </w:rPr>
            <w:fldChar w:fldCharType="end"/>
          </w:r>
        </w:p>
      </w:sdtContent>
    </w:sdt>
    <w:p w14:paraId="79C25DB2" w14:textId="78043E74" w:rsidR="00C11118" w:rsidRPr="00EE7D98" w:rsidRDefault="00C11118" w:rsidP="00E2264D">
      <w:pPr>
        <w:rPr>
          <w:rFonts w:ascii="Arial" w:hAnsi="Arial" w:cs="Arial"/>
          <w:b/>
          <w:bCs/>
          <w:sz w:val="22"/>
        </w:rPr>
      </w:pPr>
      <w:r w:rsidRPr="00EE7D98">
        <w:rPr>
          <w:rFonts w:ascii="Arial" w:hAnsi="Arial" w:cs="Arial"/>
          <w:b/>
          <w:bCs/>
          <w:sz w:val="22"/>
        </w:rPr>
        <w:br w:type="page"/>
      </w:r>
    </w:p>
    <w:p w14:paraId="5D426284" w14:textId="445486C0" w:rsidR="00080172" w:rsidRPr="00EE7D98" w:rsidRDefault="00080172" w:rsidP="00543F95">
      <w:pPr>
        <w:pStyle w:val="Heading1"/>
        <w:jc w:val="center"/>
        <w:rPr>
          <w:rFonts w:ascii="Arial" w:hAnsi="Arial" w:cs="Arial"/>
          <w:sz w:val="22"/>
          <w:szCs w:val="22"/>
        </w:rPr>
      </w:pPr>
      <w:bookmarkStart w:id="0" w:name="_Toc118449061"/>
      <w:r w:rsidRPr="00EE7D98">
        <w:rPr>
          <w:rFonts w:ascii="Arial" w:hAnsi="Arial" w:cs="Arial"/>
          <w:sz w:val="22"/>
          <w:szCs w:val="22"/>
        </w:rPr>
        <w:lastRenderedPageBreak/>
        <w:t>Abstract</w:t>
      </w:r>
      <w:bookmarkEnd w:id="0"/>
    </w:p>
    <w:p w14:paraId="56CA44B5" w14:textId="0C597C80" w:rsidR="00080172" w:rsidRPr="00EE7D98" w:rsidRDefault="00080172" w:rsidP="00080172">
      <w:pPr>
        <w:ind w:firstLine="720"/>
        <w:rPr>
          <w:rFonts w:ascii="Arial" w:hAnsi="Arial" w:cs="Arial"/>
          <w:sz w:val="22"/>
        </w:rPr>
      </w:pPr>
      <w:r w:rsidRPr="00EE7D98">
        <w:rPr>
          <w:rFonts w:ascii="Arial" w:hAnsi="Arial" w:cs="Arial"/>
          <w:sz w:val="22"/>
        </w:rPr>
        <w:t xml:space="preserve">This paper researches the contributing factors to the prevalence of </w:t>
      </w:r>
      <w:r w:rsidR="00F92333" w:rsidRPr="00EE7D98">
        <w:rPr>
          <w:rFonts w:ascii="Arial" w:hAnsi="Arial" w:cs="Arial"/>
          <w:sz w:val="22"/>
        </w:rPr>
        <w:t>D</w:t>
      </w:r>
      <w:r w:rsidRPr="00EE7D98">
        <w:rPr>
          <w:rFonts w:ascii="Arial" w:hAnsi="Arial" w:cs="Arial"/>
          <w:sz w:val="22"/>
        </w:rPr>
        <w:t xml:space="preserve">ementia in 40 years and above. From the study done by various research teams, the incidence of </w:t>
      </w:r>
      <w:r w:rsidR="00F92333" w:rsidRPr="00EE7D98">
        <w:rPr>
          <w:rFonts w:ascii="Arial" w:hAnsi="Arial" w:cs="Arial"/>
          <w:sz w:val="22"/>
        </w:rPr>
        <w:t>D</w:t>
      </w:r>
      <w:r w:rsidRPr="00EE7D98">
        <w:rPr>
          <w:rFonts w:ascii="Arial" w:hAnsi="Arial" w:cs="Arial"/>
          <w:sz w:val="22"/>
        </w:rPr>
        <w:t xml:space="preserve">ementia is known to vary from nation to nation, and the study helps in giving out robust measures on the variation of dement incidences in the United Kingdom and giving out an overall estimation by age, sex, lifestyle, and ethnicity. The research covers the effects of </w:t>
      </w:r>
      <w:r w:rsidR="00F92333" w:rsidRPr="00EE7D98">
        <w:rPr>
          <w:rFonts w:ascii="Arial" w:hAnsi="Arial" w:cs="Arial"/>
          <w:sz w:val="22"/>
        </w:rPr>
        <w:t>D</w:t>
      </w:r>
      <w:r w:rsidRPr="00EE7D98">
        <w:rPr>
          <w:rFonts w:ascii="Arial" w:hAnsi="Arial" w:cs="Arial"/>
          <w:sz w:val="22"/>
        </w:rPr>
        <w:t>ementia on various age brackets</w:t>
      </w:r>
      <w:r w:rsidR="0022245A" w:rsidRPr="00EE7D98">
        <w:rPr>
          <w:rFonts w:ascii="Arial" w:hAnsi="Arial" w:cs="Arial"/>
          <w:sz w:val="22"/>
        </w:rPr>
        <w:t>,</w:t>
      </w:r>
      <w:r w:rsidRPr="00EE7D98">
        <w:rPr>
          <w:rFonts w:ascii="Arial" w:hAnsi="Arial" w:cs="Arial"/>
          <w:sz w:val="22"/>
        </w:rPr>
        <w:t xml:space="preserve"> particularly from 40 years and above. Also, it majors on the most recent literature on the association among the risk factors changes, conditions, and behavior in middle life ranging from 40 to 60 years. </w:t>
      </w:r>
      <w:r w:rsidR="0022245A" w:rsidRPr="00EE7D98">
        <w:rPr>
          <w:rFonts w:ascii="Arial" w:hAnsi="Arial" w:cs="Arial"/>
          <w:sz w:val="22"/>
        </w:rPr>
        <w:t>R</w:t>
      </w:r>
      <w:r w:rsidRPr="00EE7D98">
        <w:rPr>
          <w:rFonts w:ascii="Arial" w:hAnsi="Arial" w:cs="Arial"/>
          <w:sz w:val="22"/>
        </w:rPr>
        <w:t xml:space="preserve">isk factors include smoking, physical activity, lifestyle, health conditions like depression, loneliness, social </w:t>
      </w:r>
      <w:r w:rsidR="0022245A" w:rsidRPr="00EE7D98">
        <w:rPr>
          <w:rFonts w:ascii="Arial" w:hAnsi="Arial" w:cs="Arial"/>
          <w:sz w:val="22"/>
        </w:rPr>
        <w:t>I</w:t>
      </w:r>
      <w:r w:rsidRPr="00EE7D98">
        <w:rPr>
          <w:rFonts w:ascii="Arial" w:hAnsi="Arial" w:cs="Arial"/>
          <w:sz w:val="22"/>
        </w:rPr>
        <w:t xml:space="preserve">solation, and cognitive simulation. The risk factors considered in the latest systematic review are also from relevant research papers in the most recent review on dementia and middle-life risk factors. </w:t>
      </w:r>
    </w:p>
    <w:p w14:paraId="28BABD08" w14:textId="79ECB4A6" w:rsidR="00080172" w:rsidRPr="00EE7D98" w:rsidRDefault="00080172" w:rsidP="00080172">
      <w:pPr>
        <w:ind w:firstLine="720"/>
        <w:rPr>
          <w:rFonts w:ascii="Arial" w:hAnsi="Arial" w:cs="Arial"/>
          <w:sz w:val="22"/>
        </w:rPr>
      </w:pPr>
      <w:r w:rsidRPr="00EE7D98">
        <w:rPr>
          <w:rFonts w:ascii="Arial" w:hAnsi="Arial" w:cs="Arial"/>
          <w:sz w:val="22"/>
        </w:rPr>
        <w:t xml:space="preserve">Besides, the paper also has focused on the research papers that inform the impacts of </w:t>
      </w:r>
      <w:r w:rsidR="00F92333" w:rsidRPr="00EE7D98">
        <w:rPr>
          <w:rFonts w:ascii="Arial" w:hAnsi="Arial" w:cs="Arial"/>
          <w:sz w:val="22"/>
        </w:rPr>
        <w:t>D</w:t>
      </w:r>
      <w:r w:rsidRPr="00EE7D98">
        <w:rPr>
          <w:rFonts w:ascii="Arial" w:hAnsi="Arial" w:cs="Arial"/>
          <w:sz w:val="22"/>
        </w:rPr>
        <w:t xml:space="preserve">ementia except in areas where the risk factors of papers had reports that indicated cognitive impairments. They majored in qualitative findings associated with relative risks or the dementia onset ratio odds, like between the ones experiencing and those who never faced the risk. However, it is also vital to note the vital caveats that the paper is written from the research papers that concentrated more on the mild-life factors. The risk factors are linked with dementia onset, which might be the source of it. The risk factors are related to each other. Whenever the intervention is associated with only one risk factor and not the other risk factors that relate to each other, using the risk estimates that are not adjusted would overstate the likely intervention impacts. The adjusted estimates need to be used when assessing the possible impact of future incidences of </w:t>
      </w:r>
      <w:r w:rsidR="00F92333" w:rsidRPr="00EE7D98">
        <w:rPr>
          <w:rFonts w:ascii="Arial" w:hAnsi="Arial" w:cs="Arial"/>
          <w:sz w:val="22"/>
        </w:rPr>
        <w:t>D</w:t>
      </w:r>
      <w:r w:rsidRPr="00EE7D98">
        <w:rPr>
          <w:rFonts w:ascii="Arial" w:hAnsi="Arial" w:cs="Arial"/>
          <w:sz w:val="22"/>
        </w:rPr>
        <w:t>ementia.</w:t>
      </w:r>
    </w:p>
    <w:p w14:paraId="5BB6C0E2" w14:textId="77777777" w:rsidR="00080172" w:rsidRPr="00EE7D98" w:rsidRDefault="00080172" w:rsidP="00CA4718">
      <w:pPr>
        <w:jc w:val="center"/>
        <w:rPr>
          <w:rFonts w:ascii="Arial" w:hAnsi="Arial" w:cs="Arial"/>
          <w:b/>
          <w:bCs/>
          <w:sz w:val="22"/>
        </w:rPr>
      </w:pPr>
    </w:p>
    <w:p w14:paraId="7214D645" w14:textId="62E3E435" w:rsidR="00CA4718" w:rsidRPr="00EE7D98" w:rsidRDefault="00CA4718" w:rsidP="00543F95">
      <w:pPr>
        <w:pStyle w:val="Heading1"/>
        <w:jc w:val="center"/>
        <w:rPr>
          <w:rFonts w:ascii="Arial" w:hAnsi="Arial" w:cs="Arial"/>
          <w:sz w:val="22"/>
          <w:szCs w:val="22"/>
        </w:rPr>
      </w:pPr>
      <w:bookmarkStart w:id="1" w:name="_Toc118449062"/>
      <w:r w:rsidRPr="00EE7D98">
        <w:rPr>
          <w:rFonts w:ascii="Arial" w:hAnsi="Arial" w:cs="Arial"/>
          <w:sz w:val="22"/>
          <w:szCs w:val="22"/>
        </w:rPr>
        <w:lastRenderedPageBreak/>
        <w:t>Background Information</w:t>
      </w:r>
      <w:bookmarkEnd w:id="1"/>
    </w:p>
    <w:p w14:paraId="393C4752" w14:textId="72E89239" w:rsidR="00DA3A38" w:rsidRPr="00EE7D98" w:rsidRDefault="00550A01" w:rsidP="00D22581">
      <w:pPr>
        <w:ind w:firstLine="720"/>
        <w:rPr>
          <w:rFonts w:ascii="Arial" w:hAnsi="Arial" w:cs="Arial"/>
          <w:sz w:val="22"/>
        </w:rPr>
      </w:pPr>
      <w:r w:rsidRPr="00EE7D98">
        <w:rPr>
          <w:rFonts w:ascii="Arial" w:hAnsi="Arial" w:cs="Arial"/>
          <w:sz w:val="22"/>
        </w:rPr>
        <w:t xml:space="preserve">Dementia is a general name </w:t>
      </w:r>
      <w:r w:rsidR="004E1012" w:rsidRPr="00EE7D98">
        <w:rPr>
          <w:rFonts w:ascii="Arial" w:hAnsi="Arial" w:cs="Arial"/>
          <w:sz w:val="22"/>
        </w:rPr>
        <w:t>for the symptoms affecting</w:t>
      </w:r>
      <w:r w:rsidRPr="00EE7D98">
        <w:rPr>
          <w:rFonts w:ascii="Arial" w:hAnsi="Arial" w:cs="Arial"/>
          <w:sz w:val="22"/>
        </w:rPr>
        <w:t xml:space="preserve"> brain conditions. </w:t>
      </w:r>
      <w:r w:rsidR="00D22581" w:rsidRPr="00EE7D98">
        <w:rPr>
          <w:rFonts w:ascii="Arial" w:hAnsi="Arial" w:cs="Arial"/>
          <w:sz w:val="22"/>
        </w:rPr>
        <w:t>It</w:t>
      </w:r>
      <w:r w:rsidRPr="00EE7D98">
        <w:rPr>
          <w:rFonts w:ascii="Arial" w:hAnsi="Arial" w:cs="Arial"/>
          <w:sz w:val="22"/>
        </w:rPr>
        <w:t xml:space="preserve"> is characterized by memory loss and </w:t>
      </w:r>
      <w:r w:rsidR="004E1012" w:rsidRPr="00EE7D98">
        <w:rPr>
          <w:rFonts w:ascii="Arial" w:hAnsi="Arial" w:cs="Arial"/>
          <w:sz w:val="22"/>
        </w:rPr>
        <w:t>difficulty</w:t>
      </w:r>
      <w:r w:rsidRPr="00EE7D98">
        <w:rPr>
          <w:rFonts w:ascii="Arial" w:hAnsi="Arial" w:cs="Arial"/>
          <w:sz w:val="22"/>
        </w:rPr>
        <w:t xml:space="preserve"> </w:t>
      </w:r>
      <w:r w:rsidR="00650CE5" w:rsidRPr="00EE7D98">
        <w:rPr>
          <w:rFonts w:ascii="Arial" w:hAnsi="Arial" w:cs="Arial"/>
          <w:sz w:val="22"/>
        </w:rPr>
        <w:t>thinking,</w:t>
      </w:r>
      <w:r w:rsidR="004E1012" w:rsidRPr="00EE7D98">
        <w:rPr>
          <w:rFonts w:ascii="Arial" w:hAnsi="Arial" w:cs="Arial"/>
          <w:sz w:val="22"/>
        </w:rPr>
        <w:t xml:space="preserve"> </w:t>
      </w:r>
      <w:r w:rsidRPr="00EE7D98">
        <w:rPr>
          <w:rFonts w:ascii="Arial" w:hAnsi="Arial" w:cs="Arial"/>
          <w:sz w:val="22"/>
        </w:rPr>
        <w:t xml:space="preserve">finding </w:t>
      </w:r>
      <w:r w:rsidR="004E1012" w:rsidRPr="00EE7D98">
        <w:rPr>
          <w:rFonts w:ascii="Arial" w:hAnsi="Arial" w:cs="Arial"/>
          <w:sz w:val="22"/>
        </w:rPr>
        <w:t>solutions</w:t>
      </w:r>
      <w:r w:rsidRPr="00EE7D98">
        <w:rPr>
          <w:rFonts w:ascii="Arial" w:hAnsi="Arial" w:cs="Arial"/>
          <w:sz w:val="22"/>
        </w:rPr>
        <w:t xml:space="preserve"> to problems or a language. Dementia affects a substantial percentage of individuals globally and about </w:t>
      </w:r>
      <w:r w:rsidR="004E1012" w:rsidRPr="00EE7D98">
        <w:rPr>
          <w:rFonts w:ascii="Arial" w:hAnsi="Arial" w:cs="Arial"/>
          <w:sz w:val="22"/>
        </w:rPr>
        <w:t xml:space="preserve">a </w:t>
      </w:r>
      <w:r w:rsidRPr="00EE7D98">
        <w:rPr>
          <w:rFonts w:ascii="Arial" w:hAnsi="Arial" w:cs="Arial"/>
          <w:sz w:val="22"/>
        </w:rPr>
        <w:t xml:space="preserve">0.85million people in </w:t>
      </w:r>
      <w:r w:rsidR="004E1012" w:rsidRPr="00EE7D98">
        <w:rPr>
          <w:rFonts w:ascii="Arial" w:hAnsi="Arial" w:cs="Arial"/>
          <w:sz w:val="22"/>
        </w:rPr>
        <w:t xml:space="preserve">the </w:t>
      </w:r>
      <w:r w:rsidRPr="00EE7D98">
        <w:rPr>
          <w:rFonts w:ascii="Arial" w:hAnsi="Arial" w:cs="Arial"/>
          <w:sz w:val="22"/>
        </w:rPr>
        <w:t>UK. According to studies</w:t>
      </w:r>
      <w:r w:rsidR="004E1012" w:rsidRPr="00EE7D98">
        <w:rPr>
          <w:rFonts w:ascii="Arial" w:hAnsi="Arial" w:cs="Arial"/>
          <w:sz w:val="22"/>
        </w:rPr>
        <w:t>,</w:t>
      </w:r>
      <w:r w:rsidRPr="00EE7D98">
        <w:rPr>
          <w:rFonts w:ascii="Arial" w:hAnsi="Arial" w:cs="Arial"/>
          <w:sz w:val="22"/>
        </w:rPr>
        <w:t xml:space="preserve"> over a </w:t>
      </w:r>
      <w:r w:rsidR="004E1012" w:rsidRPr="00EE7D98">
        <w:rPr>
          <w:rFonts w:ascii="Arial" w:hAnsi="Arial" w:cs="Arial"/>
          <w:sz w:val="22"/>
        </w:rPr>
        <w:t xml:space="preserve">million people in the UK </w:t>
      </w:r>
      <w:r w:rsidR="0022245A" w:rsidRPr="00EE7D98">
        <w:rPr>
          <w:rFonts w:ascii="Arial" w:hAnsi="Arial" w:cs="Arial"/>
          <w:sz w:val="22"/>
        </w:rPr>
        <w:t xml:space="preserve">in </w:t>
      </w:r>
      <w:r w:rsidR="004E1012" w:rsidRPr="00EE7D98">
        <w:rPr>
          <w:rFonts w:ascii="Arial" w:hAnsi="Arial" w:cs="Arial"/>
          <w:sz w:val="22"/>
        </w:rPr>
        <w:t>2025 w</w:t>
      </w:r>
      <w:r w:rsidR="0022245A" w:rsidRPr="00EE7D98">
        <w:rPr>
          <w:rFonts w:ascii="Arial" w:hAnsi="Arial" w:cs="Arial"/>
          <w:sz w:val="22"/>
        </w:rPr>
        <w:t>ill</w:t>
      </w:r>
      <w:r w:rsidR="004E1012" w:rsidRPr="00EE7D98">
        <w:rPr>
          <w:rFonts w:ascii="Arial" w:hAnsi="Arial" w:cs="Arial"/>
          <w:sz w:val="22"/>
        </w:rPr>
        <w:t xml:space="preserve"> </w:t>
      </w:r>
      <w:r w:rsidR="0022245A" w:rsidRPr="00EE7D98">
        <w:rPr>
          <w:rFonts w:ascii="Arial" w:hAnsi="Arial" w:cs="Arial"/>
          <w:sz w:val="22"/>
        </w:rPr>
        <w:t xml:space="preserve">have </w:t>
      </w:r>
      <w:r w:rsidR="00F92333" w:rsidRPr="00EE7D98">
        <w:rPr>
          <w:rFonts w:ascii="Arial" w:hAnsi="Arial" w:cs="Arial"/>
          <w:sz w:val="22"/>
        </w:rPr>
        <w:t>D</w:t>
      </w:r>
      <w:r w:rsidR="004E1012" w:rsidRPr="00EE7D98">
        <w:rPr>
          <w:rFonts w:ascii="Arial" w:hAnsi="Arial" w:cs="Arial"/>
          <w:sz w:val="22"/>
        </w:rPr>
        <w:t>ementia, and this prediction can come true unless some public health interven</w:t>
      </w:r>
      <w:r w:rsidR="0022245A" w:rsidRPr="00EE7D98">
        <w:rPr>
          <w:rFonts w:ascii="Arial" w:hAnsi="Arial" w:cs="Arial"/>
          <w:sz w:val="22"/>
        </w:rPr>
        <w:t>tion</w:t>
      </w:r>
      <w:r w:rsidR="004E1012" w:rsidRPr="00EE7D98">
        <w:rPr>
          <w:rFonts w:ascii="Arial" w:hAnsi="Arial" w:cs="Arial"/>
          <w:sz w:val="22"/>
        </w:rPr>
        <w:t xml:space="preserve"> and strategies</w:t>
      </w:r>
      <w:r w:rsidRPr="00EE7D98">
        <w:rPr>
          <w:rFonts w:ascii="Arial" w:hAnsi="Arial" w:cs="Arial"/>
          <w:sz w:val="22"/>
        </w:rPr>
        <w:t xml:space="preserve"> curb</w:t>
      </w:r>
      <w:r w:rsidR="004E1012" w:rsidRPr="00EE7D98">
        <w:rPr>
          <w:rFonts w:ascii="Arial" w:hAnsi="Arial" w:cs="Arial"/>
          <w:sz w:val="22"/>
        </w:rPr>
        <w:t xml:space="preserve"> it</w:t>
      </w:r>
      <w:sdt>
        <w:sdtPr>
          <w:rPr>
            <w:rFonts w:ascii="Arial" w:hAnsi="Arial" w:cs="Arial"/>
            <w:sz w:val="22"/>
          </w:rPr>
          <w:id w:val="-1879074306"/>
          <w:citation/>
        </w:sdtPr>
        <w:sdtContent>
          <w:r w:rsidR="00D22581" w:rsidRPr="00EE7D98">
            <w:rPr>
              <w:rFonts w:ascii="Arial" w:hAnsi="Arial" w:cs="Arial"/>
              <w:sz w:val="22"/>
            </w:rPr>
            <w:fldChar w:fldCharType="begin"/>
          </w:r>
          <w:r w:rsidR="00D22581" w:rsidRPr="00EE7D98">
            <w:rPr>
              <w:rFonts w:ascii="Arial" w:hAnsi="Arial" w:cs="Arial"/>
              <w:sz w:val="22"/>
            </w:rPr>
            <w:instrText xml:space="preserve"> CITATION Alz21 \l 1033 </w:instrText>
          </w:r>
          <w:r w:rsidR="00D22581" w:rsidRPr="00EE7D98">
            <w:rPr>
              <w:rFonts w:ascii="Arial" w:hAnsi="Arial" w:cs="Arial"/>
              <w:sz w:val="22"/>
            </w:rPr>
            <w:fldChar w:fldCharType="separate"/>
          </w:r>
          <w:r w:rsidR="00D22581" w:rsidRPr="00EE7D98">
            <w:rPr>
              <w:rFonts w:ascii="Arial" w:hAnsi="Arial" w:cs="Arial"/>
              <w:noProof/>
              <w:sz w:val="22"/>
            </w:rPr>
            <w:t xml:space="preserve"> (Alzheimer, 2021)</w:t>
          </w:r>
          <w:r w:rsidR="00D22581" w:rsidRPr="00EE7D98">
            <w:rPr>
              <w:rFonts w:ascii="Arial" w:hAnsi="Arial" w:cs="Arial"/>
              <w:sz w:val="22"/>
            </w:rPr>
            <w:fldChar w:fldCharType="end"/>
          </w:r>
        </w:sdtContent>
      </w:sdt>
      <w:r w:rsidRPr="00EE7D98">
        <w:rPr>
          <w:rFonts w:ascii="Arial" w:hAnsi="Arial" w:cs="Arial"/>
          <w:sz w:val="22"/>
        </w:rPr>
        <w:t>. Alzheimer</w:t>
      </w:r>
      <w:r w:rsidR="004E1012" w:rsidRPr="00EE7D98">
        <w:rPr>
          <w:rFonts w:ascii="Arial" w:hAnsi="Arial" w:cs="Arial"/>
          <w:sz w:val="22"/>
        </w:rPr>
        <w:t>'s</w:t>
      </w:r>
      <w:r w:rsidRPr="00EE7D98">
        <w:rPr>
          <w:rFonts w:ascii="Arial" w:hAnsi="Arial" w:cs="Arial"/>
          <w:sz w:val="22"/>
        </w:rPr>
        <w:t xml:space="preserve"> research argued that </w:t>
      </w:r>
      <w:r w:rsidR="00F92333" w:rsidRPr="00EE7D98">
        <w:rPr>
          <w:rFonts w:ascii="Arial" w:hAnsi="Arial" w:cs="Arial"/>
          <w:sz w:val="22"/>
        </w:rPr>
        <w:t>D</w:t>
      </w:r>
      <w:r w:rsidRPr="00EE7D98">
        <w:rPr>
          <w:rFonts w:ascii="Arial" w:hAnsi="Arial" w:cs="Arial"/>
          <w:sz w:val="22"/>
        </w:rPr>
        <w:t xml:space="preserve">ementia is the most feared disease in </w:t>
      </w:r>
      <w:r w:rsidR="004E1012" w:rsidRPr="00EE7D98">
        <w:rPr>
          <w:rFonts w:ascii="Arial" w:hAnsi="Arial" w:cs="Arial"/>
          <w:sz w:val="22"/>
        </w:rPr>
        <w:t xml:space="preserve">the </w:t>
      </w:r>
      <w:r w:rsidRPr="00EE7D98">
        <w:rPr>
          <w:rFonts w:ascii="Arial" w:hAnsi="Arial" w:cs="Arial"/>
          <w:sz w:val="22"/>
        </w:rPr>
        <w:t xml:space="preserve">UK and affects most people 40 years and above. This means it is most feared than other diseases like diabetes and cancer. The Prime Minister </w:t>
      </w:r>
      <w:r w:rsidR="00A06CF3" w:rsidRPr="00EE7D98">
        <w:rPr>
          <w:rFonts w:ascii="Arial" w:hAnsi="Arial" w:cs="Arial"/>
          <w:sz w:val="22"/>
        </w:rPr>
        <w:t xml:space="preserve">had once highlighted </w:t>
      </w:r>
      <w:r w:rsidR="00817944" w:rsidRPr="00EE7D98">
        <w:rPr>
          <w:rFonts w:ascii="Arial" w:hAnsi="Arial" w:cs="Arial"/>
          <w:sz w:val="22"/>
        </w:rPr>
        <w:t xml:space="preserve">some measures and ways to be put in place to tackle </w:t>
      </w:r>
      <w:r w:rsidR="00F92333" w:rsidRPr="00EE7D98">
        <w:rPr>
          <w:rFonts w:ascii="Arial" w:hAnsi="Arial" w:cs="Arial"/>
          <w:sz w:val="22"/>
        </w:rPr>
        <w:t>D</w:t>
      </w:r>
      <w:r w:rsidR="00817944" w:rsidRPr="00EE7D98">
        <w:rPr>
          <w:rFonts w:ascii="Arial" w:hAnsi="Arial" w:cs="Arial"/>
          <w:sz w:val="22"/>
        </w:rPr>
        <w:t>ementia and made it a priority.</w:t>
      </w:r>
      <w:r w:rsidR="00FD5D28" w:rsidRPr="00EE7D98">
        <w:rPr>
          <w:rFonts w:ascii="Arial" w:hAnsi="Arial" w:cs="Arial"/>
          <w:sz w:val="22"/>
        </w:rPr>
        <w:t xml:space="preserve"> This has </w:t>
      </w:r>
      <w:r w:rsidR="00D22581" w:rsidRPr="00EE7D98">
        <w:rPr>
          <w:rFonts w:ascii="Arial" w:hAnsi="Arial" w:cs="Arial"/>
          <w:sz w:val="22"/>
        </w:rPr>
        <w:t>built</w:t>
      </w:r>
      <w:r w:rsidR="00FD5D28" w:rsidRPr="00EE7D98">
        <w:rPr>
          <w:rFonts w:ascii="Arial" w:hAnsi="Arial" w:cs="Arial"/>
          <w:sz w:val="22"/>
        </w:rPr>
        <w:t xml:space="preserve"> a foundation for writing this research paper to find contributing factors lead</w:t>
      </w:r>
      <w:r w:rsidR="004E1012" w:rsidRPr="00EE7D98">
        <w:rPr>
          <w:rFonts w:ascii="Arial" w:hAnsi="Arial" w:cs="Arial"/>
          <w:sz w:val="22"/>
        </w:rPr>
        <w:t>ing</w:t>
      </w:r>
      <w:r w:rsidR="00FD5D28" w:rsidRPr="00EE7D98">
        <w:rPr>
          <w:rFonts w:ascii="Arial" w:hAnsi="Arial" w:cs="Arial"/>
          <w:sz w:val="22"/>
        </w:rPr>
        <w:t xml:space="preserve"> to the prevalence of </w:t>
      </w:r>
      <w:r w:rsidR="00F92333" w:rsidRPr="00EE7D98">
        <w:rPr>
          <w:rFonts w:ascii="Arial" w:hAnsi="Arial" w:cs="Arial"/>
          <w:sz w:val="22"/>
        </w:rPr>
        <w:t>D</w:t>
      </w:r>
      <w:r w:rsidR="00FD5D28" w:rsidRPr="00EE7D98">
        <w:rPr>
          <w:rFonts w:ascii="Arial" w:hAnsi="Arial" w:cs="Arial"/>
          <w:sz w:val="22"/>
        </w:rPr>
        <w:t xml:space="preserve">ementia </w:t>
      </w:r>
      <w:r w:rsidR="004E1012" w:rsidRPr="00EE7D98">
        <w:rPr>
          <w:rFonts w:ascii="Arial" w:hAnsi="Arial" w:cs="Arial"/>
          <w:sz w:val="22"/>
        </w:rPr>
        <w:t>at</w:t>
      </w:r>
      <w:r w:rsidR="00FD5D28" w:rsidRPr="00EE7D98">
        <w:rPr>
          <w:rFonts w:ascii="Arial" w:hAnsi="Arial" w:cs="Arial"/>
          <w:sz w:val="22"/>
        </w:rPr>
        <w:t xml:space="preserve"> 40 years and above in </w:t>
      </w:r>
      <w:r w:rsidR="004E1012" w:rsidRPr="00EE7D98">
        <w:rPr>
          <w:rFonts w:ascii="Arial" w:hAnsi="Arial" w:cs="Arial"/>
          <w:sz w:val="22"/>
        </w:rPr>
        <w:t xml:space="preserve">the </w:t>
      </w:r>
      <w:r w:rsidR="00FD5D28" w:rsidRPr="00EE7D98">
        <w:rPr>
          <w:rFonts w:ascii="Arial" w:hAnsi="Arial" w:cs="Arial"/>
          <w:sz w:val="22"/>
        </w:rPr>
        <w:t>UK</w:t>
      </w:r>
      <w:sdt>
        <w:sdtPr>
          <w:rPr>
            <w:rFonts w:ascii="Arial" w:hAnsi="Arial" w:cs="Arial"/>
            <w:sz w:val="22"/>
          </w:rPr>
          <w:id w:val="-696539919"/>
          <w:citation/>
        </w:sdtPr>
        <w:sdtContent>
          <w:r w:rsidR="008B4C61" w:rsidRPr="00EE7D98">
            <w:rPr>
              <w:rFonts w:ascii="Arial" w:hAnsi="Arial" w:cs="Arial"/>
              <w:sz w:val="22"/>
            </w:rPr>
            <w:fldChar w:fldCharType="begin"/>
          </w:r>
          <w:r w:rsidR="008B4C61" w:rsidRPr="00EE7D98">
            <w:rPr>
              <w:rFonts w:ascii="Arial" w:hAnsi="Arial" w:cs="Arial"/>
              <w:sz w:val="22"/>
            </w:rPr>
            <w:instrText xml:space="preserve"> CITATION Ric13 \l 1033 </w:instrText>
          </w:r>
          <w:r w:rsidR="008B4C61" w:rsidRPr="00EE7D98">
            <w:rPr>
              <w:rFonts w:ascii="Arial" w:hAnsi="Arial" w:cs="Arial"/>
              <w:sz w:val="22"/>
            </w:rPr>
            <w:fldChar w:fldCharType="separate"/>
          </w:r>
          <w:r w:rsidR="008B4C61" w:rsidRPr="00EE7D98">
            <w:rPr>
              <w:rFonts w:ascii="Arial" w:hAnsi="Arial" w:cs="Arial"/>
              <w:noProof/>
              <w:sz w:val="22"/>
            </w:rPr>
            <w:t xml:space="preserve"> (Richard, 2013)</w:t>
          </w:r>
          <w:r w:rsidR="008B4C61" w:rsidRPr="00EE7D98">
            <w:rPr>
              <w:rFonts w:ascii="Arial" w:hAnsi="Arial" w:cs="Arial"/>
              <w:sz w:val="22"/>
            </w:rPr>
            <w:fldChar w:fldCharType="end"/>
          </w:r>
        </w:sdtContent>
      </w:sdt>
      <w:r w:rsidR="00D22581" w:rsidRPr="00EE7D98">
        <w:rPr>
          <w:rFonts w:ascii="Arial" w:hAnsi="Arial" w:cs="Arial"/>
          <w:sz w:val="22"/>
        </w:rPr>
        <w:t>.</w:t>
      </w:r>
    </w:p>
    <w:p w14:paraId="5628988B" w14:textId="6C4E52F9" w:rsidR="00AC41C4" w:rsidRPr="00EE7D98" w:rsidRDefault="004C3819" w:rsidP="00543F95">
      <w:pPr>
        <w:pStyle w:val="Heading1"/>
        <w:jc w:val="center"/>
        <w:rPr>
          <w:rFonts w:ascii="Arial" w:hAnsi="Arial" w:cs="Arial"/>
          <w:sz w:val="22"/>
          <w:szCs w:val="22"/>
        </w:rPr>
      </w:pPr>
      <w:bookmarkStart w:id="2" w:name="_Toc118449063"/>
      <w:r w:rsidRPr="00EE7D98">
        <w:rPr>
          <w:rFonts w:ascii="Arial" w:hAnsi="Arial" w:cs="Arial"/>
          <w:sz w:val="22"/>
          <w:szCs w:val="22"/>
        </w:rPr>
        <w:t>Methods</w:t>
      </w:r>
      <w:bookmarkEnd w:id="2"/>
    </w:p>
    <w:p w14:paraId="6626FEE5" w14:textId="77777777" w:rsidR="004E1929" w:rsidRDefault="00F92333" w:rsidP="004E1929">
      <w:pPr>
        <w:ind w:firstLine="720"/>
        <w:rPr>
          <w:rFonts w:ascii="Arial" w:hAnsi="Arial" w:cs="Arial"/>
          <w:sz w:val="22"/>
        </w:rPr>
      </w:pPr>
      <w:r w:rsidRPr="00EE7D98">
        <w:rPr>
          <w:rFonts w:ascii="Arial" w:hAnsi="Arial" w:cs="Arial"/>
          <w:sz w:val="22"/>
        </w:rPr>
        <w:t xml:space="preserve">The keyword from this research was risk factors for </w:t>
      </w:r>
      <w:r w:rsidR="0022245A" w:rsidRPr="00EE7D98">
        <w:rPr>
          <w:rFonts w:ascii="Arial" w:hAnsi="Arial" w:cs="Arial"/>
          <w:sz w:val="22"/>
        </w:rPr>
        <w:t>D</w:t>
      </w:r>
      <w:r w:rsidRPr="00EE7D98">
        <w:rPr>
          <w:rFonts w:ascii="Arial" w:hAnsi="Arial" w:cs="Arial"/>
          <w:sz w:val="22"/>
        </w:rPr>
        <w:t>ementia. The outcome from the search w</w:t>
      </w:r>
      <w:r w:rsidR="0022245A" w:rsidRPr="00EE7D98">
        <w:rPr>
          <w:rFonts w:ascii="Arial" w:hAnsi="Arial" w:cs="Arial"/>
          <w:sz w:val="22"/>
        </w:rPr>
        <w:t>as</w:t>
      </w:r>
      <w:r w:rsidRPr="00EE7D98">
        <w:rPr>
          <w:rFonts w:ascii="Arial" w:hAnsi="Arial" w:cs="Arial"/>
          <w:sz w:val="22"/>
        </w:rPr>
        <w:t xml:space="preserve"> 1300 from the source</w:t>
      </w:r>
      <w:r w:rsidR="0022245A" w:rsidRPr="00EE7D98">
        <w:rPr>
          <w:rFonts w:ascii="Arial" w:hAnsi="Arial" w:cs="Arial"/>
          <w:sz w:val="22"/>
        </w:rPr>
        <w:t>, and after carefully</w:t>
      </w:r>
      <w:r w:rsidRPr="00EE7D98">
        <w:rPr>
          <w:rFonts w:ascii="Arial" w:hAnsi="Arial" w:cs="Arial"/>
          <w:sz w:val="22"/>
        </w:rPr>
        <w:t xml:space="preserve"> sorting out, the screen information was 65</w:t>
      </w:r>
      <w:r w:rsidR="0022245A" w:rsidRPr="00EE7D98">
        <w:rPr>
          <w:rFonts w:ascii="Arial" w:hAnsi="Arial" w:cs="Arial"/>
          <w:sz w:val="22"/>
        </w:rPr>
        <w:t>,</w:t>
      </w:r>
      <w:r w:rsidRPr="00EE7D98">
        <w:rPr>
          <w:rFonts w:ascii="Arial" w:hAnsi="Arial" w:cs="Arial"/>
          <w:sz w:val="22"/>
        </w:rPr>
        <w:t xml:space="preserve"> where the topics were closely related. After the analysis to determine the </w:t>
      </w:r>
      <w:r w:rsidR="0022245A" w:rsidRPr="00EE7D98">
        <w:rPr>
          <w:rFonts w:ascii="Arial" w:hAnsi="Arial" w:cs="Arial"/>
          <w:sz w:val="22"/>
        </w:rPr>
        <w:t>critical</w:t>
      </w:r>
      <w:r w:rsidRPr="00EE7D98">
        <w:rPr>
          <w:rFonts w:ascii="Arial" w:hAnsi="Arial" w:cs="Arial"/>
          <w:sz w:val="22"/>
        </w:rPr>
        <w:t xml:space="preserve"> articles, the sources identified were 29, 10 </w:t>
      </w:r>
      <w:r w:rsidR="0022245A" w:rsidRPr="00EE7D98">
        <w:rPr>
          <w:rFonts w:ascii="Arial" w:hAnsi="Arial" w:cs="Arial"/>
          <w:sz w:val="22"/>
        </w:rPr>
        <w:t xml:space="preserve">were </w:t>
      </w:r>
      <w:r w:rsidRPr="00EE7D98">
        <w:rPr>
          <w:rFonts w:ascii="Arial" w:hAnsi="Arial" w:cs="Arial"/>
          <w:sz w:val="22"/>
        </w:rPr>
        <w:t>from grey literature</w:t>
      </w:r>
      <w:r w:rsidR="0022245A" w:rsidRPr="00EE7D98">
        <w:rPr>
          <w:rFonts w:ascii="Arial" w:hAnsi="Arial" w:cs="Arial"/>
          <w:sz w:val="22"/>
        </w:rPr>
        <w:t>,</w:t>
      </w:r>
      <w:r w:rsidRPr="00EE7D98">
        <w:rPr>
          <w:rFonts w:ascii="Arial" w:hAnsi="Arial" w:cs="Arial"/>
          <w:sz w:val="22"/>
        </w:rPr>
        <w:t xml:space="preserve"> and 9 were included</w:t>
      </w:r>
    </w:p>
    <w:p w14:paraId="2E238888" w14:textId="0BAF7BA4" w:rsidR="001709D9" w:rsidRPr="00EE7D98" w:rsidRDefault="004A724F" w:rsidP="004E1929">
      <w:pPr>
        <w:ind w:firstLine="720"/>
        <w:rPr>
          <w:rFonts w:ascii="Arial" w:hAnsi="Arial" w:cs="Arial"/>
          <w:sz w:val="22"/>
        </w:rPr>
      </w:pPr>
      <w:r w:rsidRPr="00EE7D98">
        <w:rPr>
          <w:rFonts w:ascii="Arial" w:hAnsi="Arial" w:cs="Arial"/>
          <w:noProof/>
          <w:sz w:val="22"/>
        </w:rPr>
        <mc:AlternateContent>
          <mc:Choice Requires="wpg">
            <w:drawing>
              <wp:anchor distT="0" distB="0" distL="114300" distR="114300" simplePos="0" relativeHeight="251668480" behindDoc="0" locked="0" layoutInCell="1" allowOverlap="1" wp14:anchorId="556A609F" wp14:editId="1705D314">
                <wp:simplePos x="0" y="0"/>
                <wp:positionH relativeFrom="column">
                  <wp:posOffset>751114</wp:posOffset>
                </wp:positionH>
                <wp:positionV relativeFrom="paragraph">
                  <wp:posOffset>1361</wp:posOffset>
                </wp:positionV>
                <wp:extent cx="4647837" cy="3162300"/>
                <wp:effectExtent l="0" t="0" r="19685" b="19050"/>
                <wp:wrapNone/>
                <wp:docPr id="1" name="Group 1"/>
                <wp:cNvGraphicFramePr/>
                <a:graphic xmlns:a="http://schemas.openxmlformats.org/drawingml/2006/main">
                  <a:graphicData uri="http://schemas.microsoft.com/office/word/2010/wordprocessingGroup">
                    <wpg:wgp>
                      <wpg:cNvGrpSpPr/>
                      <wpg:grpSpPr>
                        <a:xfrm>
                          <a:off x="0" y="0"/>
                          <a:ext cx="4647837" cy="3162300"/>
                          <a:chOff x="0" y="0"/>
                          <a:chExt cx="3848100" cy="3162300"/>
                        </a:xfrm>
                      </wpg:grpSpPr>
                      <wps:wsp>
                        <wps:cNvPr id="7" name="Rectangle 7"/>
                        <wps:cNvSpPr/>
                        <wps:spPr>
                          <a:xfrm>
                            <a:off x="152400" y="0"/>
                            <a:ext cx="2085975" cy="695325"/>
                          </a:xfrm>
                          <a:prstGeom prst="rect">
                            <a:avLst/>
                          </a:prstGeom>
                        </wps:spPr>
                        <wps:style>
                          <a:lnRef idx="2">
                            <a:schemeClr val="dk1"/>
                          </a:lnRef>
                          <a:fillRef idx="1">
                            <a:schemeClr val="lt1"/>
                          </a:fillRef>
                          <a:effectRef idx="0">
                            <a:schemeClr val="dk1"/>
                          </a:effectRef>
                          <a:fontRef idx="minor">
                            <a:schemeClr val="dk1"/>
                          </a:fontRef>
                        </wps:style>
                        <wps:txbx>
                          <w:txbxContent>
                            <w:p w14:paraId="3FF61739" w14:textId="557F764A" w:rsidR="00AB6C4D" w:rsidRDefault="001709D9" w:rsidP="001709D9">
                              <w:r>
                                <w:t xml:space="preserve">Initial results </w:t>
                              </w:r>
                              <w:r w:rsidR="00F92333">
                                <w:t>1300</w:t>
                              </w:r>
                            </w:p>
                            <w:p w14:paraId="15E9CE6D" w14:textId="077F2543" w:rsidR="00AB6C4D" w:rsidRDefault="00AB6C4D" w:rsidP="001709D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Straight Arrow Connector 8"/>
                        <wps:cNvCnPr/>
                        <wps:spPr>
                          <a:xfrm>
                            <a:off x="933450" y="704850"/>
                            <a:ext cx="45719" cy="295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Rectangle 9"/>
                        <wps:cNvSpPr/>
                        <wps:spPr>
                          <a:xfrm flipH="1">
                            <a:off x="152400" y="1000125"/>
                            <a:ext cx="1609725" cy="409575"/>
                          </a:xfrm>
                          <a:prstGeom prst="rect">
                            <a:avLst/>
                          </a:prstGeom>
                        </wps:spPr>
                        <wps:style>
                          <a:lnRef idx="2">
                            <a:schemeClr val="dk1"/>
                          </a:lnRef>
                          <a:fillRef idx="1">
                            <a:schemeClr val="lt1"/>
                          </a:fillRef>
                          <a:effectRef idx="0">
                            <a:schemeClr val="dk1"/>
                          </a:effectRef>
                          <a:fontRef idx="minor">
                            <a:schemeClr val="dk1"/>
                          </a:fontRef>
                        </wps:style>
                        <wps:txbx>
                          <w:txbxContent>
                            <w:p w14:paraId="2A7882B2" w14:textId="29A33710" w:rsidR="001709D9" w:rsidRDefault="001709D9" w:rsidP="001709D9">
                              <w:r>
                                <w:t xml:space="preserve">Screened </w:t>
                              </w:r>
                              <w:r w:rsidR="00F92333">
                                <w:t>65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traight Arrow Connector 13"/>
                        <wps:cNvCnPr/>
                        <wps:spPr>
                          <a:xfrm flipH="1">
                            <a:off x="847725" y="1419225"/>
                            <a:ext cx="45719"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 name="Rectangle 14"/>
                        <wps:cNvSpPr/>
                        <wps:spPr>
                          <a:xfrm flipH="1">
                            <a:off x="0" y="1752600"/>
                            <a:ext cx="1609725" cy="457200"/>
                          </a:xfrm>
                          <a:prstGeom prst="rect">
                            <a:avLst/>
                          </a:prstGeom>
                        </wps:spPr>
                        <wps:style>
                          <a:lnRef idx="2">
                            <a:schemeClr val="dk1"/>
                          </a:lnRef>
                          <a:fillRef idx="1">
                            <a:schemeClr val="lt1"/>
                          </a:fillRef>
                          <a:effectRef idx="0">
                            <a:schemeClr val="dk1"/>
                          </a:effectRef>
                          <a:fontRef idx="minor">
                            <a:schemeClr val="dk1"/>
                          </a:fontRef>
                        </wps:style>
                        <wps:txbx>
                          <w:txbxContent>
                            <w:p w14:paraId="46413196" w14:textId="68D437FD" w:rsidR="001709D9" w:rsidRDefault="001709D9" w:rsidP="001709D9">
                              <w:r>
                                <w:t>Identified 2</w:t>
                              </w:r>
                              <w:r w:rsidR="00F92333">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Straight Arrow Connector 16"/>
                        <wps:cNvCnPr>
                          <a:stCxn id="17" idx="3"/>
                          <a:endCxn id="14" idx="1"/>
                        </wps:cNvCnPr>
                        <wps:spPr>
                          <a:xfrm flipH="1">
                            <a:off x="1609725" y="1971675"/>
                            <a:ext cx="62865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7" name="Rectangle 17"/>
                        <wps:cNvSpPr/>
                        <wps:spPr>
                          <a:xfrm flipH="1">
                            <a:off x="2238375" y="1743075"/>
                            <a:ext cx="1609725" cy="457200"/>
                          </a:xfrm>
                          <a:prstGeom prst="rect">
                            <a:avLst/>
                          </a:prstGeom>
                        </wps:spPr>
                        <wps:style>
                          <a:lnRef idx="2">
                            <a:schemeClr val="dk1"/>
                          </a:lnRef>
                          <a:fillRef idx="1">
                            <a:schemeClr val="lt1"/>
                          </a:fillRef>
                          <a:effectRef idx="0">
                            <a:schemeClr val="dk1"/>
                          </a:effectRef>
                          <a:fontRef idx="minor">
                            <a:schemeClr val="dk1"/>
                          </a:fontRef>
                        </wps:style>
                        <wps:txbx>
                          <w:txbxContent>
                            <w:p w14:paraId="23D87378" w14:textId="77777777" w:rsidR="001709D9" w:rsidRDefault="001709D9" w:rsidP="001709D9">
                              <w:r>
                                <w:t>Grey Literature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flipH="1">
                            <a:off x="85725" y="2705100"/>
                            <a:ext cx="1609725" cy="457200"/>
                          </a:xfrm>
                          <a:prstGeom prst="rect">
                            <a:avLst/>
                          </a:prstGeom>
                        </wps:spPr>
                        <wps:style>
                          <a:lnRef idx="2">
                            <a:schemeClr val="dk1"/>
                          </a:lnRef>
                          <a:fillRef idx="1">
                            <a:schemeClr val="lt1"/>
                          </a:fillRef>
                          <a:effectRef idx="0">
                            <a:schemeClr val="dk1"/>
                          </a:effectRef>
                          <a:fontRef idx="minor">
                            <a:schemeClr val="dk1"/>
                          </a:fontRef>
                        </wps:style>
                        <wps:txbx>
                          <w:txbxContent>
                            <w:p w14:paraId="0C736632" w14:textId="5FBED2AC" w:rsidR="001709D9" w:rsidRDefault="001709D9" w:rsidP="001709D9">
                              <w:r>
                                <w:t xml:space="preserve">Identified </w:t>
                              </w:r>
                              <w:r w:rsidR="00F92333">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Straight Arrow Connector 19"/>
                        <wps:cNvCnPr/>
                        <wps:spPr>
                          <a:xfrm flipH="1">
                            <a:off x="752475" y="2247900"/>
                            <a:ext cx="45719"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anchor>
            </w:drawing>
          </mc:Choice>
          <mc:Fallback>
            <w:pict>
              <v:group w14:anchorId="556A609F" id="Group 1" o:spid="_x0000_s1026" style="position:absolute;left:0;text-align:left;margin-left:59.15pt;margin-top:.1pt;width:365.95pt;height:249pt;z-index:251668480;mso-width-relative:margin" coordsize="38481,316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">
                <v:rect id="Rectangle 7" o:spid="_x0000_s1027" style="position:absolute;left:1524;width:20859;height:6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" fillcolor="white [3201]" strokecolor="black [3200]" strokeweight="1pt">
                  <v:textbox>
                    <w:txbxContent>
                      <w:p w14:paraId="3FF61739" w14:textId="557F764A" w:rsidR="00AB6C4D" w:rsidRDefault="001709D9" w:rsidP="001709D9">
                        <w:r>
                          <w:t xml:space="preserve">Initial results </w:t>
                        </w:r>
                        <w:r w:rsidR="00F92333">
                          <w:t>1300</w:t>
                        </w:r>
                      </w:p>
                      <w:p w14:paraId="15E9CE6D" w14:textId="077F2543" w:rsidR="00AB6C4D" w:rsidRDefault="00AB6C4D" w:rsidP="001709D9"/>
                    </w:txbxContent>
                  </v:textbox>
                </v:rect>
                <v:shapetype id="_x0000_t32" coordsize="21600,21600" o:spt="32" o:oned="t" path="m,l21600,21600e" filled="f">
                  <v:path arrowok="t" fillok="f" o:connecttype="none"/>
                  <o:lock v:ext="edit" shapetype="t"/>
                </v:shapetype>
                <v:shape id="Straight Arrow Connector 8" o:spid="_x0000_s1028" type="#_x0000_t32" style="position:absolute;left:9334;top:7048;width:457;height:29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" strokecolor="black [3200]" strokeweight=".5pt">
                  <v:stroke endarrow="block" joinstyle="miter"/>
                </v:shape>
                <v:rect id="Rectangle 9" o:spid="_x0000_s1029" style="position:absolute;left:1524;top:10001;width:16097;height:409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" fillcolor="white [3201]" strokecolor="black [3200]" strokeweight="1pt">
                  <v:textbox>
                    <w:txbxContent>
                      <w:p w14:paraId="2A7882B2" w14:textId="29A33710" w:rsidR="001709D9" w:rsidRDefault="001709D9" w:rsidP="001709D9">
                        <w:r>
                          <w:t xml:space="preserve">Screened </w:t>
                        </w:r>
                        <w:r w:rsidR="00F92333">
                          <w:t>65</w:t>
                        </w:r>
                      </w:p>
                    </w:txbxContent>
                  </v:textbox>
                </v:rect>
                <v:shape id="Straight Arrow Connector 13" o:spid="_x0000_s1030" type="#_x0000_t32" style="position:absolute;left:8477;top:14192;width:457;height:323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" strokecolor="black [3200]" strokeweight=".5pt">
                  <v:stroke endarrow="block" joinstyle="miter"/>
                </v:shape>
                <v:rect id="Rectangle 14" o:spid="_x0000_s1031" style="position:absolute;top:17526;width:16097;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" fillcolor="white [3201]" strokecolor="black [3200]" strokeweight="1pt">
                  <v:textbox>
                    <w:txbxContent>
                      <w:p w14:paraId="46413196" w14:textId="68D437FD" w:rsidR="001709D9" w:rsidRDefault="001709D9" w:rsidP="001709D9">
                        <w:r>
                          <w:t>Identified 2</w:t>
                        </w:r>
                        <w:r w:rsidR="00F92333">
                          <w:t>9</w:t>
                        </w:r>
                      </w:p>
                    </w:txbxContent>
                  </v:textbox>
                </v:rect>
                <v:shape id="Straight Arrow Connector 16" o:spid="_x0000_s1032" type="#_x0000_t32" style="position:absolute;left:16097;top:19716;width:6286;height: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" strokecolor="black [3200]" strokeweight=".5pt">
                  <v:stroke endarrow="block" joinstyle="miter"/>
                </v:shape>
                <v:rect id="Rectangle 17" o:spid="_x0000_s1033" style="position:absolute;left:22383;top:17430;width:16098;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" fillcolor="white [3201]" strokecolor="black [3200]" strokeweight="1pt">
                  <v:textbox>
                    <w:txbxContent>
                      <w:p w14:paraId="23D87378" w14:textId="77777777" w:rsidR="001709D9" w:rsidRDefault="001709D9" w:rsidP="001709D9">
                        <w:r>
                          <w:t>Grey Literature 10</w:t>
                        </w:r>
                      </w:p>
                    </w:txbxContent>
                  </v:textbox>
                </v:rect>
                <v:rect id="Rectangle 18" o:spid="_x0000_s1034" style="position:absolute;left:857;top:27051;width:16097;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" fillcolor="white [3201]" strokecolor="black [3200]" strokeweight="1pt">
                  <v:textbox>
                    <w:txbxContent>
                      <w:p w14:paraId="0C736632" w14:textId="5FBED2AC" w:rsidR="001709D9" w:rsidRDefault="001709D9" w:rsidP="001709D9">
                        <w:r>
                          <w:t xml:space="preserve">Identified </w:t>
                        </w:r>
                        <w:r w:rsidR="00F92333">
                          <w:t>9</w:t>
                        </w:r>
                      </w:p>
                    </w:txbxContent>
                  </v:textbox>
                </v:rect>
                <v:shape id="Straight Arrow Connector 19" o:spid="_x0000_s1035" type="#_x0000_t32" style="position:absolute;left:7524;top:22479;width:457;height:457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" strokecolor="black [3200]" strokeweight=".5pt">
                  <v:stroke endarrow="block" joinstyle="miter"/>
                </v:shape>
              </v:group>
            </w:pict>
          </mc:Fallback>
        </mc:AlternateContent>
      </w:r>
    </w:p>
    <w:p w14:paraId="2439893F" w14:textId="3BE1FF16" w:rsidR="001709D9" w:rsidRPr="00EE7D98" w:rsidRDefault="001709D9" w:rsidP="001709D9">
      <w:pPr>
        <w:rPr>
          <w:rFonts w:ascii="Arial" w:hAnsi="Arial" w:cs="Arial"/>
          <w:sz w:val="22"/>
        </w:rPr>
      </w:pPr>
    </w:p>
    <w:p w14:paraId="4E53066F" w14:textId="0AD258FD" w:rsidR="001709D9" w:rsidRPr="00EE7D98" w:rsidRDefault="001709D9" w:rsidP="001709D9">
      <w:pPr>
        <w:ind w:firstLine="720"/>
        <w:rPr>
          <w:rFonts w:ascii="Arial" w:hAnsi="Arial" w:cs="Arial"/>
          <w:sz w:val="22"/>
        </w:rPr>
      </w:pPr>
      <w:r w:rsidRPr="00EE7D98">
        <w:rPr>
          <w:rFonts w:ascii="Arial" w:hAnsi="Arial" w:cs="Arial"/>
          <w:noProof/>
          <w:sz w:val="22"/>
        </w:rPr>
        <mc:AlternateContent>
          <mc:Choice Requires="wps">
            <w:drawing>
              <wp:anchor distT="0" distB="0" distL="114300" distR="114300" simplePos="0" relativeHeight="251661312" behindDoc="0" locked="0" layoutInCell="1" allowOverlap="1" wp14:anchorId="0F143AEE" wp14:editId="06C7B74B">
                <wp:simplePos x="0" y="0"/>
                <wp:positionH relativeFrom="column">
                  <wp:posOffset>2540635</wp:posOffset>
                </wp:positionH>
                <wp:positionV relativeFrom="paragraph">
                  <wp:posOffset>250190</wp:posOffset>
                </wp:positionV>
                <wp:extent cx="0" cy="0"/>
                <wp:effectExtent l="0" t="0" r="0" b="0"/>
                <wp:wrapNone/>
                <wp:docPr id="11" name="Straight Arrow Connector 11"/>
                <wp:cNvGraphicFramePr/>
                <a:graphic xmlns:a="http://schemas.openxmlformats.org/drawingml/2006/main">
                  <a:graphicData uri="http://schemas.microsoft.com/office/word/2010/wordprocessingShape">
                    <wps:wsp>
                      <wps:cNvCnPr/>
                      <wps:spPr>
                        <a:xfrm>
                          <a:off x="0" y="0"/>
                          <a:ext cx="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1634BA" id="Straight Arrow Connector 11" o:spid="_x0000_s1026" type="#_x0000_t32" style="position:absolute;margin-left:200.05pt;margin-top:19.7pt;width:0;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" strokecolor="#4472c4 [3204]" strokeweight=".5pt">
                <v:stroke startarrow="block" endarrow="block" joinstyle="miter"/>
              </v:shape>
            </w:pict>
          </mc:Fallback>
        </mc:AlternateContent>
      </w:r>
    </w:p>
    <w:p w14:paraId="622AB447" w14:textId="675F3E19" w:rsidR="001709D9" w:rsidRPr="00EE7D98" w:rsidRDefault="001709D9" w:rsidP="001709D9">
      <w:pPr>
        <w:tabs>
          <w:tab w:val="left" w:pos="6495"/>
        </w:tabs>
        <w:ind w:firstLine="720"/>
        <w:rPr>
          <w:rFonts w:ascii="Arial" w:hAnsi="Arial" w:cs="Arial"/>
          <w:sz w:val="22"/>
        </w:rPr>
      </w:pPr>
      <w:r w:rsidRPr="00EE7D98">
        <w:rPr>
          <w:rFonts w:ascii="Arial" w:hAnsi="Arial" w:cs="Arial"/>
          <w:sz w:val="22"/>
        </w:rPr>
        <w:tab/>
      </w:r>
    </w:p>
    <w:p w14:paraId="4D49858D" w14:textId="77777777" w:rsidR="001709D9" w:rsidRPr="00EE7D98" w:rsidRDefault="001709D9" w:rsidP="001709D9">
      <w:pPr>
        <w:ind w:firstLine="720"/>
        <w:rPr>
          <w:rFonts w:ascii="Arial" w:hAnsi="Arial" w:cs="Arial"/>
          <w:b/>
          <w:bCs/>
          <w:sz w:val="22"/>
        </w:rPr>
      </w:pPr>
    </w:p>
    <w:p w14:paraId="39B7676B" w14:textId="77777777" w:rsidR="004A724F" w:rsidRPr="00EE7D98" w:rsidRDefault="004A724F" w:rsidP="00D22581">
      <w:pPr>
        <w:ind w:firstLine="720"/>
        <w:rPr>
          <w:rFonts w:ascii="Arial" w:hAnsi="Arial" w:cs="Arial"/>
          <w:sz w:val="22"/>
        </w:rPr>
      </w:pPr>
    </w:p>
    <w:p w14:paraId="4B9C9A90" w14:textId="77777777" w:rsidR="004A724F" w:rsidRPr="00EE7D98" w:rsidRDefault="004A724F" w:rsidP="00D22581">
      <w:pPr>
        <w:ind w:firstLine="720"/>
        <w:rPr>
          <w:rFonts w:ascii="Arial" w:hAnsi="Arial" w:cs="Arial"/>
          <w:sz w:val="22"/>
        </w:rPr>
      </w:pPr>
    </w:p>
    <w:p w14:paraId="0FBE3E3A" w14:textId="4C073582" w:rsidR="004C3819" w:rsidRPr="00EE7D98" w:rsidRDefault="004C3819" w:rsidP="00D22581">
      <w:pPr>
        <w:ind w:firstLine="720"/>
        <w:rPr>
          <w:rFonts w:ascii="Arial" w:hAnsi="Arial" w:cs="Arial"/>
          <w:sz w:val="22"/>
        </w:rPr>
      </w:pPr>
      <w:r w:rsidRPr="00EE7D98">
        <w:rPr>
          <w:rFonts w:ascii="Arial" w:hAnsi="Arial" w:cs="Arial"/>
          <w:sz w:val="22"/>
        </w:rPr>
        <w:lastRenderedPageBreak/>
        <w:t>MRC is a study based on the population and study of people age</w:t>
      </w:r>
      <w:r w:rsidR="004E1012" w:rsidRPr="00EE7D98">
        <w:rPr>
          <w:rFonts w:ascii="Arial" w:hAnsi="Arial" w:cs="Arial"/>
          <w:sz w:val="22"/>
        </w:rPr>
        <w:t>d</w:t>
      </w:r>
      <w:r w:rsidRPr="00EE7D98">
        <w:rPr>
          <w:rFonts w:ascii="Arial" w:hAnsi="Arial" w:cs="Arial"/>
          <w:sz w:val="22"/>
        </w:rPr>
        <w:t xml:space="preserve"> 40 years and above who lives in the community and institutions. The method used in the article is designed into two waves with </w:t>
      </w:r>
      <w:r w:rsidR="004E1012" w:rsidRPr="00EE7D98">
        <w:rPr>
          <w:rFonts w:ascii="Arial" w:hAnsi="Arial" w:cs="Arial"/>
          <w:sz w:val="22"/>
        </w:rPr>
        <w:t xml:space="preserve">a </w:t>
      </w:r>
      <w:r w:rsidRPr="00EE7D98">
        <w:rPr>
          <w:rFonts w:ascii="Arial" w:hAnsi="Arial" w:cs="Arial"/>
          <w:sz w:val="22"/>
        </w:rPr>
        <w:t xml:space="preserve">two-year wave apart. The approval </w:t>
      </w:r>
      <w:r w:rsidR="004E1012" w:rsidRPr="00EE7D98">
        <w:rPr>
          <w:rFonts w:ascii="Arial" w:hAnsi="Arial" w:cs="Arial"/>
          <w:sz w:val="22"/>
        </w:rPr>
        <w:t>of the study's ethics</w:t>
      </w:r>
      <w:r w:rsidRPr="00EE7D98">
        <w:rPr>
          <w:rFonts w:ascii="Arial" w:hAnsi="Arial" w:cs="Arial"/>
          <w:sz w:val="22"/>
        </w:rPr>
        <w:t xml:space="preserve"> was also obtained on every site. Two sites were from North Wales</w:t>
      </w:r>
      <w:r w:rsidR="004E1012" w:rsidRPr="00EE7D98">
        <w:rPr>
          <w:rFonts w:ascii="Arial" w:hAnsi="Arial" w:cs="Arial"/>
          <w:sz w:val="22"/>
        </w:rPr>
        <w:t>, Cambridge shire, and other urban areas: New C</w:t>
      </w:r>
      <w:r w:rsidRPr="00EE7D98">
        <w:rPr>
          <w:rFonts w:ascii="Arial" w:hAnsi="Arial" w:cs="Arial"/>
          <w:sz w:val="22"/>
        </w:rPr>
        <w:t xml:space="preserve">astle, Nottingham, and Oxford. Also, they selected the known possible risk factors </w:t>
      </w:r>
      <w:r w:rsidR="004E1012" w:rsidRPr="00EE7D98">
        <w:rPr>
          <w:rFonts w:ascii="Arial" w:hAnsi="Arial" w:cs="Arial"/>
          <w:sz w:val="22"/>
        </w:rPr>
        <w:t>for</w:t>
      </w:r>
      <w:r w:rsidRPr="00EE7D98">
        <w:rPr>
          <w:rFonts w:ascii="Arial" w:hAnsi="Arial" w:cs="Arial"/>
          <w:sz w:val="22"/>
        </w:rPr>
        <w:t xml:space="preserve"> chronic diseases</w:t>
      </w:r>
      <w:sdt>
        <w:sdtPr>
          <w:rPr>
            <w:rFonts w:ascii="Arial" w:hAnsi="Arial" w:cs="Arial"/>
            <w:sz w:val="22"/>
          </w:rPr>
          <w:id w:val="-485319074"/>
          <w:citation/>
        </w:sdtPr>
        <w:sdtContent>
          <w:r w:rsidR="008B4C61" w:rsidRPr="00EE7D98">
            <w:rPr>
              <w:rFonts w:ascii="Arial" w:hAnsi="Arial" w:cs="Arial"/>
              <w:sz w:val="22"/>
            </w:rPr>
            <w:fldChar w:fldCharType="begin"/>
          </w:r>
          <w:r w:rsidR="008B4C61" w:rsidRPr="00EE7D98">
            <w:rPr>
              <w:rFonts w:ascii="Arial" w:hAnsi="Arial" w:cs="Arial"/>
              <w:sz w:val="22"/>
            </w:rPr>
            <w:instrText xml:space="preserve"> CITATION Fol18 \l 1033 </w:instrText>
          </w:r>
          <w:r w:rsidR="008B4C61" w:rsidRPr="00EE7D98">
            <w:rPr>
              <w:rFonts w:ascii="Arial" w:hAnsi="Arial" w:cs="Arial"/>
              <w:sz w:val="22"/>
            </w:rPr>
            <w:fldChar w:fldCharType="separate"/>
          </w:r>
          <w:r w:rsidR="008B4C61" w:rsidRPr="00EE7D98">
            <w:rPr>
              <w:rFonts w:ascii="Arial" w:hAnsi="Arial" w:cs="Arial"/>
              <w:noProof/>
              <w:sz w:val="22"/>
            </w:rPr>
            <w:t xml:space="preserve"> (Folstein, 2018)</w:t>
          </w:r>
          <w:r w:rsidR="008B4C61" w:rsidRPr="00EE7D98">
            <w:rPr>
              <w:rFonts w:ascii="Arial" w:hAnsi="Arial" w:cs="Arial"/>
              <w:sz w:val="22"/>
            </w:rPr>
            <w:fldChar w:fldCharType="end"/>
          </w:r>
        </w:sdtContent>
      </w:sdt>
      <w:r w:rsidRPr="00EE7D98">
        <w:rPr>
          <w:rFonts w:ascii="Arial" w:hAnsi="Arial" w:cs="Arial"/>
          <w:sz w:val="22"/>
        </w:rPr>
        <w:t xml:space="preserve">. </w:t>
      </w:r>
    </w:p>
    <w:p w14:paraId="16F68521" w14:textId="0150E8C6" w:rsidR="004C3819" w:rsidRPr="00EE7D98" w:rsidRDefault="004C3819" w:rsidP="004C3819">
      <w:pPr>
        <w:rPr>
          <w:rFonts w:ascii="Arial" w:hAnsi="Arial" w:cs="Arial"/>
          <w:sz w:val="22"/>
        </w:rPr>
      </w:pPr>
      <w:bookmarkStart w:id="3" w:name="_Toc118449064"/>
      <w:r w:rsidRPr="00EE7D98">
        <w:rPr>
          <w:rStyle w:val="Heading2Char"/>
          <w:rFonts w:ascii="Arial" w:hAnsi="Arial" w:cs="Arial"/>
          <w:sz w:val="22"/>
          <w:szCs w:val="22"/>
        </w:rPr>
        <w:t>The Baseline of the sample</w:t>
      </w:r>
      <w:bookmarkEnd w:id="3"/>
      <w:r w:rsidRPr="00EE7D98">
        <w:rPr>
          <w:rFonts w:ascii="Arial" w:hAnsi="Arial" w:cs="Arial"/>
          <w:sz w:val="22"/>
        </w:rPr>
        <w:t>.</w:t>
      </w:r>
    </w:p>
    <w:p w14:paraId="3E93691C" w14:textId="41B15C5C" w:rsidR="004851E1" w:rsidRPr="00EE7D98" w:rsidRDefault="00831847" w:rsidP="004851E1">
      <w:pPr>
        <w:ind w:firstLine="720"/>
        <w:rPr>
          <w:rFonts w:ascii="Arial" w:hAnsi="Arial" w:cs="Arial"/>
          <w:sz w:val="22"/>
        </w:rPr>
      </w:pPr>
      <w:r w:rsidRPr="00EE7D98">
        <w:rPr>
          <w:rFonts w:ascii="Arial" w:hAnsi="Arial" w:cs="Arial"/>
          <w:sz w:val="22"/>
        </w:rPr>
        <w:t>They dr</w:t>
      </w:r>
      <w:r w:rsidR="004E1012" w:rsidRPr="00EE7D98">
        <w:rPr>
          <w:rFonts w:ascii="Arial" w:hAnsi="Arial" w:cs="Arial"/>
          <w:sz w:val="22"/>
        </w:rPr>
        <w:t>e</w:t>
      </w:r>
      <w:r w:rsidRPr="00EE7D98">
        <w:rPr>
          <w:rFonts w:ascii="Arial" w:hAnsi="Arial" w:cs="Arial"/>
          <w:sz w:val="22"/>
        </w:rPr>
        <w:t xml:space="preserve">w the </w:t>
      </w:r>
      <w:r w:rsidR="004E1012" w:rsidRPr="00EE7D98">
        <w:rPr>
          <w:rFonts w:ascii="Arial" w:hAnsi="Arial" w:cs="Arial"/>
          <w:sz w:val="22"/>
        </w:rPr>
        <w:t>population samples</w:t>
      </w:r>
      <w:r w:rsidRPr="00EE7D98">
        <w:rPr>
          <w:rFonts w:ascii="Arial" w:hAnsi="Arial" w:cs="Arial"/>
          <w:sz w:val="22"/>
        </w:rPr>
        <w:t xml:space="preserve"> from the Family Health </w:t>
      </w:r>
      <w:r w:rsidR="004E1012" w:rsidRPr="00EE7D98">
        <w:rPr>
          <w:rFonts w:ascii="Arial" w:hAnsi="Arial" w:cs="Arial"/>
          <w:sz w:val="22"/>
        </w:rPr>
        <w:t>S</w:t>
      </w:r>
      <w:r w:rsidRPr="00EE7D98">
        <w:rPr>
          <w:rFonts w:ascii="Arial" w:hAnsi="Arial" w:cs="Arial"/>
          <w:sz w:val="22"/>
        </w:rPr>
        <w:t xml:space="preserve">ervice Authorities that had covered a </w:t>
      </w:r>
      <w:r w:rsidR="004851E1" w:rsidRPr="00EE7D98">
        <w:rPr>
          <w:rFonts w:ascii="Arial" w:hAnsi="Arial" w:cs="Arial"/>
          <w:sz w:val="22"/>
        </w:rPr>
        <w:t>particular geographical area</w:t>
      </w:r>
      <w:r w:rsidRPr="00EE7D98">
        <w:rPr>
          <w:rFonts w:ascii="Arial" w:hAnsi="Arial" w:cs="Arial"/>
          <w:sz w:val="22"/>
        </w:rPr>
        <w:t xml:space="preserve">. </w:t>
      </w:r>
      <w:r w:rsidR="004851E1" w:rsidRPr="00EE7D98">
        <w:rPr>
          <w:rFonts w:ascii="Arial" w:hAnsi="Arial" w:cs="Arial"/>
          <w:sz w:val="22"/>
        </w:rPr>
        <w:t>They are registers bas</w:t>
      </w:r>
      <w:r w:rsidR="004E1012" w:rsidRPr="00EE7D98">
        <w:rPr>
          <w:rFonts w:ascii="Arial" w:hAnsi="Arial" w:cs="Arial"/>
          <w:sz w:val="22"/>
        </w:rPr>
        <w:t>ed</w:t>
      </w:r>
      <w:r w:rsidR="004851E1" w:rsidRPr="00EE7D98">
        <w:rPr>
          <w:rFonts w:ascii="Arial" w:hAnsi="Arial" w:cs="Arial"/>
          <w:sz w:val="22"/>
        </w:rPr>
        <w:t xml:space="preserve"> on the p</w:t>
      </w:r>
      <w:r w:rsidR="004E1012" w:rsidRPr="00EE7D98">
        <w:rPr>
          <w:rFonts w:ascii="Arial" w:hAnsi="Arial" w:cs="Arial"/>
          <w:sz w:val="22"/>
        </w:rPr>
        <w:t>ractitioners' population</w:t>
      </w:r>
      <w:r w:rsidR="004851E1" w:rsidRPr="00EE7D98">
        <w:rPr>
          <w:rFonts w:ascii="Arial" w:hAnsi="Arial" w:cs="Arial"/>
          <w:sz w:val="22"/>
        </w:rPr>
        <w:t xml:space="preserve">, </w:t>
      </w:r>
      <w:r w:rsidR="004E1012" w:rsidRPr="00EE7D98">
        <w:rPr>
          <w:rFonts w:ascii="Arial" w:hAnsi="Arial" w:cs="Arial"/>
          <w:sz w:val="22"/>
        </w:rPr>
        <w:t>which</w:t>
      </w:r>
      <w:r w:rsidR="004851E1" w:rsidRPr="00EE7D98">
        <w:rPr>
          <w:rFonts w:ascii="Arial" w:hAnsi="Arial" w:cs="Arial"/>
          <w:sz w:val="22"/>
        </w:rPr>
        <w:t xml:space="preserve"> gives a complete enumeration of a population </w:t>
      </w:r>
      <w:r w:rsidR="004E1012" w:rsidRPr="00EE7D98">
        <w:rPr>
          <w:rFonts w:ascii="Arial" w:hAnsi="Arial" w:cs="Arial"/>
          <w:sz w:val="22"/>
        </w:rPr>
        <w:t>that</w:t>
      </w:r>
      <w:r w:rsidR="004851E1" w:rsidRPr="00EE7D98">
        <w:rPr>
          <w:rFonts w:ascii="Arial" w:hAnsi="Arial" w:cs="Arial"/>
          <w:sz w:val="22"/>
        </w:rPr>
        <w:t xml:space="preserve"> includes all institutions. There was also </w:t>
      </w:r>
      <w:r w:rsidR="004E1012" w:rsidRPr="00EE7D98">
        <w:rPr>
          <w:rFonts w:ascii="Arial" w:hAnsi="Arial" w:cs="Arial"/>
          <w:sz w:val="22"/>
        </w:rPr>
        <w:t>a random selection of over 100 individuals from each center aged</w:t>
      </w:r>
      <w:r w:rsidR="004851E1" w:rsidRPr="00EE7D98">
        <w:rPr>
          <w:rFonts w:ascii="Arial" w:hAnsi="Arial" w:cs="Arial"/>
          <w:sz w:val="22"/>
        </w:rPr>
        <w:t xml:space="preserve"> from 40 to about 75 years and above. </w:t>
      </w:r>
    </w:p>
    <w:p w14:paraId="05B9826C" w14:textId="6D88D93C" w:rsidR="004851E1" w:rsidRPr="00EE7D98" w:rsidRDefault="004851E1" w:rsidP="00543F95">
      <w:pPr>
        <w:pStyle w:val="Heading2"/>
        <w:rPr>
          <w:rFonts w:ascii="Arial" w:hAnsi="Arial" w:cs="Arial"/>
          <w:sz w:val="22"/>
          <w:szCs w:val="22"/>
        </w:rPr>
      </w:pPr>
      <w:bookmarkStart w:id="4" w:name="_Toc118449065"/>
      <w:r w:rsidRPr="00EE7D98">
        <w:rPr>
          <w:rFonts w:ascii="Arial" w:hAnsi="Arial" w:cs="Arial"/>
          <w:sz w:val="22"/>
          <w:szCs w:val="22"/>
        </w:rPr>
        <w:t>Approach and Sequence of the Interviews.</w:t>
      </w:r>
      <w:bookmarkEnd w:id="4"/>
    </w:p>
    <w:p w14:paraId="41E48755" w14:textId="010D7980" w:rsidR="004851E1" w:rsidRDefault="00855985" w:rsidP="004851E1">
      <w:pPr>
        <w:rPr>
          <w:rFonts w:ascii="Arial" w:hAnsi="Arial" w:cs="Arial"/>
          <w:sz w:val="22"/>
        </w:rPr>
      </w:pPr>
      <w:r w:rsidRPr="00EE7D98">
        <w:rPr>
          <w:rFonts w:ascii="Arial" w:hAnsi="Arial" w:cs="Arial"/>
          <w:sz w:val="22"/>
        </w:rPr>
        <w:t xml:space="preserve">From the study, </w:t>
      </w:r>
      <w:r w:rsidR="004E1012" w:rsidRPr="00EE7D98">
        <w:rPr>
          <w:rFonts w:ascii="Arial" w:hAnsi="Arial" w:cs="Arial"/>
          <w:sz w:val="22"/>
        </w:rPr>
        <w:t>the</w:t>
      </w:r>
      <w:r w:rsidRPr="00EE7D98">
        <w:rPr>
          <w:rFonts w:ascii="Arial" w:hAnsi="Arial" w:cs="Arial"/>
          <w:sz w:val="22"/>
        </w:rPr>
        <w:t xml:space="preserve"> approach to individuals w</w:t>
      </w:r>
      <w:r w:rsidR="004E1012" w:rsidRPr="00EE7D98">
        <w:rPr>
          <w:rFonts w:ascii="Arial" w:hAnsi="Arial" w:cs="Arial"/>
          <w:sz w:val="22"/>
        </w:rPr>
        <w:t>as</w:t>
      </w:r>
      <w:r w:rsidRPr="00EE7D98">
        <w:rPr>
          <w:rFonts w:ascii="Arial" w:hAnsi="Arial" w:cs="Arial"/>
          <w:sz w:val="22"/>
        </w:rPr>
        <w:t xml:space="preserve"> </w:t>
      </w:r>
      <w:r w:rsidR="004E1012" w:rsidRPr="00EE7D98">
        <w:rPr>
          <w:rFonts w:ascii="Arial" w:hAnsi="Arial" w:cs="Arial"/>
          <w:sz w:val="22"/>
        </w:rPr>
        <w:t>mad</w:t>
      </w:r>
      <w:r w:rsidRPr="00EE7D98">
        <w:rPr>
          <w:rFonts w:ascii="Arial" w:hAnsi="Arial" w:cs="Arial"/>
          <w:sz w:val="22"/>
        </w:rPr>
        <w:t>e through introductory letter</w:t>
      </w:r>
      <w:r w:rsidR="004E1012" w:rsidRPr="00EE7D98">
        <w:rPr>
          <w:rFonts w:ascii="Arial" w:hAnsi="Arial" w:cs="Arial"/>
          <w:sz w:val="22"/>
        </w:rPr>
        <w:t>s</w:t>
      </w:r>
      <w:r w:rsidRPr="00EE7D98">
        <w:rPr>
          <w:rFonts w:ascii="Arial" w:hAnsi="Arial" w:cs="Arial"/>
          <w:sz w:val="22"/>
        </w:rPr>
        <w:t xml:space="preserve"> from the general practitioners and through telephone </w:t>
      </w:r>
      <w:r w:rsidR="0027027B" w:rsidRPr="00EE7D98">
        <w:rPr>
          <w:rFonts w:ascii="Arial" w:hAnsi="Arial" w:cs="Arial"/>
          <w:sz w:val="22"/>
        </w:rPr>
        <w:t>call</w:t>
      </w:r>
      <w:r w:rsidR="004E1012" w:rsidRPr="00EE7D98">
        <w:rPr>
          <w:rFonts w:ascii="Arial" w:hAnsi="Arial" w:cs="Arial"/>
          <w:sz w:val="22"/>
        </w:rPr>
        <w:t>s</w:t>
      </w:r>
      <w:r w:rsidR="0027027B" w:rsidRPr="00EE7D98">
        <w:rPr>
          <w:rFonts w:ascii="Arial" w:hAnsi="Arial" w:cs="Arial"/>
          <w:sz w:val="22"/>
        </w:rPr>
        <w:t xml:space="preserve"> to seek to explain the study after visiting.</w:t>
      </w:r>
      <w:r w:rsidR="00FB40AD" w:rsidRPr="00EE7D98">
        <w:rPr>
          <w:rFonts w:ascii="Arial" w:hAnsi="Arial" w:cs="Arial"/>
          <w:sz w:val="22"/>
        </w:rPr>
        <w:t xml:space="preserve"> Also, interviewers were </w:t>
      </w:r>
      <w:r w:rsidR="004E1012" w:rsidRPr="00EE7D98">
        <w:rPr>
          <w:rFonts w:ascii="Arial" w:hAnsi="Arial" w:cs="Arial"/>
          <w:sz w:val="22"/>
        </w:rPr>
        <w:t>recruited locally for every site with backgrounds, age ranges, and</w:t>
      </w:r>
      <w:r w:rsidR="00FB40AD" w:rsidRPr="00EE7D98">
        <w:rPr>
          <w:rFonts w:ascii="Arial" w:hAnsi="Arial" w:cs="Arial"/>
          <w:sz w:val="22"/>
        </w:rPr>
        <w:t xml:space="preserve"> medical professions.</w:t>
      </w:r>
      <w:r w:rsidR="00FF51EA" w:rsidRPr="00EE7D98">
        <w:rPr>
          <w:rFonts w:ascii="Arial" w:hAnsi="Arial" w:cs="Arial"/>
          <w:sz w:val="22"/>
        </w:rPr>
        <w:t xml:space="preserve"> Training for local interviewers w</w:t>
      </w:r>
      <w:r w:rsidR="004E1012" w:rsidRPr="00EE7D98">
        <w:rPr>
          <w:rFonts w:ascii="Arial" w:hAnsi="Arial" w:cs="Arial"/>
          <w:sz w:val="22"/>
        </w:rPr>
        <w:t>as done by trainers from the same place and had been trained by the national coordinators to ensure</w:t>
      </w:r>
      <w:r w:rsidR="00E96051" w:rsidRPr="00EE7D98">
        <w:rPr>
          <w:rFonts w:ascii="Arial" w:hAnsi="Arial" w:cs="Arial"/>
          <w:sz w:val="22"/>
        </w:rPr>
        <w:t xml:space="preserve"> consistency.</w:t>
      </w:r>
      <w:r w:rsidR="00EC637C" w:rsidRPr="00EE7D98">
        <w:rPr>
          <w:rFonts w:ascii="Arial" w:hAnsi="Arial" w:cs="Arial"/>
          <w:sz w:val="22"/>
        </w:rPr>
        <w:t xml:space="preserve"> </w:t>
      </w:r>
      <w:r w:rsidR="004E1012" w:rsidRPr="00EE7D98">
        <w:rPr>
          <w:rFonts w:ascii="Arial" w:hAnsi="Arial" w:cs="Arial"/>
          <w:sz w:val="22"/>
        </w:rPr>
        <w:t>A</w:t>
      </w:r>
      <w:r w:rsidR="00EC637C" w:rsidRPr="00EE7D98">
        <w:rPr>
          <w:rFonts w:ascii="Arial" w:hAnsi="Arial" w:cs="Arial"/>
          <w:sz w:val="22"/>
        </w:rPr>
        <w:t xml:space="preserve"> repeat of the interviewing was not </w:t>
      </w:r>
      <w:proofErr w:type="gramStart"/>
      <w:r w:rsidR="00EC637C" w:rsidRPr="00EE7D98">
        <w:rPr>
          <w:rFonts w:ascii="Arial" w:hAnsi="Arial" w:cs="Arial"/>
          <w:sz w:val="22"/>
        </w:rPr>
        <w:t>done, but</w:t>
      </w:r>
      <w:proofErr w:type="gramEnd"/>
      <w:r w:rsidR="00EC637C" w:rsidRPr="00EE7D98">
        <w:rPr>
          <w:rFonts w:ascii="Arial" w:hAnsi="Arial" w:cs="Arial"/>
          <w:sz w:val="22"/>
        </w:rPr>
        <w:t xml:space="preserve"> monitoring the interviewing quality and their feedback was done throughout the study</w:t>
      </w:r>
      <w:sdt>
        <w:sdtPr>
          <w:rPr>
            <w:rFonts w:ascii="Arial" w:hAnsi="Arial" w:cs="Arial"/>
            <w:sz w:val="22"/>
          </w:rPr>
          <w:id w:val="1301265915"/>
          <w:citation/>
        </w:sdtPr>
        <w:sdtContent>
          <w:r w:rsidR="008B4C61" w:rsidRPr="00EE7D98">
            <w:rPr>
              <w:rFonts w:ascii="Arial" w:hAnsi="Arial" w:cs="Arial"/>
              <w:sz w:val="22"/>
            </w:rPr>
            <w:fldChar w:fldCharType="begin"/>
          </w:r>
          <w:r w:rsidR="008B4C61" w:rsidRPr="00EE7D98">
            <w:rPr>
              <w:rFonts w:ascii="Arial" w:hAnsi="Arial" w:cs="Arial"/>
              <w:sz w:val="22"/>
            </w:rPr>
            <w:instrText xml:space="preserve"> CITATION Bra172 \l 1033 </w:instrText>
          </w:r>
          <w:r w:rsidR="008B4C61" w:rsidRPr="00EE7D98">
            <w:rPr>
              <w:rFonts w:ascii="Arial" w:hAnsi="Arial" w:cs="Arial"/>
              <w:sz w:val="22"/>
            </w:rPr>
            <w:fldChar w:fldCharType="separate"/>
          </w:r>
          <w:r w:rsidR="008B4C61" w:rsidRPr="00EE7D98">
            <w:rPr>
              <w:rFonts w:ascii="Arial" w:hAnsi="Arial" w:cs="Arial"/>
              <w:noProof/>
              <w:sz w:val="22"/>
            </w:rPr>
            <w:t xml:space="preserve"> (Brayne, 2017)</w:t>
          </w:r>
          <w:r w:rsidR="008B4C61" w:rsidRPr="00EE7D98">
            <w:rPr>
              <w:rFonts w:ascii="Arial" w:hAnsi="Arial" w:cs="Arial"/>
              <w:sz w:val="22"/>
            </w:rPr>
            <w:fldChar w:fldCharType="end"/>
          </w:r>
        </w:sdtContent>
      </w:sdt>
      <w:r w:rsidR="00EC637C" w:rsidRPr="00EE7D98">
        <w:rPr>
          <w:rFonts w:ascii="Arial" w:hAnsi="Arial" w:cs="Arial"/>
          <w:sz w:val="22"/>
        </w:rPr>
        <w:t xml:space="preserve">. </w:t>
      </w:r>
    </w:p>
    <w:p w14:paraId="7CFAE2F6" w14:textId="3FE1F1CD" w:rsidR="004E1929" w:rsidRDefault="004E1929" w:rsidP="004851E1">
      <w:pPr>
        <w:rPr>
          <w:rFonts w:ascii="Arial" w:hAnsi="Arial" w:cs="Arial"/>
          <w:sz w:val="22"/>
        </w:rPr>
      </w:pPr>
    </w:p>
    <w:p w14:paraId="5A062335" w14:textId="1B32A2B6" w:rsidR="004E1929" w:rsidRDefault="004E1929" w:rsidP="004851E1">
      <w:pPr>
        <w:rPr>
          <w:rFonts w:ascii="Arial" w:hAnsi="Arial" w:cs="Arial"/>
          <w:sz w:val="22"/>
        </w:rPr>
      </w:pPr>
    </w:p>
    <w:p w14:paraId="0098CE34" w14:textId="57499A78" w:rsidR="004E1929" w:rsidRDefault="004E1929" w:rsidP="004851E1">
      <w:pPr>
        <w:rPr>
          <w:rFonts w:ascii="Arial" w:hAnsi="Arial" w:cs="Arial"/>
          <w:sz w:val="22"/>
        </w:rPr>
      </w:pPr>
    </w:p>
    <w:p w14:paraId="3DB7C87B" w14:textId="77777777" w:rsidR="004E1929" w:rsidRPr="00EE7D98" w:rsidRDefault="004E1929" w:rsidP="004851E1">
      <w:pPr>
        <w:rPr>
          <w:rFonts w:ascii="Arial" w:hAnsi="Arial" w:cs="Arial"/>
          <w:sz w:val="22"/>
        </w:rPr>
      </w:pPr>
    </w:p>
    <w:p w14:paraId="3222DF29" w14:textId="47ECFF02" w:rsidR="00EC637C" w:rsidRPr="00EE7D98" w:rsidRDefault="00EC637C" w:rsidP="00543F95">
      <w:pPr>
        <w:pStyle w:val="Heading2"/>
        <w:rPr>
          <w:rFonts w:ascii="Arial" w:hAnsi="Arial" w:cs="Arial"/>
          <w:sz w:val="22"/>
          <w:szCs w:val="22"/>
        </w:rPr>
      </w:pPr>
      <w:bookmarkStart w:id="5" w:name="_Toc118449066"/>
      <w:r w:rsidRPr="00EE7D98">
        <w:rPr>
          <w:rFonts w:ascii="Arial" w:hAnsi="Arial" w:cs="Arial"/>
          <w:sz w:val="22"/>
          <w:szCs w:val="22"/>
        </w:rPr>
        <w:t>Prevalence assessment</w:t>
      </w:r>
      <w:bookmarkEnd w:id="5"/>
      <w:r w:rsidRPr="00EE7D98">
        <w:rPr>
          <w:rFonts w:ascii="Arial" w:hAnsi="Arial" w:cs="Arial"/>
          <w:sz w:val="22"/>
          <w:szCs w:val="22"/>
        </w:rPr>
        <w:t xml:space="preserve"> </w:t>
      </w:r>
    </w:p>
    <w:p w14:paraId="662BB891" w14:textId="406757ED" w:rsidR="008A67D6" w:rsidRPr="00EE7D98" w:rsidRDefault="00EC637C" w:rsidP="008A42BF">
      <w:pPr>
        <w:ind w:firstLine="720"/>
        <w:rPr>
          <w:rFonts w:ascii="Arial" w:hAnsi="Arial" w:cs="Arial"/>
          <w:sz w:val="22"/>
        </w:rPr>
      </w:pPr>
      <w:r w:rsidRPr="00EE7D98">
        <w:rPr>
          <w:rFonts w:ascii="Arial" w:hAnsi="Arial" w:cs="Arial"/>
          <w:sz w:val="22"/>
        </w:rPr>
        <w:t>The prevalence assessment interview was based on the clinic content and was built on the Geriatric Mental State of version B3</w:t>
      </w:r>
      <w:r w:rsidR="004E1012" w:rsidRPr="00EE7D98">
        <w:rPr>
          <w:rFonts w:ascii="Arial" w:hAnsi="Arial" w:cs="Arial"/>
          <w:sz w:val="22"/>
        </w:rPr>
        <w:t>,</w:t>
      </w:r>
      <w:r w:rsidRPr="00EE7D98">
        <w:rPr>
          <w:rFonts w:ascii="Arial" w:hAnsi="Arial" w:cs="Arial"/>
          <w:sz w:val="22"/>
        </w:rPr>
        <w:t xml:space="preserve"> </w:t>
      </w:r>
      <w:r w:rsidR="004E1012" w:rsidRPr="00EE7D98">
        <w:rPr>
          <w:rFonts w:ascii="Arial" w:hAnsi="Arial" w:cs="Arial"/>
          <w:sz w:val="22"/>
        </w:rPr>
        <w:t>which</w:t>
      </w:r>
      <w:r w:rsidRPr="00EE7D98">
        <w:rPr>
          <w:rFonts w:ascii="Arial" w:hAnsi="Arial" w:cs="Arial"/>
          <w:sz w:val="22"/>
        </w:rPr>
        <w:t xml:space="preserve"> focused more on depression and </w:t>
      </w:r>
      <w:r w:rsidR="00F92333" w:rsidRPr="00EE7D98">
        <w:rPr>
          <w:rFonts w:ascii="Arial" w:hAnsi="Arial" w:cs="Arial"/>
          <w:sz w:val="22"/>
        </w:rPr>
        <w:t>D</w:t>
      </w:r>
      <w:r w:rsidRPr="00EE7D98">
        <w:rPr>
          <w:rFonts w:ascii="Arial" w:hAnsi="Arial" w:cs="Arial"/>
          <w:sz w:val="22"/>
        </w:rPr>
        <w:t xml:space="preserve">ementia. It made </w:t>
      </w:r>
      <w:r w:rsidR="004E1012" w:rsidRPr="00EE7D98">
        <w:rPr>
          <w:rFonts w:ascii="Arial" w:hAnsi="Arial" w:cs="Arial"/>
          <w:sz w:val="22"/>
        </w:rPr>
        <w:t xml:space="preserve">it </w:t>
      </w:r>
      <w:r w:rsidRPr="00EE7D98">
        <w:rPr>
          <w:rFonts w:ascii="Arial" w:hAnsi="Arial" w:cs="Arial"/>
          <w:sz w:val="22"/>
        </w:rPr>
        <w:t xml:space="preserve">easy for depression and </w:t>
      </w:r>
      <w:r w:rsidR="004E1012" w:rsidRPr="00EE7D98">
        <w:rPr>
          <w:rFonts w:ascii="Arial" w:hAnsi="Arial" w:cs="Arial"/>
          <w:sz w:val="22"/>
        </w:rPr>
        <w:t>allowed the dementia generation to measure</w:t>
      </w:r>
      <w:r w:rsidRPr="00EE7D98">
        <w:rPr>
          <w:rFonts w:ascii="Arial" w:hAnsi="Arial" w:cs="Arial"/>
          <w:sz w:val="22"/>
        </w:rPr>
        <w:t xml:space="preserve"> the study.</w:t>
      </w:r>
      <w:r w:rsidR="00473FB6" w:rsidRPr="00EE7D98">
        <w:rPr>
          <w:rFonts w:ascii="Arial" w:hAnsi="Arial" w:cs="Arial"/>
          <w:sz w:val="22"/>
        </w:rPr>
        <w:t xml:space="preserve"> Also</w:t>
      </w:r>
      <w:r w:rsidR="004E1012" w:rsidRPr="00EE7D98">
        <w:rPr>
          <w:rFonts w:ascii="Arial" w:hAnsi="Arial" w:cs="Arial"/>
          <w:sz w:val="22"/>
        </w:rPr>
        <w:t>,</w:t>
      </w:r>
      <w:r w:rsidR="00473FB6" w:rsidRPr="00EE7D98">
        <w:rPr>
          <w:rFonts w:ascii="Arial" w:hAnsi="Arial" w:cs="Arial"/>
          <w:sz w:val="22"/>
        </w:rPr>
        <w:t xml:space="preserve"> </w:t>
      </w:r>
      <w:r w:rsidR="004E1012" w:rsidRPr="00EE7D98">
        <w:rPr>
          <w:rFonts w:ascii="Arial" w:hAnsi="Arial" w:cs="Arial"/>
          <w:sz w:val="22"/>
        </w:rPr>
        <w:t xml:space="preserve">a </w:t>
      </w:r>
      <w:r w:rsidR="00473FB6" w:rsidRPr="00EE7D98">
        <w:rPr>
          <w:rFonts w:ascii="Arial" w:hAnsi="Arial" w:cs="Arial"/>
          <w:sz w:val="22"/>
        </w:rPr>
        <w:t xml:space="preserve">combined screen assessment was done where all the parties </w:t>
      </w:r>
      <w:r w:rsidR="004E1012" w:rsidRPr="00EE7D98">
        <w:rPr>
          <w:rFonts w:ascii="Arial" w:hAnsi="Arial" w:cs="Arial"/>
          <w:sz w:val="22"/>
        </w:rPr>
        <w:t xml:space="preserve">were </w:t>
      </w:r>
      <w:r w:rsidR="00473FB6" w:rsidRPr="00EE7D98">
        <w:rPr>
          <w:rFonts w:ascii="Arial" w:hAnsi="Arial" w:cs="Arial"/>
          <w:sz w:val="22"/>
        </w:rPr>
        <w:t>taken for the combined assessment. It was thus a merged interview with key variables collect</w:t>
      </w:r>
      <w:r w:rsidR="004E1012" w:rsidRPr="00EE7D98">
        <w:rPr>
          <w:rFonts w:ascii="Arial" w:hAnsi="Arial" w:cs="Arial"/>
          <w:sz w:val="22"/>
        </w:rPr>
        <w:t>ed</w:t>
      </w:r>
      <w:r w:rsidR="00473FB6" w:rsidRPr="00EE7D98">
        <w:rPr>
          <w:rFonts w:ascii="Arial" w:hAnsi="Arial" w:cs="Arial"/>
          <w:sz w:val="22"/>
        </w:rPr>
        <w:t xml:space="preserve"> from the scre</w:t>
      </w:r>
      <w:r w:rsidR="001B09BA" w:rsidRPr="00EE7D98">
        <w:rPr>
          <w:rFonts w:ascii="Arial" w:hAnsi="Arial" w:cs="Arial"/>
          <w:sz w:val="22"/>
        </w:rPr>
        <w:t>en, daily living activities, physical health chang</w:t>
      </w:r>
      <w:r w:rsidR="004E1012" w:rsidRPr="00EE7D98">
        <w:rPr>
          <w:rFonts w:ascii="Arial" w:hAnsi="Arial" w:cs="Arial"/>
          <w:sz w:val="22"/>
        </w:rPr>
        <w:t>es,</w:t>
      </w:r>
      <w:r w:rsidR="001B09BA" w:rsidRPr="00EE7D98">
        <w:rPr>
          <w:rFonts w:ascii="Arial" w:hAnsi="Arial" w:cs="Arial"/>
          <w:sz w:val="22"/>
        </w:rPr>
        <w:t xml:space="preserve"> and the interview assessment diagnostic components</w:t>
      </w:r>
      <w:sdt>
        <w:sdtPr>
          <w:rPr>
            <w:rFonts w:ascii="Arial" w:hAnsi="Arial" w:cs="Arial"/>
            <w:sz w:val="22"/>
          </w:rPr>
          <w:id w:val="1549105547"/>
          <w:citation/>
        </w:sdtPr>
        <w:sdtContent>
          <w:r w:rsidR="008B4C61" w:rsidRPr="00EE7D98">
            <w:rPr>
              <w:rFonts w:ascii="Arial" w:hAnsi="Arial" w:cs="Arial"/>
              <w:sz w:val="22"/>
            </w:rPr>
            <w:fldChar w:fldCharType="begin"/>
          </w:r>
          <w:r w:rsidR="008B4C61" w:rsidRPr="00EE7D98">
            <w:rPr>
              <w:rFonts w:ascii="Arial" w:hAnsi="Arial" w:cs="Arial"/>
              <w:sz w:val="22"/>
            </w:rPr>
            <w:instrText xml:space="preserve"> CITATION Hen181 \l 1033 </w:instrText>
          </w:r>
          <w:r w:rsidR="008B4C61" w:rsidRPr="00EE7D98">
            <w:rPr>
              <w:rFonts w:ascii="Arial" w:hAnsi="Arial" w:cs="Arial"/>
              <w:sz w:val="22"/>
            </w:rPr>
            <w:fldChar w:fldCharType="separate"/>
          </w:r>
          <w:r w:rsidR="008B4C61" w:rsidRPr="00EE7D98">
            <w:rPr>
              <w:rFonts w:ascii="Arial" w:hAnsi="Arial" w:cs="Arial"/>
              <w:noProof/>
              <w:sz w:val="22"/>
            </w:rPr>
            <w:t xml:space="preserve"> (Henderson, 2018)</w:t>
          </w:r>
          <w:r w:rsidR="008B4C61" w:rsidRPr="00EE7D98">
            <w:rPr>
              <w:rFonts w:ascii="Arial" w:hAnsi="Arial" w:cs="Arial"/>
              <w:sz w:val="22"/>
            </w:rPr>
            <w:fldChar w:fldCharType="end"/>
          </w:r>
        </w:sdtContent>
      </w:sdt>
    </w:p>
    <w:p w14:paraId="57A4F69D" w14:textId="6E95C4DE" w:rsidR="008A42BF" w:rsidRPr="00EE7D98" w:rsidRDefault="008A42BF" w:rsidP="008A42BF">
      <w:pPr>
        <w:pStyle w:val="Heading1"/>
        <w:rPr>
          <w:rFonts w:ascii="Arial" w:hAnsi="Arial" w:cs="Arial"/>
          <w:sz w:val="22"/>
          <w:szCs w:val="22"/>
        </w:rPr>
      </w:pPr>
      <w:bookmarkStart w:id="6" w:name="_Toc118449067"/>
      <w:r w:rsidRPr="00EE7D98">
        <w:rPr>
          <w:rFonts w:ascii="Arial" w:hAnsi="Arial" w:cs="Arial"/>
          <w:sz w:val="22"/>
          <w:szCs w:val="22"/>
        </w:rPr>
        <w:lastRenderedPageBreak/>
        <w:t>A Thematic Review of The Published Literature</w:t>
      </w:r>
      <w:bookmarkEnd w:id="6"/>
    </w:p>
    <w:tbl>
      <w:tblPr>
        <w:tblStyle w:val="TableGrid"/>
        <w:tblpPr w:leftFromText="180" w:rightFromText="180" w:horzAnchor="margin" w:tblpXSpec="center" w:tblpY="1065"/>
        <w:tblW w:w="10075" w:type="dxa"/>
        <w:tblLook w:val="04A0" w:firstRow="1" w:lastRow="0" w:firstColumn="1" w:lastColumn="0" w:noHBand="0" w:noVBand="1"/>
      </w:tblPr>
      <w:tblGrid>
        <w:gridCol w:w="1894"/>
        <w:gridCol w:w="1894"/>
        <w:gridCol w:w="1967"/>
        <w:gridCol w:w="1980"/>
        <w:gridCol w:w="2340"/>
      </w:tblGrid>
      <w:tr w:rsidR="00543F95" w:rsidRPr="00EE7D98" w14:paraId="4E5DE071" w14:textId="77777777" w:rsidTr="00987545">
        <w:trPr>
          <w:trHeight w:val="1094"/>
        </w:trPr>
        <w:tc>
          <w:tcPr>
            <w:tcW w:w="1894" w:type="dxa"/>
          </w:tcPr>
          <w:p w14:paraId="68EAC064"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Author(s). Date</w:t>
            </w:r>
          </w:p>
        </w:tc>
        <w:tc>
          <w:tcPr>
            <w:tcW w:w="1894" w:type="dxa"/>
          </w:tcPr>
          <w:p w14:paraId="10E3A5E8"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Aim of the paper</w:t>
            </w:r>
          </w:p>
        </w:tc>
        <w:tc>
          <w:tcPr>
            <w:tcW w:w="1967" w:type="dxa"/>
          </w:tcPr>
          <w:p w14:paraId="08606623"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Types of studying information</w:t>
            </w:r>
          </w:p>
        </w:tc>
        <w:tc>
          <w:tcPr>
            <w:tcW w:w="1980" w:type="dxa"/>
          </w:tcPr>
          <w:p w14:paraId="753B10AC"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Key findings and conclusions</w:t>
            </w:r>
          </w:p>
        </w:tc>
        <w:tc>
          <w:tcPr>
            <w:tcW w:w="2340" w:type="dxa"/>
          </w:tcPr>
          <w:p w14:paraId="75FB8D05"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 xml:space="preserve">Strengths, weaknesses, links to other sources. </w:t>
            </w:r>
          </w:p>
        </w:tc>
      </w:tr>
      <w:tr w:rsidR="00543F95" w:rsidRPr="00EE7D98" w14:paraId="6EE0A1AC" w14:textId="77777777" w:rsidTr="00987545">
        <w:trPr>
          <w:trHeight w:val="1094"/>
        </w:trPr>
        <w:tc>
          <w:tcPr>
            <w:tcW w:w="1894" w:type="dxa"/>
          </w:tcPr>
          <w:p w14:paraId="027830FC" w14:textId="77777777" w:rsidR="00543F95" w:rsidRPr="00EE7D98" w:rsidRDefault="00543F95" w:rsidP="00987545">
            <w:pPr>
              <w:rPr>
                <w:rFonts w:ascii="Arial" w:hAnsi="Arial" w:cs="Arial"/>
                <w:sz w:val="22"/>
                <w:szCs w:val="22"/>
              </w:rPr>
            </w:pPr>
            <w:proofErr w:type="spellStart"/>
            <w:r w:rsidRPr="00EE7D98">
              <w:rPr>
                <w:rFonts w:ascii="Arial" w:hAnsi="Arial" w:cs="Arial"/>
                <w:sz w:val="22"/>
                <w:szCs w:val="22"/>
              </w:rPr>
              <w:t>Knoefel</w:t>
            </w:r>
            <w:proofErr w:type="spellEnd"/>
            <w:r w:rsidRPr="00EE7D98">
              <w:rPr>
                <w:rFonts w:ascii="Arial" w:hAnsi="Arial" w:cs="Arial"/>
                <w:sz w:val="22"/>
                <w:szCs w:val="22"/>
              </w:rPr>
              <w:t xml:space="preserve"> (2013)</w:t>
            </w:r>
          </w:p>
        </w:tc>
        <w:tc>
          <w:tcPr>
            <w:tcW w:w="1894" w:type="dxa"/>
          </w:tcPr>
          <w:p w14:paraId="57FBF688" w14:textId="3E00FF5A" w:rsidR="00543F95" w:rsidRPr="00EE7D98" w:rsidRDefault="00543F95" w:rsidP="00987545">
            <w:pPr>
              <w:rPr>
                <w:rFonts w:ascii="Arial" w:hAnsi="Arial" w:cs="Arial"/>
                <w:sz w:val="22"/>
                <w:szCs w:val="22"/>
              </w:rPr>
            </w:pPr>
            <w:r w:rsidRPr="00EE7D98">
              <w:rPr>
                <w:rFonts w:ascii="Arial" w:hAnsi="Arial" w:cs="Arial"/>
                <w:sz w:val="22"/>
                <w:szCs w:val="22"/>
              </w:rPr>
              <w:t>Finding the relationship between Dementia and age and sex</w:t>
            </w:r>
          </w:p>
        </w:tc>
        <w:tc>
          <w:tcPr>
            <w:tcW w:w="1967" w:type="dxa"/>
          </w:tcPr>
          <w:p w14:paraId="782DA815" w14:textId="66BA6A05" w:rsidR="00543F95" w:rsidRPr="00EE7D98" w:rsidRDefault="00543F95" w:rsidP="00987545">
            <w:pPr>
              <w:rPr>
                <w:rFonts w:ascii="Arial" w:hAnsi="Arial" w:cs="Arial"/>
                <w:sz w:val="22"/>
                <w:szCs w:val="22"/>
              </w:rPr>
            </w:pPr>
            <w:r w:rsidRPr="00EE7D98">
              <w:rPr>
                <w:rFonts w:ascii="Arial" w:hAnsi="Arial" w:cs="Arial"/>
                <w:sz w:val="22"/>
                <w:szCs w:val="22"/>
              </w:rPr>
              <w:t>Data from the medical research council of cognitive Function, UK</w:t>
            </w:r>
          </w:p>
          <w:p w14:paraId="0A9614F5" w14:textId="77777777" w:rsidR="00543F95" w:rsidRPr="00EE7D98" w:rsidRDefault="00543F95" w:rsidP="00987545">
            <w:pPr>
              <w:rPr>
                <w:rFonts w:ascii="Arial" w:hAnsi="Arial" w:cs="Arial"/>
                <w:sz w:val="22"/>
                <w:szCs w:val="22"/>
              </w:rPr>
            </w:pPr>
          </w:p>
        </w:tc>
        <w:tc>
          <w:tcPr>
            <w:tcW w:w="1980" w:type="dxa"/>
          </w:tcPr>
          <w:p w14:paraId="3AAEC110" w14:textId="4A61C4F3" w:rsidR="00543F95" w:rsidRPr="00EE7D98" w:rsidRDefault="00543F95" w:rsidP="00987545">
            <w:pPr>
              <w:rPr>
                <w:rFonts w:ascii="Arial" w:hAnsi="Arial" w:cs="Arial"/>
                <w:sz w:val="22"/>
                <w:szCs w:val="22"/>
              </w:rPr>
            </w:pPr>
            <w:r w:rsidRPr="00EE7D98">
              <w:rPr>
                <w:rFonts w:ascii="Arial" w:hAnsi="Arial" w:cs="Arial"/>
                <w:sz w:val="22"/>
                <w:szCs w:val="22"/>
              </w:rPr>
              <w:t>There was no substantial evidence of the variation across sites, and the increasing rates are not showing the possible risk factors</w:t>
            </w:r>
          </w:p>
          <w:p w14:paraId="5D315648" w14:textId="7F59D9AA" w:rsidR="00543F95" w:rsidRPr="00EE7D98" w:rsidRDefault="00543F95" w:rsidP="00987545">
            <w:pPr>
              <w:rPr>
                <w:rFonts w:ascii="Arial" w:hAnsi="Arial" w:cs="Arial"/>
                <w:sz w:val="22"/>
                <w:szCs w:val="22"/>
              </w:rPr>
            </w:pPr>
            <w:r w:rsidRPr="00EE7D98">
              <w:rPr>
                <w:rFonts w:ascii="Arial" w:hAnsi="Arial" w:cs="Arial"/>
                <w:sz w:val="22"/>
                <w:szCs w:val="22"/>
              </w:rPr>
              <w:t xml:space="preserve">He concludes that rates of Dementia are not tailing off at old age. </w:t>
            </w:r>
          </w:p>
          <w:p w14:paraId="48C7EF55" w14:textId="77777777" w:rsidR="00543F95" w:rsidRPr="00EE7D98" w:rsidRDefault="00543F95" w:rsidP="00987545">
            <w:pPr>
              <w:rPr>
                <w:rFonts w:ascii="Arial" w:hAnsi="Arial" w:cs="Arial"/>
                <w:sz w:val="22"/>
                <w:szCs w:val="22"/>
              </w:rPr>
            </w:pPr>
          </w:p>
        </w:tc>
        <w:tc>
          <w:tcPr>
            <w:tcW w:w="2340" w:type="dxa"/>
          </w:tcPr>
          <w:p w14:paraId="39356E4A" w14:textId="1E09F71D" w:rsidR="00543F95" w:rsidRPr="00EE7D98" w:rsidRDefault="00543F95" w:rsidP="00987545">
            <w:pPr>
              <w:rPr>
                <w:rFonts w:ascii="Arial" w:hAnsi="Arial" w:cs="Arial"/>
                <w:sz w:val="22"/>
                <w:szCs w:val="22"/>
              </w:rPr>
            </w:pPr>
            <w:r w:rsidRPr="00EE7D98">
              <w:rPr>
                <w:rFonts w:ascii="Arial" w:hAnsi="Arial" w:cs="Arial"/>
                <w:sz w:val="22"/>
                <w:szCs w:val="22"/>
              </w:rPr>
              <w:t>His primary strength is to find out that the five sites increase in age and increase the chances of Dementia.</w:t>
            </w:r>
          </w:p>
          <w:p w14:paraId="51D4E1A0" w14:textId="4249E1EB" w:rsidR="00543F95" w:rsidRPr="00EE7D98" w:rsidRDefault="00543F95" w:rsidP="00987545">
            <w:pPr>
              <w:rPr>
                <w:rFonts w:ascii="Arial" w:hAnsi="Arial" w:cs="Arial"/>
                <w:sz w:val="22"/>
                <w:szCs w:val="22"/>
              </w:rPr>
            </w:pPr>
            <w:r w:rsidRPr="00EE7D98">
              <w:rPr>
                <w:rFonts w:ascii="Arial" w:hAnsi="Arial" w:cs="Arial"/>
                <w:sz w:val="22"/>
                <w:szCs w:val="22"/>
              </w:rPr>
              <w:t xml:space="preserve">It linked with other previously researched studies by concluding that there is no significant difference in the effects of Dementia in both sexes </w:t>
            </w:r>
          </w:p>
        </w:tc>
      </w:tr>
      <w:tr w:rsidR="00543F95" w:rsidRPr="00EE7D98" w14:paraId="57911A54" w14:textId="77777777" w:rsidTr="00987545">
        <w:trPr>
          <w:trHeight w:val="1094"/>
        </w:trPr>
        <w:tc>
          <w:tcPr>
            <w:tcW w:w="1894" w:type="dxa"/>
          </w:tcPr>
          <w:p w14:paraId="3AA72890" w14:textId="1741F3C8" w:rsidR="00543F95" w:rsidRPr="00EE7D98" w:rsidRDefault="00543F95" w:rsidP="00987545">
            <w:pPr>
              <w:rPr>
                <w:rFonts w:ascii="Arial" w:hAnsi="Arial" w:cs="Arial"/>
                <w:sz w:val="22"/>
                <w:szCs w:val="22"/>
              </w:rPr>
            </w:pPr>
            <w:r w:rsidRPr="00EE7D98">
              <w:rPr>
                <w:rFonts w:ascii="Arial" w:hAnsi="Arial" w:cs="Arial"/>
                <w:noProof/>
                <w:sz w:val="22"/>
                <w:szCs w:val="22"/>
              </w:rPr>
              <w:t>Barkley (2014)</w:t>
            </w:r>
          </w:p>
        </w:tc>
        <w:tc>
          <w:tcPr>
            <w:tcW w:w="1894" w:type="dxa"/>
          </w:tcPr>
          <w:p w14:paraId="39CBF780" w14:textId="77777777" w:rsidR="00543F95" w:rsidRPr="00EE7D98" w:rsidRDefault="00543F95" w:rsidP="00987545">
            <w:pPr>
              <w:rPr>
                <w:rFonts w:ascii="Arial" w:hAnsi="Arial" w:cs="Arial"/>
                <w:sz w:val="22"/>
                <w:szCs w:val="22"/>
              </w:rPr>
            </w:pPr>
            <w:r w:rsidRPr="00EE7D98">
              <w:rPr>
                <w:rFonts w:ascii="Arial" w:hAnsi="Arial" w:cs="Arial"/>
                <w:sz w:val="22"/>
                <w:szCs w:val="22"/>
              </w:rPr>
              <w:t xml:space="preserve">Find the relationship between heavy drinking and cognitive impairment </w:t>
            </w:r>
          </w:p>
        </w:tc>
        <w:tc>
          <w:tcPr>
            <w:tcW w:w="1967" w:type="dxa"/>
          </w:tcPr>
          <w:p w14:paraId="60E2C583" w14:textId="13A8A55F" w:rsidR="00543F95" w:rsidRPr="00EE7D98" w:rsidRDefault="00543F95" w:rsidP="00987545">
            <w:pPr>
              <w:rPr>
                <w:rFonts w:ascii="Arial" w:hAnsi="Arial" w:cs="Arial"/>
                <w:sz w:val="22"/>
                <w:szCs w:val="22"/>
              </w:rPr>
            </w:pPr>
            <w:r w:rsidRPr="00EE7D98">
              <w:rPr>
                <w:rFonts w:ascii="Arial" w:hAnsi="Arial" w:cs="Arial"/>
                <w:sz w:val="22"/>
                <w:szCs w:val="22"/>
              </w:rPr>
              <w:t xml:space="preserve">Population-based study </w:t>
            </w:r>
          </w:p>
        </w:tc>
        <w:tc>
          <w:tcPr>
            <w:tcW w:w="1980" w:type="dxa"/>
          </w:tcPr>
          <w:p w14:paraId="76C00E86" w14:textId="15EA3397" w:rsidR="00543F95" w:rsidRPr="00EE7D98" w:rsidRDefault="00543F95" w:rsidP="00987545">
            <w:pPr>
              <w:rPr>
                <w:rFonts w:ascii="Arial" w:hAnsi="Arial" w:cs="Arial"/>
                <w:sz w:val="22"/>
                <w:szCs w:val="22"/>
              </w:rPr>
            </w:pPr>
            <w:r w:rsidRPr="00EE7D98">
              <w:rPr>
                <w:rFonts w:ascii="Arial" w:hAnsi="Arial" w:cs="Arial"/>
                <w:sz w:val="22"/>
                <w:szCs w:val="22"/>
              </w:rPr>
              <w:t xml:space="preserve">Excess alcohol for an extended </w:t>
            </w:r>
            <w:proofErr w:type="gramStart"/>
            <w:r w:rsidRPr="00EE7D98">
              <w:rPr>
                <w:rFonts w:ascii="Arial" w:hAnsi="Arial" w:cs="Arial"/>
                <w:sz w:val="22"/>
                <w:szCs w:val="22"/>
              </w:rPr>
              <w:t>period of time</w:t>
            </w:r>
            <w:proofErr w:type="gramEnd"/>
            <w:r w:rsidRPr="00EE7D98">
              <w:rPr>
                <w:rFonts w:ascii="Arial" w:hAnsi="Arial" w:cs="Arial"/>
                <w:sz w:val="22"/>
                <w:szCs w:val="22"/>
              </w:rPr>
              <w:t xml:space="preserve"> damages the brain, thus increasing the rate of dementia development. </w:t>
            </w:r>
          </w:p>
        </w:tc>
        <w:tc>
          <w:tcPr>
            <w:tcW w:w="2340" w:type="dxa"/>
          </w:tcPr>
          <w:p w14:paraId="40FA2603" w14:textId="492DD3F6" w:rsidR="00543F95" w:rsidRPr="00EE7D98" w:rsidRDefault="00543F95" w:rsidP="00987545">
            <w:pPr>
              <w:rPr>
                <w:rFonts w:ascii="Arial" w:hAnsi="Arial" w:cs="Arial"/>
                <w:sz w:val="22"/>
                <w:szCs w:val="22"/>
              </w:rPr>
            </w:pPr>
            <w:r w:rsidRPr="00EE7D98">
              <w:rPr>
                <w:rFonts w:ascii="Arial" w:hAnsi="Arial" w:cs="Arial"/>
                <w:sz w:val="22"/>
                <w:szCs w:val="22"/>
              </w:rPr>
              <w:t xml:space="preserve"> The major strengths are that he identified the effects on the brain of excessive alcohol consumption</w:t>
            </w:r>
          </w:p>
        </w:tc>
      </w:tr>
      <w:tr w:rsidR="00543F95" w:rsidRPr="00EE7D98" w14:paraId="729ED0E6" w14:textId="77777777" w:rsidTr="00987545">
        <w:trPr>
          <w:trHeight w:val="1145"/>
        </w:trPr>
        <w:tc>
          <w:tcPr>
            <w:tcW w:w="1894" w:type="dxa"/>
          </w:tcPr>
          <w:p w14:paraId="74ABEF2A" w14:textId="28AC7CF0" w:rsidR="00543F95" w:rsidRPr="00EE7D98" w:rsidRDefault="00543F95" w:rsidP="00987545">
            <w:pPr>
              <w:rPr>
                <w:rFonts w:ascii="Arial" w:hAnsi="Arial" w:cs="Arial"/>
                <w:sz w:val="22"/>
                <w:szCs w:val="22"/>
              </w:rPr>
            </w:pPr>
            <w:r w:rsidRPr="00EE7D98">
              <w:rPr>
                <w:rFonts w:ascii="Arial" w:hAnsi="Arial" w:cs="Arial"/>
                <w:noProof/>
                <w:sz w:val="22"/>
                <w:szCs w:val="22"/>
              </w:rPr>
              <w:t>Clarke (2012)</w:t>
            </w:r>
          </w:p>
        </w:tc>
        <w:tc>
          <w:tcPr>
            <w:tcW w:w="1894" w:type="dxa"/>
          </w:tcPr>
          <w:p w14:paraId="0303189F" w14:textId="4A3AEC47" w:rsidR="00543F95" w:rsidRPr="00EE7D98" w:rsidRDefault="00543F95" w:rsidP="00987545">
            <w:pPr>
              <w:rPr>
                <w:rFonts w:ascii="Arial" w:hAnsi="Arial" w:cs="Arial"/>
                <w:sz w:val="22"/>
                <w:szCs w:val="22"/>
              </w:rPr>
            </w:pPr>
            <w:r w:rsidRPr="00EE7D98">
              <w:rPr>
                <w:rFonts w:ascii="Arial" w:hAnsi="Arial" w:cs="Arial"/>
                <w:sz w:val="22"/>
                <w:szCs w:val="22"/>
              </w:rPr>
              <w:t>Find out the link between the lifestyle risk factors and Dementia</w:t>
            </w:r>
          </w:p>
        </w:tc>
        <w:tc>
          <w:tcPr>
            <w:tcW w:w="1967" w:type="dxa"/>
          </w:tcPr>
          <w:p w14:paraId="28D430B4" w14:textId="77777777" w:rsidR="00543F95" w:rsidRPr="00EE7D98" w:rsidRDefault="00543F95" w:rsidP="00987545">
            <w:pPr>
              <w:rPr>
                <w:rFonts w:ascii="Arial" w:hAnsi="Arial" w:cs="Arial"/>
                <w:sz w:val="22"/>
                <w:szCs w:val="22"/>
              </w:rPr>
            </w:pPr>
            <w:r w:rsidRPr="00EE7D98">
              <w:rPr>
                <w:rFonts w:ascii="Arial" w:hAnsi="Arial" w:cs="Arial"/>
                <w:sz w:val="22"/>
                <w:szCs w:val="22"/>
              </w:rPr>
              <w:t xml:space="preserve"> Data from American Society of Nutrition</w:t>
            </w:r>
          </w:p>
        </w:tc>
        <w:tc>
          <w:tcPr>
            <w:tcW w:w="1980" w:type="dxa"/>
          </w:tcPr>
          <w:p w14:paraId="6F5D31EC" w14:textId="410243EC" w:rsidR="00543F95" w:rsidRPr="00EE7D98" w:rsidRDefault="00543F95" w:rsidP="00987545">
            <w:pPr>
              <w:rPr>
                <w:rFonts w:ascii="Arial" w:hAnsi="Arial" w:cs="Arial"/>
                <w:sz w:val="22"/>
                <w:szCs w:val="22"/>
              </w:rPr>
            </w:pPr>
            <w:r w:rsidRPr="00EE7D98">
              <w:rPr>
                <w:rFonts w:ascii="Arial" w:hAnsi="Arial" w:cs="Arial"/>
                <w:sz w:val="22"/>
                <w:szCs w:val="22"/>
              </w:rPr>
              <w:t>Excess sleep and high leisure time increase the chances of dementia effects.</w:t>
            </w:r>
          </w:p>
        </w:tc>
        <w:tc>
          <w:tcPr>
            <w:tcW w:w="2340" w:type="dxa"/>
          </w:tcPr>
          <w:p w14:paraId="655114FB" w14:textId="60770BF6" w:rsidR="00543F95" w:rsidRPr="00EE7D98" w:rsidRDefault="00543F95" w:rsidP="00987545">
            <w:pPr>
              <w:rPr>
                <w:rFonts w:ascii="Arial" w:hAnsi="Arial" w:cs="Arial"/>
                <w:sz w:val="22"/>
                <w:szCs w:val="22"/>
              </w:rPr>
            </w:pPr>
            <w:r w:rsidRPr="00EE7D98">
              <w:rPr>
                <w:rFonts w:ascii="Arial" w:hAnsi="Arial" w:cs="Arial"/>
                <w:sz w:val="22"/>
                <w:szCs w:val="22"/>
              </w:rPr>
              <w:t>His weakness is that the studies conducted were observational the mechanism behind the associations was not assessed.</w:t>
            </w:r>
          </w:p>
        </w:tc>
      </w:tr>
      <w:tr w:rsidR="00543F95" w:rsidRPr="00EE7D98" w14:paraId="14DFDB9B" w14:textId="77777777" w:rsidTr="00987545">
        <w:trPr>
          <w:trHeight w:val="1094"/>
        </w:trPr>
        <w:tc>
          <w:tcPr>
            <w:tcW w:w="1894" w:type="dxa"/>
          </w:tcPr>
          <w:p w14:paraId="51C10116" w14:textId="467C5C05" w:rsidR="00543F95" w:rsidRPr="00EE7D98" w:rsidRDefault="00543F95" w:rsidP="00987545">
            <w:pPr>
              <w:rPr>
                <w:rFonts w:ascii="Arial" w:hAnsi="Arial" w:cs="Arial"/>
                <w:sz w:val="22"/>
                <w:szCs w:val="22"/>
              </w:rPr>
            </w:pPr>
            <w:r w:rsidRPr="00EE7D98">
              <w:rPr>
                <w:rFonts w:ascii="Arial" w:hAnsi="Arial" w:cs="Arial"/>
                <w:noProof/>
                <w:sz w:val="22"/>
                <w:szCs w:val="22"/>
              </w:rPr>
              <w:t>Dewey (2017)</w:t>
            </w:r>
          </w:p>
        </w:tc>
        <w:tc>
          <w:tcPr>
            <w:tcW w:w="1894" w:type="dxa"/>
          </w:tcPr>
          <w:p w14:paraId="74539ACE" w14:textId="3867F9F9" w:rsidR="00543F95" w:rsidRPr="00EE7D98" w:rsidRDefault="00543F95" w:rsidP="00987545">
            <w:pPr>
              <w:rPr>
                <w:rFonts w:ascii="Arial" w:hAnsi="Arial" w:cs="Arial"/>
                <w:sz w:val="22"/>
                <w:szCs w:val="22"/>
              </w:rPr>
            </w:pPr>
            <w:r w:rsidRPr="00EE7D98">
              <w:rPr>
                <w:rFonts w:ascii="Arial" w:hAnsi="Arial" w:cs="Arial"/>
                <w:sz w:val="22"/>
                <w:szCs w:val="22"/>
              </w:rPr>
              <w:t>Finding out the incidence of Dementia on seniors from ethnic and racial minority groups in the UK</w:t>
            </w:r>
          </w:p>
        </w:tc>
        <w:tc>
          <w:tcPr>
            <w:tcW w:w="1967" w:type="dxa"/>
          </w:tcPr>
          <w:p w14:paraId="4666CDAB" w14:textId="22F1FC47" w:rsidR="00543F95" w:rsidRPr="00EE7D98" w:rsidRDefault="00543F95" w:rsidP="00987545">
            <w:pPr>
              <w:rPr>
                <w:rFonts w:ascii="Arial" w:hAnsi="Arial" w:cs="Arial"/>
                <w:sz w:val="22"/>
                <w:szCs w:val="22"/>
              </w:rPr>
            </w:pPr>
            <w:r w:rsidRPr="00EE7D98">
              <w:rPr>
                <w:rFonts w:ascii="Arial" w:hAnsi="Arial" w:cs="Arial"/>
                <w:sz w:val="22"/>
                <w:szCs w:val="22"/>
              </w:rPr>
              <w:t>It was based on the analysis of information form a national cohort of older people</w:t>
            </w:r>
          </w:p>
        </w:tc>
        <w:tc>
          <w:tcPr>
            <w:tcW w:w="1980" w:type="dxa"/>
          </w:tcPr>
          <w:p w14:paraId="70ECE446" w14:textId="1472F303" w:rsidR="00543F95" w:rsidRPr="00EE7D98" w:rsidRDefault="00543F95" w:rsidP="00987545">
            <w:pPr>
              <w:rPr>
                <w:rFonts w:ascii="Arial" w:hAnsi="Arial" w:cs="Arial"/>
                <w:sz w:val="22"/>
                <w:szCs w:val="22"/>
              </w:rPr>
            </w:pPr>
            <w:r w:rsidRPr="00EE7D98">
              <w:rPr>
                <w:rFonts w:ascii="Arial" w:hAnsi="Arial" w:cs="Arial"/>
                <w:sz w:val="22"/>
                <w:szCs w:val="22"/>
              </w:rPr>
              <w:t>Identified the risk of Dementia which is a challenge to UK public health that deserves a greater attention.</w:t>
            </w:r>
          </w:p>
        </w:tc>
        <w:tc>
          <w:tcPr>
            <w:tcW w:w="2340" w:type="dxa"/>
          </w:tcPr>
          <w:p w14:paraId="4AFE3263" w14:textId="0E6CEB9A" w:rsidR="00543F95" w:rsidRPr="00EE7D98" w:rsidRDefault="00543F95" w:rsidP="00987545">
            <w:pPr>
              <w:rPr>
                <w:rFonts w:ascii="Arial" w:hAnsi="Arial" w:cs="Arial"/>
                <w:sz w:val="22"/>
                <w:szCs w:val="22"/>
              </w:rPr>
            </w:pPr>
            <w:r w:rsidRPr="00EE7D98">
              <w:rPr>
                <w:rFonts w:ascii="Arial" w:hAnsi="Arial" w:cs="Arial"/>
                <w:sz w:val="22"/>
                <w:szCs w:val="22"/>
              </w:rPr>
              <w:t xml:space="preserve">Strengths is that despite the geographical region variations, he </w:t>
            </w:r>
            <w:r w:rsidR="00BC6119" w:rsidRPr="00EE7D98">
              <w:rPr>
                <w:rFonts w:ascii="Arial" w:hAnsi="Arial" w:cs="Arial"/>
                <w:sz w:val="22"/>
                <w:szCs w:val="22"/>
              </w:rPr>
              <w:t>realized</w:t>
            </w:r>
            <w:r w:rsidRPr="00EE7D98">
              <w:rPr>
                <w:rFonts w:ascii="Arial" w:hAnsi="Arial" w:cs="Arial"/>
                <w:sz w:val="22"/>
                <w:szCs w:val="22"/>
              </w:rPr>
              <w:t xml:space="preserve"> that there was the high rate of Dementia for black and Hispanic participants.</w:t>
            </w:r>
          </w:p>
        </w:tc>
      </w:tr>
    </w:tbl>
    <w:p w14:paraId="52BAB2E1" w14:textId="77777777" w:rsidR="00543F95" w:rsidRPr="00EE7D98" w:rsidRDefault="00543F95" w:rsidP="00543F95">
      <w:pPr>
        <w:rPr>
          <w:rFonts w:ascii="Arial" w:hAnsi="Arial" w:cs="Arial"/>
          <w:sz w:val="22"/>
        </w:rPr>
      </w:pPr>
    </w:p>
    <w:p w14:paraId="0CAD2ADC" w14:textId="77777777" w:rsidR="008A67D6" w:rsidRPr="00EE7D98" w:rsidRDefault="008A67D6" w:rsidP="008A67D6">
      <w:pPr>
        <w:ind w:firstLine="720"/>
        <w:rPr>
          <w:rFonts w:ascii="Arial" w:hAnsi="Arial" w:cs="Arial"/>
          <w:b/>
          <w:bCs/>
          <w:sz w:val="22"/>
        </w:rPr>
      </w:pPr>
    </w:p>
    <w:p w14:paraId="1739757B" w14:textId="77777777" w:rsidR="00FD7F20" w:rsidRPr="00EE7D98" w:rsidRDefault="00FD7F20" w:rsidP="00543F95">
      <w:pPr>
        <w:pStyle w:val="Heading1"/>
        <w:jc w:val="center"/>
        <w:rPr>
          <w:rFonts w:ascii="Arial" w:hAnsi="Arial" w:cs="Arial"/>
          <w:sz w:val="22"/>
          <w:szCs w:val="22"/>
        </w:rPr>
      </w:pPr>
      <w:bookmarkStart w:id="7" w:name="_Toc118449068"/>
      <w:r w:rsidRPr="00EE7D98">
        <w:rPr>
          <w:rFonts w:ascii="Arial" w:hAnsi="Arial" w:cs="Arial"/>
          <w:sz w:val="22"/>
          <w:szCs w:val="22"/>
        </w:rPr>
        <w:lastRenderedPageBreak/>
        <w:t>Findings</w:t>
      </w:r>
      <w:bookmarkEnd w:id="7"/>
    </w:p>
    <w:p w14:paraId="125CA3C3" w14:textId="7E0DD48A" w:rsidR="00FD7F20" w:rsidRPr="00EE7D98" w:rsidRDefault="00FD7F20" w:rsidP="00FD7F20">
      <w:pPr>
        <w:ind w:firstLine="720"/>
        <w:rPr>
          <w:rFonts w:ascii="Arial" w:hAnsi="Arial" w:cs="Arial"/>
          <w:sz w:val="22"/>
        </w:rPr>
      </w:pPr>
      <w:r w:rsidRPr="00EE7D98">
        <w:rPr>
          <w:rFonts w:ascii="Arial" w:hAnsi="Arial" w:cs="Arial"/>
          <w:sz w:val="22"/>
        </w:rPr>
        <w:t xml:space="preserve">The study gives out the first multi-site incidences comparison rates in the homogenous ethical populations in countries within Europe using one methodology. They are comprehensive sites with exposures that vary and are of potential essence in </w:t>
      </w:r>
      <w:r w:rsidR="00F92333" w:rsidRPr="00EE7D98">
        <w:rPr>
          <w:rFonts w:ascii="Arial" w:hAnsi="Arial" w:cs="Arial"/>
          <w:sz w:val="22"/>
        </w:rPr>
        <w:t>D</w:t>
      </w:r>
      <w:r w:rsidRPr="00EE7D98">
        <w:rPr>
          <w:rFonts w:ascii="Arial" w:hAnsi="Arial" w:cs="Arial"/>
          <w:sz w:val="22"/>
        </w:rPr>
        <w:t>ementia; no differences were found in all the sites</w:t>
      </w:r>
      <w:sdt>
        <w:sdtPr>
          <w:rPr>
            <w:rFonts w:ascii="Arial" w:hAnsi="Arial" w:cs="Arial"/>
            <w:sz w:val="22"/>
          </w:rPr>
          <w:id w:val="1090201226"/>
          <w:citation/>
        </w:sdtPr>
        <w:sdtContent>
          <w:r w:rsidRPr="00EE7D98">
            <w:rPr>
              <w:rFonts w:ascii="Arial" w:hAnsi="Arial" w:cs="Arial"/>
              <w:sz w:val="22"/>
            </w:rPr>
            <w:fldChar w:fldCharType="begin"/>
          </w:r>
          <w:r w:rsidRPr="00EE7D98">
            <w:rPr>
              <w:rFonts w:ascii="Arial" w:hAnsi="Arial" w:cs="Arial"/>
              <w:sz w:val="22"/>
            </w:rPr>
            <w:instrText xml:space="preserve"> CITATION Har13 \l 1033 </w:instrText>
          </w:r>
          <w:r w:rsidRPr="00EE7D98">
            <w:rPr>
              <w:rFonts w:ascii="Arial" w:hAnsi="Arial" w:cs="Arial"/>
              <w:sz w:val="22"/>
            </w:rPr>
            <w:fldChar w:fldCharType="separate"/>
          </w:r>
          <w:r w:rsidRPr="00EE7D98">
            <w:rPr>
              <w:rFonts w:ascii="Arial" w:hAnsi="Arial" w:cs="Arial"/>
              <w:noProof/>
              <w:sz w:val="22"/>
            </w:rPr>
            <w:t xml:space="preserve"> (Harskamp, 2013)</w:t>
          </w:r>
          <w:r w:rsidRPr="00EE7D98">
            <w:rPr>
              <w:rFonts w:ascii="Arial" w:hAnsi="Arial" w:cs="Arial"/>
              <w:sz w:val="22"/>
            </w:rPr>
            <w:fldChar w:fldCharType="end"/>
          </w:r>
        </w:sdtContent>
      </w:sdt>
      <w:r w:rsidRPr="00EE7D98">
        <w:rPr>
          <w:rFonts w:ascii="Arial" w:hAnsi="Arial" w:cs="Arial"/>
          <w:sz w:val="22"/>
        </w:rPr>
        <w:t>. The incidence reflected prevalence despite variations in life expectancy in all the regions in Europe. The estimate indicates methods that can be reflected in time for cohort effects investigations. No effects on gender and the same were indicated in the other various studies with the same rates overall on men and women. Age makes the rate of both sexes drastically rise. No evidence was found on the slowing rate of old age groups, and the individuals at greater risk were 65 years to 90 years.</w:t>
      </w:r>
    </w:p>
    <w:p w14:paraId="07032C89" w14:textId="4E5BB814" w:rsidR="00FD7F20" w:rsidRPr="00EE7D98" w:rsidRDefault="00FD7F20" w:rsidP="00FD7F20">
      <w:pPr>
        <w:ind w:firstLine="720"/>
        <w:rPr>
          <w:rFonts w:ascii="Arial" w:hAnsi="Arial" w:cs="Arial"/>
          <w:sz w:val="22"/>
        </w:rPr>
      </w:pPr>
      <w:r w:rsidRPr="00EE7D98">
        <w:rPr>
          <w:rFonts w:ascii="Arial" w:hAnsi="Arial" w:cs="Arial"/>
          <w:sz w:val="22"/>
        </w:rPr>
        <w:t xml:space="preserve">Also, on the considerations of methodology, the samples selected were from different geographical positions and with actual response rates. On the other side, the base population represented the sampled population and included responses from institutions. Centrally, many studies on </w:t>
      </w:r>
      <w:r w:rsidR="00F92333" w:rsidRPr="00EE7D98">
        <w:rPr>
          <w:rFonts w:ascii="Arial" w:hAnsi="Arial" w:cs="Arial"/>
          <w:sz w:val="22"/>
        </w:rPr>
        <w:t>D</w:t>
      </w:r>
      <w:r w:rsidRPr="00EE7D98">
        <w:rPr>
          <w:rFonts w:ascii="Arial" w:hAnsi="Arial" w:cs="Arial"/>
          <w:sz w:val="22"/>
        </w:rPr>
        <w:t>ementia do not provide robust estimates of the population since they include subjects from institutions and cannot accurately measure the population locally</w:t>
      </w:r>
      <w:sdt>
        <w:sdtPr>
          <w:rPr>
            <w:rFonts w:ascii="Arial" w:hAnsi="Arial" w:cs="Arial"/>
            <w:sz w:val="22"/>
          </w:rPr>
          <w:id w:val="1752931302"/>
          <w:citation/>
        </w:sdtPr>
        <w:sdtContent>
          <w:r w:rsidRPr="00EE7D98">
            <w:rPr>
              <w:rFonts w:ascii="Arial" w:hAnsi="Arial" w:cs="Arial"/>
              <w:sz w:val="22"/>
            </w:rPr>
            <w:fldChar w:fldCharType="begin"/>
          </w:r>
          <w:r w:rsidRPr="00EE7D98">
            <w:rPr>
              <w:rFonts w:ascii="Arial" w:hAnsi="Arial" w:cs="Arial"/>
              <w:sz w:val="22"/>
            </w:rPr>
            <w:instrText xml:space="preserve"> CITATION Kno14 \l 1033 </w:instrText>
          </w:r>
          <w:r w:rsidRPr="00EE7D98">
            <w:rPr>
              <w:rFonts w:ascii="Arial" w:hAnsi="Arial" w:cs="Arial"/>
              <w:sz w:val="22"/>
            </w:rPr>
            <w:fldChar w:fldCharType="separate"/>
          </w:r>
          <w:r w:rsidRPr="00EE7D98">
            <w:rPr>
              <w:rFonts w:ascii="Arial" w:hAnsi="Arial" w:cs="Arial"/>
              <w:noProof/>
              <w:sz w:val="22"/>
            </w:rPr>
            <w:t xml:space="preserve"> (Knoefel, 2014)</w:t>
          </w:r>
          <w:r w:rsidRPr="00EE7D98">
            <w:rPr>
              <w:rFonts w:ascii="Arial" w:hAnsi="Arial" w:cs="Arial"/>
              <w:sz w:val="22"/>
            </w:rPr>
            <w:fldChar w:fldCharType="end"/>
          </w:r>
        </w:sdtContent>
      </w:sdt>
      <w:r w:rsidRPr="00EE7D98">
        <w:rPr>
          <w:rFonts w:ascii="Arial" w:hAnsi="Arial" w:cs="Arial"/>
          <w:sz w:val="22"/>
        </w:rPr>
        <w:t xml:space="preserve">. </w:t>
      </w:r>
    </w:p>
    <w:p w14:paraId="1FD03C31" w14:textId="77777777" w:rsidR="00FD7F20" w:rsidRPr="00EE7D98" w:rsidRDefault="00FD7F20" w:rsidP="00FD7F20">
      <w:pPr>
        <w:ind w:firstLine="720"/>
        <w:rPr>
          <w:rFonts w:ascii="Arial" w:hAnsi="Arial" w:cs="Arial"/>
          <w:sz w:val="22"/>
        </w:rPr>
      </w:pPr>
      <w:r w:rsidRPr="00EE7D98">
        <w:rPr>
          <w:rFonts w:ascii="Arial" w:hAnsi="Arial" w:cs="Arial"/>
          <w:sz w:val="22"/>
        </w:rPr>
        <w:t>Biases of interviewers, ratings and interviewers' responses across the sites influence the epitome of the findings. However, they are controlled through the coordinator at the national level giving out systematic training, quality control at an average level, and interviews structured highly. Also, in diagnosis from the interview assessment was stable and indicated the validity of the research conducted in various settings</w:t>
      </w:r>
      <w:sdt>
        <w:sdtPr>
          <w:rPr>
            <w:rFonts w:ascii="Arial" w:hAnsi="Arial" w:cs="Arial"/>
            <w:sz w:val="22"/>
          </w:rPr>
          <w:id w:val="353389998"/>
          <w:citation/>
        </w:sdtPr>
        <w:sdtContent>
          <w:r w:rsidRPr="00EE7D98">
            <w:rPr>
              <w:rFonts w:ascii="Arial" w:hAnsi="Arial" w:cs="Arial"/>
              <w:sz w:val="22"/>
            </w:rPr>
            <w:fldChar w:fldCharType="begin"/>
          </w:r>
          <w:r w:rsidRPr="00EE7D98">
            <w:rPr>
              <w:rFonts w:ascii="Arial" w:hAnsi="Arial" w:cs="Arial"/>
              <w:sz w:val="22"/>
            </w:rPr>
            <w:instrText xml:space="preserve"> CITATION Dod11 \l 1033 </w:instrText>
          </w:r>
          <w:r w:rsidRPr="00EE7D98">
            <w:rPr>
              <w:rFonts w:ascii="Arial" w:hAnsi="Arial" w:cs="Arial"/>
              <w:sz w:val="22"/>
            </w:rPr>
            <w:fldChar w:fldCharType="separate"/>
          </w:r>
          <w:r w:rsidRPr="00EE7D98">
            <w:rPr>
              <w:rFonts w:ascii="Arial" w:hAnsi="Arial" w:cs="Arial"/>
              <w:noProof/>
              <w:sz w:val="22"/>
            </w:rPr>
            <w:t xml:space="preserve"> (Dodge, 2011)</w:t>
          </w:r>
          <w:r w:rsidRPr="00EE7D98">
            <w:rPr>
              <w:rFonts w:ascii="Arial" w:hAnsi="Arial" w:cs="Arial"/>
              <w:sz w:val="22"/>
            </w:rPr>
            <w:fldChar w:fldCharType="end"/>
          </w:r>
        </w:sdtContent>
      </w:sdt>
      <w:r w:rsidRPr="00EE7D98">
        <w:rPr>
          <w:rFonts w:ascii="Arial" w:hAnsi="Arial" w:cs="Arial"/>
          <w:sz w:val="22"/>
        </w:rPr>
        <w:t>. The main benefit of the standard clinical diagnosis is that trained interviewers conduct the interviews and thus achieve the standard ratings. This leads to a computerized algorithm, which reduces the possibility of systematic biases, giving out consistency in all the sites</w:t>
      </w:r>
      <w:sdt>
        <w:sdtPr>
          <w:rPr>
            <w:rFonts w:ascii="Arial" w:hAnsi="Arial" w:cs="Arial"/>
            <w:sz w:val="22"/>
          </w:rPr>
          <w:id w:val="-2042888094"/>
          <w:citation/>
        </w:sdtPr>
        <w:sdtContent>
          <w:r w:rsidRPr="00EE7D98">
            <w:rPr>
              <w:rFonts w:ascii="Arial" w:hAnsi="Arial" w:cs="Arial"/>
              <w:sz w:val="22"/>
            </w:rPr>
            <w:fldChar w:fldCharType="begin"/>
          </w:r>
          <w:r w:rsidRPr="00EE7D98">
            <w:rPr>
              <w:rFonts w:ascii="Arial" w:hAnsi="Arial" w:cs="Arial"/>
              <w:sz w:val="22"/>
            </w:rPr>
            <w:instrText xml:space="preserve"> CITATION Pilma \l 1033 </w:instrText>
          </w:r>
          <w:r w:rsidRPr="00EE7D98">
            <w:rPr>
              <w:rFonts w:ascii="Arial" w:hAnsi="Arial" w:cs="Arial"/>
              <w:sz w:val="22"/>
            </w:rPr>
            <w:fldChar w:fldCharType="separate"/>
          </w:r>
          <w:r w:rsidRPr="00EE7D98">
            <w:rPr>
              <w:rFonts w:ascii="Arial" w:hAnsi="Arial" w:cs="Arial"/>
              <w:noProof/>
              <w:sz w:val="22"/>
            </w:rPr>
            <w:t xml:space="preserve"> (Pilgrim, Jama)</w:t>
          </w:r>
          <w:r w:rsidRPr="00EE7D98">
            <w:rPr>
              <w:rFonts w:ascii="Arial" w:hAnsi="Arial" w:cs="Arial"/>
              <w:sz w:val="22"/>
            </w:rPr>
            <w:fldChar w:fldCharType="end"/>
          </w:r>
        </w:sdtContent>
      </w:sdt>
      <w:r w:rsidRPr="00EE7D98">
        <w:rPr>
          <w:rFonts w:ascii="Arial" w:hAnsi="Arial" w:cs="Arial"/>
          <w:sz w:val="22"/>
        </w:rPr>
        <w:t xml:space="preserve">. Clinical records review was used for diagnosis and vastly from the prevalence phase. This resulted from data poverty instead of </w:t>
      </w:r>
      <w:r w:rsidRPr="00EE7D98">
        <w:rPr>
          <w:rFonts w:ascii="Arial" w:hAnsi="Arial" w:cs="Arial"/>
          <w:sz w:val="22"/>
        </w:rPr>
        <w:lastRenderedPageBreak/>
        <w:t>clinical</w:t>
      </w:r>
      <w:sdt>
        <w:sdtPr>
          <w:rPr>
            <w:rFonts w:ascii="Arial" w:hAnsi="Arial" w:cs="Arial"/>
            <w:sz w:val="22"/>
          </w:rPr>
          <w:id w:val="719790198"/>
          <w:citation/>
        </w:sdtPr>
        <w:sdtContent>
          <w:r w:rsidRPr="00EE7D98">
            <w:rPr>
              <w:rFonts w:ascii="Arial" w:hAnsi="Arial" w:cs="Arial"/>
              <w:sz w:val="22"/>
            </w:rPr>
            <w:fldChar w:fldCharType="begin"/>
          </w:r>
          <w:r w:rsidRPr="00EE7D98">
            <w:rPr>
              <w:rFonts w:ascii="Arial" w:hAnsi="Arial" w:cs="Arial"/>
              <w:sz w:val="22"/>
            </w:rPr>
            <w:instrText xml:space="preserve"> CITATION Jac11 \l 1033 </w:instrText>
          </w:r>
          <w:r w:rsidRPr="00EE7D98">
            <w:rPr>
              <w:rFonts w:ascii="Arial" w:hAnsi="Arial" w:cs="Arial"/>
              <w:sz w:val="22"/>
            </w:rPr>
            <w:fldChar w:fldCharType="separate"/>
          </w:r>
          <w:r w:rsidRPr="00EE7D98">
            <w:rPr>
              <w:rFonts w:ascii="Arial" w:hAnsi="Arial" w:cs="Arial"/>
              <w:noProof/>
              <w:sz w:val="22"/>
            </w:rPr>
            <w:t xml:space="preserve"> (DM, 2011)</w:t>
          </w:r>
          <w:r w:rsidRPr="00EE7D98">
            <w:rPr>
              <w:rFonts w:ascii="Arial" w:hAnsi="Arial" w:cs="Arial"/>
              <w:sz w:val="22"/>
            </w:rPr>
            <w:fldChar w:fldCharType="end"/>
          </w:r>
        </w:sdtContent>
      </w:sdt>
      <w:r w:rsidRPr="00EE7D98">
        <w:rPr>
          <w:rFonts w:ascii="Arial" w:hAnsi="Arial" w:cs="Arial"/>
          <w:sz w:val="22"/>
        </w:rPr>
        <w:t xml:space="preserve"> uncertainty. Additionally, there was no diagnosis consensus for some time; hence, the estimates were provided, even though they were not clinically attractive.</w:t>
      </w:r>
    </w:p>
    <w:p w14:paraId="12A1F507" w14:textId="4EF569B4" w:rsidR="00FD7F20" w:rsidRPr="00EE7D98" w:rsidRDefault="00FD7F20" w:rsidP="00FD7F20">
      <w:pPr>
        <w:ind w:firstLine="720"/>
        <w:rPr>
          <w:rFonts w:ascii="Arial" w:hAnsi="Arial" w:cs="Arial"/>
          <w:sz w:val="22"/>
        </w:rPr>
      </w:pPr>
      <w:r w:rsidRPr="00EE7D98">
        <w:rPr>
          <w:rFonts w:ascii="Arial" w:hAnsi="Arial" w:cs="Arial"/>
          <w:sz w:val="22"/>
        </w:rPr>
        <w:t xml:space="preserve">The analysis never addressed the subtyping of the clinic, the donation series in the components the article gave out the individual proportions that had </w:t>
      </w:r>
      <w:r w:rsidR="00F92333" w:rsidRPr="00EE7D98">
        <w:rPr>
          <w:rFonts w:ascii="Arial" w:hAnsi="Arial" w:cs="Arial"/>
          <w:sz w:val="22"/>
        </w:rPr>
        <w:t>D</w:t>
      </w:r>
      <w:r w:rsidRPr="00EE7D98">
        <w:rPr>
          <w:rFonts w:ascii="Arial" w:hAnsi="Arial" w:cs="Arial"/>
          <w:sz w:val="22"/>
        </w:rPr>
        <w:t>ementia with different pathologies. The analysis showed that Alzheimer's pathology controls the studied age groups and the vascular disease, which all occur in various persons. There might be various biasness in sensitivity analysis, and mortality and dropout are the primary reasons. In this analysis, the mortality effects have been considered, and it does not give a substantially different result</w:t>
      </w:r>
      <w:sdt>
        <w:sdtPr>
          <w:rPr>
            <w:rFonts w:ascii="Arial" w:hAnsi="Arial" w:cs="Arial"/>
            <w:sz w:val="22"/>
          </w:rPr>
          <w:id w:val="-886642285"/>
          <w:citation/>
        </w:sdtPr>
        <w:sdtContent>
          <w:r w:rsidRPr="00EE7D98">
            <w:rPr>
              <w:rFonts w:ascii="Arial" w:hAnsi="Arial" w:cs="Arial"/>
              <w:sz w:val="22"/>
            </w:rPr>
            <w:fldChar w:fldCharType="begin"/>
          </w:r>
          <w:r w:rsidRPr="00EE7D98">
            <w:rPr>
              <w:rFonts w:ascii="Arial" w:hAnsi="Arial" w:cs="Arial"/>
              <w:sz w:val="22"/>
            </w:rPr>
            <w:instrText xml:space="preserve"> CITATION Kha10 \l 1033 </w:instrText>
          </w:r>
          <w:r w:rsidRPr="00EE7D98">
            <w:rPr>
              <w:rFonts w:ascii="Arial" w:hAnsi="Arial" w:cs="Arial"/>
              <w:sz w:val="22"/>
            </w:rPr>
            <w:fldChar w:fldCharType="separate"/>
          </w:r>
          <w:r w:rsidRPr="00EE7D98">
            <w:rPr>
              <w:rFonts w:ascii="Arial" w:hAnsi="Arial" w:cs="Arial"/>
              <w:noProof/>
              <w:sz w:val="22"/>
            </w:rPr>
            <w:t xml:space="preserve"> (Khachaturian, 2010)</w:t>
          </w:r>
          <w:r w:rsidRPr="00EE7D98">
            <w:rPr>
              <w:rFonts w:ascii="Arial" w:hAnsi="Arial" w:cs="Arial"/>
              <w:sz w:val="22"/>
            </w:rPr>
            <w:fldChar w:fldCharType="end"/>
          </w:r>
        </w:sdtContent>
      </w:sdt>
      <w:r w:rsidRPr="00EE7D98">
        <w:rPr>
          <w:rFonts w:ascii="Arial" w:hAnsi="Arial" w:cs="Arial"/>
          <w:sz w:val="22"/>
        </w:rPr>
        <w:t xml:space="preserve">. </w:t>
      </w:r>
    </w:p>
    <w:p w14:paraId="6A41BD1F" w14:textId="77777777" w:rsidR="00FD7F20" w:rsidRPr="00EE7D98" w:rsidRDefault="00FD7F20" w:rsidP="00FD7F20">
      <w:pPr>
        <w:ind w:firstLine="720"/>
        <w:rPr>
          <w:rFonts w:ascii="Arial" w:hAnsi="Arial" w:cs="Arial"/>
          <w:sz w:val="22"/>
        </w:rPr>
      </w:pPr>
      <w:r w:rsidRPr="00EE7D98">
        <w:rPr>
          <w:rFonts w:ascii="Arial" w:hAnsi="Arial" w:cs="Arial"/>
          <w:sz w:val="22"/>
        </w:rPr>
        <w:t xml:space="preserve">Contrary, the method used on statistical methods was explicitly created for this kind of study. However, the article argued that the exact details of the study design were </w:t>
      </w:r>
      <w:proofErr w:type="gramStart"/>
      <w:r w:rsidRPr="00EE7D98">
        <w:rPr>
          <w:rFonts w:ascii="Arial" w:hAnsi="Arial" w:cs="Arial"/>
          <w:sz w:val="22"/>
        </w:rPr>
        <w:t>taken into account</w:t>
      </w:r>
      <w:proofErr w:type="gramEnd"/>
      <w:r w:rsidRPr="00EE7D98">
        <w:rPr>
          <w:rFonts w:ascii="Arial" w:hAnsi="Arial" w:cs="Arial"/>
          <w:sz w:val="22"/>
        </w:rPr>
        <w:t xml:space="preserve">. The method thus generalizes the two-phase selection process to every study of chronic disease. Therefore, they are based on the weighing methods defined with the strata; however, using many groups, such as sex, age, and center, would be unstable. </w:t>
      </w:r>
    </w:p>
    <w:p w14:paraId="77013536" w14:textId="3C09173C" w:rsidR="00FD7F20" w:rsidRPr="00EE7D98" w:rsidRDefault="00FD7F20" w:rsidP="00FD7F20">
      <w:pPr>
        <w:ind w:firstLine="720"/>
        <w:rPr>
          <w:rFonts w:ascii="Arial" w:hAnsi="Arial" w:cs="Arial"/>
          <w:sz w:val="22"/>
        </w:rPr>
      </w:pPr>
      <w:r w:rsidRPr="00EE7D98">
        <w:rPr>
          <w:rFonts w:ascii="Arial" w:hAnsi="Arial" w:cs="Arial"/>
          <w:sz w:val="22"/>
        </w:rPr>
        <w:t xml:space="preserve">According to the method used b Gemma (2019) in his research, the dementia risk factors were identified through the analysis of the complementary medicine database from the inception for the reviews of risk factors of </w:t>
      </w:r>
      <w:r w:rsidR="00F92333" w:rsidRPr="00EE7D98">
        <w:rPr>
          <w:rFonts w:ascii="Arial" w:hAnsi="Arial" w:cs="Arial"/>
          <w:sz w:val="22"/>
        </w:rPr>
        <w:t>D</w:t>
      </w:r>
      <w:r w:rsidRPr="00EE7D98">
        <w:rPr>
          <w:rFonts w:ascii="Arial" w:hAnsi="Arial" w:cs="Arial"/>
          <w:sz w:val="22"/>
        </w:rPr>
        <w:t xml:space="preserve">ementia. They are prespecified that there would include a meta-analysis on the specified fundamental factors that precede the diagnosis of </w:t>
      </w:r>
      <w:r w:rsidR="00F92333" w:rsidRPr="00EE7D98">
        <w:rPr>
          <w:rFonts w:ascii="Arial" w:hAnsi="Arial" w:cs="Arial"/>
          <w:sz w:val="22"/>
        </w:rPr>
        <w:t>D</w:t>
      </w:r>
      <w:r w:rsidRPr="00EE7D98">
        <w:rPr>
          <w:rFonts w:ascii="Arial" w:hAnsi="Arial" w:cs="Arial"/>
          <w:sz w:val="22"/>
        </w:rPr>
        <w:t>ementia. Also, evidence shows if the risk factors are earlier or later relevant and use a specific clinical strategy to define the risk factors</w:t>
      </w:r>
      <w:sdt>
        <w:sdtPr>
          <w:rPr>
            <w:rFonts w:ascii="Arial" w:hAnsi="Arial" w:cs="Arial"/>
            <w:sz w:val="22"/>
          </w:rPr>
          <w:id w:val="-302769564"/>
          <w:citation/>
        </w:sdtPr>
        <w:sdtContent>
          <w:r w:rsidRPr="00EE7D98">
            <w:rPr>
              <w:rFonts w:ascii="Arial" w:hAnsi="Arial" w:cs="Arial"/>
              <w:sz w:val="22"/>
            </w:rPr>
            <w:fldChar w:fldCharType="begin"/>
          </w:r>
          <w:r w:rsidRPr="00EE7D98">
            <w:rPr>
              <w:rFonts w:ascii="Arial" w:hAnsi="Arial" w:cs="Arial"/>
              <w:sz w:val="22"/>
            </w:rPr>
            <w:instrText xml:space="preserve"> CITATION Lep12 \l 1033 </w:instrText>
          </w:r>
          <w:r w:rsidRPr="00EE7D98">
            <w:rPr>
              <w:rFonts w:ascii="Arial" w:hAnsi="Arial" w:cs="Arial"/>
              <w:sz w:val="22"/>
            </w:rPr>
            <w:fldChar w:fldCharType="separate"/>
          </w:r>
          <w:r w:rsidRPr="00EE7D98">
            <w:rPr>
              <w:rFonts w:ascii="Arial" w:hAnsi="Arial" w:cs="Arial"/>
              <w:noProof/>
              <w:sz w:val="22"/>
            </w:rPr>
            <w:t xml:space="preserve"> (Lepore, 2012)</w:t>
          </w:r>
          <w:r w:rsidRPr="00EE7D98">
            <w:rPr>
              <w:rFonts w:ascii="Arial" w:hAnsi="Arial" w:cs="Arial"/>
              <w:sz w:val="22"/>
            </w:rPr>
            <w:fldChar w:fldCharType="end"/>
          </w:r>
        </w:sdtContent>
      </w:sdt>
      <w:r w:rsidRPr="00EE7D98">
        <w:rPr>
          <w:rFonts w:ascii="Arial" w:hAnsi="Arial" w:cs="Arial"/>
          <w:sz w:val="22"/>
        </w:rPr>
        <w:t xml:space="preserve">. The risk factors that could have the syndrome of </w:t>
      </w:r>
      <w:r w:rsidR="00F92333" w:rsidRPr="00EE7D98">
        <w:rPr>
          <w:rFonts w:ascii="Arial" w:hAnsi="Arial" w:cs="Arial"/>
          <w:sz w:val="22"/>
        </w:rPr>
        <w:t>D</w:t>
      </w:r>
      <w:r w:rsidRPr="00EE7D98">
        <w:rPr>
          <w:rFonts w:ascii="Arial" w:hAnsi="Arial" w:cs="Arial"/>
          <w:sz w:val="22"/>
        </w:rPr>
        <w:t>ementia were excluded, and they were motor syndrome associated with stroke. Gemma also, on the statistical analysis, calculated the crude dementia incidence rats, which was separate from every ethnic group. The risk starting date was the participant's date of joining the study. For follow-up time determination, the earliest was the end date. The principal analysis was for the ones who completed the ethnicity data and all the covariates, including the risk factors</w:t>
      </w:r>
      <w:sdt>
        <w:sdtPr>
          <w:rPr>
            <w:rFonts w:ascii="Arial" w:hAnsi="Arial" w:cs="Arial"/>
            <w:sz w:val="22"/>
          </w:rPr>
          <w:id w:val="1596901825"/>
          <w:citation/>
        </w:sdtPr>
        <w:sdtContent>
          <w:r w:rsidRPr="00EE7D98">
            <w:rPr>
              <w:rFonts w:ascii="Arial" w:hAnsi="Arial" w:cs="Arial"/>
              <w:sz w:val="22"/>
            </w:rPr>
            <w:fldChar w:fldCharType="begin"/>
          </w:r>
          <w:r w:rsidRPr="00EE7D98">
            <w:rPr>
              <w:rFonts w:ascii="Arial" w:hAnsi="Arial" w:cs="Arial"/>
              <w:sz w:val="22"/>
            </w:rPr>
            <w:instrText xml:space="preserve"> CITATION Kuk10 \l 1033 </w:instrText>
          </w:r>
          <w:r w:rsidRPr="00EE7D98">
            <w:rPr>
              <w:rFonts w:ascii="Arial" w:hAnsi="Arial" w:cs="Arial"/>
              <w:sz w:val="22"/>
            </w:rPr>
            <w:fldChar w:fldCharType="separate"/>
          </w:r>
          <w:r w:rsidRPr="00EE7D98">
            <w:rPr>
              <w:rFonts w:ascii="Arial" w:hAnsi="Arial" w:cs="Arial"/>
              <w:noProof/>
              <w:sz w:val="22"/>
            </w:rPr>
            <w:t xml:space="preserve"> (Kukull, 2010)</w:t>
          </w:r>
          <w:r w:rsidRPr="00EE7D98">
            <w:rPr>
              <w:rFonts w:ascii="Arial" w:hAnsi="Arial" w:cs="Arial"/>
              <w:sz w:val="22"/>
            </w:rPr>
            <w:fldChar w:fldCharType="end"/>
          </w:r>
        </w:sdtContent>
      </w:sdt>
      <w:r w:rsidRPr="00EE7D98">
        <w:rPr>
          <w:rFonts w:ascii="Arial" w:hAnsi="Arial" w:cs="Arial"/>
          <w:sz w:val="22"/>
        </w:rPr>
        <w:t>.</w:t>
      </w:r>
    </w:p>
    <w:p w14:paraId="43E06C8C" w14:textId="77777777" w:rsidR="004A591C" w:rsidRPr="00EE7D98" w:rsidRDefault="004A591C" w:rsidP="00543F95">
      <w:pPr>
        <w:pStyle w:val="Heading1"/>
        <w:jc w:val="center"/>
        <w:rPr>
          <w:rFonts w:ascii="Arial" w:hAnsi="Arial" w:cs="Arial"/>
          <w:sz w:val="22"/>
          <w:szCs w:val="22"/>
        </w:rPr>
      </w:pPr>
      <w:bookmarkStart w:id="8" w:name="_Toc118449069"/>
      <w:r w:rsidRPr="00EE7D98">
        <w:rPr>
          <w:rFonts w:ascii="Arial" w:hAnsi="Arial" w:cs="Arial"/>
          <w:sz w:val="22"/>
          <w:szCs w:val="22"/>
        </w:rPr>
        <w:lastRenderedPageBreak/>
        <w:t>Discussions</w:t>
      </w:r>
      <w:bookmarkEnd w:id="8"/>
    </w:p>
    <w:p w14:paraId="13B11306" w14:textId="5EC790A2" w:rsidR="004A591C" w:rsidRPr="00EE7D98" w:rsidRDefault="004A591C" w:rsidP="004A591C">
      <w:pPr>
        <w:ind w:firstLine="720"/>
        <w:rPr>
          <w:rFonts w:ascii="Arial" w:hAnsi="Arial" w:cs="Arial"/>
          <w:sz w:val="22"/>
        </w:rPr>
      </w:pPr>
      <w:r w:rsidRPr="00EE7D98">
        <w:rPr>
          <w:rFonts w:ascii="Arial" w:hAnsi="Arial" w:cs="Arial"/>
          <w:sz w:val="22"/>
        </w:rPr>
        <w:t xml:space="preserve">Studies with two-phase </w:t>
      </w:r>
      <w:proofErr w:type="gramStart"/>
      <w:r w:rsidRPr="00EE7D98">
        <w:rPr>
          <w:rFonts w:ascii="Arial" w:hAnsi="Arial" w:cs="Arial"/>
          <w:sz w:val="22"/>
        </w:rPr>
        <w:t>similar to</w:t>
      </w:r>
      <w:proofErr w:type="gramEnd"/>
      <w:r w:rsidRPr="00EE7D98">
        <w:rPr>
          <w:rFonts w:ascii="Arial" w:hAnsi="Arial" w:cs="Arial"/>
          <w:sz w:val="22"/>
        </w:rPr>
        <w:t xml:space="preserve"> this and two-wave designs assume that individuals at bassline who have a negative screening could not have </w:t>
      </w:r>
      <w:r w:rsidR="00F92333" w:rsidRPr="00EE7D98">
        <w:rPr>
          <w:rFonts w:ascii="Arial" w:hAnsi="Arial" w:cs="Arial"/>
          <w:sz w:val="22"/>
        </w:rPr>
        <w:t>D</w:t>
      </w:r>
      <w:r w:rsidRPr="00EE7D98">
        <w:rPr>
          <w:rFonts w:ascii="Arial" w:hAnsi="Arial" w:cs="Arial"/>
          <w:sz w:val="22"/>
        </w:rPr>
        <w:t xml:space="preserve">ementia. </w:t>
      </w:r>
      <w:r w:rsidR="0022245A" w:rsidRPr="00EE7D98">
        <w:rPr>
          <w:rFonts w:ascii="Arial" w:hAnsi="Arial" w:cs="Arial"/>
          <w:sz w:val="22"/>
        </w:rPr>
        <w:t>No substantive assumptions are made in this design</w:t>
      </w:r>
      <w:r w:rsidRPr="00EE7D98">
        <w:rPr>
          <w:rFonts w:ascii="Arial" w:hAnsi="Arial" w:cs="Arial"/>
          <w:sz w:val="22"/>
        </w:rPr>
        <w:t>, with the sampling for interviews assessment above a given cut point</w:t>
      </w:r>
      <w:r w:rsidRPr="00EE7D98">
        <w:rPr>
          <w:rFonts w:ascii="Arial" w:hAnsi="Arial" w:cs="Arial"/>
          <w:noProof/>
          <w:sz w:val="22"/>
        </w:rPr>
        <w:t xml:space="preserve"> (Breteler, 2015)</w:t>
      </w:r>
      <w:r w:rsidR="0022245A" w:rsidRPr="00EE7D98">
        <w:rPr>
          <w:rFonts w:ascii="Arial" w:hAnsi="Arial" w:cs="Arial"/>
          <w:noProof/>
          <w:sz w:val="22"/>
        </w:rPr>
        <w:t>.</w:t>
      </w:r>
      <w:r w:rsidRPr="00EE7D98">
        <w:rPr>
          <w:rFonts w:ascii="Arial" w:hAnsi="Arial" w:cs="Arial"/>
          <w:sz w:val="22"/>
        </w:rPr>
        <w:t xml:space="preserve"> An account of the analysis was taken, and all two, that is, incidence waves and </w:t>
      </w:r>
      <w:r w:rsidR="004E1929" w:rsidRPr="00EE7D98">
        <w:rPr>
          <w:rFonts w:ascii="Arial" w:hAnsi="Arial" w:cs="Arial"/>
          <w:sz w:val="22"/>
        </w:rPr>
        <w:t>prevalence, which</w:t>
      </w:r>
      <w:r w:rsidRPr="00EE7D98">
        <w:rPr>
          <w:rFonts w:ascii="Arial" w:hAnsi="Arial" w:cs="Arial"/>
          <w:sz w:val="22"/>
        </w:rPr>
        <w:t xml:space="preserve"> are small proportions of the given standard cut points</w:t>
      </w:r>
      <w:r w:rsidR="0022245A" w:rsidRPr="00EE7D98">
        <w:rPr>
          <w:rFonts w:ascii="Arial" w:hAnsi="Arial" w:cs="Arial"/>
          <w:sz w:val="22"/>
        </w:rPr>
        <w:t>,</w:t>
      </w:r>
      <w:r w:rsidRPr="00EE7D98">
        <w:rPr>
          <w:rFonts w:ascii="Arial" w:hAnsi="Arial" w:cs="Arial"/>
          <w:sz w:val="22"/>
        </w:rPr>
        <w:t xml:space="preserve"> had </w:t>
      </w:r>
      <w:r w:rsidR="00F92333" w:rsidRPr="00EE7D98">
        <w:rPr>
          <w:rFonts w:ascii="Arial" w:hAnsi="Arial" w:cs="Arial"/>
          <w:sz w:val="22"/>
        </w:rPr>
        <w:t>D</w:t>
      </w:r>
      <w:r w:rsidRPr="00EE7D98">
        <w:rPr>
          <w:rFonts w:ascii="Arial" w:hAnsi="Arial" w:cs="Arial"/>
          <w:sz w:val="22"/>
        </w:rPr>
        <w:t>ementia. However, the analysis has shifted to the kind of error. It gives an assurance that the obtained outcome through this method is of similar magnitude order just the on the once published studies with a comprehensive comparison with the analysis conducted by Jolly and Jorm. Therefore, there is no marked heterogeneity between the United Kingdom and other European sites</w:t>
      </w:r>
      <w:sdt>
        <w:sdtPr>
          <w:rPr>
            <w:rFonts w:ascii="Arial" w:hAnsi="Arial" w:cs="Arial"/>
            <w:sz w:val="22"/>
          </w:rPr>
          <w:id w:val="-683678857"/>
          <w:citation/>
        </w:sdtPr>
        <w:sdtContent>
          <w:r w:rsidRPr="00EE7D98">
            <w:rPr>
              <w:rFonts w:ascii="Arial" w:hAnsi="Arial" w:cs="Arial"/>
              <w:sz w:val="22"/>
            </w:rPr>
            <w:fldChar w:fldCharType="begin"/>
          </w:r>
          <w:r w:rsidRPr="00EE7D98">
            <w:rPr>
              <w:rFonts w:ascii="Arial" w:hAnsi="Arial" w:cs="Arial"/>
              <w:sz w:val="22"/>
            </w:rPr>
            <w:instrText xml:space="preserve"> CITATION Jor17 \l 1033 </w:instrText>
          </w:r>
          <w:r w:rsidRPr="00EE7D98">
            <w:rPr>
              <w:rFonts w:ascii="Arial" w:hAnsi="Arial" w:cs="Arial"/>
              <w:sz w:val="22"/>
            </w:rPr>
            <w:fldChar w:fldCharType="separate"/>
          </w:r>
          <w:r w:rsidRPr="00EE7D98">
            <w:rPr>
              <w:rFonts w:ascii="Arial" w:hAnsi="Arial" w:cs="Arial"/>
              <w:noProof/>
              <w:sz w:val="22"/>
            </w:rPr>
            <w:t xml:space="preserve"> (Jorm, 2017)</w:t>
          </w:r>
          <w:r w:rsidRPr="00EE7D98">
            <w:rPr>
              <w:rFonts w:ascii="Arial" w:hAnsi="Arial" w:cs="Arial"/>
              <w:sz w:val="22"/>
            </w:rPr>
            <w:fldChar w:fldCharType="end"/>
          </w:r>
        </w:sdtContent>
      </w:sdt>
      <w:r w:rsidRPr="00EE7D98">
        <w:rPr>
          <w:rFonts w:ascii="Arial" w:hAnsi="Arial" w:cs="Arial"/>
          <w:sz w:val="22"/>
        </w:rPr>
        <w:t>. The same exercise is performed by all the exact estimates, away from the young age groups. Other estimates suggest that if studies do not account for all the features, they can underestimate their rates. The same differences, specifically the ages above 40 years and above, can have a broader effect at a given population level. Moreover, it has a vast implication for those making policy, even though age differences at a young age will need some care providers and policy changes</w:t>
      </w:r>
      <w:sdt>
        <w:sdtPr>
          <w:rPr>
            <w:rFonts w:ascii="Arial" w:hAnsi="Arial" w:cs="Arial"/>
            <w:sz w:val="22"/>
          </w:rPr>
          <w:id w:val="395867890"/>
          <w:citation/>
        </w:sdtPr>
        <w:sdtContent>
          <w:r w:rsidRPr="00EE7D98">
            <w:rPr>
              <w:rFonts w:ascii="Arial" w:hAnsi="Arial" w:cs="Arial"/>
              <w:sz w:val="22"/>
            </w:rPr>
            <w:fldChar w:fldCharType="begin"/>
          </w:r>
          <w:r w:rsidRPr="00EE7D98">
            <w:rPr>
              <w:rFonts w:ascii="Arial" w:hAnsi="Arial" w:cs="Arial"/>
              <w:sz w:val="22"/>
            </w:rPr>
            <w:instrText xml:space="preserve"> CITATION Dew17 \l 1033 </w:instrText>
          </w:r>
          <w:r w:rsidRPr="00EE7D98">
            <w:rPr>
              <w:rFonts w:ascii="Arial" w:hAnsi="Arial" w:cs="Arial"/>
              <w:sz w:val="22"/>
            </w:rPr>
            <w:fldChar w:fldCharType="separate"/>
          </w:r>
          <w:r w:rsidRPr="00EE7D98">
            <w:rPr>
              <w:rFonts w:ascii="Arial" w:hAnsi="Arial" w:cs="Arial"/>
              <w:noProof/>
              <w:sz w:val="22"/>
            </w:rPr>
            <w:t xml:space="preserve"> (Dewey, 2017)</w:t>
          </w:r>
          <w:r w:rsidRPr="00EE7D98">
            <w:rPr>
              <w:rFonts w:ascii="Arial" w:hAnsi="Arial" w:cs="Arial"/>
              <w:sz w:val="22"/>
            </w:rPr>
            <w:fldChar w:fldCharType="end"/>
          </w:r>
        </w:sdtContent>
      </w:sdt>
      <w:r w:rsidRPr="00EE7D98">
        <w:rPr>
          <w:rFonts w:ascii="Arial" w:hAnsi="Arial" w:cs="Arial"/>
          <w:sz w:val="22"/>
        </w:rPr>
        <w:t xml:space="preserve">. </w:t>
      </w:r>
    </w:p>
    <w:p w14:paraId="0B3390B2" w14:textId="77777777" w:rsidR="004A591C" w:rsidRPr="00EE7D98" w:rsidRDefault="004A591C" w:rsidP="004A591C">
      <w:pPr>
        <w:rPr>
          <w:rFonts w:ascii="Arial" w:hAnsi="Arial" w:cs="Arial"/>
          <w:sz w:val="22"/>
        </w:rPr>
      </w:pPr>
      <w:r w:rsidRPr="00EE7D98">
        <w:rPr>
          <w:rFonts w:ascii="Arial" w:hAnsi="Arial" w:cs="Arial"/>
          <w:noProof/>
          <w:sz w:val="22"/>
        </w:rPr>
        <w:drawing>
          <wp:inline distT="0" distB="0" distL="0" distR="0" wp14:anchorId="283DABD1" wp14:editId="60F531F6">
            <wp:extent cx="4105275" cy="2246059"/>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15458" cy="2251630"/>
                    </a:xfrm>
                    <a:prstGeom prst="rect">
                      <a:avLst/>
                    </a:prstGeom>
                    <a:noFill/>
                    <a:ln>
                      <a:noFill/>
                    </a:ln>
                  </pic:spPr>
                </pic:pic>
              </a:graphicData>
            </a:graphic>
          </wp:inline>
        </w:drawing>
      </w:r>
    </w:p>
    <w:p w14:paraId="5442A307" w14:textId="3CEBE439" w:rsidR="004A591C" w:rsidRPr="00EE7D98" w:rsidRDefault="004A591C" w:rsidP="004A591C">
      <w:pPr>
        <w:ind w:firstLine="720"/>
        <w:rPr>
          <w:rFonts w:ascii="Arial" w:hAnsi="Arial" w:cs="Arial"/>
          <w:sz w:val="22"/>
        </w:rPr>
      </w:pPr>
      <w:r w:rsidRPr="00EE7D98">
        <w:rPr>
          <w:rFonts w:ascii="Arial" w:hAnsi="Arial" w:cs="Arial"/>
          <w:sz w:val="22"/>
        </w:rPr>
        <w:t xml:space="preserve">According to the paper, it suggests that at a given population level, there is the absence of a decline in incidences at extreme ages. Hence, no extreme survivor effects have been </w:t>
      </w:r>
      <w:r w:rsidRPr="00EE7D98">
        <w:rPr>
          <w:rFonts w:ascii="Arial" w:hAnsi="Arial" w:cs="Arial"/>
          <w:sz w:val="22"/>
        </w:rPr>
        <w:lastRenderedPageBreak/>
        <w:t xml:space="preserve">previously suggested based on prevalence rates. Contrary research suggests that </w:t>
      </w:r>
      <w:r w:rsidR="00F92333" w:rsidRPr="00EE7D98">
        <w:rPr>
          <w:rFonts w:ascii="Arial" w:hAnsi="Arial" w:cs="Arial"/>
          <w:sz w:val="22"/>
        </w:rPr>
        <w:t>D</w:t>
      </w:r>
      <w:r w:rsidRPr="00EE7D98">
        <w:rPr>
          <w:rFonts w:ascii="Arial" w:hAnsi="Arial" w:cs="Arial"/>
          <w:sz w:val="22"/>
        </w:rPr>
        <w:t xml:space="preserve">ementia is common in old age and </w:t>
      </w:r>
      <w:r w:rsidR="0022245A" w:rsidRPr="00EE7D98">
        <w:rPr>
          <w:rFonts w:ascii="Arial" w:hAnsi="Arial" w:cs="Arial"/>
          <w:sz w:val="22"/>
        </w:rPr>
        <w:t>i</w:t>
      </w:r>
      <w:r w:rsidRPr="00EE7D98">
        <w:rPr>
          <w:rFonts w:ascii="Arial" w:hAnsi="Arial" w:cs="Arial"/>
          <w:sz w:val="22"/>
        </w:rPr>
        <w:t xml:space="preserve">s a </w:t>
      </w:r>
      <w:r w:rsidR="0022245A" w:rsidRPr="00EE7D98">
        <w:rPr>
          <w:rFonts w:ascii="Arial" w:hAnsi="Arial" w:cs="Arial"/>
          <w:sz w:val="22"/>
        </w:rPr>
        <w:t>significant</w:t>
      </w:r>
      <w:r w:rsidRPr="00EE7D98">
        <w:rPr>
          <w:rFonts w:ascii="Arial" w:hAnsi="Arial" w:cs="Arial"/>
          <w:sz w:val="22"/>
        </w:rPr>
        <w:t xml:space="preserve"> killer in old age</w:t>
      </w:r>
      <w:sdt>
        <w:sdtPr>
          <w:rPr>
            <w:rFonts w:ascii="Arial" w:hAnsi="Arial" w:cs="Arial"/>
            <w:sz w:val="22"/>
          </w:rPr>
          <w:id w:val="-402679358"/>
          <w:citation/>
        </w:sdtPr>
        <w:sdtContent>
          <w:r w:rsidRPr="00EE7D98">
            <w:rPr>
              <w:rFonts w:ascii="Arial" w:hAnsi="Arial" w:cs="Arial"/>
              <w:sz w:val="22"/>
            </w:rPr>
            <w:fldChar w:fldCharType="begin"/>
          </w:r>
          <w:r w:rsidRPr="00EE7D98">
            <w:rPr>
              <w:rFonts w:ascii="Arial" w:hAnsi="Arial" w:cs="Arial"/>
              <w:sz w:val="22"/>
            </w:rPr>
            <w:instrText xml:space="preserve"> CITATION Bar14 \l 1033 </w:instrText>
          </w:r>
          <w:r w:rsidRPr="00EE7D98">
            <w:rPr>
              <w:rFonts w:ascii="Arial" w:hAnsi="Arial" w:cs="Arial"/>
              <w:sz w:val="22"/>
            </w:rPr>
            <w:fldChar w:fldCharType="separate"/>
          </w:r>
          <w:r w:rsidRPr="00EE7D98">
            <w:rPr>
              <w:rFonts w:ascii="Arial" w:hAnsi="Arial" w:cs="Arial"/>
              <w:noProof/>
              <w:sz w:val="22"/>
            </w:rPr>
            <w:t xml:space="preserve"> (Barkley, 2014)</w:t>
          </w:r>
          <w:r w:rsidRPr="00EE7D98">
            <w:rPr>
              <w:rFonts w:ascii="Arial" w:hAnsi="Arial" w:cs="Arial"/>
              <w:sz w:val="22"/>
            </w:rPr>
            <w:fldChar w:fldCharType="end"/>
          </w:r>
        </w:sdtContent>
      </w:sdt>
      <w:r w:rsidRPr="00EE7D98">
        <w:rPr>
          <w:rFonts w:ascii="Arial" w:hAnsi="Arial" w:cs="Arial"/>
          <w:sz w:val="22"/>
        </w:rPr>
        <w:t xml:space="preserve">. According to the analysis illustrations, almost every woman who does not have </w:t>
      </w:r>
      <w:r w:rsidR="00F92333" w:rsidRPr="00EE7D98">
        <w:rPr>
          <w:rFonts w:ascii="Arial" w:hAnsi="Arial" w:cs="Arial"/>
          <w:sz w:val="22"/>
        </w:rPr>
        <w:t>D</w:t>
      </w:r>
      <w:r w:rsidRPr="00EE7D98">
        <w:rPr>
          <w:rFonts w:ascii="Arial" w:hAnsi="Arial" w:cs="Arial"/>
          <w:sz w:val="22"/>
        </w:rPr>
        <w:t xml:space="preserve">ementia will survive </w:t>
      </w:r>
      <w:proofErr w:type="gramStart"/>
      <w:r w:rsidRPr="00EE7D98">
        <w:rPr>
          <w:rFonts w:ascii="Arial" w:hAnsi="Arial" w:cs="Arial"/>
          <w:sz w:val="22"/>
        </w:rPr>
        <w:t>almost  90</w:t>
      </w:r>
      <w:proofErr w:type="gramEnd"/>
      <w:r w:rsidRPr="00EE7D98">
        <w:rPr>
          <w:rFonts w:ascii="Arial" w:hAnsi="Arial" w:cs="Arial"/>
          <w:sz w:val="22"/>
        </w:rPr>
        <w:t xml:space="preserve"> years compared to those who </w:t>
      </w:r>
      <w:r w:rsidR="0022245A" w:rsidRPr="00EE7D98">
        <w:rPr>
          <w:rFonts w:ascii="Arial" w:hAnsi="Arial" w:cs="Arial"/>
          <w:sz w:val="22"/>
        </w:rPr>
        <w:t xml:space="preserve">have </w:t>
      </w:r>
      <w:r w:rsidR="00F92333" w:rsidRPr="00EE7D98">
        <w:rPr>
          <w:rFonts w:ascii="Arial" w:hAnsi="Arial" w:cs="Arial"/>
          <w:sz w:val="22"/>
        </w:rPr>
        <w:t>D</w:t>
      </w:r>
      <w:r w:rsidRPr="00EE7D98">
        <w:rPr>
          <w:rFonts w:ascii="Arial" w:hAnsi="Arial" w:cs="Arial"/>
          <w:sz w:val="22"/>
        </w:rPr>
        <w:t>ementia. This outcome is almost the same as the one conducted before;</w:t>
      </w:r>
      <w:r w:rsidR="0022245A" w:rsidRPr="00EE7D98">
        <w:rPr>
          <w:rFonts w:ascii="Arial" w:hAnsi="Arial" w:cs="Arial"/>
          <w:sz w:val="22"/>
        </w:rPr>
        <w:t xml:space="preserve"> f</w:t>
      </w:r>
      <w:r w:rsidRPr="00EE7D98">
        <w:rPr>
          <w:rFonts w:ascii="Arial" w:hAnsi="Arial" w:cs="Arial"/>
          <w:sz w:val="22"/>
        </w:rPr>
        <w:t>rom young samples, the expectancy of life will decrease the dementia severity</w:t>
      </w:r>
      <w:sdt>
        <w:sdtPr>
          <w:rPr>
            <w:rFonts w:ascii="Arial" w:hAnsi="Arial" w:cs="Arial"/>
            <w:sz w:val="22"/>
          </w:rPr>
          <w:id w:val="-383104015"/>
          <w:citation/>
        </w:sdtPr>
        <w:sdtContent>
          <w:r w:rsidRPr="00EE7D98">
            <w:rPr>
              <w:rFonts w:ascii="Arial" w:hAnsi="Arial" w:cs="Arial"/>
              <w:sz w:val="22"/>
            </w:rPr>
            <w:fldChar w:fldCharType="begin"/>
          </w:r>
          <w:r w:rsidRPr="00EE7D98">
            <w:rPr>
              <w:rFonts w:ascii="Arial" w:hAnsi="Arial" w:cs="Arial"/>
              <w:sz w:val="22"/>
            </w:rPr>
            <w:instrText xml:space="preserve"> CITATION Cla12 \l 1033 </w:instrText>
          </w:r>
          <w:r w:rsidRPr="00EE7D98">
            <w:rPr>
              <w:rFonts w:ascii="Arial" w:hAnsi="Arial" w:cs="Arial"/>
              <w:sz w:val="22"/>
            </w:rPr>
            <w:fldChar w:fldCharType="separate"/>
          </w:r>
          <w:r w:rsidRPr="00EE7D98">
            <w:rPr>
              <w:rFonts w:ascii="Arial" w:hAnsi="Arial" w:cs="Arial"/>
              <w:noProof/>
              <w:sz w:val="22"/>
            </w:rPr>
            <w:t xml:space="preserve"> (Clarke, 2012)</w:t>
          </w:r>
          <w:r w:rsidRPr="00EE7D98">
            <w:rPr>
              <w:rFonts w:ascii="Arial" w:hAnsi="Arial" w:cs="Arial"/>
              <w:sz w:val="22"/>
            </w:rPr>
            <w:fldChar w:fldCharType="end"/>
          </w:r>
        </w:sdtContent>
      </w:sdt>
      <w:r w:rsidRPr="00EE7D98">
        <w:rPr>
          <w:rFonts w:ascii="Arial" w:hAnsi="Arial" w:cs="Arial"/>
          <w:sz w:val="22"/>
        </w:rPr>
        <w:t>. Samples from people living in the community and institutions show no differences in survival rates among the non-responders and the responders at 85 years of age. The results are somehow underestimated since it does not consider the upcoming dementia developments. This can be essential because dementia incidence is very high in this age group</w:t>
      </w:r>
      <w:sdt>
        <w:sdtPr>
          <w:rPr>
            <w:rFonts w:ascii="Arial" w:hAnsi="Arial" w:cs="Arial"/>
            <w:sz w:val="22"/>
          </w:rPr>
          <w:id w:val="1149558436"/>
          <w:citation/>
        </w:sdtPr>
        <w:sdtContent>
          <w:r w:rsidRPr="00EE7D98">
            <w:rPr>
              <w:rFonts w:ascii="Arial" w:hAnsi="Arial" w:cs="Arial"/>
              <w:sz w:val="22"/>
            </w:rPr>
            <w:fldChar w:fldCharType="begin"/>
          </w:r>
          <w:r w:rsidRPr="00EE7D98">
            <w:rPr>
              <w:rFonts w:ascii="Arial" w:hAnsi="Arial" w:cs="Arial"/>
              <w:sz w:val="22"/>
            </w:rPr>
            <w:instrText xml:space="preserve"> CITATION Ped15 \l 1033 </w:instrText>
          </w:r>
          <w:r w:rsidRPr="00EE7D98">
            <w:rPr>
              <w:rFonts w:ascii="Arial" w:hAnsi="Arial" w:cs="Arial"/>
              <w:sz w:val="22"/>
            </w:rPr>
            <w:fldChar w:fldCharType="separate"/>
          </w:r>
          <w:r w:rsidRPr="00EE7D98">
            <w:rPr>
              <w:rFonts w:ascii="Arial" w:hAnsi="Arial" w:cs="Arial"/>
              <w:noProof/>
              <w:sz w:val="22"/>
            </w:rPr>
            <w:t xml:space="preserve"> (Pedersen, 2015)</w:t>
          </w:r>
          <w:r w:rsidRPr="00EE7D98">
            <w:rPr>
              <w:rFonts w:ascii="Arial" w:hAnsi="Arial" w:cs="Arial"/>
              <w:sz w:val="22"/>
            </w:rPr>
            <w:fldChar w:fldCharType="end"/>
          </w:r>
        </w:sdtContent>
      </w:sdt>
      <w:r w:rsidRPr="00EE7D98">
        <w:rPr>
          <w:rFonts w:ascii="Arial" w:hAnsi="Arial" w:cs="Arial"/>
          <w:sz w:val="22"/>
        </w:rPr>
        <w:t>.</w:t>
      </w:r>
    </w:p>
    <w:p w14:paraId="1B751D62" w14:textId="33F64AD0" w:rsidR="004A591C" w:rsidRPr="00EE7D98" w:rsidRDefault="004A591C" w:rsidP="004A591C">
      <w:pPr>
        <w:ind w:firstLine="720"/>
        <w:rPr>
          <w:rFonts w:ascii="Arial" w:hAnsi="Arial" w:cs="Arial"/>
          <w:sz w:val="22"/>
        </w:rPr>
      </w:pPr>
      <w:r w:rsidRPr="00EE7D98">
        <w:rPr>
          <w:rFonts w:ascii="Arial" w:hAnsi="Arial" w:cs="Arial"/>
          <w:sz w:val="22"/>
        </w:rPr>
        <w:t xml:space="preserve">Contrary, the other research has it that samples of individuals with 85 years were that 85 years was that the main predictors were mortality which shows that a third of the deaths were men and half were women. Therefore, the prevalence of </w:t>
      </w:r>
      <w:r w:rsidR="00F92333" w:rsidRPr="00EE7D98">
        <w:rPr>
          <w:rFonts w:ascii="Arial" w:hAnsi="Arial" w:cs="Arial"/>
          <w:sz w:val="22"/>
        </w:rPr>
        <w:t>D</w:t>
      </w:r>
      <w:r w:rsidRPr="00EE7D98">
        <w:rPr>
          <w:rFonts w:ascii="Arial" w:hAnsi="Arial" w:cs="Arial"/>
          <w:sz w:val="22"/>
        </w:rPr>
        <w:t>ementia can be the main effect on mortality rates in European countries, mainly the UK, which has a vital implication for health</w:t>
      </w:r>
      <w:sdt>
        <w:sdtPr>
          <w:rPr>
            <w:rFonts w:ascii="Arial" w:hAnsi="Arial" w:cs="Arial"/>
            <w:sz w:val="22"/>
          </w:rPr>
          <w:id w:val="991213554"/>
          <w:citation/>
        </w:sdtPr>
        <w:sdtContent>
          <w:r w:rsidRPr="00EE7D98">
            <w:rPr>
              <w:rFonts w:ascii="Arial" w:hAnsi="Arial" w:cs="Arial"/>
              <w:sz w:val="22"/>
            </w:rPr>
            <w:fldChar w:fldCharType="begin"/>
          </w:r>
          <w:r w:rsidRPr="00EE7D98">
            <w:rPr>
              <w:rFonts w:ascii="Arial" w:hAnsi="Arial" w:cs="Arial"/>
              <w:sz w:val="22"/>
            </w:rPr>
            <w:instrText xml:space="preserve"> CITATION Guz16 \l 1033 </w:instrText>
          </w:r>
          <w:r w:rsidRPr="00EE7D98">
            <w:rPr>
              <w:rFonts w:ascii="Arial" w:hAnsi="Arial" w:cs="Arial"/>
              <w:sz w:val="22"/>
            </w:rPr>
            <w:fldChar w:fldCharType="separate"/>
          </w:r>
          <w:r w:rsidRPr="00EE7D98">
            <w:rPr>
              <w:rFonts w:ascii="Arial" w:hAnsi="Arial" w:cs="Arial"/>
              <w:noProof/>
              <w:sz w:val="22"/>
            </w:rPr>
            <w:t xml:space="preserve"> (Guzman-Velez, 2016)</w:t>
          </w:r>
          <w:r w:rsidRPr="00EE7D98">
            <w:rPr>
              <w:rFonts w:ascii="Arial" w:hAnsi="Arial" w:cs="Arial"/>
              <w:sz w:val="22"/>
            </w:rPr>
            <w:fldChar w:fldCharType="end"/>
          </w:r>
        </w:sdtContent>
      </w:sdt>
      <w:r w:rsidRPr="00EE7D98">
        <w:rPr>
          <w:rFonts w:ascii="Arial" w:hAnsi="Arial" w:cs="Arial"/>
          <w:sz w:val="22"/>
        </w:rPr>
        <w:t xml:space="preserve">. The papers further add that counseling and treatments are vital in 40 years. Above that is old age </w:t>
      </w:r>
      <w:proofErr w:type="gramStart"/>
      <w:r w:rsidRPr="00EE7D98">
        <w:rPr>
          <w:rFonts w:ascii="Arial" w:hAnsi="Arial" w:cs="Arial"/>
          <w:sz w:val="22"/>
        </w:rPr>
        <w:t>in particular because</w:t>
      </w:r>
      <w:proofErr w:type="gramEnd"/>
      <w:r w:rsidRPr="00EE7D98">
        <w:rPr>
          <w:rFonts w:ascii="Arial" w:hAnsi="Arial" w:cs="Arial"/>
          <w:sz w:val="22"/>
        </w:rPr>
        <w:t xml:space="preserve"> it increases the survival rate for the ones with mild antidementia drugs (AD), the stage where the treatment with the AD drugs needs to be initiated since it does not differ from those who live without dementia conditions. Even though </w:t>
      </w:r>
      <w:r w:rsidR="00F92333" w:rsidRPr="00EE7D98">
        <w:rPr>
          <w:rFonts w:ascii="Arial" w:hAnsi="Arial" w:cs="Arial"/>
          <w:sz w:val="22"/>
        </w:rPr>
        <w:t>D</w:t>
      </w:r>
      <w:r w:rsidRPr="00EE7D98">
        <w:rPr>
          <w:rFonts w:ascii="Arial" w:hAnsi="Arial" w:cs="Arial"/>
          <w:sz w:val="22"/>
        </w:rPr>
        <w:t xml:space="preserve">ementia significantly impacts the survival rate, the death reports </w:t>
      </w:r>
      <w:r w:rsidR="0022245A" w:rsidRPr="00EE7D98">
        <w:rPr>
          <w:rFonts w:ascii="Arial" w:hAnsi="Arial" w:cs="Arial"/>
          <w:sz w:val="22"/>
        </w:rPr>
        <w:t>show</w:t>
      </w:r>
      <w:r w:rsidRPr="00EE7D98">
        <w:rPr>
          <w:rFonts w:ascii="Arial" w:hAnsi="Arial" w:cs="Arial"/>
          <w:sz w:val="22"/>
        </w:rPr>
        <w:t xml:space="preserve"> that their causes are due to only minor cases</w:t>
      </w:r>
      <w:sdt>
        <w:sdtPr>
          <w:rPr>
            <w:rFonts w:ascii="Arial" w:hAnsi="Arial" w:cs="Arial"/>
            <w:sz w:val="22"/>
          </w:rPr>
          <w:id w:val="1233665757"/>
          <w:citation/>
        </w:sdtPr>
        <w:sdtContent>
          <w:r w:rsidRPr="00EE7D98">
            <w:rPr>
              <w:rFonts w:ascii="Arial" w:hAnsi="Arial" w:cs="Arial"/>
              <w:sz w:val="22"/>
            </w:rPr>
            <w:fldChar w:fldCharType="begin"/>
          </w:r>
          <w:r w:rsidRPr="00EE7D98">
            <w:rPr>
              <w:rFonts w:ascii="Arial" w:hAnsi="Arial" w:cs="Arial"/>
              <w:sz w:val="22"/>
            </w:rPr>
            <w:instrText xml:space="preserve"> CITATION Sue16 \l 1033 </w:instrText>
          </w:r>
          <w:r w:rsidRPr="00EE7D98">
            <w:rPr>
              <w:rFonts w:ascii="Arial" w:hAnsi="Arial" w:cs="Arial"/>
              <w:sz w:val="22"/>
            </w:rPr>
            <w:fldChar w:fldCharType="separate"/>
          </w:r>
          <w:r w:rsidRPr="00EE7D98">
            <w:rPr>
              <w:rFonts w:ascii="Arial" w:hAnsi="Arial" w:cs="Arial"/>
              <w:noProof/>
              <w:sz w:val="22"/>
            </w:rPr>
            <w:t xml:space="preserve"> (Suemoto, 2016)</w:t>
          </w:r>
          <w:r w:rsidRPr="00EE7D98">
            <w:rPr>
              <w:rFonts w:ascii="Arial" w:hAnsi="Arial" w:cs="Arial"/>
              <w:sz w:val="22"/>
            </w:rPr>
            <w:fldChar w:fldCharType="end"/>
          </w:r>
        </w:sdtContent>
      </w:sdt>
      <w:r w:rsidRPr="00EE7D98">
        <w:rPr>
          <w:rFonts w:ascii="Arial" w:hAnsi="Arial" w:cs="Arial"/>
          <w:sz w:val="22"/>
        </w:rPr>
        <w:t>.</w:t>
      </w:r>
    </w:p>
    <w:p w14:paraId="76F50A45" w14:textId="2D2A0808" w:rsidR="004A591C" w:rsidRPr="00EE7D98" w:rsidRDefault="004A591C" w:rsidP="004A591C">
      <w:pPr>
        <w:ind w:firstLine="720"/>
        <w:rPr>
          <w:rFonts w:ascii="Arial" w:hAnsi="Arial" w:cs="Arial"/>
          <w:sz w:val="22"/>
        </w:rPr>
      </w:pPr>
      <w:r w:rsidRPr="00EE7D98">
        <w:rPr>
          <w:rFonts w:ascii="Arial" w:hAnsi="Arial" w:cs="Arial"/>
          <w:sz w:val="22"/>
        </w:rPr>
        <w:t xml:space="preserve">The research paper written by </w:t>
      </w:r>
      <w:proofErr w:type="gramStart"/>
      <w:r w:rsidRPr="00EE7D98">
        <w:rPr>
          <w:rFonts w:ascii="Arial" w:hAnsi="Arial" w:cs="Arial"/>
          <w:sz w:val="22"/>
        </w:rPr>
        <w:t>Gemma(</w:t>
      </w:r>
      <w:proofErr w:type="gramEnd"/>
      <w:r w:rsidRPr="00EE7D98">
        <w:rPr>
          <w:rFonts w:ascii="Arial" w:hAnsi="Arial" w:cs="Arial"/>
          <w:sz w:val="22"/>
        </w:rPr>
        <w:t xml:space="preserve">2018) argued that a study was conducted to compare dementia risk factors, which was done in three different ethnicities, and it was found that no substantial evidence to support the allegation that an association is modified by ethnicity. A higher risk of </w:t>
      </w:r>
      <w:r w:rsidR="00F92333" w:rsidRPr="00EE7D98">
        <w:rPr>
          <w:rFonts w:ascii="Arial" w:hAnsi="Arial" w:cs="Arial"/>
          <w:sz w:val="22"/>
        </w:rPr>
        <w:t>D</w:t>
      </w:r>
      <w:r w:rsidRPr="00EE7D98">
        <w:rPr>
          <w:rFonts w:ascii="Arial" w:hAnsi="Arial" w:cs="Arial"/>
          <w:sz w:val="22"/>
        </w:rPr>
        <w:t>ementia was found in the self-defined Black ethnic groups who remained after adjusting the 12 risk factors that were later included</w:t>
      </w:r>
      <w:sdt>
        <w:sdtPr>
          <w:rPr>
            <w:rFonts w:ascii="Arial" w:hAnsi="Arial" w:cs="Arial"/>
            <w:sz w:val="22"/>
          </w:rPr>
          <w:id w:val="-1744400221"/>
          <w:citation/>
        </w:sdtPr>
        <w:sdtContent>
          <w:r w:rsidRPr="00EE7D98">
            <w:rPr>
              <w:rFonts w:ascii="Arial" w:hAnsi="Arial" w:cs="Arial"/>
              <w:sz w:val="22"/>
            </w:rPr>
            <w:fldChar w:fldCharType="begin"/>
          </w:r>
          <w:r w:rsidRPr="00EE7D98">
            <w:rPr>
              <w:rFonts w:ascii="Arial" w:hAnsi="Arial" w:cs="Arial"/>
              <w:sz w:val="22"/>
            </w:rPr>
            <w:instrText xml:space="preserve"> CITATION Alb13 \l 1033 </w:instrText>
          </w:r>
          <w:r w:rsidRPr="00EE7D98">
            <w:rPr>
              <w:rFonts w:ascii="Arial" w:hAnsi="Arial" w:cs="Arial"/>
              <w:sz w:val="22"/>
            </w:rPr>
            <w:fldChar w:fldCharType="separate"/>
          </w:r>
          <w:r w:rsidRPr="00EE7D98">
            <w:rPr>
              <w:rFonts w:ascii="Arial" w:hAnsi="Arial" w:cs="Arial"/>
              <w:noProof/>
              <w:sz w:val="22"/>
            </w:rPr>
            <w:t xml:space="preserve"> (Albert, 2013)</w:t>
          </w:r>
          <w:r w:rsidRPr="00EE7D98">
            <w:rPr>
              <w:rFonts w:ascii="Arial" w:hAnsi="Arial" w:cs="Arial"/>
              <w:sz w:val="22"/>
            </w:rPr>
            <w:fldChar w:fldCharType="end"/>
          </w:r>
        </w:sdtContent>
      </w:sdt>
      <w:r w:rsidRPr="00EE7D98">
        <w:rPr>
          <w:rFonts w:ascii="Arial" w:hAnsi="Arial" w:cs="Arial"/>
          <w:sz w:val="22"/>
        </w:rPr>
        <w:t xml:space="preserve">. A similar risk was found in the participants of South Asia, who had a high burden of the modified risk factor that was a shallow </w:t>
      </w:r>
      <w:r w:rsidRPr="00EE7D98">
        <w:rPr>
          <w:rFonts w:ascii="Arial" w:hAnsi="Arial" w:cs="Arial"/>
          <w:sz w:val="22"/>
        </w:rPr>
        <w:lastRenderedPageBreak/>
        <w:t xml:space="preserve">risk as compared to Black participants who had high generic risk </w:t>
      </w:r>
      <w:proofErr w:type="gramStart"/>
      <w:r w:rsidRPr="00EE7D98">
        <w:rPr>
          <w:rFonts w:ascii="Arial" w:hAnsi="Arial" w:cs="Arial"/>
          <w:sz w:val="22"/>
        </w:rPr>
        <w:t>and also</w:t>
      </w:r>
      <w:proofErr w:type="gramEnd"/>
      <w:r w:rsidRPr="00EE7D98">
        <w:rPr>
          <w:rFonts w:ascii="Arial" w:hAnsi="Arial" w:cs="Arial"/>
          <w:sz w:val="22"/>
        </w:rPr>
        <w:t xml:space="preserve"> a high burden of risk factors that were modified. </w:t>
      </w:r>
      <w:r w:rsidR="004E1929" w:rsidRPr="00EE7D98">
        <w:rPr>
          <w:rFonts w:ascii="Arial" w:hAnsi="Arial" w:cs="Arial"/>
          <w:sz w:val="22"/>
        </w:rPr>
        <w:t>However, efforts</w:t>
      </w:r>
      <w:r w:rsidRPr="00EE7D98">
        <w:rPr>
          <w:rFonts w:ascii="Arial" w:hAnsi="Arial" w:cs="Arial"/>
          <w:sz w:val="22"/>
        </w:rPr>
        <w:t xml:space="preserve"> to the prevention of </w:t>
      </w:r>
      <w:r w:rsidR="00F92333" w:rsidRPr="00EE7D98">
        <w:rPr>
          <w:rFonts w:ascii="Arial" w:hAnsi="Arial" w:cs="Arial"/>
          <w:sz w:val="22"/>
        </w:rPr>
        <w:t>D</w:t>
      </w:r>
      <w:r w:rsidRPr="00EE7D98">
        <w:rPr>
          <w:rFonts w:ascii="Arial" w:hAnsi="Arial" w:cs="Arial"/>
          <w:sz w:val="22"/>
        </w:rPr>
        <w:t>ementia should be concentrated on the kind of individuals in the UK</w:t>
      </w:r>
      <w:sdt>
        <w:sdtPr>
          <w:rPr>
            <w:rFonts w:ascii="Arial" w:hAnsi="Arial" w:cs="Arial"/>
            <w:sz w:val="22"/>
          </w:rPr>
          <w:id w:val="-1229452860"/>
          <w:citation/>
        </w:sdtPr>
        <w:sdtContent>
          <w:r w:rsidRPr="00EE7D98">
            <w:rPr>
              <w:rFonts w:ascii="Arial" w:hAnsi="Arial" w:cs="Arial"/>
              <w:sz w:val="22"/>
            </w:rPr>
            <w:fldChar w:fldCharType="begin"/>
          </w:r>
          <w:r w:rsidRPr="00EE7D98">
            <w:rPr>
              <w:rFonts w:ascii="Arial" w:hAnsi="Arial" w:cs="Arial"/>
              <w:sz w:val="22"/>
            </w:rPr>
            <w:instrText xml:space="preserve"> CITATION Rey14 \l 1033 </w:instrText>
          </w:r>
          <w:r w:rsidRPr="00EE7D98">
            <w:rPr>
              <w:rFonts w:ascii="Arial" w:hAnsi="Arial" w:cs="Arial"/>
              <w:sz w:val="22"/>
            </w:rPr>
            <w:fldChar w:fldCharType="separate"/>
          </w:r>
          <w:r w:rsidRPr="00EE7D98">
            <w:rPr>
              <w:rFonts w:ascii="Arial" w:hAnsi="Arial" w:cs="Arial"/>
              <w:noProof/>
              <w:sz w:val="22"/>
            </w:rPr>
            <w:t xml:space="preserve"> (Reynolds, 2014)</w:t>
          </w:r>
          <w:r w:rsidRPr="00EE7D98">
            <w:rPr>
              <w:rFonts w:ascii="Arial" w:hAnsi="Arial" w:cs="Arial"/>
              <w:sz w:val="22"/>
            </w:rPr>
            <w:fldChar w:fldCharType="end"/>
          </w:r>
        </w:sdtContent>
      </w:sdt>
      <w:r w:rsidRPr="00EE7D98">
        <w:rPr>
          <w:rFonts w:ascii="Arial" w:hAnsi="Arial" w:cs="Arial"/>
          <w:sz w:val="22"/>
        </w:rPr>
        <w:t xml:space="preserve">. </w:t>
      </w:r>
    </w:p>
    <w:p w14:paraId="3197F8D2" w14:textId="77D21923" w:rsidR="004A591C" w:rsidRPr="00EE7D98" w:rsidRDefault="004A591C" w:rsidP="004A591C">
      <w:pPr>
        <w:ind w:firstLine="720"/>
        <w:rPr>
          <w:rFonts w:ascii="Arial" w:hAnsi="Arial" w:cs="Arial"/>
          <w:sz w:val="22"/>
        </w:rPr>
      </w:pPr>
      <w:r w:rsidRPr="00EE7D98">
        <w:rPr>
          <w:rFonts w:ascii="Arial" w:hAnsi="Arial" w:cs="Arial"/>
          <w:sz w:val="22"/>
        </w:rPr>
        <w:t xml:space="preserve">The </w:t>
      </w:r>
      <w:r w:rsidR="004E1929" w:rsidRPr="00EE7D98">
        <w:rPr>
          <w:rFonts w:ascii="Arial" w:hAnsi="Arial" w:cs="Arial"/>
          <w:sz w:val="22"/>
        </w:rPr>
        <w:t>UK Biobank</w:t>
      </w:r>
      <w:r w:rsidRPr="00EE7D98">
        <w:rPr>
          <w:rFonts w:ascii="Arial" w:hAnsi="Arial" w:cs="Arial"/>
          <w:sz w:val="22"/>
        </w:rPr>
        <w:t xml:space="preserve"> had the best minority group representation compared to other cohorts in the UK. However, the number of cases of </w:t>
      </w:r>
      <w:r w:rsidR="00F92333" w:rsidRPr="00EE7D98">
        <w:rPr>
          <w:rFonts w:ascii="Arial" w:hAnsi="Arial" w:cs="Arial"/>
          <w:sz w:val="22"/>
        </w:rPr>
        <w:t>D</w:t>
      </w:r>
      <w:r w:rsidRPr="00EE7D98">
        <w:rPr>
          <w:rFonts w:ascii="Arial" w:hAnsi="Arial" w:cs="Arial"/>
          <w:sz w:val="22"/>
        </w:rPr>
        <w:t xml:space="preserve">ementia in the Minority ethnic group was deficient, which resulted in a comprehensive level of confidence for almost every estimate. It is a vast cohort that has an extended follow-up. The association is shown among </w:t>
      </w:r>
      <w:r w:rsidR="00F92333" w:rsidRPr="00EE7D98">
        <w:rPr>
          <w:rFonts w:ascii="Arial" w:hAnsi="Arial" w:cs="Arial"/>
          <w:sz w:val="22"/>
        </w:rPr>
        <w:t>D</w:t>
      </w:r>
      <w:r w:rsidRPr="00EE7D98">
        <w:rPr>
          <w:rFonts w:ascii="Arial" w:hAnsi="Arial" w:cs="Arial"/>
          <w:sz w:val="22"/>
        </w:rPr>
        <w:t xml:space="preserve">ementia and the minority and the stratified hazard ratios for the risk factors of 12 dementia in all the three </w:t>
      </w:r>
      <w:r w:rsidR="0022245A" w:rsidRPr="00EE7D98">
        <w:rPr>
          <w:rFonts w:ascii="Arial" w:hAnsi="Arial" w:cs="Arial"/>
          <w:sz w:val="22"/>
        </w:rPr>
        <w:t>most prominen</w:t>
      </w:r>
      <w:r w:rsidRPr="00EE7D98">
        <w:rPr>
          <w:rFonts w:ascii="Arial" w:hAnsi="Arial" w:cs="Arial"/>
          <w:sz w:val="22"/>
        </w:rPr>
        <w:t xml:space="preserve">t ethnic groups in the UK. According to this article, the self-identified Black have a high risk of developing </w:t>
      </w:r>
      <w:r w:rsidR="00F92333" w:rsidRPr="00EE7D98">
        <w:rPr>
          <w:rFonts w:ascii="Arial" w:hAnsi="Arial" w:cs="Arial"/>
          <w:sz w:val="22"/>
        </w:rPr>
        <w:t>D</w:t>
      </w:r>
      <w:r w:rsidRPr="00EE7D98">
        <w:rPr>
          <w:rFonts w:ascii="Arial" w:hAnsi="Arial" w:cs="Arial"/>
          <w:sz w:val="22"/>
        </w:rPr>
        <w:t xml:space="preserve">ementia compared to those identified as white. However, they have a high risk of </w:t>
      </w:r>
      <w:r w:rsidR="00F92333" w:rsidRPr="00EE7D98">
        <w:rPr>
          <w:rFonts w:ascii="Arial" w:hAnsi="Arial" w:cs="Arial"/>
          <w:sz w:val="22"/>
        </w:rPr>
        <w:t>D</w:t>
      </w:r>
      <w:r w:rsidRPr="00EE7D98">
        <w:rPr>
          <w:rFonts w:ascii="Arial" w:hAnsi="Arial" w:cs="Arial"/>
          <w:sz w:val="22"/>
        </w:rPr>
        <w:t xml:space="preserve">ementia when compared with those who are identified as south Asian and White. However, the outcome of </w:t>
      </w:r>
      <w:r w:rsidR="00F92333" w:rsidRPr="00EE7D98">
        <w:rPr>
          <w:rFonts w:ascii="Arial" w:hAnsi="Arial" w:cs="Arial"/>
          <w:sz w:val="22"/>
        </w:rPr>
        <w:t>D</w:t>
      </w:r>
      <w:r w:rsidRPr="00EE7D98">
        <w:rPr>
          <w:rFonts w:ascii="Arial" w:hAnsi="Arial" w:cs="Arial"/>
          <w:sz w:val="22"/>
        </w:rPr>
        <w:t xml:space="preserve">ementia is infrequent in the well-educated and healthy cohorts, and this finding is consistent with the previous studies. </w:t>
      </w:r>
    </w:p>
    <w:p w14:paraId="2E315E97" w14:textId="6BF3429A" w:rsidR="004A591C" w:rsidRPr="00EE7D98" w:rsidRDefault="004A591C" w:rsidP="004A591C">
      <w:pPr>
        <w:ind w:firstLine="720"/>
        <w:rPr>
          <w:rFonts w:ascii="Arial" w:hAnsi="Arial" w:cs="Arial"/>
          <w:sz w:val="22"/>
        </w:rPr>
      </w:pPr>
      <w:r w:rsidRPr="00EE7D98">
        <w:rPr>
          <w:rFonts w:ascii="Arial" w:hAnsi="Arial" w:cs="Arial"/>
          <w:sz w:val="22"/>
        </w:rPr>
        <w:t xml:space="preserve">Besides, the outcome of higher frequency of the black population is in line with African American studies in the USA. However, its relationship with </w:t>
      </w:r>
      <w:r w:rsidR="00F92333" w:rsidRPr="00EE7D98">
        <w:rPr>
          <w:rFonts w:ascii="Arial" w:hAnsi="Arial" w:cs="Arial"/>
          <w:sz w:val="22"/>
        </w:rPr>
        <w:t>D</w:t>
      </w:r>
      <w:r w:rsidRPr="00EE7D98">
        <w:rPr>
          <w:rFonts w:ascii="Arial" w:hAnsi="Arial" w:cs="Arial"/>
          <w:sz w:val="22"/>
        </w:rPr>
        <w:t xml:space="preserve">ementia in this research is not consistent. In other studies, it has been found that alleles have significantly less effect on Alzheimer's disease. In contrast, others are associated with a high risk of </w:t>
      </w:r>
      <w:r w:rsidR="00F92333" w:rsidRPr="00EE7D98">
        <w:rPr>
          <w:rFonts w:ascii="Arial" w:hAnsi="Arial" w:cs="Arial"/>
          <w:sz w:val="22"/>
        </w:rPr>
        <w:t>D</w:t>
      </w:r>
      <w:r w:rsidRPr="00EE7D98">
        <w:rPr>
          <w:rFonts w:ascii="Arial" w:hAnsi="Arial" w:cs="Arial"/>
          <w:sz w:val="22"/>
        </w:rPr>
        <w:t xml:space="preserve">ementia, which is connected to cholesterol metabolism and cardiovascular disease. Also, the results from mean age to the ones living with education were the same in all the ethnic groups, but the participant's rates with education were only up to the age of 16 years was a higher rate in the white group. The previous studies were replicated to educate future effects and the increased rate of </w:t>
      </w:r>
      <w:r w:rsidR="00F92333" w:rsidRPr="00EE7D98">
        <w:rPr>
          <w:rFonts w:ascii="Arial" w:hAnsi="Arial" w:cs="Arial"/>
          <w:sz w:val="22"/>
        </w:rPr>
        <w:t>D</w:t>
      </w:r>
      <w:r w:rsidRPr="00EE7D98">
        <w:rPr>
          <w:rFonts w:ascii="Arial" w:hAnsi="Arial" w:cs="Arial"/>
          <w:sz w:val="22"/>
        </w:rPr>
        <w:t>ementia from the previously studied risk factors, including hyperbaton, diabetes, obesity, and social Isolation, among others. Among these risk factors, the one with the highest dementia HR is diabetes. Also, the consumption of alcohol was measured, and it was found that any amount of alcohol consumed leads to damaging the brain and atrophy</w:t>
      </w:r>
      <w:sdt>
        <w:sdtPr>
          <w:rPr>
            <w:rFonts w:ascii="Arial" w:hAnsi="Arial" w:cs="Arial"/>
            <w:sz w:val="22"/>
          </w:rPr>
          <w:id w:val="-605344053"/>
          <w:citation/>
        </w:sdtPr>
        <w:sdtContent>
          <w:r w:rsidRPr="00EE7D98">
            <w:rPr>
              <w:rFonts w:ascii="Arial" w:hAnsi="Arial" w:cs="Arial"/>
              <w:sz w:val="22"/>
            </w:rPr>
            <w:fldChar w:fldCharType="begin"/>
          </w:r>
          <w:r w:rsidRPr="00EE7D98">
            <w:rPr>
              <w:rFonts w:ascii="Arial" w:hAnsi="Arial" w:cs="Arial"/>
              <w:sz w:val="22"/>
            </w:rPr>
            <w:instrText xml:space="preserve"> CITATION Luc16 \l 1033 </w:instrText>
          </w:r>
          <w:r w:rsidRPr="00EE7D98">
            <w:rPr>
              <w:rFonts w:ascii="Arial" w:hAnsi="Arial" w:cs="Arial"/>
              <w:sz w:val="22"/>
            </w:rPr>
            <w:fldChar w:fldCharType="separate"/>
          </w:r>
          <w:r w:rsidRPr="00EE7D98">
            <w:rPr>
              <w:rFonts w:ascii="Arial" w:hAnsi="Arial" w:cs="Arial"/>
              <w:noProof/>
              <w:sz w:val="22"/>
            </w:rPr>
            <w:t xml:space="preserve"> (Luciana, 2016)</w:t>
          </w:r>
          <w:r w:rsidRPr="00EE7D98">
            <w:rPr>
              <w:rFonts w:ascii="Arial" w:hAnsi="Arial" w:cs="Arial"/>
              <w:sz w:val="22"/>
            </w:rPr>
            <w:fldChar w:fldCharType="end"/>
          </w:r>
        </w:sdtContent>
      </w:sdt>
      <w:r w:rsidRPr="00EE7D98">
        <w:rPr>
          <w:rFonts w:ascii="Arial" w:hAnsi="Arial" w:cs="Arial"/>
          <w:sz w:val="22"/>
        </w:rPr>
        <w:t xml:space="preserve">. It included the UK </w:t>
      </w:r>
      <w:r w:rsidRPr="00EE7D98">
        <w:rPr>
          <w:rFonts w:ascii="Arial" w:hAnsi="Arial" w:cs="Arial"/>
          <w:sz w:val="22"/>
        </w:rPr>
        <w:lastRenderedPageBreak/>
        <w:t xml:space="preserve">Biobank participants and did not equate to the clinical dementia diagnosis, and no evidence was found that moderates are drinking, resulting in clinical problems. In equal terms, the increased dementia risks to the ones taking any amount of alcohol can be a result of unmeasured confounding </w:t>
      </w:r>
      <w:proofErr w:type="gramStart"/>
      <w:r w:rsidRPr="00EE7D98">
        <w:rPr>
          <w:rFonts w:ascii="Arial" w:hAnsi="Arial" w:cs="Arial"/>
          <w:sz w:val="22"/>
        </w:rPr>
        <w:t>and also</w:t>
      </w:r>
      <w:proofErr w:type="gramEnd"/>
      <w:r w:rsidRPr="00EE7D98">
        <w:rPr>
          <w:rFonts w:ascii="Arial" w:hAnsi="Arial" w:cs="Arial"/>
          <w:sz w:val="22"/>
        </w:rPr>
        <w:t xml:space="preserve"> due to bias. The high cholesterol rates were somehow high than other populations based on the estimates in the healthy population.  </w:t>
      </w:r>
    </w:p>
    <w:p w14:paraId="37069994" w14:textId="58003A7E" w:rsidR="004A591C" w:rsidRPr="00EE7D98" w:rsidRDefault="004A591C" w:rsidP="004A591C">
      <w:pPr>
        <w:ind w:firstLine="720"/>
        <w:rPr>
          <w:rFonts w:ascii="Arial" w:hAnsi="Arial" w:cs="Arial"/>
          <w:sz w:val="22"/>
        </w:rPr>
      </w:pPr>
      <w:r w:rsidRPr="00EE7D98">
        <w:rPr>
          <w:rFonts w:ascii="Arial" w:hAnsi="Arial" w:cs="Arial"/>
          <w:sz w:val="22"/>
        </w:rPr>
        <w:t xml:space="preserve">Anderson (2017), in his article, also found some lifestyle behaviors that are the risk factors for dementia development. He researched some effects of diets on </w:t>
      </w:r>
      <w:r w:rsidR="00F92333" w:rsidRPr="00EE7D98">
        <w:rPr>
          <w:rFonts w:ascii="Arial" w:hAnsi="Arial" w:cs="Arial"/>
          <w:sz w:val="22"/>
        </w:rPr>
        <w:t>D</w:t>
      </w:r>
      <w:r w:rsidRPr="00EE7D98">
        <w:rPr>
          <w:rFonts w:ascii="Arial" w:hAnsi="Arial" w:cs="Arial"/>
          <w:sz w:val="22"/>
        </w:rPr>
        <w:t xml:space="preserve">ementia, and according to him, there are few studies, making it hard to develop a pattern for establishing the association. He did not include diet as a main dementia risk factor. According to a report from World Alzheimer, it is cited that there is a significant association between </w:t>
      </w:r>
      <w:r w:rsidR="00F92333" w:rsidRPr="00EE7D98">
        <w:rPr>
          <w:rFonts w:ascii="Arial" w:hAnsi="Arial" w:cs="Arial"/>
          <w:sz w:val="22"/>
        </w:rPr>
        <w:t>D</w:t>
      </w:r>
      <w:r w:rsidRPr="00EE7D98">
        <w:rPr>
          <w:rFonts w:ascii="Arial" w:hAnsi="Arial" w:cs="Arial"/>
          <w:sz w:val="22"/>
        </w:rPr>
        <w:t>ementia and diet and all measures of diet in older adults</w:t>
      </w:r>
      <w:sdt>
        <w:sdtPr>
          <w:rPr>
            <w:rFonts w:ascii="Arial" w:hAnsi="Arial" w:cs="Arial"/>
            <w:sz w:val="22"/>
          </w:rPr>
          <w:id w:val="-1420101026"/>
          <w:citation/>
        </w:sdtPr>
        <w:sdtContent>
          <w:r w:rsidRPr="00EE7D98">
            <w:rPr>
              <w:rFonts w:ascii="Arial" w:hAnsi="Arial" w:cs="Arial"/>
              <w:sz w:val="22"/>
            </w:rPr>
            <w:fldChar w:fldCharType="begin"/>
          </w:r>
          <w:r w:rsidRPr="00EE7D98">
            <w:rPr>
              <w:rFonts w:ascii="Arial" w:hAnsi="Arial" w:cs="Arial"/>
              <w:sz w:val="22"/>
            </w:rPr>
            <w:instrText xml:space="preserve"> CITATION Pla18 \l 1033 </w:instrText>
          </w:r>
          <w:r w:rsidRPr="00EE7D98">
            <w:rPr>
              <w:rFonts w:ascii="Arial" w:hAnsi="Arial" w:cs="Arial"/>
              <w:sz w:val="22"/>
            </w:rPr>
            <w:fldChar w:fldCharType="separate"/>
          </w:r>
          <w:r w:rsidRPr="00EE7D98">
            <w:rPr>
              <w:rFonts w:ascii="Arial" w:hAnsi="Arial" w:cs="Arial"/>
              <w:noProof/>
              <w:sz w:val="22"/>
            </w:rPr>
            <w:t xml:space="preserve"> (Plassman, 2018)</w:t>
          </w:r>
          <w:r w:rsidRPr="00EE7D98">
            <w:rPr>
              <w:rFonts w:ascii="Arial" w:hAnsi="Arial" w:cs="Arial"/>
              <w:sz w:val="22"/>
            </w:rPr>
            <w:fldChar w:fldCharType="end"/>
          </w:r>
        </w:sdtContent>
      </w:sdt>
      <w:r w:rsidRPr="00EE7D98">
        <w:rPr>
          <w:rFonts w:ascii="Arial" w:hAnsi="Arial" w:cs="Arial"/>
          <w:sz w:val="22"/>
        </w:rPr>
        <w:t xml:space="preserve">. However, they did not separate the effects from middle-aged life, and most did not use </w:t>
      </w:r>
      <w:r w:rsidR="00F92333" w:rsidRPr="00EE7D98">
        <w:rPr>
          <w:rFonts w:ascii="Arial" w:hAnsi="Arial" w:cs="Arial"/>
          <w:sz w:val="22"/>
        </w:rPr>
        <w:t>D</w:t>
      </w:r>
      <w:r w:rsidRPr="00EE7D98">
        <w:rPr>
          <w:rFonts w:ascii="Arial" w:hAnsi="Arial" w:cs="Arial"/>
          <w:sz w:val="22"/>
        </w:rPr>
        <w:t>ementia as the outcome but cognitive decline.</w:t>
      </w:r>
    </w:p>
    <w:p w14:paraId="133E8AA0" w14:textId="2A76D7BC" w:rsidR="004A591C" w:rsidRPr="00EE7D98" w:rsidRDefault="004A591C" w:rsidP="004A591C">
      <w:pPr>
        <w:ind w:firstLine="720"/>
        <w:rPr>
          <w:rFonts w:ascii="Arial" w:hAnsi="Arial" w:cs="Arial"/>
          <w:sz w:val="22"/>
        </w:rPr>
      </w:pPr>
      <w:r w:rsidRPr="00EE7D98">
        <w:rPr>
          <w:rFonts w:ascii="Arial" w:hAnsi="Arial" w:cs="Arial"/>
          <w:sz w:val="22"/>
        </w:rPr>
        <w:t xml:space="preserve">According to Anderson (2017), in the relevant studies, there are some indications that intake of high saturated fats has a high risk of </w:t>
      </w:r>
      <w:r w:rsidR="00F92333" w:rsidRPr="00EE7D98">
        <w:rPr>
          <w:rFonts w:ascii="Arial" w:hAnsi="Arial" w:cs="Arial"/>
          <w:sz w:val="22"/>
        </w:rPr>
        <w:t>D</w:t>
      </w:r>
      <w:r w:rsidRPr="00EE7D98">
        <w:rPr>
          <w:rFonts w:ascii="Arial" w:hAnsi="Arial" w:cs="Arial"/>
          <w:sz w:val="22"/>
        </w:rPr>
        <w:t xml:space="preserve">ementia. Moreover, the relationship seemed to follow a specific pattern, so when fat intake is moderated, it is linked to a low risk of </w:t>
      </w:r>
      <w:r w:rsidR="00F92333" w:rsidRPr="00EE7D98">
        <w:rPr>
          <w:rFonts w:ascii="Arial" w:hAnsi="Arial" w:cs="Arial"/>
          <w:sz w:val="22"/>
        </w:rPr>
        <w:t>D</w:t>
      </w:r>
      <w:r w:rsidRPr="00EE7D98">
        <w:rPr>
          <w:rFonts w:ascii="Arial" w:hAnsi="Arial" w:cs="Arial"/>
          <w:sz w:val="22"/>
        </w:rPr>
        <w:t xml:space="preserve">ementia. When the intake was no fat, intake was also linked to increased risk. Additionally, consuming coffee, tea, vegetables, and fruits was inconclusive from the most recent tea, coffee, and caffeine consumption on </w:t>
      </w:r>
      <w:r w:rsidR="00F92333" w:rsidRPr="00EE7D98">
        <w:rPr>
          <w:rFonts w:ascii="Arial" w:hAnsi="Arial" w:cs="Arial"/>
          <w:sz w:val="22"/>
        </w:rPr>
        <w:t>D</w:t>
      </w:r>
      <w:r w:rsidRPr="00EE7D98">
        <w:rPr>
          <w:rFonts w:ascii="Arial" w:hAnsi="Arial" w:cs="Arial"/>
          <w:sz w:val="22"/>
        </w:rPr>
        <w:t xml:space="preserve">ementia, with no consistency in a pattern found for their association. There was also an inconsistent pattern in the antioxidants. </w:t>
      </w:r>
    </w:p>
    <w:p w14:paraId="6158D704" w14:textId="7D32D2E8" w:rsidR="004A591C" w:rsidRPr="00EE7D98" w:rsidRDefault="004A591C" w:rsidP="004A591C">
      <w:pPr>
        <w:ind w:firstLine="720"/>
        <w:rPr>
          <w:rFonts w:ascii="Arial" w:hAnsi="Arial" w:cs="Arial"/>
          <w:sz w:val="22"/>
        </w:rPr>
      </w:pPr>
      <w:r w:rsidRPr="00EE7D98">
        <w:rPr>
          <w:rFonts w:ascii="Arial" w:hAnsi="Arial" w:cs="Arial"/>
          <w:sz w:val="22"/>
        </w:rPr>
        <w:t>Lastly, Johansson (2014</w:t>
      </w:r>
      <w:r w:rsidR="004E1929" w:rsidRPr="00EE7D98">
        <w:rPr>
          <w:rFonts w:ascii="Arial" w:hAnsi="Arial" w:cs="Arial"/>
          <w:sz w:val="22"/>
        </w:rPr>
        <w:t>) argued</w:t>
      </w:r>
      <w:r w:rsidRPr="00EE7D98">
        <w:rPr>
          <w:rFonts w:ascii="Arial" w:hAnsi="Arial" w:cs="Arial"/>
          <w:sz w:val="22"/>
        </w:rPr>
        <w:t xml:space="preserve"> about the relationship between loneliness and social Isolation and the risk of </w:t>
      </w:r>
      <w:r w:rsidR="00F92333" w:rsidRPr="00EE7D98">
        <w:rPr>
          <w:rFonts w:ascii="Arial" w:hAnsi="Arial" w:cs="Arial"/>
          <w:sz w:val="22"/>
        </w:rPr>
        <w:t>D</w:t>
      </w:r>
      <w:r w:rsidRPr="00EE7D98">
        <w:rPr>
          <w:rFonts w:ascii="Arial" w:hAnsi="Arial" w:cs="Arial"/>
          <w:sz w:val="22"/>
        </w:rPr>
        <w:t xml:space="preserve">ementia. His significant findings were that there is no substantial estimate on mid-life </w:t>
      </w:r>
      <w:r w:rsidR="0022245A" w:rsidRPr="00EE7D98">
        <w:rPr>
          <w:rFonts w:ascii="Arial" w:hAnsi="Arial" w:cs="Arial"/>
          <w:sz w:val="22"/>
        </w:rPr>
        <w:t>S</w:t>
      </w:r>
      <w:r w:rsidRPr="00EE7D98">
        <w:rPr>
          <w:rFonts w:ascii="Arial" w:hAnsi="Arial" w:cs="Arial"/>
          <w:sz w:val="22"/>
        </w:rPr>
        <w:t xml:space="preserve">ocial Isolation and its impact on </w:t>
      </w:r>
      <w:r w:rsidR="00F92333" w:rsidRPr="00EE7D98">
        <w:rPr>
          <w:rFonts w:ascii="Arial" w:hAnsi="Arial" w:cs="Arial"/>
          <w:sz w:val="22"/>
        </w:rPr>
        <w:t>D</w:t>
      </w:r>
      <w:r w:rsidRPr="00EE7D98">
        <w:rPr>
          <w:rFonts w:ascii="Arial" w:hAnsi="Arial" w:cs="Arial"/>
          <w:sz w:val="22"/>
        </w:rPr>
        <w:t xml:space="preserve">ementia. Additionally, few studies report a long-term effect on older age from mid-life. Studies look at any association between </w:t>
      </w:r>
      <w:r w:rsidR="00F92333" w:rsidRPr="00EE7D98">
        <w:rPr>
          <w:rFonts w:ascii="Arial" w:hAnsi="Arial" w:cs="Arial"/>
          <w:sz w:val="22"/>
        </w:rPr>
        <w:t>D</w:t>
      </w:r>
      <w:r w:rsidRPr="00EE7D98">
        <w:rPr>
          <w:rFonts w:ascii="Arial" w:hAnsi="Arial" w:cs="Arial"/>
          <w:sz w:val="22"/>
        </w:rPr>
        <w:t xml:space="preserve">ementia and loneliness, social engagements, Isolation, or old-age cognitive functioning </w:t>
      </w:r>
      <w:sdt>
        <w:sdtPr>
          <w:rPr>
            <w:rFonts w:ascii="Arial" w:hAnsi="Arial" w:cs="Arial"/>
            <w:sz w:val="22"/>
          </w:rPr>
          <w:id w:val="1620336511"/>
          <w:citation/>
        </w:sdtPr>
        <w:sdtContent>
          <w:r w:rsidRPr="00EE7D98">
            <w:rPr>
              <w:rFonts w:ascii="Arial" w:hAnsi="Arial" w:cs="Arial"/>
              <w:sz w:val="22"/>
            </w:rPr>
            <w:fldChar w:fldCharType="begin"/>
          </w:r>
          <w:r w:rsidRPr="00EE7D98">
            <w:rPr>
              <w:rFonts w:ascii="Arial" w:hAnsi="Arial" w:cs="Arial"/>
              <w:sz w:val="22"/>
            </w:rPr>
            <w:instrText xml:space="preserve"> CITATION Par11 \l 1033 </w:instrText>
          </w:r>
          <w:r w:rsidRPr="00EE7D98">
            <w:rPr>
              <w:rFonts w:ascii="Arial" w:hAnsi="Arial" w:cs="Arial"/>
              <w:sz w:val="22"/>
            </w:rPr>
            <w:fldChar w:fldCharType="separate"/>
          </w:r>
          <w:r w:rsidRPr="00EE7D98">
            <w:rPr>
              <w:rFonts w:ascii="Arial" w:hAnsi="Arial" w:cs="Arial"/>
              <w:noProof/>
              <w:sz w:val="22"/>
            </w:rPr>
            <w:t xml:space="preserve"> (Parker, 2011)</w:t>
          </w:r>
          <w:r w:rsidRPr="00EE7D98">
            <w:rPr>
              <w:rFonts w:ascii="Arial" w:hAnsi="Arial" w:cs="Arial"/>
              <w:sz w:val="22"/>
            </w:rPr>
            <w:fldChar w:fldCharType="end"/>
          </w:r>
        </w:sdtContent>
      </w:sdt>
      <w:r w:rsidRPr="00EE7D98">
        <w:rPr>
          <w:rFonts w:ascii="Arial" w:hAnsi="Arial" w:cs="Arial"/>
          <w:sz w:val="22"/>
        </w:rPr>
        <w:t xml:space="preserve">. Johansson linked Alzheimer's report with his study, arguing that social engagements were </w:t>
      </w:r>
      <w:r w:rsidRPr="00EE7D98">
        <w:rPr>
          <w:rFonts w:ascii="Arial" w:hAnsi="Arial" w:cs="Arial"/>
          <w:sz w:val="22"/>
        </w:rPr>
        <w:lastRenderedPageBreak/>
        <w:t xml:space="preserve">measured in old age. A review by Fratiglion1 (2015) states that the association between leisure activities and older age and </w:t>
      </w:r>
      <w:r w:rsidR="00F92333" w:rsidRPr="00EE7D98">
        <w:rPr>
          <w:rFonts w:ascii="Arial" w:hAnsi="Arial" w:cs="Arial"/>
          <w:sz w:val="22"/>
        </w:rPr>
        <w:t>D</w:t>
      </w:r>
      <w:r w:rsidRPr="00EE7D98">
        <w:rPr>
          <w:rFonts w:ascii="Arial" w:hAnsi="Arial" w:cs="Arial"/>
          <w:sz w:val="22"/>
        </w:rPr>
        <w:t>ementia varies on the follow-up times from one to eight years.</w:t>
      </w:r>
    </w:p>
    <w:p w14:paraId="333FEA16" w14:textId="203303D8" w:rsidR="007D23D0" w:rsidRPr="00EE7D98" w:rsidRDefault="007D23D0" w:rsidP="00543F95">
      <w:pPr>
        <w:pStyle w:val="Heading1"/>
        <w:jc w:val="center"/>
        <w:rPr>
          <w:rFonts w:ascii="Arial" w:hAnsi="Arial" w:cs="Arial"/>
          <w:sz w:val="22"/>
          <w:szCs w:val="22"/>
        </w:rPr>
      </w:pPr>
      <w:bookmarkStart w:id="9" w:name="_Toc118449070"/>
      <w:r w:rsidRPr="00EE7D98">
        <w:rPr>
          <w:rFonts w:ascii="Arial" w:hAnsi="Arial" w:cs="Arial"/>
          <w:sz w:val="22"/>
          <w:szCs w:val="22"/>
        </w:rPr>
        <w:t xml:space="preserve">Conclusion and </w:t>
      </w:r>
      <w:r w:rsidR="00543F95" w:rsidRPr="00EE7D98">
        <w:rPr>
          <w:rFonts w:ascii="Arial" w:hAnsi="Arial" w:cs="Arial"/>
          <w:sz w:val="22"/>
          <w:szCs w:val="22"/>
        </w:rPr>
        <w:t>R</w:t>
      </w:r>
      <w:r w:rsidRPr="00EE7D98">
        <w:rPr>
          <w:rFonts w:ascii="Arial" w:hAnsi="Arial" w:cs="Arial"/>
          <w:sz w:val="22"/>
          <w:szCs w:val="22"/>
        </w:rPr>
        <w:t>ecommendations</w:t>
      </w:r>
      <w:bookmarkEnd w:id="9"/>
    </w:p>
    <w:p w14:paraId="360415C6" w14:textId="4E948E47" w:rsidR="007D23D0" w:rsidRPr="00EE7D98" w:rsidRDefault="007D23D0" w:rsidP="007D23D0">
      <w:pPr>
        <w:ind w:firstLine="720"/>
        <w:rPr>
          <w:rFonts w:ascii="Arial" w:hAnsi="Arial" w:cs="Arial"/>
          <w:sz w:val="22"/>
        </w:rPr>
      </w:pPr>
      <w:r w:rsidRPr="00EE7D98">
        <w:rPr>
          <w:rFonts w:ascii="Arial" w:hAnsi="Arial" w:cs="Arial"/>
          <w:sz w:val="22"/>
        </w:rPr>
        <w:t xml:space="preserve">In summary, </w:t>
      </w:r>
      <w:r w:rsidR="00F92333" w:rsidRPr="00EE7D98">
        <w:rPr>
          <w:rFonts w:ascii="Arial" w:hAnsi="Arial" w:cs="Arial"/>
          <w:sz w:val="22"/>
        </w:rPr>
        <w:t>D</w:t>
      </w:r>
      <w:r w:rsidRPr="00EE7D98">
        <w:rPr>
          <w:rFonts w:ascii="Arial" w:hAnsi="Arial" w:cs="Arial"/>
          <w:sz w:val="22"/>
        </w:rPr>
        <w:t xml:space="preserve">ementia is a condition that is not curable, defined as the progressive deterioration of cognitive abilities that affects the brain's ability to function independently. It affects more older adults and is a significant problem in aging societies. When describing the commonness of </w:t>
      </w:r>
      <w:r w:rsidR="00F92333" w:rsidRPr="00EE7D98">
        <w:rPr>
          <w:rFonts w:ascii="Arial" w:hAnsi="Arial" w:cs="Arial"/>
          <w:sz w:val="22"/>
        </w:rPr>
        <w:t>D</w:t>
      </w:r>
      <w:r w:rsidRPr="00EE7D98">
        <w:rPr>
          <w:rFonts w:ascii="Arial" w:hAnsi="Arial" w:cs="Arial"/>
          <w:sz w:val="22"/>
        </w:rPr>
        <w:t xml:space="preserve">ementia, the researcher uses two measurements: the prevalence, which means the number of people that have </w:t>
      </w:r>
      <w:r w:rsidR="00F92333" w:rsidRPr="00EE7D98">
        <w:rPr>
          <w:rFonts w:ascii="Arial" w:hAnsi="Arial" w:cs="Arial"/>
          <w:sz w:val="22"/>
        </w:rPr>
        <w:t>D</w:t>
      </w:r>
      <w:r w:rsidRPr="00EE7D98">
        <w:rPr>
          <w:rFonts w:ascii="Arial" w:hAnsi="Arial" w:cs="Arial"/>
          <w:sz w:val="22"/>
        </w:rPr>
        <w:t xml:space="preserve">ementia </w:t>
      </w:r>
      <w:proofErr w:type="gramStart"/>
      <w:r w:rsidRPr="00EE7D98">
        <w:rPr>
          <w:rFonts w:ascii="Arial" w:hAnsi="Arial" w:cs="Arial"/>
          <w:sz w:val="22"/>
        </w:rPr>
        <w:t>in a given</w:t>
      </w:r>
      <w:proofErr w:type="gramEnd"/>
      <w:r w:rsidRPr="00EE7D98">
        <w:rPr>
          <w:rFonts w:ascii="Arial" w:hAnsi="Arial" w:cs="Arial"/>
          <w:sz w:val="22"/>
        </w:rPr>
        <w:t xml:space="preserve"> time or a given period. </w:t>
      </w:r>
      <w:r w:rsidR="0022245A" w:rsidRPr="00EE7D98">
        <w:rPr>
          <w:rFonts w:ascii="Arial" w:hAnsi="Arial" w:cs="Arial"/>
          <w:sz w:val="22"/>
        </w:rPr>
        <w:t>Although</w:t>
      </w:r>
      <w:r w:rsidRPr="00EE7D98">
        <w:rPr>
          <w:rFonts w:ascii="Arial" w:hAnsi="Arial" w:cs="Arial"/>
          <w:sz w:val="22"/>
        </w:rPr>
        <w:t xml:space="preserve"> </w:t>
      </w:r>
      <w:r w:rsidR="00F92333" w:rsidRPr="00EE7D98">
        <w:rPr>
          <w:rFonts w:ascii="Arial" w:hAnsi="Arial" w:cs="Arial"/>
          <w:sz w:val="22"/>
        </w:rPr>
        <w:t>D</w:t>
      </w:r>
      <w:r w:rsidRPr="00EE7D98">
        <w:rPr>
          <w:rFonts w:ascii="Arial" w:hAnsi="Arial" w:cs="Arial"/>
          <w:sz w:val="22"/>
        </w:rPr>
        <w:t xml:space="preserve">ementia </w:t>
      </w:r>
      <w:r w:rsidR="0022245A" w:rsidRPr="00EE7D98">
        <w:rPr>
          <w:rFonts w:ascii="Arial" w:hAnsi="Arial" w:cs="Arial"/>
          <w:sz w:val="22"/>
        </w:rPr>
        <w:t>is</w:t>
      </w:r>
      <w:r w:rsidRPr="00EE7D98">
        <w:rPr>
          <w:rFonts w:ascii="Arial" w:hAnsi="Arial" w:cs="Arial"/>
          <w:sz w:val="22"/>
        </w:rPr>
        <w:t xml:space="preserve"> a huge health issue, there is no need for comparative data on its prevalence and incidences. This is because various studies use </w:t>
      </w:r>
      <w:r w:rsidR="0022245A" w:rsidRPr="00EE7D98">
        <w:rPr>
          <w:rFonts w:ascii="Arial" w:hAnsi="Arial" w:cs="Arial"/>
          <w:sz w:val="22"/>
        </w:rPr>
        <w:t>different theories and data collection methods, which are un</w:t>
      </w:r>
      <w:r w:rsidRPr="00EE7D98">
        <w:rPr>
          <w:rFonts w:ascii="Arial" w:hAnsi="Arial" w:cs="Arial"/>
          <w:sz w:val="22"/>
        </w:rPr>
        <w:t xml:space="preserve">suitable for accurate comparisons. </w:t>
      </w:r>
    </w:p>
    <w:p w14:paraId="55C42738" w14:textId="1040B6DE" w:rsidR="007D23D0" w:rsidRPr="00EE7D98" w:rsidRDefault="007D23D0" w:rsidP="007D23D0">
      <w:pPr>
        <w:ind w:firstLine="720"/>
        <w:rPr>
          <w:rFonts w:ascii="Arial" w:hAnsi="Arial" w:cs="Arial"/>
          <w:sz w:val="22"/>
        </w:rPr>
      </w:pPr>
      <w:r w:rsidRPr="00EE7D98">
        <w:rPr>
          <w:rFonts w:ascii="Arial" w:hAnsi="Arial" w:cs="Arial"/>
          <w:sz w:val="22"/>
        </w:rPr>
        <w:t xml:space="preserve">The study of various research papers found that the known risk factors differences among some sites do not significantly differ among men and women. Other previous suggestions, that is, the incidence that falls to the old age groups, was not confirmed by the available data. The outcome is for future planning of healthcare in the United Kingdom </w:t>
      </w:r>
      <w:proofErr w:type="gramStart"/>
      <w:r w:rsidRPr="00EE7D98">
        <w:rPr>
          <w:rFonts w:ascii="Arial" w:hAnsi="Arial" w:cs="Arial"/>
          <w:sz w:val="22"/>
        </w:rPr>
        <w:t>and also</w:t>
      </w:r>
      <w:proofErr w:type="gramEnd"/>
      <w:r w:rsidRPr="00EE7D98">
        <w:rPr>
          <w:rFonts w:ascii="Arial" w:hAnsi="Arial" w:cs="Arial"/>
          <w:sz w:val="22"/>
        </w:rPr>
        <w:t xml:space="preserve"> in other nations with aging populations that are rapidly aging. Also, from the other articles, we realized that some lifestyle behaviors like smoking </w:t>
      </w:r>
      <w:r w:rsidR="0022245A" w:rsidRPr="00EE7D98">
        <w:rPr>
          <w:rFonts w:ascii="Arial" w:hAnsi="Arial" w:cs="Arial"/>
          <w:sz w:val="22"/>
        </w:rPr>
        <w:t>significantly affect</w:t>
      </w:r>
      <w:r w:rsidRPr="00EE7D98">
        <w:rPr>
          <w:rFonts w:ascii="Arial" w:hAnsi="Arial" w:cs="Arial"/>
          <w:sz w:val="22"/>
        </w:rPr>
        <w:t xml:space="preserve"> mortality and the incidences of </w:t>
      </w:r>
      <w:r w:rsidR="00F92333" w:rsidRPr="00EE7D98">
        <w:rPr>
          <w:rFonts w:ascii="Arial" w:hAnsi="Arial" w:cs="Arial"/>
          <w:sz w:val="22"/>
        </w:rPr>
        <w:t>D</w:t>
      </w:r>
      <w:r w:rsidRPr="00EE7D98">
        <w:rPr>
          <w:rFonts w:ascii="Arial" w:hAnsi="Arial" w:cs="Arial"/>
          <w:sz w:val="22"/>
        </w:rPr>
        <w:t xml:space="preserve">ementia. Individuals who change their lifestyle behavior in middle age can experience a better life expectancy. However, it is possible to gain a reduced risk of dementia onset at a certain age; for instance, in the sixties and </w:t>
      </w:r>
      <w:r w:rsidR="004E1929" w:rsidRPr="00EE7D98">
        <w:rPr>
          <w:rFonts w:ascii="Arial" w:hAnsi="Arial" w:cs="Arial"/>
          <w:sz w:val="22"/>
        </w:rPr>
        <w:t>seventies, the</w:t>
      </w:r>
      <w:r w:rsidRPr="00EE7D98">
        <w:rPr>
          <w:rFonts w:ascii="Arial" w:hAnsi="Arial" w:cs="Arial"/>
          <w:sz w:val="22"/>
        </w:rPr>
        <w:t xml:space="preserve"> risk due to dementia onset can go up when they change their behaviors.</w:t>
      </w:r>
    </w:p>
    <w:p w14:paraId="61216476" w14:textId="46C7C141" w:rsidR="007D23D0" w:rsidRPr="00EE7D98" w:rsidRDefault="007D23D0" w:rsidP="007D23D0">
      <w:pPr>
        <w:ind w:firstLine="720"/>
        <w:rPr>
          <w:rFonts w:ascii="Arial" w:hAnsi="Arial" w:cs="Arial"/>
          <w:sz w:val="22"/>
        </w:rPr>
      </w:pPr>
      <w:r w:rsidRPr="00EE7D98">
        <w:rPr>
          <w:rFonts w:ascii="Arial" w:hAnsi="Arial" w:cs="Arial"/>
          <w:sz w:val="22"/>
        </w:rPr>
        <w:t xml:space="preserve">Lastly, it is recommended that further studies be conducted to examine the effects of dementia incidences of changes in lifestyle in mid-life. There should be following up of the individual cohorts in their middle life who records regular interval on the physical exercises they </w:t>
      </w:r>
      <w:proofErr w:type="gramStart"/>
      <w:r w:rsidRPr="00EE7D98">
        <w:rPr>
          <w:rFonts w:ascii="Arial" w:hAnsi="Arial" w:cs="Arial"/>
          <w:sz w:val="22"/>
        </w:rPr>
        <w:t>do</w:t>
      </w:r>
      <w:proofErr w:type="gramEnd"/>
      <w:r w:rsidRPr="00EE7D98">
        <w:rPr>
          <w:rFonts w:ascii="Arial" w:hAnsi="Arial" w:cs="Arial"/>
          <w:sz w:val="22"/>
        </w:rPr>
        <w:t xml:space="preserve"> and the alcohol amount they take, and other risk factors. A continued follow-up needs to be </w:t>
      </w:r>
      <w:r w:rsidRPr="00EE7D98">
        <w:rPr>
          <w:rFonts w:ascii="Arial" w:hAnsi="Arial" w:cs="Arial"/>
          <w:sz w:val="22"/>
        </w:rPr>
        <w:lastRenderedPageBreak/>
        <w:t>done on the cohort to their old age, keeping on a specific interval in their cognitive functions, dementia onsets, and life quality. However, the studies seem complex and take time and cost.</w:t>
      </w:r>
      <w:r w:rsidRPr="00EE7D98">
        <w:rPr>
          <w:rFonts w:ascii="Arial" w:hAnsi="Arial" w:cs="Arial"/>
          <w:sz w:val="22"/>
        </w:rPr>
        <w:tab/>
      </w:r>
    </w:p>
    <w:p w14:paraId="3F9D7F1D" w14:textId="77777777" w:rsidR="00A26855" w:rsidRPr="00EE7D98" w:rsidRDefault="00A26855">
      <w:pPr>
        <w:rPr>
          <w:rFonts w:ascii="Arial" w:hAnsi="Arial" w:cs="Arial"/>
          <w:sz w:val="22"/>
        </w:rPr>
      </w:pPr>
      <w:r w:rsidRPr="00EE7D98">
        <w:rPr>
          <w:rFonts w:ascii="Arial" w:hAnsi="Arial" w:cs="Arial"/>
          <w:sz w:val="22"/>
        </w:rPr>
        <w:br w:type="page"/>
      </w:r>
    </w:p>
    <w:p w14:paraId="784DC575" w14:textId="015BF39D" w:rsidR="007D23D0" w:rsidRPr="00A26855" w:rsidRDefault="00A26855" w:rsidP="005F7AD6">
      <w:pPr>
        <w:pStyle w:val="Heading1"/>
        <w:jc w:val="center"/>
      </w:pPr>
      <w:bookmarkStart w:id="10" w:name="_Toc118449071"/>
      <w:r w:rsidRPr="00A26855">
        <w:lastRenderedPageBreak/>
        <w:t>References</w:t>
      </w:r>
      <w:bookmarkEnd w:id="10"/>
    </w:p>
    <w:sdt>
      <w:sdtPr>
        <w:rPr>
          <w:rFonts w:ascii="Times New Roman" w:eastAsiaTheme="minorHAnsi" w:hAnsi="Times New Roman" w:cstheme="minorBidi"/>
          <w:b w:val="0"/>
          <w:color w:val="auto"/>
          <w:sz w:val="24"/>
          <w:szCs w:val="22"/>
        </w:rPr>
        <w:id w:val="-2119517536"/>
        <w:docPartObj>
          <w:docPartGallery w:val="Bibliographies"/>
          <w:docPartUnique/>
        </w:docPartObj>
      </w:sdtPr>
      <w:sdtContent>
        <w:p w14:paraId="580104A1" w14:textId="7E5C8A9B" w:rsidR="00A26855" w:rsidRDefault="00A26855">
          <w:pPr>
            <w:pStyle w:val="Heading1"/>
          </w:pPr>
        </w:p>
        <w:sdt>
          <w:sdtPr>
            <w:id w:val="-573587230"/>
            <w:bibliography/>
          </w:sdtPr>
          <w:sdtContent>
            <w:p w14:paraId="6C529922" w14:textId="295291AC" w:rsidR="00A26855" w:rsidRDefault="00A26855" w:rsidP="00A26855">
              <w:pPr>
                <w:pStyle w:val="Bibliography"/>
                <w:ind w:left="720" w:hanging="720"/>
                <w:rPr>
                  <w:noProof/>
                  <w:szCs w:val="24"/>
                </w:rPr>
              </w:pPr>
              <w:r>
                <w:fldChar w:fldCharType="begin"/>
              </w:r>
              <w:r>
                <w:instrText xml:space="preserve"> BIBLIOGRAPHY </w:instrText>
              </w:r>
              <w:r>
                <w:fldChar w:fldCharType="separate"/>
              </w:r>
              <w:r>
                <w:rPr>
                  <w:noProof/>
                </w:rPr>
                <w:t xml:space="preserve">Albert, S. (2013). Late-life depression and risk of vascular </w:t>
              </w:r>
              <w:r w:rsidR="00F92333">
                <w:rPr>
                  <w:noProof/>
                </w:rPr>
                <w:t>D</w:t>
              </w:r>
              <w:r>
                <w:rPr>
                  <w:noProof/>
                </w:rPr>
                <w:t>ementia and Alzheimer</w:t>
              </w:r>
              <w:r w:rsidR="0022245A">
                <w:rPr>
                  <w:noProof/>
                </w:rPr>
                <w:t>'</w:t>
              </w:r>
              <w:r>
                <w:rPr>
                  <w:noProof/>
                </w:rPr>
                <w:t xml:space="preserve">s disease. </w:t>
              </w:r>
              <w:r>
                <w:rPr>
                  <w:i/>
                  <w:iCs/>
                  <w:noProof/>
                </w:rPr>
                <w:t>Systematic review and meta-analysis of community-based cohort studies</w:t>
              </w:r>
              <w:r>
                <w:rPr>
                  <w:noProof/>
                </w:rPr>
                <w:t>, 202(5):329–35.</w:t>
              </w:r>
            </w:p>
            <w:p w14:paraId="37C992BB" w14:textId="77777777" w:rsidR="00A26855" w:rsidRDefault="00A26855" w:rsidP="00A26855">
              <w:pPr>
                <w:pStyle w:val="Bibliography"/>
                <w:ind w:left="720" w:hanging="720"/>
                <w:rPr>
                  <w:noProof/>
                </w:rPr>
              </w:pPr>
              <w:r>
                <w:rPr>
                  <w:noProof/>
                </w:rPr>
                <w:t xml:space="preserve">Alzheimer, P. (2021). Health matters: midlife approaches to reduce dementia risk. </w:t>
              </w:r>
              <w:r>
                <w:rPr>
                  <w:i/>
                  <w:iCs/>
                  <w:noProof/>
                </w:rPr>
                <w:t>Health and Social Life, UK</w:t>
              </w:r>
              <w:r>
                <w:rPr>
                  <w:noProof/>
                </w:rPr>
                <w:t>, https://www.gov.uk/government/publications/health-matters-midlife-approaches-to-reduce-dementia-risk/health-matters-midlife-approaches-to-reduce-dementia-risk.</w:t>
              </w:r>
            </w:p>
            <w:p w14:paraId="4B0EE0A2" w14:textId="5FAB2BAE" w:rsidR="00A26855" w:rsidRDefault="00A26855" w:rsidP="00A26855">
              <w:pPr>
                <w:pStyle w:val="Bibliography"/>
                <w:ind w:left="720" w:hanging="720"/>
                <w:rPr>
                  <w:noProof/>
                </w:rPr>
              </w:pPr>
              <w:r>
                <w:rPr>
                  <w:noProof/>
                </w:rPr>
                <w:t xml:space="preserve">Barkley, C. (2014). Incidence of </w:t>
              </w:r>
              <w:r w:rsidR="00F92333">
                <w:rPr>
                  <w:noProof/>
                </w:rPr>
                <w:t>D</w:t>
              </w:r>
              <w:r>
                <w:rPr>
                  <w:noProof/>
                </w:rPr>
                <w:t xml:space="preserve">ementia in a population older than 75 years in the United Kingdom. </w:t>
              </w:r>
              <w:r>
                <w:rPr>
                  <w:i/>
                  <w:iCs/>
                  <w:noProof/>
                </w:rPr>
                <w:t>Arch Gen Psychiatry.</w:t>
              </w:r>
              <w:r>
                <w:rPr>
                  <w:noProof/>
                </w:rPr>
                <w:t>, 51:325–332.</w:t>
              </w:r>
            </w:p>
            <w:p w14:paraId="14CC7262" w14:textId="3BCEA3C7" w:rsidR="00A26855" w:rsidRDefault="00A26855" w:rsidP="00A26855">
              <w:pPr>
                <w:pStyle w:val="Bibliography"/>
                <w:ind w:left="720" w:hanging="720"/>
                <w:rPr>
                  <w:noProof/>
                </w:rPr>
              </w:pPr>
              <w:r>
                <w:rPr>
                  <w:noProof/>
                </w:rPr>
                <w:t xml:space="preserve">Brayne, C. (2017). Methodological issues in screening for </w:t>
              </w:r>
              <w:r w:rsidR="00F92333">
                <w:rPr>
                  <w:noProof/>
                </w:rPr>
                <w:t>D</w:t>
              </w:r>
              <w:r>
                <w:rPr>
                  <w:noProof/>
                </w:rPr>
                <w:t xml:space="preserve">ementia. </w:t>
              </w:r>
              <w:r>
                <w:rPr>
                  <w:i/>
                  <w:iCs/>
                  <w:noProof/>
                </w:rPr>
                <w:t>Neuroepidemiology.</w:t>
              </w:r>
              <w:r>
                <w:rPr>
                  <w:noProof/>
                </w:rPr>
                <w:t>, 11(Suppl 1):88–93.</w:t>
              </w:r>
            </w:p>
            <w:p w14:paraId="024CD0AE" w14:textId="70BAB4FE" w:rsidR="00A26855" w:rsidRDefault="00A26855" w:rsidP="00A26855">
              <w:pPr>
                <w:pStyle w:val="Bibliography"/>
                <w:ind w:left="720" w:hanging="720"/>
                <w:rPr>
                  <w:noProof/>
                </w:rPr>
              </w:pPr>
              <w:r>
                <w:rPr>
                  <w:noProof/>
                </w:rPr>
                <w:t xml:space="preserve">Clarke, M. (2012). Incidence of </w:t>
              </w:r>
              <w:r w:rsidR="00F92333">
                <w:rPr>
                  <w:noProof/>
                </w:rPr>
                <w:t>D</w:t>
              </w:r>
              <w:r>
                <w:rPr>
                  <w:noProof/>
                </w:rPr>
                <w:t xml:space="preserve">ementia in Melton Mowbray: A proposed study and its problems. . </w:t>
              </w:r>
              <w:r>
                <w:rPr>
                  <w:i/>
                  <w:iCs/>
                  <w:noProof/>
                </w:rPr>
                <w:t>Neuroepidemiology.</w:t>
              </w:r>
              <w:r>
                <w:rPr>
                  <w:noProof/>
                </w:rPr>
                <w:t>, 11(Suppl 1):57–60.</w:t>
              </w:r>
            </w:p>
            <w:p w14:paraId="57EE43BB" w14:textId="5F7EEB2D" w:rsidR="00A26855" w:rsidRDefault="00A26855" w:rsidP="00A26855">
              <w:pPr>
                <w:pStyle w:val="Bibliography"/>
                <w:ind w:left="720" w:hanging="720"/>
                <w:rPr>
                  <w:noProof/>
                </w:rPr>
              </w:pPr>
              <w:r>
                <w:rPr>
                  <w:noProof/>
                </w:rPr>
                <w:t xml:space="preserve">Dewey, M. (2017). Physical illness and disability among </w:t>
              </w:r>
              <w:r w:rsidR="0022245A">
                <w:rPr>
                  <w:noProof/>
                </w:rPr>
                <w:t>older adults</w:t>
              </w:r>
              <w:r>
                <w:rPr>
                  <w:noProof/>
                </w:rPr>
                <w:t xml:space="preserve"> in England and Wales. </w:t>
              </w:r>
              <w:r>
                <w:rPr>
                  <w:i/>
                  <w:iCs/>
                  <w:noProof/>
                </w:rPr>
                <w:t>The Medical Research Council Cognitive Function and Ageing Study. The Analysis Group</w:t>
              </w:r>
              <w:r>
                <w:rPr>
                  <w:noProof/>
                </w:rPr>
                <w:t>, 51:494–501.</w:t>
              </w:r>
            </w:p>
            <w:p w14:paraId="6AA93054" w14:textId="231117C8" w:rsidR="00A26855" w:rsidRDefault="00A26855" w:rsidP="00A26855">
              <w:pPr>
                <w:pStyle w:val="Bibliography"/>
                <w:ind w:left="720" w:hanging="720"/>
                <w:rPr>
                  <w:noProof/>
                </w:rPr>
              </w:pPr>
              <w:r>
                <w:rPr>
                  <w:noProof/>
                </w:rPr>
                <w:t xml:space="preserve">DM, J. (2011). </w:t>
              </w:r>
              <w:r w:rsidR="0022245A">
                <w:rPr>
                  <w:noProof/>
                </w:rPr>
                <w:t>i</w:t>
              </w:r>
              <w:r>
                <w:rPr>
                  <w:noProof/>
                </w:rPr>
                <w:t xml:space="preserve">ncidence of AD in African-Americans, Caribbean Hispanics, and Caucasians in northern Manhattan. </w:t>
              </w:r>
              <w:r>
                <w:rPr>
                  <w:i/>
                  <w:iCs/>
                  <w:noProof/>
                </w:rPr>
                <w:t>Neurology</w:t>
              </w:r>
              <w:r>
                <w:rPr>
                  <w:noProof/>
                </w:rPr>
                <w:t>, https://pubmed.ncbi.nlm.nih.gov/11148235.</w:t>
              </w:r>
            </w:p>
            <w:p w14:paraId="77AFFDB9" w14:textId="77777777" w:rsidR="00A26855" w:rsidRDefault="00A26855" w:rsidP="00A26855">
              <w:pPr>
                <w:pStyle w:val="Bibliography"/>
                <w:ind w:left="720" w:hanging="720"/>
                <w:rPr>
                  <w:noProof/>
                </w:rPr>
              </w:pPr>
              <w:r>
                <w:rPr>
                  <w:noProof/>
                </w:rPr>
                <w:t xml:space="preserve">Dodge, H. (2011). Incidence of Alzheimer's disease in a rural community in India. </w:t>
              </w:r>
              <w:r>
                <w:rPr>
                  <w:i/>
                  <w:iCs/>
                  <w:noProof/>
                </w:rPr>
                <w:t>The Indo-US study</w:t>
              </w:r>
              <w:r>
                <w:rPr>
                  <w:noProof/>
                </w:rPr>
                <w:t>, https://pubmed.ncbi.nlm.nih.gov/11571321.</w:t>
              </w:r>
            </w:p>
            <w:p w14:paraId="35A5A209" w14:textId="57F572A1" w:rsidR="00A26855" w:rsidRDefault="00A26855" w:rsidP="00A26855">
              <w:pPr>
                <w:pStyle w:val="Bibliography"/>
                <w:ind w:left="720" w:hanging="720"/>
                <w:rPr>
                  <w:noProof/>
                </w:rPr>
              </w:pPr>
              <w:r>
                <w:rPr>
                  <w:noProof/>
                </w:rPr>
                <w:lastRenderedPageBreak/>
                <w:t>Folstein, M. (2018). Mini-mental state</w:t>
              </w:r>
              <w:r w:rsidR="0022245A">
                <w:rPr>
                  <w:noProof/>
                </w:rPr>
                <w:t>"</w:t>
              </w:r>
              <w:r>
                <w:rPr>
                  <w:noProof/>
                </w:rPr>
                <w:t xml:space="preserve">. A practical method for grading the cognitive state of patients for the clinician. </w:t>
              </w:r>
              <w:r>
                <w:rPr>
                  <w:i/>
                  <w:iCs/>
                  <w:noProof/>
                </w:rPr>
                <w:t>J Psychiatr Res. 1975;12:189–198</w:t>
              </w:r>
              <w:r>
                <w:rPr>
                  <w:noProof/>
                </w:rPr>
                <w:t>, https://www.ncbi.nlm.nih.gov/pmc/articles/PMC1188245/.</w:t>
              </w:r>
            </w:p>
            <w:p w14:paraId="2E46089D" w14:textId="61CA25DA" w:rsidR="00A26855" w:rsidRDefault="00A26855" w:rsidP="00A26855">
              <w:pPr>
                <w:pStyle w:val="Bibliography"/>
                <w:ind w:left="720" w:hanging="720"/>
                <w:rPr>
                  <w:noProof/>
                </w:rPr>
              </w:pPr>
              <w:r>
                <w:rPr>
                  <w:noProof/>
                </w:rPr>
                <w:t xml:space="preserve">Guzman-Velez, E. (2016). Does bilingualism contribute to cognitive reserve? Cognitive and neural perspectives. </w:t>
              </w:r>
              <w:r>
                <w:rPr>
                  <w:i/>
                  <w:iCs/>
                  <w:noProof/>
                </w:rPr>
                <w:t>Neuropsychology [Internet]. American Psychological Association</w:t>
              </w:r>
              <w:r>
                <w:rPr>
                  <w:noProof/>
                </w:rPr>
                <w:t>, 29(1):139–50.</w:t>
              </w:r>
            </w:p>
            <w:p w14:paraId="4FC5449A" w14:textId="77777777" w:rsidR="00A26855" w:rsidRDefault="00A26855" w:rsidP="00A26855">
              <w:pPr>
                <w:pStyle w:val="Bibliography"/>
                <w:ind w:left="720" w:hanging="720"/>
                <w:rPr>
                  <w:noProof/>
                </w:rPr>
              </w:pPr>
              <w:r>
                <w:rPr>
                  <w:noProof/>
                </w:rPr>
                <w:t xml:space="preserve">Harskamp, F. (2013). Incidence and risk of dementia. </w:t>
              </w:r>
              <w:r>
                <w:rPr>
                  <w:i/>
                  <w:iCs/>
                  <w:noProof/>
                </w:rPr>
                <w:t>The Rotterdam Study. Am J Epidemiol</w:t>
              </w:r>
              <w:r>
                <w:rPr>
                  <w:noProof/>
                </w:rPr>
                <w:t>, 147:574–580.</w:t>
              </w:r>
            </w:p>
            <w:p w14:paraId="5DE5B26B" w14:textId="231B0000" w:rsidR="00A26855" w:rsidRDefault="00A26855" w:rsidP="00A26855">
              <w:pPr>
                <w:pStyle w:val="Bibliography"/>
                <w:ind w:left="720" w:hanging="720"/>
                <w:rPr>
                  <w:noProof/>
                </w:rPr>
              </w:pPr>
              <w:r>
                <w:rPr>
                  <w:noProof/>
                </w:rPr>
                <w:t xml:space="preserve">Henderson, A. (2018). The Geriatric Mental State (GMS) used in the community Replication studies of the computerized diagnosis. </w:t>
              </w:r>
              <w:r>
                <w:rPr>
                  <w:i/>
                  <w:iCs/>
                  <w:noProof/>
                </w:rPr>
                <w:t>Psychological Medicine</w:t>
              </w:r>
              <w:r>
                <w:rPr>
                  <w:noProof/>
                </w:rPr>
                <w:t>, 18:219–223.</w:t>
              </w:r>
            </w:p>
            <w:p w14:paraId="4FFA90FB" w14:textId="77777777" w:rsidR="00A26855" w:rsidRDefault="00A26855" w:rsidP="00A26855">
              <w:pPr>
                <w:pStyle w:val="Bibliography"/>
                <w:ind w:left="720" w:hanging="720"/>
                <w:rPr>
                  <w:noProof/>
                </w:rPr>
              </w:pPr>
              <w:r>
                <w:rPr>
                  <w:noProof/>
                </w:rPr>
                <w:t xml:space="preserve">Jorm, A. (2017). The incidence of Dementia. </w:t>
              </w:r>
              <w:r>
                <w:rPr>
                  <w:i/>
                  <w:iCs/>
                  <w:noProof/>
                </w:rPr>
                <w:t>A meta-analysis. Neurology</w:t>
              </w:r>
              <w:r>
                <w:rPr>
                  <w:noProof/>
                </w:rPr>
                <w:t>, 51:728–733.</w:t>
              </w:r>
            </w:p>
            <w:p w14:paraId="5A98CC6B" w14:textId="55F06266" w:rsidR="00A26855" w:rsidRDefault="00A26855" w:rsidP="00A26855">
              <w:pPr>
                <w:pStyle w:val="Bibliography"/>
                <w:ind w:left="720" w:hanging="720"/>
                <w:rPr>
                  <w:noProof/>
                </w:rPr>
              </w:pPr>
              <w:r>
                <w:rPr>
                  <w:noProof/>
                </w:rPr>
                <w:t xml:space="preserve">Khachaturian, A. (2010). </w:t>
              </w:r>
              <w:r w:rsidR="0022245A">
                <w:rPr>
                  <w:noProof/>
                </w:rPr>
                <w:t>C</w:t>
              </w:r>
              <w:r>
                <w:rPr>
                  <w:noProof/>
                </w:rPr>
                <w:t xml:space="preserve">anadian Study of Health and Aging Working Group. The incidence of </w:t>
              </w:r>
              <w:r w:rsidR="00F92333">
                <w:rPr>
                  <w:noProof/>
                </w:rPr>
                <w:t>D</w:t>
              </w:r>
              <w:r>
                <w:rPr>
                  <w:noProof/>
                </w:rPr>
                <w:t xml:space="preserve">ementia in Canada. </w:t>
              </w:r>
              <w:r>
                <w:rPr>
                  <w:i/>
                  <w:iCs/>
                  <w:noProof/>
                </w:rPr>
                <w:t>The Canadian Study of Health and Aging Working Group.</w:t>
              </w:r>
              <w:r>
                <w:rPr>
                  <w:noProof/>
                </w:rPr>
                <w:t xml:space="preserve"> https://www.nlm.nih.gov/privacy.html.</w:t>
              </w:r>
            </w:p>
            <w:p w14:paraId="32E6F98B" w14:textId="098234F2" w:rsidR="00A26855" w:rsidRDefault="00A26855" w:rsidP="00A26855">
              <w:pPr>
                <w:pStyle w:val="Bibliography"/>
                <w:ind w:left="720" w:hanging="720"/>
                <w:rPr>
                  <w:noProof/>
                </w:rPr>
              </w:pPr>
              <w:r>
                <w:rPr>
                  <w:noProof/>
                </w:rPr>
                <w:t xml:space="preserve">Knoefel, J. (2014). Incidence of </w:t>
              </w:r>
              <w:r w:rsidR="00F92333">
                <w:rPr>
                  <w:noProof/>
                </w:rPr>
                <w:t>D</w:t>
              </w:r>
              <w:r>
                <w:rPr>
                  <w:noProof/>
                </w:rPr>
                <w:t xml:space="preserve">ementia and probable Alzheimer's disease in a general population: The Framingham Study. . </w:t>
              </w:r>
              <w:r>
                <w:rPr>
                  <w:i/>
                  <w:iCs/>
                  <w:noProof/>
                </w:rPr>
                <w:t>Neurology</w:t>
              </w:r>
              <w:r>
                <w:rPr>
                  <w:noProof/>
                </w:rPr>
                <w:t>, https://scholar.google.com/scholar_lookup?journal=Neurology&amp;title=Incidence+of+dementia+and+probable+Alzheimer%27s+disease+in+a+general+population:+The+Framingham+Study&amp;author=DL+Bachman&amp;author=PA+Wolf&amp;author=RT+Linn&amp;author=JE+Knoefel&amp;author=JL+Cobb&amp;volum.</w:t>
              </w:r>
            </w:p>
            <w:p w14:paraId="620006B6" w14:textId="257EADDF" w:rsidR="00A26855" w:rsidRDefault="00A26855" w:rsidP="00A26855">
              <w:pPr>
                <w:pStyle w:val="Bibliography"/>
                <w:ind w:left="720" w:hanging="720"/>
                <w:rPr>
                  <w:noProof/>
                </w:rPr>
              </w:pPr>
              <w:r>
                <w:rPr>
                  <w:noProof/>
                </w:rPr>
                <w:lastRenderedPageBreak/>
                <w:t xml:space="preserve">Kukull, W. (2010). Epidemiology of </w:t>
              </w:r>
              <w:r w:rsidR="00F92333">
                <w:rPr>
                  <w:noProof/>
                </w:rPr>
                <w:t>D</w:t>
              </w:r>
              <w:r>
                <w:rPr>
                  <w:noProof/>
                </w:rPr>
                <w:t xml:space="preserve">ementia: Concepts and overview. </w:t>
              </w:r>
              <w:r>
                <w:rPr>
                  <w:i/>
                  <w:iCs/>
                  <w:noProof/>
                </w:rPr>
                <w:t>Neurol Clin</w:t>
              </w:r>
              <w:r>
                <w:rPr>
                  <w:noProof/>
                </w:rPr>
                <w:t>, https://pubmed.ncbi.nlm.nih.gov/11072268.</w:t>
              </w:r>
            </w:p>
            <w:p w14:paraId="360E5D51" w14:textId="5C0A14A3" w:rsidR="00A26855" w:rsidRDefault="00A26855" w:rsidP="00A26855">
              <w:pPr>
                <w:pStyle w:val="Bibliography"/>
                <w:ind w:left="720" w:hanging="720"/>
                <w:rPr>
                  <w:noProof/>
                </w:rPr>
              </w:pPr>
              <w:r>
                <w:rPr>
                  <w:noProof/>
                </w:rPr>
                <w:t xml:space="preserve">Lepore, V. (2012). Incidence of </w:t>
              </w:r>
              <w:r w:rsidR="00F92333">
                <w:rPr>
                  <w:noProof/>
                </w:rPr>
                <w:t>D</w:t>
              </w:r>
              <w:r>
                <w:rPr>
                  <w:noProof/>
                </w:rPr>
                <w:t xml:space="preserve">ementia, Alzheimer's disease, and vascular </w:t>
              </w:r>
              <w:r w:rsidR="00F92333">
                <w:rPr>
                  <w:noProof/>
                </w:rPr>
                <w:t>D</w:t>
              </w:r>
              <w:r>
                <w:rPr>
                  <w:noProof/>
                </w:rPr>
                <w:t xml:space="preserve">ementia in Italy. </w:t>
              </w:r>
              <w:r>
                <w:rPr>
                  <w:i/>
                  <w:iCs/>
                  <w:noProof/>
                </w:rPr>
                <w:t>J Am Geriatr Soc.</w:t>
              </w:r>
              <w:r>
                <w:rPr>
                  <w:noProof/>
                </w:rPr>
                <w:t>, https://pubmed.ncbi.nlm.nih.gov/12028245.</w:t>
              </w:r>
            </w:p>
            <w:p w14:paraId="601EC72A" w14:textId="77777777" w:rsidR="00A26855" w:rsidRDefault="00A26855" w:rsidP="00A26855">
              <w:pPr>
                <w:pStyle w:val="Bibliography"/>
                <w:ind w:left="720" w:hanging="720"/>
                <w:rPr>
                  <w:noProof/>
                </w:rPr>
              </w:pPr>
              <w:r>
                <w:rPr>
                  <w:noProof/>
                </w:rPr>
                <w:t xml:space="preserve">Luciana, M. (2016). Longitudinal changes in white matter microstructure after heavy cannabis use. </w:t>
              </w:r>
              <w:r>
                <w:rPr>
                  <w:i/>
                  <w:iCs/>
                  <w:noProof/>
                </w:rPr>
                <w:t>Dev Cogn Neurosci [Internet]. Elsevier Science</w:t>
              </w:r>
              <w:r>
                <w:rPr>
                  <w:noProof/>
                </w:rPr>
                <w:t>, ovidsp.ovid.com/ovidweb.cgi?T=JS&amp;PAGE=reference&amp;D=psyc11&amp;NEWS=N&amp;AN=2015-.</w:t>
              </w:r>
            </w:p>
            <w:p w14:paraId="17CB6ED3" w14:textId="77777777" w:rsidR="00A26855" w:rsidRDefault="00A26855" w:rsidP="00A26855">
              <w:pPr>
                <w:pStyle w:val="Bibliography"/>
                <w:ind w:left="720" w:hanging="720"/>
                <w:rPr>
                  <w:noProof/>
                </w:rPr>
              </w:pPr>
              <w:r>
                <w:rPr>
                  <w:noProof/>
                </w:rPr>
                <w:t xml:space="preserve">Parker, M. (2011). . Baseline leisure time activity and cognition more than two decades later. </w:t>
              </w:r>
              <w:r>
                <w:rPr>
                  <w:i/>
                  <w:iCs/>
                  <w:noProof/>
                </w:rPr>
                <w:t>Int J Geriatr Psychiatry</w:t>
              </w:r>
              <w:r>
                <w:rPr>
                  <w:noProof/>
                </w:rPr>
                <w:t>, 26(1):65–74. .</w:t>
              </w:r>
            </w:p>
            <w:p w14:paraId="726762F3" w14:textId="71D14AAB" w:rsidR="00A26855" w:rsidRDefault="00A26855" w:rsidP="00A26855">
              <w:pPr>
                <w:pStyle w:val="Bibliography"/>
                <w:ind w:left="720" w:hanging="720"/>
                <w:rPr>
                  <w:noProof/>
                </w:rPr>
              </w:pPr>
              <w:r>
                <w:rPr>
                  <w:noProof/>
                </w:rPr>
                <w:t xml:space="preserve">Pedersen, N. (2015). </w:t>
              </w:r>
              <w:r w:rsidR="0022245A">
                <w:rPr>
                  <w:noProof/>
                </w:rPr>
                <w:t>The c</w:t>
              </w:r>
              <w:r>
                <w:rPr>
                  <w:noProof/>
                </w:rPr>
                <w:t>omplexity of work and risk of Alzheimer</w:t>
              </w:r>
              <w:r w:rsidR="0022245A">
                <w:rPr>
                  <w:noProof/>
                </w:rPr>
                <w:t>'</w:t>
              </w:r>
              <w:r>
                <w:rPr>
                  <w:noProof/>
                </w:rPr>
                <w:t xml:space="preserve">s disease: A population-based study of Swedish twins. </w:t>
              </w:r>
              <w:r>
                <w:rPr>
                  <w:i/>
                  <w:iCs/>
                  <w:noProof/>
                </w:rPr>
                <w:t>Journals Gerontol Ser B-Psychological</w:t>
              </w:r>
              <w:r>
                <w:rPr>
                  <w:noProof/>
                </w:rPr>
                <w:t>, 60(5):</w:t>
              </w:r>
              <w:r w:rsidR="0022245A">
                <w:rPr>
                  <w:noProof/>
                </w:rPr>
                <w:t xml:space="preserve"> </w:t>
              </w:r>
              <w:r>
                <w:rPr>
                  <w:noProof/>
                </w:rPr>
                <w:t>P251–8.</w:t>
              </w:r>
            </w:p>
            <w:p w14:paraId="034BFD5E" w14:textId="77777777" w:rsidR="00A26855" w:rsidRDefault="00A26855" w:rsidP="00A26855">
              <w:pPr>
                <w:pStyle w:val="Bibliography"/>
                <w:ind w:left="720" w:hanging="720"/>
                <w:rPr>
                  <w:noProof/>
                </w:rPr>
              </w:pPr>
              <w:r>
                <w:rPr>
                  <w:noProof/>
                </w:rPr>
                <w:t xml:space="preserve">Pilgrim, D. (Jama). Age-specific incidence of Alzheimer's disease in a community population. </w:t>
              </w:r>
              <w:r>
                <w:rPr>
                  <w:i/>
                  <w:iCs/>
                  <w:noProof/>
                </w:rPr>
                <w:t xml:space="preserve">Age-specific incidence of Alzheimer's disease in a community population. </w:t>
              </w:r>
              <w:r>
                <w:rPr>
                  <w:noProof/>
                </w:rPr>
                <w:t>, https://www.nlm.nih.gov/privacy.html.</w:t>
              </w:r>
            </w:p>
            <w:p w14:paraId="1543A0A5" w14:textId="052A7238" w:rsidR="00A26855" w:rsidRDefault="00A26855" w:rsidP="00A26855">
              <w:pPr>
                <w:pStyle w:val="Bibliography"/>
                <w:ind w:left="720" w:hanging="720"/>
                <w:rPr>
                  <w:noProof/>
                </w:rPr>
              </w:pPr>
              <w:r>
                <w:rPr>
                  <w:noProof/>
                </w:rPr>
                <w:t xml:space="preserve">Plassman, B. (2018). Midlife activity predicts </w:t>
              </w:r>
              <w:r w:rsidR="0022245A">
                <w:rPr>
                  <w:noProof/>
                </w:rPr>
                <w:t xml:space="preserve">the </w:t>
              </w:r>
              <w:r>
                <w:rPr>
                  <w:noProof/>
                </w:rPr>
                <w:t xml:space="preserve">risk of </w:t>
              </w:r>
              <w:r w:rsidR="00F92333">
                <w:rPr>
                  <w:noProof/>
                </w:rPr>
                <w:t>D</w:t>
              </w:r>
              <w:r>
                <w:rPr>
                  <w:noProof/>
                </w:rPr>
                <w:t xml:space="preserve">ementia in older male twin pairs. </w:t>
              </w:r>
              <w:r>
                <w:rPr>
                  <w:i/>
                  <w:iCs/>
                  <w:noProof/>
                </w:rPr>
                <w:t>Alzheimer</w:t>
              </w:r>
              <w:r w:rsidR="0022245A">
                <w:rPr>
                  <w:i/>
                  <w:iCs/>
                  <w:noProof/>
                </w:rPr>
                <w:t>'</w:t>
              </w:r>
              <w:r>
                <w:rPr>
                  <w:i/>
                  <w:iCs/>
                  <w:noProof/>
                </w:rPr>
                <w:t>s Dement.</w:t>
              </w:r>
              <w:r>
                <w:rPr>
                  <w:noProof/>
                </w:rPr>
                <w:t>, 4(5):324–31.</w:t>
              </w:r>
            </w:p>
            <w:p w14:paraId="5E7694D6" w14:textId="45ECD274" w:rsidR="00A26855" w:rsidRDefault="00A26855" w:rsidP="00A26855">
              <w:pPr>
                <w:pStyle w:val="Bibliography"/>
                <w:ind w:left="720" w:hanging="720"/>
                <w:rPr>
                  <w:noProof/>
                </w:rPr>
              </w:pPr>
              <w:r>
                <w:rPr>
                  <w:noProof/>
                </w:rPr>
                <w:t xml:space="preserve">Reynolds, C. (2014). Late-life depression and risk of vascular </w:t>
              </w:r>
              <w:r w:rsidR="00F92333">
                <w:rPr>
                  <w:noProof/>
                </w:rPr>
                <w:t>D</w:t>
              </w:r>
              <w:r>
                <w:rPr>
                  <w:noProof/>
                </w:rPr>
                <w:t>ementia and Alzheimer</w:t>
              </w:r>
              <w:r w:rsidR="0022245A">
                <w:rPr>
                  <w:noProof/>
                </w:rPr>
                <w:t>'</w:t>
              </w:r>
              <w:r>
                <w:rPr>
                  <w:noProof/>
                </w:rPr>
                <w:t xml:space="preserve">s disease. </w:t>
              </w:r>
              <w:r>
                <w:rPr>
                  <w:i/>
                  <w:iCs/>
                  <w:noProof/>
                </w:rPr>
                <w:t>Systematic review and meta-analysis of community-based cohort studies.</w:t>
              </w:r>
              <w:r>
                <w:rPr>
                  <w:noProof/>
                </w:rPr>
                <w:t>, 202(5):329–35.</w:t>
              </w:r>
            </w:p>
            <w:p w14:paraId="0638BDBF" w14:textId="77777777" w:rsidR="00A26855" w:rsidRDefault="00A26855" w:rsidP="00A26855">
              <w:pPr>
                <w:pStyle w:val="Bibliography"/>
                <w:ind w:left="720" w:hanging="720"/>
                <w:rPr>
                  <w:noProof/>
                </w:rPr>
              </w:pPr>
              <w:r>
                <w:rPr>
                  <w:noProof/>
                </w:rPr>
                <w:lastRenderedPageBreak/>
                <w:t xml:space="preserve">Richard, J. (2013). The Incidence of Dementia in England and Wales: Findings from the Five Identical Sites of the MRC CFA Study. </w:t>
              </w:r>
              <w:r>
                <w:rPr>
                  <w:i/>
                  <w:iCs/>
                  <w:noProof/>
                </w:rPr>
                <w:t>PLOS Medicine</w:t>
              </w:r>
              <w:r>
                <w:rPr>
                  <w:noProof/>
                </w:rPr>
                <w:t>, https://www.ncbi.nlm.nih.gov/pmc/articles/PMC1188245/.</w:t>
              </w:r>
            </w:p>
            <w:p w14:paraId="49D4005C" w14:textId="2F2443A1" w:rsidR="00A26855" w:rsidRDefault="00A26855" w:rsidP="00A26855">
              <w:pPr>
                <w:pStyle w:val="Bibliography"/>
                <w:ind w:left="720" w:hanging="720"/>
                <w:rPr>
                  <w:noProof/>
                </w:rPr>
              </w:pPr>
              <w:r>
                <w:rPr>
                  <w:noProof/>
                </w:rPr>
                <w:t>Su</w:t>
              </w:r>
              <w:r w:rsidR="0022245A">
                <w:rPr>
                  <w:noProof/>
                </w:rPr>
                <w:t>per</w:t>
              </w:r>
              <w:r>
                <w:rPr>
                  <w:noProof/>
                </w:rPr>
                <w:t xml:space="preserve">moto, C. (2016). Body mass index and cognitive function: The potential for reverse causation. </w:t>
              </w:r>
              <w:r>
                <w:rPr>
                  <w:i/>
                  <w:iCs/>
                  <w:noProof/>
                </w:rPr>
                <w:t>Int J Obes [Internet]. Nature Publishing Group;</w:t>
              </w:r>
              <w:r>
                <w:rPr>
                  <w:noProof/>
                </w:rPr>
                <w:t xml:space="preserve"> ovidsp.ovid.com/ovidweb.cgi?T=JS&amp;PAGE=reference&amp;D=psyc11&amp;NEWS=N&amp;AN=2015-45634-005.</w:t>
              </w:r>
            </w:p>
            <w:p w14:paraId="3A1B85DB" w14:textId="1D1F9B16" w:rsidR="00A26855" w:rsidRDefault="00A26855" w:rsidP="00A26855">
              <w:r>
                <w:rPr>
                  <w:b/>
                  <w:bCs/>
                  <w:noProof/>
                </w:rPr>
                <w:fldChar w:fldCharType="end"/>
              </w:r>
            </w:p>
          </w:sdtContent>
        </w:sdt>
      </w:sdtContent>
    </w:sdt>
    <w:p w14:paraId="06E8EB91" w14:textId="77777777" w:rsidR="00A26855" w:rsidRPr="00F728F6" w:rsidRDefault="00A26855" w:rsidP="00A26855"/>
    <w:p w14:paraId="09801E6F" w14:textId="77777777" w:rsidR="004851E1" w:rsidRPr="004C3819" w:rsidRDefault="004851E1" w:rsidP="004C3819"/>
    <w:sectPr w:rsidR="004851E1" w:rsidRPr="004C381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8C43F" w14:textId="77777777" w:rsidR="00EE294F" w:rsidRDefault="00EE294F" w:rsidP="00E2264D">
      <w:pPr>
        <w:spacing w:after="0" w:line="240" w:lineRule="auto"/>
      </w:pPr>
      <w:r>
        <w:separator/>
      </w:r>
    </w:p>
  </w:endnote>
  <w:endnote w:type="continuationSeparator" w:id="0">
    <w:p w14:paraId="0E70405B" w14:textId="77777777" w:rsidR="00EE294F" w:rsidRDefault="00EE294F" w:rsidP="00E22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34255" w14:textId="77777777" w:rsidR="00EE294F" w:rsidRDefault="00EE294F" w:rsidP="00E2264D">
      <w:pPr>
        <w:spacing w:after="0" w:line="240" w:lineRule="auto"/>
      </w:pPr>
      <w:r>
        <w:separator/>
      </w:r>
    </w:p>
  </w:footnote>
  <w:footnote w:type="continuationSeparator" w:id="0">
    <w:p w14:paraId="4D1B353D" w14:textId="77777777" w:rsidR="00EE294F" w:rsidRDefault="00EE294F" w:rsidP="00E226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EE5CC" w14:textId="4EF23EC8" w:rsidR="00A56F9D" w:rsidRDefault="00A56F9D">
    <w:pPr>
      <w:pStyle w:val="Header"/>
    </w:pPr>
    <w:r>
      <w:tab/>
    </w:r>
    <w:r>
      <w:tab/>
      <w:t xml:space="preserve">The Prevalence of Dementia     </w:t>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F1797"/>
    <w:multiLevelType w:val="hybridMultilevel"/>
    <w:tmpl w:val="6BE227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02747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QwNzIwszC0MDA2NzFV0lEKTi0uzszPAykwqwUAfsDlsSwAAAA="/>
  </w:docVars>
  <w:rsids>
    <w:rsidRoot w:val="00504A36"/>
    <w:rsid w:val="000064F0"/>
    <w:rsid w:val="00080172"/>
    <w:rsid w:val="00153B78"/>
    <w:rsid w:val="001709D9"/>
    <w:rsid w:val="001B09BA"/>
    <w:rsid w:val="0022245A"/>
    <w:rsid w:val="0027027B"/>
    <w:rsid w:val="00362C86"/>
    <w:rsid w:val="0045620F"/>
    <w:rsid w:val="00473FB6"/>
    <w:rsid w:val="004851E1"/>
    <w:rsid w:val="004A591C"/>
    <w:rsid w:val="004A724F"/>
    <w:rsid w:val="004C3819"/>
    <w:rsid w:val="004E1012"/>
    <w:rsid w:val="004E1929"/>
    <w:rsid w:val="00503CFB"/>
    <w:rsid w:val="00504A36"/>
    <w:rsid w:val="005128BE"/>
    <w:rsid w:val="00543F95"/>
    <w:rsid w:val="00550A01"/>
    <w:rsid w:val="005A507C"/>
    <w:rsid w:val="005F7AD6"/>
    <w:rsid w:val="006152BF"/>
    <w:rsid w:val="00650CE5"/>
    <w:rsid w:val="007A3B98"/>
    <w:rsid w:val="007D23D0"/>
    <w:rsid w:val="007F7F35"/>
    <w:rsid w:val="00817944"/>
    <w:rsid w:val="00831847"/>
    <w:rsid w:val="00855985"/>
    <w:rsid w:val="008A42BF"/>
    <w:rsid w:val="008A67D6"/>
    <w:rsid w:val="008B4C61"/>
    <w:rsid w:val="008C432B"/>
    <w:rsid w:val="00A06CF3"/>
    <w:rsid w:val="00A26855"/>
    <w:rsid w:val="00A56F9D"/>
    <w:rsid w:val="00AA668E"/>
    <w:rsid w:val="00AB387A"/>
    <w:rsid w:val="00AB6C4D"/>
    <w:rsid w:val="00AC41C4"/>
    <w:rsid w:val="00B740CA"/>
    <w:rsid w:val="00BC2493"/>
    <w:rsid w:val="00BC6119"/>
    <w:rsid w:val="00C01299"/>
    <w:rsid w:val="00C11118"/>
    <w:rsid w:val="00C21EF3"/>
    <w:rsid w:val="00CA4718"/>
    <w:rsid w:val="00D22581"/>
    <w:rsid w:val="00DA3A38"/>
    <w:rsid w:val="00DE6052"/>
    <w:rsid w:val="00E2264D"/>
    <w:rsid w:val="00E51029"/>
    <w:rsid w:val="00E7048F"/>
    <w:rsid w:val="00E96051"/>
    <w:rsid w:val="00EC637C"/>
    <w:rsid w:val="00EE294F"/>
    <w:rsid w:val="00EE7D98"/>
    <w:rsid w:val="00F92333"/>
    <w:rsid w:val="00F9367F"/>
    <w:rsid w:val="00FB40AD"/>
    <w:rsid w:val="00FD5D28"/>
    <w:rsid w:val="00FD7F20"/>
    <w:rsid w:val="00FF5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959AE"/>
  <w15:chartTrackingRefBased/>
  <w15:docId w15:val="{307399F5-6C90-490A-B0E2-C771CE2C3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32B"/>
    <w:pPr>
      <w:keepNext/>
      <w:keepLines/>
      <w:spacing w:before="240" w:after="0" w:line="259" w:lineRule="auto"/>
      <w:jc w:val="left"/>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43F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4A36"/>
    <w:pPr>
      <w:ind w:left="720"/>
      <w:contextualSpacing/>
    </w:pPr>
  </w:style>
  <w:style w:type="character" w:customStyle="1" w:styleId="Heading1Char">
    <w:name w:val="Heading 1 Char"/>
    <w:basedOn w:val="DefaultParagraphFont"/>
    <w:link w:val="Heading1"/>
    <w:uiPriority w:val="9"/>
    <w:rsid w:val="008C432B"/>
    <w:rPr>
      <w:rFonts w:asciiTheme="majorHAnsi" w:eastAsiaTheme="majorEastAsia" w:hAnsiTheme="majorHAnsi" w:cstheme="majorBidi"/>
      <w:b/>
      <w:color w:val="2F5496" w:themeColor="accent1" w:themeShade="BF"/>
      <w:sz w:val="32"/>
      <w:szCs w:val="32"/>
    </w:rPr>
  </w:style>
  <w:style w:type="paragraph" w:styleId="Bibliography">
    <w:name w:val="Bibliography"/>
    <w:basedOn w:val="Normal"/>
    <w:next w:val="Normal"/>
    <w:uiPriority w:val="37"/>
    <w:unhideWhenUsed/>
    <w:rsid w:val="00A26855"/>
  </w:style>
  <w:style w:type="paragraph" w:styleId="Header">
    <w:name w:val="header"/>
    <w:basedOn w:val="Normal"/>
    <w:link w:val="HeaderChar"/>
    <w:uiPriority w:val="99"/>
    <w:unhideWhenUsed/>
    <w:rsid w:val="00E226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264D"/>
  </w:style>
  <w:style w:type="paragraph" w:styleId="Footer">
    <w:name w:val="footer"/>
    <w:basedOn w:val="Normal"/>
    <w:link w:val="FooterChar"/>
    <w:uiPriority w:val="99"/>
    <w:unhideWhenUsed/>
    <w:rsid w:val="00E226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264D"/>
  </w:style>
  <w:style w:type="table" w:styleId="TableGrid">
    <w:name w:val="Table Grid"/>
    <w:basedOn w:val="TableNormal"/>
    <w:uiPriority w:val="39"/>
    <w:rsid w:val="00543F95"/>
    <w:pPr>
      <w:spacing w:after="0" w:line="240" w:lineRule="auto"/>
      <w:jc w:val="left"/>
    </w:pPr>
    <w:rPr>
      <w:rFonts w:cs="Times New Roman"/>
      <w:color w:val="000000" w:themeColor="text1"/>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43F9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128BE"/>
    <w:pPr>
      <w:outlineLvl w:val="9"/>
    </w:pPr>
  </w:style>
  <w:style w:type="paragraph" w:styleId="TOC1">
    <w:name w:val="toc 1"/>
    <w:basedOn w:val="Normal"/>
    <w:next w:val="Normal"/>
    <w:autoRedefine/>
    <w:uiPriority w:val="39"/>
    <w:unhideWhenUsed/>
    <w:rsid w:val="005128BE"/>
    <w:pPr>
      <w:spacing w:after="100"/>
    </w:pPr>
  </w:style>
  <w:style w:type="paragraph" w:styleId="TOC2">
    <w:name w:val="toc 2"/>
    <w:basedOn w:val="Normal"/>
    <w:next w:val="Normal"/>
    <w:autoRedefine/>
    <w:uiPriority w:val="39"/>
    <w:unhideWhenUsed/>
    <w:rsid w:val="005128BE"/>
    <w:pPr>
      <w:spacing w:after="100"/>
      <w:ind w:left="240"/>
    </w:pPr>
  </w:style>
  <w:style w:type="character" w:styleId="Hyperlink">
    <w:name w:val="Hyperlink"/>
    <w:basedOn w:val="DefaultParagraphFont"/>
    <w:uiPriority w:val="99"/>
    <w:unhideWhenUsed/>
    <w:rsid w:val="005128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514018">
      <w:bodyDiv w:val="1"/>
      <w:marLeft w:val="0"/>
      <w:marRight w:val="0"/>
      <w:marTop w:val="0"/>
      <w:marBottom w:val="0"/>
      <w:divBdr>
        <w:top w:val="none" w:sz="0" w:space="0" w:color="auto"/>
        <w:left w:val="none" w:sz="0" w:space="0" w:color="auto"/>
        <w:bottom w:val="none" w:sz="0" w:space="0" w:color="auto"/>
        <w:right w:val="none" w:sz="0" w:space="0" w:color="auto"/>
      </w:divBdr>
    </w:div>
    <w:div w:id="883326610">
      <w:bodyDiv w:val="1"/>
      <w:marLeft w:val="0"/>
      <w:marRight w:val="0"/>
      <w:marTop w:val="0"/>
      <w:marBottom w:val="0"/>
      <w:divBdr>
        <w:top w:val="none" w:sz="0" w:space="0" w:color="auto"/>
        <w:left w:val="none" w:sz="0" w:space="0" w:color="auto"/>
        <w:bottom w:val="none" w:sz="0" w:space="0" w:color="auto"/>
        <w:right w:val="none" w:sz="0" w:space="0" w:color="auto"/>
      </w:divBdr>
    </w:div>
    <w:div w:id="1051882777">
      <w:bodyDiv w:val="1"/>
      <w:marLeft w:val="0"/>
      <w:marRight w:val="0"/>
      <w:marTop w:val="0"/>
      <w:marBottom w:val="0"/>
      <w:divBdr>
        <w:top w:val="none" w:sz="0" w:space="0" w:color="auto"/>
        <w:left w:val="none" w:sz="0" w:space="0" w:color="auto"/>
        <w:bottom w:val="none" w:sz="0" w:space="0" w:color="auto"/>
        <w:right w:val="none" w:sz="0" w:space="0" w:color="auto"/>
      </w:divBdr>
    </w:div>
    <w:div w:id="1119422217">
      <w:bodyDiv w:val="1"/>
      <w:marLeft w:val="0"/>
      <w:marRight w:val="0"/>
      <w:marTop w:val="0"/>
      <w:marBottom w:val="0"/>
      <w:divBdr>
        <w:top w:val="none" w:sz="0" w:space="0" w:color="auto"/>
        <w:left w:val="none" w:sz="0" w:space="0" w:color="auto"/>
        <w:bottom w:val="none" w:sz="0" w:space="0" w:color="auto"/>
        <w:right w:val="none" w:sz="0" w:space="0" w:color="auto"/>
      </w:divBdr>
    </w:div>
    <w:div w:id="1287931122">
      <w:bodyDiv w:val="1"/>
      <w:marLeft w:val="0"/>
      <w:marRight w:val="0"/>
      <w:marTop w:val="0"/>
      <w:marBottom w:val="0"/>
      <w:divBdr>
        <w:top w:val="none" w:sz="0" w:space="0" w:color="auto"/>
        <w:left w:val="none" w:sz="0" w:space="0" w:color="auto"/>
        <w:bottom w:val="none" w:sz="0" w:space="0" w:color="auto"/>
        <w:right w:val="none" w:sz="0" w:space="0" w:color="auto"/>
      </w:divBdr>
    </w:div>
    <w:div w:id="1371344870">
      <w:bodyDiv w:val="1"/>
      <w:marLeft w:val="0"/>
      <w:marRight w:val="0"/>
      <w:marTop w:val="0"/>
      <w:marBottom w:val="0"/>
      <w:divBdr>
        <w:top w:val="none" w:sz="0" w:space="0" w:color="auto"/>
        <w:left w:val="none" w:sz="0" w:space="0" w:color="auto"/>
        <w:bottom w:val="none" w:sz="0" w:space="0" w:color="auto"/>
        <w:right w:val="none" w:sz="0" w:space="0" w:color="auto"/>
      </w:divBdr>
    </w:div>
    <w:div w:id="1410613369">
      <w:bodyDiv w:val="1"/>
      <w:marLeft w:val="0"/>
      <w:marRight w:val="0"/>
      <w:marTop w:val="0"/>
      <w:marBottom w:val="0"/>
      <w:divBdr>
        <w:top w:val="none" w:sz="0" w:space="0" w:color="auto"/>
        <w:left w:val="none" w:sz="0" w:space="0" w:color="auto"/>
        <w:bottom w:val="none" w:sz="0" w:space="0" w:color="auto"/>
        <w:right w:val="none" w:sz="0" w:space="0" w:color="auto"/>
      </w:divBdr>
    </w:div>
    <w:div w:id="1512915396">
      <w:bodyDiv w:val="1"/>
      <w:marLeft w:val="0"/>
      <w:marRight w:val="0"/>
      <w:marTop w:val="0"/>
      <w:marBottom w:val="0"/>
      <w:divBdr>
        <w:top w:val="none" w:sz="0" w:space="0" w:color="auto"/>
        <w:left w:val="none" w:sz="0" w:space="0" w:color="auto"/>
        <w:bottom w:val="none" w:sz="0" w:space="0" w:color="auto"/>
        <w:right w:val="none" w:sz="0" w:space="0" w:color="auto"/>
      </w:divBdr>
    </w:div>
    <w:div w:id="211859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Alz21</b:Tag>
    <b:SourceType>JournalArticle</b:SourceType>
    <b:Guid>{8CE1A18A-C3F8-44D0-BCBA-5A84527A28E4}</b:Guid>
    <b:Title>Health matters: midlife approaches to reduce dementia risk</b:Title>
    <b:Year>2021</b:Year>
    <b:Author>
      <b:Author>
        <b:NameList>
          <b:Person>
            <b:Last>Alzheimer</b:Last>
            <b:First>PHE</b:First>
          </b:Person>
        </b:NameList>
      </b:Author>
    </b:Author>
    <b:JournalName>Health and Social Life, UK</b:JournalName>
    <b:Pages>https://www.gov.uk/government/publications/health-matters-midlife-approaches-to-reduce-dementia-risk/health-matters-midlife-approaches-to-reduce-dementia-risk</b:Pages>
    <b:RefOrder>1</b:RefOrder>
  </b:Source>
  <b:Source>
    <b:Tag>Ric13</b:Tag>
    <b:SourceType>JournalArticle</b:SourceType>
    <b:Guid>{BAFF3EC6-609A-472E-B9E9-525EDA4ED81C}</b:Guid>
    <b:Author>
      <b:Author>
        <b:NameList>
          <b:Person>
            <b:Last>Richard</b:Last>
            <b:First>J</b:First>
          </b:Person>
        </b:NameList>
      </b:Author>
    </b:Author>
    <b:Title>The Incidence of Dementia in England and Wales: Findings from the Five Identical Sites of the MRC CFA Study</b:Title>
    <b:JournalName>PLOS Medicine</b:JournalName>
    <b:Year>2013</b:Year>
    <b:Pages>https://www.ncbi.nlm.nih.gov/pmc/articles/PMC1188245/</b:Pages>
    <b:RefOrder>2</b:RefOrder>
  </b:Source>
  <b:Source>
    <b:Tag>Fol18</b:Tag>
    <b:SourceType>JournalArticle</b:SourceType>
    <b:Guid>{8D9865C8-AB02-484A-A97C-415EBCCC8821}</b:Guid>
    <b:Author>
      <b:Author>
        <b:NameList>
          <b:Person>
            <b:Last>Folstein</b:Last>
            <b:First>MF</b:First>
          </b:Person>
        </b:NameList>
      </b:Author>
    </b:Author>
    <b:Title>Mini-mental state”. A practical method for grading the cognitive state of patients for the clinician</b:Title>
    <b:JournalName>J Psychiatr Res. 1975;12:189–198</b:JournalName>
    <b:Year>2018</b:Year>
    <b:Pages>https://www.ncbi.nlm.nih.gov/pmc/articles/PMC1188245/</b:Pages>
    <b:RefOrder>3</b:RefOrder>
  </b:Source>
  <b:Source>
    <b:Tag>Bra172</b:Tag>
    <b:SourceType>JournalArticle</b:SourceType>
    <b:Guid>{7DE80BF5-FF3C-4D92-9DAD-E89EEBF9BEDC}</b:Guid>
    <b:Author>
      <b:Author>
        <b:NameList>
          <b:Person>
            <b:Last>Brayne</b:Last>
            <b:First>C</b:First>
          </b:Person>
        </b:NameList>
      </b:Author>
    </b:Author>
    <b:Title>Methodological issues in screening for dementia.</b:Title>
    <b:JournalName>Neuroepidemiology.</b:JournalName>
    <b:Year>2017</b:Year>
    <b:Pages>11(Suppl 1):88–93.</b:Pages>
    <b:RefOrder>4</b:RefOrder>
  </b:Source>
  <b:Source>
    <b:Tag>Hen181</b:Tag>
    <b:SourceType>JournalArticle</b:SourceType>
    <b:Guid>{88191589-FB1A-4C6A-ABA6-9A152E01407E}</b:Guid>
    <b:Author>
      <b:Author>
        <b:NameList>
          <b:Person>
            <b:Last>Henderson</b:Last>
            <b:First>AS</b:First>
          </b:Person>
        </b:NameList>
      </b:Author>
    </b:Author>
    <b:Title>The Geriatric Mental State (GMS) used in the community Replication studies of the computerized diagnosis </b:Title>
    <b:JournalName>Psychological  Medicine</b:JournalName>
    <b:Year>2018</b:Year>
    <b:Pages>18:219–223</b:Pages>
    <b:RefOrder>5</b:RefOrder>
  </b:Source>
  <b:Source>
    <b:Tag>Har13</b:Tag>
    <b:SourceType>JournalArticle</b:SourceType>
    <b:Guid>{BAE51401-9687-48F2-AC5F-EF27D6776FC6}</b:Guid>
    <b:Author>
      <b:Author>
        <b:NameList>
          <b:Person>
            <b:Last>Harskamp</b:Last>
            <b:First>F</b:First>
          </b:Person>
        </b:NameList>
      </b:Author>
    </b:Author>
    <b:Title>Incidence and risk of dementia.</b:Title>
    <b:Year>2013</b:Year>
    <b:JournalName>The Rotterdam Study. Am J Epidemiol</b:JournalName>
    <b:Pages>147:574–580.</b:Pages>
    <b:RefOrder>9</b:RefOrder>
  </b:Source>
  <b:Source>
    <b:Tag>Kno14</b:Tag>
    <b:SourceType>JournalArticle</b:SourceType>
    <b:Guid>{38F526B9-5912-4DBE-965E-EDAA9AC80A76}</b:Guid>
    <b:Author>
      <b:Author>
        <b:NameList>
          <b:Person>
            <b:Last>Knoefel</b:Last>
            <b:First>JE</b:First>
          </b:Person>
        </b:NameList>
      </b:Author>
    </b:Author>
    <b:Title>Incidence of dementia and probable Alzheimer's disease in a general population: The Framingham Study. </b:Title>
    <b:JournalName>Neurology</b:JournalName>
    <b:Year>2014</b:Year>
    <b:Pages>https://scholar.google.com/scholar_lookup?journal=Neurology&amp;title=Incidence+of+dementia+and+probable+Alzheimer%27s+disease+in+a+general+population:+The+Framingham+Study&amp;author=DL+Bachman&amp;author=PA+Wolf&amp;author=RT+Linn&amp;author=JE+Knoefel&amp;author=JL+Cobb&amp;volum</b:Pages>
    <b:RefOrder>10</b:RefOrder>
  </b:Source>
  <b:Source>
    <b:Tag>Dod11</b:Tag>
    <b:SourceType>JournalArticle</b:SourceType>
    <b:Guid>{D8678C3E-EB29-4BB3-A438-C1A50A217B69}</b:Guid>
    <b:Author>
      <b:Author>
        <b:NameList>
          <b:Person>
            <b:Last>Dodge</b:Last>
            <b:First>HH</b:First>
          </b:Person>
        </b:NameList>
      </b:Author>
    </b:Author>
    <b:Title>Incidence of Alzheimer's disease in a rural community in India</b:Title>
    <b:JournalName>The Indo-US study</b:JournalName>
    <b:Year>2011</b:Year>
    <b:Pages>https://pubmed.ncbi.nlm.nih.gov/11571321</b:Pages>
    <b:RefOrder>11</b:RefOrder>
  </b:Source>
  <b:Source>
    <b:Tag>Pilma</b:Tag>
    <b:SourceType>JournalArticle</b:SourceType>
    <b:Guid>{434B4AF5-A6A3-44C0-88CB-0914E1505468}</b:Guid>
    <b:Author>
      <b:Author>
        <b:NameList>
          <b:Person>
            <b:Last>Pilgrim</b:Last>
            <b:First>DM</b:First>
          </b:Person>
        </b:NameList>
      </b:Author>
    </b:Author>
    <b:Title>Age-specific incidence of Alzheimer's disease in a community population</b:Title>
    <b:JournalName>Age-specific incidence of Alzheimer's disease in a community population. </b:JournalName>
    <b:Year>Jama</b:Year>
    <b:Pages>https://www.nlm.nih.gov/privacy.html</b:Pages>
    <b:RefOrder>12</b:RefOrder>
  </b:Source>
  <b:Source>
    <b:Tag>Jac11</b:Tag>
    <b:SourceType>JournalArticle</b:SourceType>
    <b:Guid>{4568D735-E0A1-4A19-BCFA-F39552E3206E}</b:Guid>
    <b:Author>
      <b:Author>
        <b:NameList>
          <b:Person>
            <b:Last>DM</b:Last>
            <b:First>Jacobs</b:First>
          </b:Person>
        </b:NameList>
      </b:Author>
    </b:Author>
    <b:Title>ncidence of AD in African-Americans, Caribbean Hispanics, and Caucasians in northern Manhattan.</b:Title>
    <b:JournalName>Neurology</b:JournalName>
    <b:Year>2011</b:Year>
    <b:Pages>https://pubmed.ncbi.nlm.nih.gov/11148235</b:Pages>
    <b:RefOrder>13</b:RefOrder>
  </b:Source>
  <b:Source>
    <b:Tag>Kha10</b:Tag>
    <b:SourceType>JournalArticle</b:SourceType>
    <b:Guid>{F03FECB0-B871-466F-8961-E8E9B0EC43D6}</b:Guid>
    <b:Author>
      <b:Author>
        <b:NameList>
          <b:Person>
            <b:Last>Khachaturian</b:Last>
            <b:First>AS</b:First>
          </b:Person>
        </b:NameList>
      </b:Author>
    </b:Author>
    <b:Title>anadian Study of Health and Aging Working Group. The incidence of dementia in Canada</b:Title>
    <b:JournalName>The Canadian Study of Health and Aging Working Group.</b:JournalName>
    <b:Year>2010</b:Year>
    <b:Pages>https://www.nlm.nih.gov/privacy.html</b:Pages>
    <b:RefOrder>14</b:RefOrder>
  </b:Source>
  <b:Source>
    <b:Tag>Lep12</b:Tag>
    <b:SourceType>JournalArticle</b:SourceType>
    <b:Guid>{352F0AB7-240C-4257-B6E7-BDAC977AFAA4}</b:Guid>
    <b:Author>
      <b:Author>
        <b:NameList>
          <b:Person>
            <b:Last>Lepore</b:Last>
            <b:First>V</b:First>
          </b:Person>
        </b:NameList>
      </b:Author>
    </b:Author>
    <b:Title> Incidence of dementia, Alzheimer's disease, and vascular dementia in Italy.</b:Title>
    <b:JournalName> J Am Geriatr Soc.</b:JournalName>
    <b:Year>2012</b:Year>
    <b:Pages>https://pubmed.ncbi.nlm.nih.gov/12028245</b:Pages>
    <b:RefOrder>15</b:RefOrder>
  </b:Source>
  <b:Source>
    <b:Tag>Kuk10</b:Tag>
    <b:SourceType>JournalArticle</b:SourceType>
    <b:Guid>{BB927180-5CD3-417D-A73E-FDFC7B0FA6E0}</b:Guid>
    <b:Author>
      <b:Author>
        <b:NameList>
          <b:Person>
            <b:Last>Kukull</b:Last>
            <b:First>WA</b:First>
          </b:Person>
        </b:NameList>
      </b:Author>
    </b:Author>
    <b:Title>Epidemiology of dementia: Concepts and overview.</b:Title>
    <b:JournalName>Neurol Clin</b:JournalName>
    <b:Year>2010</b:Year>
    <b:Pages>https://pubmed.ncbi.nlm.nih.gov/11072268</b:Pages>
    <b:RefOrder>16</b:RefOrder>
  </b:Source>
  <b:Source>
    <b:Tag>Jor17</b:Tag>
    <b:SourceType>JournalArticle</b:SourceType>
    <b:Guid>{342CCE61-BBB6-4B4B-9E50-CC878BA25345}</b:Guid>
    <b:Author>
      <b:Author>
        <b:NameList>
          <b:Person>
            <b:Last>Jorm</b:Last>
            <b:First>AF</b:First>
          </b:Person>
        </b:NameList>
      </b:Author>
    </b:Author>
    <b:Title>The incidence of Dementia</b:Title>
    <b:JournalName>A meta-analysis. Neurology</b:JournalName>
    <b:Year>2017</b:Year>
    <b:Pages>51:728–733.</b:Pages>
    <b:RefOrder>17</b:RefOrder>
  </b:Source>
  <b:Source>
    <b:Tag>Dew17</b:Tag>
    <b:SourceType>JournalArticle</b:SourceType>
    <b:Guid>{A580FEED-C6E6-4861-8725-6162EC7E4AFE}</b:Guid>
    <b:Author>
      <b:Author>
        <b:NameList>
          <b:Person>
            <b:Last>Dewey</b:Last>
            <b:First>ME.</b:First>
          </b:Person>
        </b:NameList>
      </b:Author>
    </b:Author>
    <b:Title>Physical illness and disability among elderly people in England and Wales:</b:Title>
    <b:JournalName>The Medical Research Council Cognitive Function and Ageing Study. The Analysis Group</b:JournalName>
    <b:Year>2017</b:Year>
    <b:Pages>51:494–501</b:Pages>
    <b:RefOrder>8</b:RefOrder>
  </b:Source>
  <b:Source>
    <b:Tag>Bar14</b:Tag>
    <b:SourceType>JournalArticle</b:SourceType>
    <b:Guid>{AD45BA00-BE84-481E-A1DA-B391664705A5}</b:Guid>
    <b:Author>
      <b:Author>
        <b:NameList>
          <b:Person>
            <b:Last>Barkley</b:Last>
            <b:First>C</b:First>
          </b:Person>
        </b:NameList>
      </b:Author>
    </b:Author>
    <b:Title>Incidence of dementia in a population older than 75 years in the United Kingdom</b:Title>
    <b:JournalName>Arch Gen Psychiatry.</b:JournalName>
    <b:Year>2014</b:Year>
    <b:Pages>51:325–332. </b:Pages>
    <b:RefOrder>6</b:RefOrder>
  </b:Source>
  <b:Source>
    <b:Tag>Cla12</b:Tag>
    <b:SourceType>JournalArticle</b:SourceType>
    <b:Guid>{37F1EAFB-2BD8-498B-9EC2-2274931919FA}</b:Guid>
    <b:Author>
      <b:Author>
        <b:NameList>
          <b:Person>
            <b:Last>Clarke</b:Last>
            <b:First>M</b:First>
          </b:Person>
        </b:NameList>
      </b:Author>
    </b:Author>
    <b:Title> Incidence of dementia in Melton Mowbray: A proposed study and its problems. </b:Title>
    <b:JournalName>Neuroepidemiology.</b:JournalName>
    <b:Year>2012</b:Year>
    <b:Pages>11(Suppl 1):57–60.</b:Pages>
    <b:RefOrder>7</b:RefOrder>
  </b:Source>
  <b:Source>
    <b:Tag>Ped15</b:Tag>
    <b:SourceType>JournalArticle</b:SourceType>
    <b:Guid>{6A0144D9-6BEA-4F56-9AA1-DC9C79439FF6}</b:Guid>
    <b:Author>
      <b:Author>
        <b:NameList>
          <b:Person>
            <b:Last>Pedersen</b:Last>
            <b:First>NL</b:First>
          </b:Person>
        </b:NameList>
      </b:Author>
    </b:Author>
    <b:Title>Complexity of work and risk of Alzheimer’s disease: A population-based study of Swedish twins.</b:Title>
    <b:JournalName> Journals Gerontol Ser B-Psychological </b:JournalName>
    <b:Year>2015</b:Year>
    <b:Pages>60(5):P251–8.</b:Pages>
    <b:RefOrder>18</b:RefOrder>
  </b:Source>
  <b:Source>
    <b:Tag>Guz16</b:Tag>
    <b:SourceType>JournalArticle</b:SourceType>
    <b:Guid>{9557B612-1FEB-45EA-831C-F03FF754BF6C}</b:Guid>
    <b:Author>
      <b:Author>
        <b:NameList>
          <b:Person>
            <b:Last>Guzman-Velez</b:Last>
            <b:First>E</b:First>
          </b:Person>
        </b:NameList>
      </b:Author>
    </b:Author>
    <b:Title>Does bilingualism contribute to cognitive reserve? Cognitive and neural perspectives</b:Title>
    <b:JournalName>Neuropsychology [Internet]. American Psychological Association</b:JournalName>
    <b:Year>2016</b:Year>
    <b:Pages>29(1):139–50. </b:Pages>
    <b:RefOrder>19</b:RefOrder>
  </b:Source>
  <b:Source>
    <b:Tag>Sue16</b:Tag>
    <b:SourceType>JournalArticle</b:SourceType>
    <b:Guid>{88766F32-D1E5-4F37-995D-48525C7BDF9B}</b:Guid>
    <b:Author>
      <b:Author>
        <b:NameList>
          <b:Person>
            <b:Last>Suemoto</b:Last>
            <b:First>CK</b:First>
          </b:Person>
        </b:NameList>
      </b:Author>
    </b:Author>
    <b:Title> Body mass index and cognitive function: The potential for reverse causation.</b:Title>
    <b:JournalName>Int J Obes [Internet]. Nature Publishing Group;</b:JournalName>
    <b:Year>2016</b:Year>
    <b:Pages>ovidsp.ovid.com/ovidweb.cgi?T=JS&amp;PAGE=reference&amp;D=psyc11&amp;NEWS=N&amp;AN=2015-45634-005</b:Pages>
    <b:RefOrder>20</b:RefOrder>
  </b:Source>
  <b:Source>
    <b:Tag>Alb13</b:Tag>
    <b:SourceType>JournalArticle</b:SourceType>
    <b:Guid>{8CF9E8B6-C807-49E3-94C0-013ECBEA170E}</b:Guid>
    <b:Author>
      <b:Author>
        <b:NameList>
          <b:Person>
            <b:Last>Albert</b:Last>
            <b:First>SM</b:First>
          </b:Person>
        </b:NameList>
      </b:Author>
    </b:Author>
    <b:Title>Late-life depression and risk of vascular dementia and Alzheimer’s disease</b:Title>
    <b:JournalName> Systematic review and meta-analysis of community-based cohort studies</b:JournalName>
    <b:Year>2013</b:Year>
    <b:Pages>;202(5):329–35</b:Pages>
    <b:RefOrder>21</b:RefOrder>
  </b:Source>
  <b:Source>
    <b:Tag>Rey14</b:Tag>
    <b:SourceType>JournalArticle</b:SourceType>
    <b:Guid>{4810FDF0-E7B3-42CE-BA8D-6AEB04EDFB0F}</b:Guid>
    <b:Author>
      <b:Author>
        <b:NameList>
          <b:Person>
            <b:Last>Reynolds</b:Last>
            <b:First>CF</b:First>
          </b:Person>
        </b:NameList>
      </b:Author>
    </b:Author>
    <b:Title>Late-life depression and risk of vascular dementia and Alzheimer’s disease</b:Title>
    <b:JournalName> Systematic review and meta-analysis of community-based cohort studies.</b:JournalName>
    <b:Year>2014</b:Year>
    <b:Pages>202(5):329–35</b:Pages>
    <b:RefOrder>22</b:RefOrder>
  </b:Source>
  <b:Source>
    <b:Tag>Luc16</b:Tag>
    <b:SourceType>JournalArticle</b:SourceType>
    <b:Guid>{ED67F015-C803-4F47-8257-69323B92B35D}</b:Guid>
    <b:Author>
      <b:Author>
        <b:NameList>
          <b:Person>
            <b:Last>Luciana</b:Last>
            <b:First>MAI</b:First>
          </b:Person>
        </b:NameList>
      </b:Author>
    </b:Author>
    <b:Title>Longitudinal changes in white matter microstructure after heavy cannabis use</b:Title>
    <b:JournalName>Dev Cogn Neurosci [Internet]. Elsevier Science</b:JournalName>
    <b:Year>2016</b:Year>
    <b:Pages>ovidsp.ovid.com/ovidweb.cgi?T=JS&amp;PAGE=reference&amp;D=psyc11&amp;NEWS=N&amp;AN=2015-</b:Pages>
    <b:RefOrder>23</b:RefOrder>
  </b:Source>
  <b:Source>
    <b:Tag>Pla18</b:Tag>
    <b:SourceType>JournalArticle</b:SourceType>
    <b:Guid>{AFC17162-74B3-41BE-A8E6-EC8159FC2BB1}</b:Guid>
    <b:Author>
      <b:Author>
        <b:NameList>
          <b:Person>
            <b:Last>Plassman</b:Last>
            <b:First>BL</b:First>
          </b:Person>
        </b:NameList>
      </b:Author>
    </b:Author>
    <b:Title> Midlife activity predicts risk of dementia in older male twin pairs</b:Title>
    <b:JournalName>Alzheimer’s Dement.</b:JournalName>
    <b:Year>2018</b:Year>
    <b:Pages>4(5):324–31.</b:Pages>
    <b:RefOrder>24</b:RefOrder>
  </b:Source>
  <b:Source>
    <b:Tag>Par11</b:Tag>
    <b:SourceType>JournalArticle</b:SourceType>
    <b:Guid>{93ACB88A-29CF-478B-8FF2-D05C6364485C}</b:Guid>
    <b:Author>
      <b:Author>
        <b:NameList>
          <b:Person>
            <b:Last>Parker</b:Last>
            <b:First>MG</b:First>
          </b:Person>
        </b:NameList>
      </b:Author>
    </b:Author>
    <b:Title>. Baseline leisure time activity and cognition more than two decades later.</b:Title>
    <b:JournalName> Int J Geriatr Psychiatry</b:JournalName>
    <b:Year>2011</b:Year>
    <b:Pages>26(1):65–74. </b:Pages>
    <b:RefOrder>25</b:RefOrder>
  </b:Source>
</b:Sources>
</file>

<file path=customXml/itemProps1.xml><?xml version="1.0" encoding="utf-8"?>
<ds:datastoreItem xmlns:ds="http://schemas.openxmlformats.org/officeDocument/2006/customXml" ds:itemID="{3FCD9596-FCF9-4361-AEF0-97A233FB1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4310</Words>
  <Characters>24571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Catalina</cp:lastModifiedBy>
  <cp:revision>6</cp:revision>
  <dcterms:created xsi:type="dcterms:W3CDTF">2022-11-04T10:01:00Z</dcterms:created>
  <dcterms:modified xsi:type="dcterms:W3CDTF">2022-11-04T11:08:00Z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61efda57cb7ef393d89d36a5ab311896061465b223ae6da774815908f11b71bc</vt:lpwstr>
  </property>
</Properties>
</file>