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E1C217" w14:textId="77777777" w:rsidR="00C07C05" w:rsidRDefault="00C07C05" w:rsidP="00C07C05">
      <w:pPr>
        <w:spacing w:before="400"/>
      </w:pPr>
    </w:p>
    <w:p w14:paraId="6CDFC2BF" w14:textId="77777777" w:rsidR="00C07C05" w:rsidRDefault="00C07C05" w:rsidP="00C07C05">
      <w:pPr>
        <w:jc w:val="center"/>
      </w:pPr>
      <w:r>
        <w:rPr>
          <w:b/>
          <w:bCs/>
          <w:color w:val="1E3A5F"/>
          <w:sz w:val="28"/>
          <w:szCs w:val="28"/>
        </w:rPr>
        <w:t>MSc Public Health and Social Care in Practice</w:t>
      </w:r>
    </w:p>
    <w:p w14:paraId="5F3F03C9" w14:textId="77777777" w:rsidR="00C07C05" w:rsidRDefault="00C07C05" w:rsidP="00C07C05">
      <w:pPr>
        <w:spacing w:before="100"/>
        <w:jc w:val="center"/>
      </w:pPr>
      <w:r>
        <w:rPr>
          <w:color w:val="008080"/>
        </w:rPr>
        <w:t>Module: Population Health and Digital Health Promotion</w:t>
      </w:r>
    </w:p>
    <w:p w14:paraId="0F810D2A" w14:textId="77777777" w:rsidR="00C07C05" w:rsidRDefault="00C07C05" w:rsidP="00C07C05">
      <w:pPr>
        <w:jc w:val="center"/>
      </w:pPr>
      <w:r>
        <w:rPr>
          <w:sz w:val="22"/>
          <w:szCs w:val="22"/>
        </w:rPr>
        <w:t>Module Code: LCHS7009</w:t>
      </w:r>
    </w:p>
    <w:p w14:paraId="64E2C13F" w14:textId="77777777" w:rsidR="00C07C05" w:rsidRDefault="00C07C05" w:rsidP="00C07C05">
      <w:pPr>
        <w:spacing w:before="300"/>
      </w:pPr>
    </w:p>
    <w:p w14:paraId="6A1C888B" w14:textId="77777777" w:rsidR="00C07C05" w:rsidRDefault="00C07C05" w:rsidP="00C07C05">
      <w:pPr>
        <w:pBdr>
          <w:bottom w:val="single" w:sz="12" w:space="1" w:color="008080"/>
        </w:pBdr>
        <w:jc w:val="center"/>
      </w:pPr>
      <w:r>
        <w:rPr>
          <w:b/>
          <w:bCs/>
          <w:color w:val="1E3A5F"/>
          <w:sz w:val="36"/>
          <w:szCs w:val="36"/>
        </w:rPr>
        <w:t>COMPONENT 1: TWO BLOGS</w:t>
      </w:r>
    </w:p>
    <w:p w14:paraId="63AF2398" w14:textId="27BDB605" w:rsidR="00C07C05" w:rsidRDefault="00C07C05" w:rsidP="00C07C05">
      <w:pPr>
        <w:spacing w:before="150"/>
        <w:jc w:val="center"/>
      </w:pPr>
      <w:r>
        <w:rPr>
          <w:i/>
          <w:iCs/>
          <w:sz w:val="20"/>
          <w:szCs w:val="20"/>
        </w:rPr>
        <w:t xml:space="preserve">Blog 1: The Impact of </w:t>
      </w:r>
      <w:proofErr w:type="spellStart"/>
      <w:r>
        <w:rPr>
          <w:i/>
          <w:iCs/>
          <w:sz w:val="20"/>
          <w:szCs w:val="20"/>
        </w:rPr>
        <w:t>ElliQ</w:t>
      </w:r>
      <w:proofErr w:type="spellEnd"/>
      <w:r>
        <w:rPr>
          <w:i/>
          <w:iCs/>
          <w:sz w:val="20"/>
          <w:szCs w:val="20"/>
        </w:rPr>
        <w:t xml:space="preserve"> – An Existing AI-Powered Digital Companion on Reducing Social Isolation and Loneliness Among Older Adults</w:t>
      </w:r>
    </w:p>
    <w:p w14:paraId="50F57C06" w14:textId="79835000" w:rsidR="00C07C05" w:rsidRDefault="00C07C05" w:rsidP="00C07C05">
      <w:pPr>
        <w:jc w:val="center"/>
      </w:pPr>
      <w:r>
        <w:rPr>
          <w:i/>
          <w:iCs/>
          <w:sz w:val="20"/>
          <w:szCs w:val="20"/>
        </w:rPr>
        <w:t xml:space="preserve">Blog 2: </w:t>
      </w:r>
      <w:proofErr w:type="spellStart"/>
      <w:r>
        <w:rPr>
          <w:i/>
          <w:iCs/>
          <w:sz w:val="20"/>
          <w:szCs w:val="20"/>
        </w:rPr>
        <w:t>HarmonyLink</w:t>
      </w:r>
      <w:proofErr w:type="spellEnd"/>
      <w:r>
        <w:rPr>
          <w:i/>
          <w:iCs/>
          <w:sz w:val="20"/>
          <w:szCs w:val="20"/>
        </w:rPr>
        <w:t xml:space="preserve"> AI – Designing a Hybrid, Co-Produced Digital Platform to Tackle Social Isolation and Loneliness Among Older Adults</w:t>
      </w:r>
    </w:p>
    <w:p w14:paraId="74A3CB0B" w14:textId="77777777" w:rsidR="00C07C05" w:rsidRDefault="00C07C05" w:rsidP="00C07C05">
      <w:pPr>
        <w:spacing w:before="400"/>
      </w:pPr>
    </w:p>
    <w:p w14:paraId="4AB14F2B" w14:textId="12EE3F7C" w:rsidR="00C07C05" w:rsidRPr="008628CD" w:rsidRDefault="00C07C05" w:rsidP="00C07C05">
      <w:pPr>
        <w:jc w:val="center"/>
        <w:rPr>
          <w:b/>
          <w:bCs/>
        </w:rPr>
      </w:pPr>
      <w:r w:rsidRPr="008628CD">
        <w:rPr>
          <w:b/>
          <w:bCs/>
        </w:rPr>
        <w:t xml:space="preserve">Student Name: </w:t>
      </w:r>
      <w:proofErr w:type="spellStart"/>
      <w:r w:rsidR="004F04B0" w:rsidRPr="008628CD">
        <w:rPr>
          <w:b/>
          <w:bCs/>
        </w:rPr>
        <w:t>fahmidah</w:t>
      </w:r>
      <w:proofErr w:type="spellEnd"/>
      <w:r w:rsidR="004F04B0" w:rsidRPr="008628CD">
        <w:rPr>
          <w:b/>
          <w:bCs/>
        </w:rPr>
        <w:t xml:space="preserve"> Faruk patel</w:t>
      </w:r>
    </w:p>
    <w:p w14:paraId="0F370D4D" w14:textId="05ACF260" w:rsidR="00C07C05" w:rsidRPr="008628CD" w:rsidRDefault="00C07C05" w:rsidP="00C07C05">
      <w:pPr>
        <w:spacing w:before="80"/>
        <w:jc w:val="center"/>
        <w:rPr>
          <w:b/>
          <w:bCs/>
        </w:rPr>
      </w:pPr>
      <w:r w:rsidRPr="008628CD">
        <w:rPr>
          <w:b/>
          <w:bCs/>
          <w:sz w:val="22"/>
          <w:szCs w:val="22"/>
        </w:rPr>
        <w:t xml:space="preserve">Student ID Number: </w:t>
      </w:r>
      <w:r w:rsidR="004F04B0" w:rsidRPr="008628CD">
        <w:rPr>
          <w:b/>
          <w:bCs/>
          <w:sz w:val="22"/>
          <w:szCs w:val="22"/>
        </w:rPr>
        <w:t>2519425</w:t>
      </w:r>
    </w:p>
    <w:p w14:paraId="6DBE2E93" w14:textId="77777777" w:rsidR="008628CD" w:rsidRPr="008628CD" w:rsidRDefault="00C07C05" w:rsidP="008628CD">
      <w:pPr>
        <w:spacing w:before="200"/>
        <w:jc w:val="center"/>
        <w:rPr>
          <w:b/>
          <w:bCs/>
        </w:rPr>
      </w:pPr>
      <w:r w:rsidRPr="008628CD">
        <w:rPr>
          <w:b/>
          <w:bCs/>
          <w:sz w:val="20"/>
          <w:szCs w:val="20"/>
        </w:rPr>
        <w:t xml:space="preserve">Lecturer: </w:t>
      </w:r>
      <w:r w:rsidR="005D5158" w:rsidRPr="008628CD">
        <w:rPr>
          <w:b/>
          <w:bCs/>
          <w:sz w:val="20"/>
          <w:szCs w:val="20"/>
        </w:rPr>
        <w:t xml:space="preserve">Dr </w:t>
      </w:r>
      <w:proofErr w:type="spellStart"/>
      <w:r w:rsidR="005D5158" w:rsidRPr="008628CD">
        <w:rPr>
          <w:b/>
          <w:bCs/>
          <w:sz w:val="20"/>
          <w:szCs w:val="20"/>
        </w:rPr>
        <w:t>raheela</w:t>
      </w:r>
      <w:proofErr w:type="spellEnd"/>
      <w:r w:rsidR="005D5158" w:rsidRPr="008628CD">
        <w:rPr>
          <w:b/>
          <w:bCs/>
          <w:sz w:val="20"/>
          <w:szCs w:val="20"/>
        </w:rPr>
        <w:t xml:space="preserve"> shaikh</w:t>
      </w:r>
    </w:p>
    <w:p w14:paraId="69546C0D" w14:textId="3618BAAC" w:rsidR="00C07C05" w:rsidRPr="008628CD" w:rsidRDefault="00C07C05" w:rsidP="008628CD">
      <w:pPr>
        <w:spacing w:before="200"/>
        <w:jc w:val="center"/>
        <w:rPr>
          <w:b/>
          <w:bCs/>
        </w:rPr>
      </w:pPr>
      <w:r w:rsidRPr="008628CD">
        <w:rPr>
          <w:b/>
          <w:bCs/>
          <w:color w:val="666666"/>
          <w:sz w:val="20"/>
          <w:szCs w:val="20"/>
        </w:rPr>
        <w:t xml:space="preserve">Submission Date: </w:t>
      </w:r>
      <w:r w:rsidR="008628CD" w:rsidRPr="008628CD">
        <w:rPr>
          <w:b/>
          <w:bCs/>
          <w:color w:val="666666"/>
          <w:sz w:val="20"/>
          <w:szCs w:val="20"/>
        </w:rPr>
        <w:t xml:space="preserve">3 </w:t>
      </w:r>
      <w:proofErr w:type="spellStart"/>
      <w:r w:rsidR="008628CD" w:rsidRPr="008628CD">
        <w:rPr>
          <w:b/>
          <w:bCs/>
          <w:color w:val="666666"/>
          <w:sz w:val="20"/>
          <w:szCs w:val="20"/>
        </w:rPr>
        <w:t>july</w:t>
      </w:r>
      <w:proofErr w:type="spellEnd"/>
      <w:r w:rsidRPr="008628CD">
        <w:rPr>
          <w:b/>
          <w:bCs/>
          <w:color w:val="666666"/>
          <w:sz w:val="20"/>
          <w:szCs w:val="20"/>
        </w:rPr>
        <w:t xml:space="preserve"> 2026</w:t>
      </w:r>
    </w:p>
    <w:p w14:paraId="66C21A18" w14:textId="77777777" w:rsidR="00C07C05" w:rsidRDefault="00C07C05" w:rsidP="00C07C05">
      <w:pPr>
        <w:spacing w:before="300"/>
      </w:pPr>
    </w:p>
    <w:p w14:paraId="3F6FEFB9" w14:textId="77777777" w:rsidR="00C07C05" w:rsidRDefault="00C07C05" w:rsidP="00C07C05">
      <w:pPr>
        <w:pBdr>
          <w:top w:val="single" w:sz="1" w:space="0" w:color="008080"/>
          <w:left w:val="single" w:sz="1" w:space="0" w:color="008080"/>
          <w:bottom w:val="single" w:sz="1" w:space="0" w:color="008080"/>
          <w:right w:val="single" w:sz="1" w:space="0" w:color="008080"/>
        </w:pBdr>
        <w:shd w:val="clear" w:color="auto" w:fill="E8F4F8"/>
        <w:spacing w:before="150" w:after="150"/>
      </w:pPr>
      <w:r>
        <w:rPr>
          <w:b/>
          <w:bCs/>
          <w:sz w:val="19"/>
          <w:szCs w:val="19"/>
        </w:rPr>
        <w:t xml:space="preserve">Generative AI Acknowledgement: </w:t>
      </w:r>
      <w:r>
        <w:rPr>
          <w:i/>
          <w:iCs/>
          <w:sz w:val="18"/>
          <w:szCs w:val="18"/>
        </w:rPr>
        <w:t>This submission has used Generative AI support only for structuring, creating visual elements, and proofreading. All research, critical writing, and referencing is the student’s own work, in accordance with the module AI policy.</w:t>
      </w:r>
    </w:p>
    <w:p w14:paraId="5DD3D00F" w14:textId="77777777" w:rsidR="00C07C05" w:rsidRDefault="00C07C05">
      <w:pPr>
        <w:spacing w:line="259" w:lineRule="auto"/>
        <w:jc w:val="left"/>
        <w:rPr>
          <w:b/>
          <w:bCs/>
        </w:rPr>
      </w:pPr>
      <w:r>
        <w:rPr>
          <w:b/>
          <w:bCs/>
        </w:rPr>
        <w:br w:type="page"/>
      </w:r>
    </w:p>
    <w:p w14:paraId="5440E2A3" w14:textId="2A461657" w:rsidR="003D77F0" w:rsidRPr="003D77F0" w:rsidRDefault="003D77F0" w:rsidP="003D77F0">
      <w:r>
        <w:rPr>
          <w:b/>
          <w:bCs/>
        </w:rPr>
        <w:lastRenderedPageBreak/>
        <w:t xml:space="preserve">Blog 1: The Impact of </w:t>
      </w:r>
      <w:proofErr w:type="spellStart"/>
      <w:r>
        <w:rPr>
          <w:b/>
          <w:bCs/>
        </w:rPr>
        <w:t>ElliQ</w:t>
      </w:r>
      <w:proofErr w:type="spellEnd"/>
      <w:r>
        <w:rPr>
          <w:b/>
          <w:bCs/>
        </w:rPr>
        <w:t xml:space="preserve"> – An Existing AI-Powered Digital Companion on Reducing Social Isolation and Loneliness Among Older Adults</w:t>
      </w:r>
    </w:p>
    <w:p w14:paraId="1FE77A6A" w14:textId="77777777" w:rsidR="003D77F0" w:rsidRDefault="003D77F0" w:rsidP="003D77F0">
      <w:r>
        <w:rPr>
          <w:b/>
          <w:bCs/>
        </w:rPr>
        <w:t>The Public Health Crisis of Social Isolation and Loneliness</w:t>
      </w:r>
      <w:r>
        <w:t xml:space="preserve"> </w:t>
      </w:r>
    </w:p>
    <w:p w14:paraId="5A5FFF19" w14:textId="43FDD31A" w:rsidR="003D77F0" w:rsidRDefault="003D77F0" w:rsidP="003D77F0">
      <w:r>
        <w:t xml:space="preserve">Social isolation and loneliness in communities is one of the largest and growing public health crises affecting older adults. Across the world millions of older people experience chronic loneliness, which carries similar health risks as smoking 15 cigarettes per day (Welch </w:t>
      </w:r>
      <w:r>
        <w:rPr>
          <w:i/>
          <w:iCs/>
        </w:rPr>
        <w:t>et al</w:t>
      </w:r>
      <w:r>
        <w:t xml:space="preserve">., 2023; </w:t>
      </w:r>
      <w:proofErr w:type="spellStart"/>
      <w:r>
        <w:t>Balki</w:t>
      </w:r>
      <w:proofErr w:type="spellEnd"/>
      <w:r>
        <w:t xml:space="preserve"> </w:t>
      </w:r>
      <w:r>
        <w:rPr>
          <w:i/>
          <w:iCs/>
        </w:rPr>
        <w:t>et al</w:t>
      </w:r>
      <w:r>
        <w:t>., 2022). Each of these factors amplifies the problem, especially for community dwellers as older adults are suffering from bereavement, physical impairment, retirement and loss of social networks.</w:t>
      </w:r>
    </w:p>
    <w:p w14:paraId="513E7378" w14:textId="77777777" w:rsidR="0084172A" w:rsidRDefault="0084172A" w:rsidP="0084172A">
      <w:pPr>
        <w:spacing w:before="160" w:after="60"/>
        <w:jc w:val="center"/>
      </w:pPr>
      <w:r>
        <w:rPr>
          <w:noProof/>
        </w:rPr>
        <w:drawing>
          <wp:inline distT="0" distB="0" distL="0" distR="0" wp14:anchorId="3AD86041" wp14:editId="19F17F3F">
            <wp:extent cx="4572000" cy="3048000"/>
            <wp:effectExtent l="0" t="0" r="0" b="0"/>
            <wp:docPr id="1" name="Older adult engaging with AI companion device" descr="Smiling older woman interacting happily with a modern white AI companion device featuring a friendly glowing avatar on screen, demonstrating digital technology reducing loneliness in a warm home setting." title="ElliQ-Style AI Companion in 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4572000" cy="3048000"/>
                    </a:xfrm>
                    <a:prstGeom prst="rect">
                      <a:avLst/>
                    </a:prstGeom>
                  </pic:spPr>
                </pic:pic>
              </a:graphicData>
            </a:graphic>
          </wp:inline>
        </w:drawing>
      </w:r>
    </w:p>
    <w:p w14:paraId="63E09C48" w14:textId="09C7EECA" w:rsidR="0084172A" w:rsidRDefault="0084172A" w:rsidP="0084172A">
      <w:pPr>
        <w:jc w:val="center"/>
      </w:pPr>
      <w:r>
        <w:rPr>
          <w:b/>
          <w:bCs/>
        </w:rPr>
        <w:t>Figure 1:</w:t>
      </w:r>
      <w:r>
        <w:t xml:space="preserve"> </w:t>
      </w:r>
      <w:proofErr w:type="spellStart"/>
      <w:r>
        <w:t>ElliQ</w:t>
      </w:r>
      <w:proofErr w:type="spellEnd"/>
      <w:r>
        <w:t xml:space="preserve"> in action – an older adult engaging with an AI-powered digital companion device.</w:t>
      </w:r>
    </w:p>
    <w:p w14:paraId="119C9AF3" w14:textId="782FBC84" w:rsidR="003D77F0" w:rsidRDefault="003D77F0" w:rsidP="003D77F0">
      <w:proofErr w:type="spellStart"/>
      <w:r>
        <w:rPr>
          <w:b/>
          <w:bCs/>
        </w:rPr>
        <w:t>ElliQ</w:t>
      </w:r>
      <w:proofErr w:type="spellEnd"/>
      <w:r>
        <w:rPr>
          <w:b/>
          <w:bCs/>
        </w:rPr>
        <w:t>: A Leading Digital Health Technology</w:t>
      </w:r>
      <w:r>
        <w:t xml:space="preserve"> </w:t>
      </w:r>
    </w:p>
    <w:p w14:paraId="4101C947" w14:textId="5E639CE3" w:rsidR="003D77F0" w:rsidRDefault="003D77F0" w:rsidP="003D77F0">
      <w:proofErr w:type="spellStart"/>
      <w:r>
        <w:t>ElliQ</w:t>
      </w:r>
      <w:proofErr w:type="spellEnd"/>
      <w:r>
        <w:t xml:space="preserve"> is an older adult social companion physical device and app that incorporates AI. It's interactive with speech, personalises conversation, increase interaction, reminds, and has video calling options to encourage engagement and connection daily with family or caregivers. </w:t>
      </w:r>
      <w:proofErr w:type="spellStart"/>
      <w:r>
        <w:t>ElliQ</w:t>
      </w:r>
      <w:proofErr w:type="spellEnd"/>
      <w:r>
        <w:t xml:space="preserve"> has been deployed in setting of health, care and home environments, where it proactively reaches out to citizens, shares information and offers virtual social opportunities, according to the principles of digital health promotion of empowerment and inclusion (Intuition Robotics, 2023).</w:t>
      </w:r>
    </w:p>
    <w:p w14:paraId="060150C3" w14:textId="77777777" w:rsidR="00F75666" w:rsidRDefault="00F75666" w:rsidP="00F75666">
      <w:pPr>
        <w:spacing w:before="120" w:after="60"/>
        <w:jc w:val="center"/>
      </w:pPr>
      <w:r>
        <w:rPr>
          <w:noProof/>
        </w:rPr>
        <w:lastRenderedPageBreak/>
        <w:drawing>
          <wp:inline distT="0" distB="0" distL="0" distR="0" wp14:anchorId="11E95BCC" wp14:editId="40736B10">
            <wp:extent cx="4000500" cy="2667000"/>
            <wp:effectExtent l="0" t="0" r="0" b="0"/>
            <wp:docPr id="321222449" name="Diverse older adults in positive social interaction" descr="Group of diverse smiling older adults engaging happily together in a bright community setting, representing the ultimate goal of digital health promotion interventions like ElliQ." title="Social Connection Go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000500" cy="2667000"/>
                    </a:xfrm>
                    <a:prstGeom prst="rect">
                      <a:avLst/>
                    </a:prstGeom>
                  </pic:spPr>
                </pic:pic>
              </a:graphicData>
            </a:graphic>
          </wp:inline>
        </w:drawing>
      </w:r>
    </w:p>
    <w:p w14:paraId="7B83FF62" w14:textId="77777777" w:rsidR="00F75666" w:rsidRDefault="00F75666" w:rsidP="00F75666">
      <w:pPr>
        <w:jc w:val="center"/>
      </w:pPr>
      <w:r>
        <w:rPr>
          <w:b/>
          <w:bCs/>
        </w:rPr>
        <w:t>Figure 2:</w:t>
      </w:r>
      <w:r>
        <w:t xml:space="preserve"> The ultimate goal – meaningful social connection and wellbeing among older adults that technologies like </w:t>
      </w:r>
      <w:proofErr w:type="spellStart"/>
      <w:r>
        <w:t>ElliQ</w:t>
      </w:r>
      <w:proofErr w:type="spellEnd"/>
      <w:r>
        <w:t xml:space="preserve"> aim to support and enhance.</w:t>
      </w:r>
    </w:p>
    <w:p w14:paraId="59E87DFF" w14:textId="04796AC5" w:rsidR="003D77F0" w:rsidRDefault="003D77F0" w:rsidP="003D77F0">
      <w:r>
        <w:rPr>
          <w:b/>
          <w:bCs/>
        </w:rPr>
        <w:t>Evidence of Effectiveness in Health Promotion</w:t>
      </w:r>
      <w:r>
        <w:t xml:space="preserve"> </w:t>
      </w:r>
    </w:p>
    <w:p w14:paraId="540924DA" w14:textId="4967BCD2" w:rsidR="003D77F0" w:rsidRDefault="003D77F0" w:rsidP="003D77F0">
      <w:r>
        <w:t xml:space="preserve">The technologies such as </w:t>
      </w:r>
      <w:proofErr w:type="spellStart"/>
      <w:r>
        <w:t>ElliQ</w:t>
      </w:r>
      <w:proofErr w:type="spellEnd"/>
      <w:r>
        <w:t xml:space="preserve"> have a positive impact and are supported by robust evidence. Overall, digital interventions, such as AI companions and videoconferencing tools, have been proven to be effective in reducing feelings of loneliness and enhancing social connectedness in older adults through systematic reviews and meta-analysis (Welch </w:t>
      </w:r>
      <w:r>
        <w:rPr>
          <w:i/>
          <w:iCs/>
        </w:rPr>
        <w:t>et al</w:t>
      </w:r>
      <w:r>
        <w:t xml:space="preserve">., 2023; </w:t>
      </w:r>
      <w:proofErr w:type="spellStart"/>
      <w:r>
        <w:t>Ambagtsheer</w:t>
      </w:r>
      <w:proofErr w:type="spellEnd"/>
      <w:r>
        <w:t xml:space="preserve"> </w:t>
      </w:r>
      <w:r>
        <w:rPr>
          <w:i/>
          <w:iCs/>
        </w:rPr>
        <w:t>et al</w:t>
      </w:r>
      <w:r>
        <w:t>., 2024). There is evidence of improvements in psychosocial wellbeing using technology-based solutions with, in particular, videoconferencing and interactive platforms becoming effective (</w:t>
      </w:r>
      <w:proofErr w:type="spellStart"/>
      <w:r>
        <w:t>Balki</w:t>
      </w:r>
      <w:proofErr w:type="spellEnd"/>
      <w:r>
        <w:t xml:space="preserve"> </w:t>
      </w:r>
      <w:r>
        <w:rPr>
          <w:i/>
          <w:iCs/>
        </w:rPr>
        <w:t>et al</w:t>
      </w:r>
      <w:r>
        <w:t xml:space="preserve">., 2022; Döring </w:t>
      </w:r>
      <w:r>
        <w:rPr>
          <w:i/>
          <w:iCs/>
        </w:rPr>
        <w:t>et al</w:t>
      </w:r>
      <w:r>
        <w:t xml:space="preserve">., 2022). Meta-syntheses of 58 studies (Song </w:t>
      </w:r>
      <w:r>
        <w:rPr>
          <w:i/>
          <w:iCs/>
        </w:rPr>
        <w:t>et al</w:t>
      </w:r>
      <w:r>
        <w:t>., 2026) reveal that there are overall benefits for digital interventions on social isolation and loneliness.</w:t>
      </w:r>
    </w:p>
    <w:p w14:paraId="6E68D8D3" w14:textId="6145F65C" w:rsidR="003D77F0" w:rsidRDefault="003D77F0" w:rsidP="003D77F0">
      <w:r>
        <w:rPr>
          <w:b/>
          <w:bCs/>
        </w:rPr>
        <w:t>Critical Discussion: Advantages and Shortfalls</w:t>
      </w:r>
      <w:r>
        <w:t xml:space="preserve"> </w:t>
      </w:r>
    </w:p>
    <w:p w14:paraId="2DCC4C50" w14:textId="6AE9122B" w:rsidR="003D77F0" w:rsidRDefault="003D77F0" w:rsidP="003D77F0">
      <w:r>
        <w:t xml:space="preserve">The benefits of </w:t>
      </w:r>
      <w:proofErr w:type="spellStart"/>
      <w:r>
        <w:t>ElliQ</w:t>
      </w:r>
      <w:proofErr w:type="spellEnd"/>
      <w:r>
        <w:t xml:space="preserve"> and other digital health solutions are clear: they can be available at any time, day or night, they engage people so it is easier to overcome stigma, AI allows them to be more personalised, and they can be scaled to work in the home setting, enabling behaviour change and social connection (Grey </w:t>
      </w:r>
      <w:r>
        <w:rPr>
          <w:i/>
          <w:iCs/>
        </w:rPr>
        <w:t>et al</w:t>
      </w:r>
      <w:r>
        <w:t xml:space="preserve">., 2024; </w:t>
      </w:r>
      <w:proofErr w:type="spellStart"/>
      <w:r>
        <w:t>Ambagtsheer</w:t>
      </w:r>
      <w:proofErr w:type="spellEnd"/>
      <w:r>
        <w:t xml:space="preserve"> </w:t>
      </w:r>
      <w:r>
        <w:rPr>
          <w:i/>
          <w:iCs/>
        </w:rPr>
        <w:t>et al</w:t>
      </w:r>
      <w:r>
        <w:t>., 2024).</w:t>
      </w:r>
    </w:p>
    <w:p w14:paraId="652BD9C1" w14:textId="7FC2CCB5" w:rsidR="003D77F0" w:rsidRDefault="003D77F0" w:rsidP="003D77F0">
      <w:r>
        <w:t xml:space="preserve">But there are key limitations. Digital inequalities persist, and many older people may not have access to the device or to a stable internet connection or to be digitally literate, which could exacerbate the disparity (Welch </w:t>
      </w:r>
      <w:r>
        <w:rPr>
          <w:i/>
          <w:iCs/>
        </w:rPr>
        <w:t>et al</w:t>
      </w:r>
      <w:r>
        <w:t xml:space="preserve">., 2023; Song </w:t>
      </w:r>
      <w:r>
        <w:rPr>
          <w:i/>
          <w:iCs/>
        </w:rPr>
        <w:t>et al</w:t>
      </w:r>
      <w:r>
        <w:t xml:space="preserve">., 2026). Over time, engagement can </w:t>
      </w:r>
      <w:r>
        <w:lastRenderedPageBreak/>
        <w:t xml:space="preserve">diminish, technical challenges can affect users' experience, and the use of these technologies sometimes also replaces human interaction (Döring </w:t>
      </w:r>
      <w:r>
        <w:rPr>
          <w:i/>
          <w:iCs/>
        </w:rPr>
        <w:t>et al</w:t>
      </w:r>
      <w:r>
        <w:t xml:space="preserve">., 2022; Grey </w:t>
      </w:r>
      <w:r>
        <w:rPr>
          <w:i/>
          <w:iCs/>
        </w:rPr>
        <w:t>et al</w:t>
      </w:r>
      <w:r>
        <w:t>., 2024).</w:t>
      </w:r>
    </w:p>
    <w:p w14:paraId="5CE44D76" w14:textId="1ECACD1F" w:rsidR="003D77F0" w:rsidRDefault="003D77F0" w:rsidP="003D77F0">
      <w:r>
        <w:rPr>
          <w:b/>
          <w:bCs/>
        </w:rPr>
        <w:t>Addressing the Shortfalls</w:t>
      </w:r>
      <w:r>
        <w:t xml:space="preserve"> </w:t>
      </w:r>
    </w:p>
    <w:p w14:paraId="3613521E" w14:textId="7015D824" w:rsidR="003D77F0" w:rsidRDefault="003D77F0" w:rsidP="003D77F0">
      <w:r>
        <w:t xml:space="preserve">Co-design with older people, training and technical support offered by the social care sector, hybrid approaches (blending digital platforms with in-person contact), and subsidised devices and data plans (in relation to equity) are ways these limitations may be overcome (Grey </w:t>
      </w:r>
      <w:r>
        <w:rPr>
          <w:i/>
          <w:iCs/>
        </w:rPr>
        <w:t>et al</w:t>
      </w:r>
      <w:r>
        <w:t xml:space="preserve">., 2024; </w:t>
      </w:r>
      <w:proofErr w:type="spellStart"/>
      <w:r>
        <w:t>Balki</w:t>
      </w:r>
      <w:proofErr w:type="spellEnd"/>
      <w:r>
        <w:t xml:space="preserve"> </w:t>
      </w:r>
      <w:r>
        <w:rPr>
          <w:i/>
          <w:iCs/>
        </w:rPr>
        <w:t>et al</w:t>
      </w:r>
      <w:r>
        <w:t>., 2022).</w:t>
      </w:r>
    </w:p>
    <w:p w14:paraId="09CEF407" w14:textId="1E420A03" w:rsidR="006D38EA" w:rsidRDefault="003D77F0" w:rsidP="003D77F0">
      <w:r>
        <w:t xml:space="preserve">To conclude, </w:t>
      </w:r>
      <w:proofErr w:type="spellStart"/>
      <w:r>
        <w:t>ElliQ</w:t>
      </w:r>
      <w:proofErr w:type="spellEnd"/>
      <w:r>
        <w:t xml:space="preserve"> is a prime example of how digital health technologies can be transformative in addressing social isolation and loneliness in older people, but the key is to ensure it is inclusive for optimal impact.</w:t>
      </w:r>
    </w:p>
    <w:p w14:paraId="39F98393" w14:textId="77777777" w:rsidR="006C0C0F" w:rsidRDefault="006C0C0F">
      <w:pPr>
        <w:spacing w:line="259" w:lineRule="auto"/>
        <w:jc w:val="left"/>
        <w:rPr>
          <w:b/>
          <w:bCs/>
        </w:rPr>
      </w:pPr>
      <w:r>
        <w:rPr>
          <w:b/>
          <w:bCs/>
        </w:rPr>
        <w:br w:type="page"/>
      </w:r>
    </w:p>
    <w:p w14:paraId="5B597D3C" w14:textId="2D97F75D" w:rsidR="003D77F0" w:rsidRDefault="003D77F0" w:rsidP="003D77F0">
      <w:pPr>
        <w:rPr>
          <w:b/>
          <w:bCs/>
        </w:rPr>
      </w:pPr>
      <w:r>
        <w:rPr>
          <w:b/>
          <w:bCs/>
        </w:rPr>
        <w:lastRenderedPageBreak/>
        <w:t xml:space="preserve">References </w:t>
      </w:r>
    </w:p>
    <w:p w14:paraId="65367868" w14:textId="77777777" w:rsidR="003D77F0" w:rsidRPr="003D77F0" w:rsidRDefault="003D77F0" w:rsidP="003D77F0">
      <w:proofErr w:type="spellStart"/>
      <w:r>
        <w:t>Ambagtsheer</w:t>
      </w:r>
      <w:proofErr w:type="spellEnd"/>
      <w:r>
        <w:t xml:space="preserve">, R.C., Borg, K., </w:t>
      </w:r>
      <w:proofErr w:type="spellStart"/>
      <w:r>
        <w:t>Townsin</w:t>
      </w:r>
      <w:proofErr w:type="spellEnd"/>
      <w:r>
        <w:t>, L., De Plaza, M.P., O'Brien, L.M., Kunwar, R. and Lawless, M.T., 2024. The effectiveness of technology interventions in reducing social isolation and loneliness among community-dwelling older people: A mixed methods systematic review. </w:t>
      </w:r>
      <w:r>
        <w:rPr>
          <w:i/>
          <w:iCs/>
        </w:rPr>
        <w:t>Archives of Gerontology and Geriatrics Plus</w:t>
      </w:r>
      <w:r>
        <w:t>, </w:t>
      </w:r>
      <w:r>
        <w:rPr>
          <w:i/>
          <w:iCs/>
        </w:rPr>
        <w:t>1</w:t>
      </w:r>
      <w:r>
        <w:t xml:space="preserve">(1), p.100008. Available at: </w:t>
      </w:r>
      <w:hyperlink r:id="rId9" w:tgtFrame="_blank" w:history="1">
        <w:r>
          <w:rPr>
            <w:rStyle w:val="Hyperlink"/>
          </w:rPr>
          <w:t>https://www.sciencedirect.com/science/article/pii/S2950307824000055</w:t>
        </w:r>
      </w:hyperlink>
    </w:p>
    <w:p w14:paraId="75B609DD" w14:textId="77777777" w:rsidR="003D77F0" w:rsidRPr="003D77F0" w:rsidRDefault="003D77F0" w:rsidP="003D77F0">
      <w:proofErr w:type="spellStart"/>
      <w:r>
        <w:t>Balki</w:t>
      </w:r>
      <w:proofErr w:type="spellEnd"/>
      <w:r>
        <w:t>, E., Hayes, N. and Holland, C., 2022. Effectiveness of technology interventions in addressing social isolation, connectedness, and loneliness in older adults: systematic umbrella review. </w:t>
      </w:r>
      <w:r>
        <w:rPr>
          <w:i/>
          <w:iCs/>
        </w:rPr>
        <w:t>JMIR aging</w:t>
      </w:r>
      <w:r>
        <w:t>, </w:t>
      </w:r>
      <w:r>
        <w:rPr>
          <w:i/>
          <w:iCs/>
        </w:rPr>
        <w:t>5</w:t>
      </w:r>
      <w:r>
        <w:t xml:space="preserve">(4), p.e40125. Available at: </w:t>
      </w:r>
      <w:hyperlink r:id="rId10" w:tgtFrame="_blank" w:history="1">
        <w:r>
          <w:rPr>
            <w:rStyle w:val="Hyperlink"/>
          </w:rPr>
          <w:t>https://aging.jmir.org/2022/4/e40125/</w:t>
        </w:r>
      </w:hyperlink>
    </w:p>
    <w:p w14:paraId="63A56C8D" w14:textId="77777777" w:rsidR="003D77F0" w:rsidRPr="003D77F0" w:rsidRDefault="003D77F0" w:rsidP="003D77F0">
      <w:r>
        <w:t xml:space="preserve">Döring, N., Conde, M., Brandenburg, K., Broll, W., Gross, H.M., Werner, S. and </w:t>
      </w:r>
      <w:proofErr w:type="spellStart"/>
      <w:r>
        <w:t>Raake</w:t>
      </w:r>
      <w:proofErr w:type="spellEnd"/>
      <w:r>
        <w:t>, A., 2022. Can communication technologies reduce loneliness and social isolation in older people? A scoping review of reviews. </w:t>
      </w:r>
      <w:r>
        <w:rPr>
          <w:i/>
          <w:iCs/>
        </w:rPr>
        <w:t>International journal of environmental research and public health</w:t>
      </w:r>
      <w:r>
        <w:t>, </w:t>
      </w:r>
      <w:r>
        <w:rPr>
          <w:i/>
          <w:iCs/>
        </w:rPr>
        <w:t>19</w:t>
      </w:r>
      <w:r>
        <w:t xml:space="preserve">(18), p.11310.  Available at: </w:t>
      </w:r>
      <w:hyperlink r:id="rId11" w:tgtFrame="_blank" w:history="1">
        <w:r>
          <w:rPr>
            <w:rStyle w:val="Hyperlink"/>
          </w:rPr>
          <w:t>https://www.mdpi.com/1660-4601/19/18/11310</w:t>
        </w:r>
      </w:hyperlink>
    </w:p>
    <w:p w14:paraId="5C42546F" w14:textId="77777777" w:rsidR="003D77F0" w:rsidRPr="003D77F0" w:rsidRDefault="003D77F0" w:rsidP="003D77F0">
      <w:r>
        <w:t>Grey, E., Baber, F., Corbett, E., Ellis, D., Gillison, F. and Barnett, J., 2024. The use of technology to address loneliness and social isolation among older adults: the role of social care providers. </w:t>
      </w:r>
      <w:r>
        <w:rPr>
          <w:i/>
          <w:iCs/>
        </w:rPr>
        <w:t>BMC Public Health</w:t>
      </w:r>
      <w:r>
        <w:t>, </w:t>
      </w:r>
      <w:r>
        <w:rPr>
          <w:i/>
          <w:iCs/>
        </w:rPr>
        <w:t>24</w:t>
      </w:r>
      <w:r>
        <w:t xml:space="preserve">(1), p.108. Available at: </w:t>
      </w:r>
      <w:hyperlink r:id="rId12" w:tgtFrame="_blank" w:history="1">
        <w:r>
          <w:rPr>
            <w:rStyle w:val="Hyperlink"/>
          </w:rPr>
          <w:t>https://link.springer.com/article/10.1186/s12889-023-17386-w</w:t>
        </w:r>
      </w:hyperlink>
    </w:p>
    <w:p w14:paraId="77ADFFC9" w14:textId="77777777" w:rsidR="003D77F0" w:rsidRPr="003D77F0" w:rsidRDefault="003D77F0" w:rsidP="003D77F0">
      <w:r>
        <w:t xml:space="preserve">Song, H., Lyu, J. and Cheung, C., 2026. Digital Interventions for Social Isolation and Loneliness among Older Adults: A Systematic Review. Available at: </w:t>
      </w:r>
      <w:hyperlink r:id="rId13" w:tgtFrame="_blank" w:history="1">
        <w:r>
          <w:rPr>
            <w:rStyle w:val="Hyperlink"/>
          </w:rPr>
          <w:t>https://scholarspace.manoa.hawaii.edu/bitstreams/d18f5ce9-c05b-4a9a-97ed-8b8131870769/download</w:t>
        </w:r>
      </w:hyperlink>
    </w:p>
    <w:p w14:paraId="693ABD93" w14:textId="77777777" w:rsidR="003D77F0" w:rsidRPr="003D77F0" w:rsidRDefault="003D77F0" w:rsidP="003D77F0">
      <w:r>
        <w:t xml:space="preserve">Welch, V., Ghogomu, E.T., Barbeau, V.I., Dowling, S., Doyle, R., Beveridge, E., Boulton, E., Desai, P., Huang, J., </w:t>
      </w:r>
      <w:proofErr w:type="spellStart"/>
      <w:r>
        <w:t>Elmestekawy</w:t>
      </w:r>
      <w:proofErr w:type="spellEnd"/>
      <w:r>
        <w:t>, N. and Hussain, T., 2023. Digital interventions to reduce social isolation and loneliness in older adults: an evidence and gap map. </w:t>
      </w:r>
      <w:r>
        <w:rPr>
          <w:i/>
          <w:iCs/>
        </w:rPr>
        <w:t>Campbell Systematic Reviews</w:t>
      </w:r>
      <w:r>
        <w:t>, </w:t>
      </w:r>
      <w:r>
        <w:rPr>
          <w:i/>
          <w:iCs/>
        </w:rPr>
        <w:t>19</w:t>
      </w:r>
      <w:r>
        <w:t xml:space="preserve">(4), p.e1369. Available at: </w:t>
      </w:r>
      <w:hyperlink r:id="rId14" w:tgtFrame="_blank" w:history="1">
        <w:r>
          <w:rPr>
            <w:rStyle w:val="Hyperlink"/>
          </w:rPr>
          <w:t>https://pmc.ncbi.nlm.nih.gov/articles/PMC10681039/</w:t>
        </w:r>
      </w:hyperlink>
    </w:p>
    <w:p w14:paraId="16E324B0" w14:textId="28CCE710" w:rsidR="00EC06B2" w:rsidRDefault="00EC06B2">
      <w:pPr>
        <w:spacing w:line="259" w:lineRule="auto"/>
        <w:jc w:val="left"/>
      </w:pPr>
      <w:r>
        <w:br w:type="page"/>
      </w:r>
    </w:p>
    <w:p w14:paraId="254A0CC0" w14:textId="77777777" w:rsidR="00EC06B2" w:rsidRPr="00EC06B2" w:rsidRDefault="00EC06B2" w:rsidP="00EC06B2">
      <w:r>
        <w:rPr>
          <w:b/>
          <w:bCs/>
        </w:rPr>
        <w:lastRenderedPageBreak/>
        <w:t xml:space="preserve">Blog 2: </w:t>
      </w:r>
      <w:proofErr w:type="spellStart"/>
      <w:r>
        <w:rPr>
          <w:b/>
          <w:bCs/>
        </w:rPr>
        <w:t>HarmonyLink</w:t>
      </w:r>
      <w:proofErr w:type="spellEnd"/>
      <w:r>
        <w:rPr>
          <w:b/>
          <w:bCs/>
        </w:rPr>
        <w:t xml:space="preserve"> AI – Designing a Hybrid, Co-Produced Digital Platform to Tackle Social Isolation and Loneliness Among Older Adults</w:t>
      </w:r>
    </w:p>
    <w:p w14:paraId="24D7EBA2" w14:textId="77777777" w:rsidR="00EC06B2" w:rsidRDefault="00EC06B2" w:rsidP="00EC06B2">
      <w:pPr>
        <w:rPr>
          <w:b/>
          <w:bCs/>
        </w:rPr>
      </w:pPr>
      <w:r>
        <w:rPr>
          <w:b/>
          <w:bCs/>
        </w:rPr>
        <w:t>The Persistent Public Health Challenge of Social Isolation and Loneliness</w:t>
      </w:r>
    </w:p>
    <w:p w14:paraId="24037622" w14:textId="50218C68" w:rsidR="001419D6" w:rsidRDefault="001419D6" w:rsidP="001419D6">
      <w:r>
        <w:t xml:space="preserve">Social isolation and loneliness continue to be one of the key public health problems for older people worldwide. Even though current technological solutions like </w:t>
      </w:r>
      <w:proofErr w:type="spellStart"/>
      <w:r>
        <w:t>ElliQ</w:t>
      </w:r>
      <w:proofErr w:type="spellEnd"/>
      <w:r>
        <w:t xml:space="preserve"> demonstrate good results, there are certain drawbacks found in systematic reviews including their limited effectiveness, poor theoretical basis, and digital exclusion (Ren </w:t>
      </w:r>
      <w:r>
        <w:rPr>
          <w:i/>
          <w:iCs/>
        </w:rPr>
        <w:t>et al</w:t>
      </w:r>
      <w:r>
        <w:t xml:space="preserve">., 2026; Timon </w:t>
      </w:r>
      <w:r>
        <w:rPr>
          <w:i/>
          <w:iCs/>
        </w:rPr>
        <w:t>et al</w:t>
      </w:r>
      <w:r>
        <w:t>., 2024).</w:t>
      </w:r>
    </w:p>
    <w:p w14:paraId="2AE4DDA0" w14:textId="00B7BE12" w:rsidR="003F63C2" w:rsidRPr="00EC06B2" w:rsidRDefault="003F63C2" w:rsidP="003F63C2">
      <w:pPr>
        <w:jc w:val="center"/>
      </w:pPr>
      <w:r>
        <w:rPr>
          <w:noProof/>
        </w:rPr>
        <w:drawing>
          <wp:inline distT="0" distB="0" distL="0" distR="0" wp14:anchorId="3E15EF59" wp14:editId="55538AFE">
            <wp:extent cx="5600441" cy="3759200"/>
            <wp:effectExtent l="0" t="0" r="635" b="0"/>
            <wp:docPr id="20295074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11075" cy="3766338"/>
                    </a:xfrm>
                    <a:prstGeom prst="rect">
                      <a:avLst/>
                    </a:prstGeom>
                    <a:noFill/>
                  </pic:spPr>
                </pic:pic>
              </a:graphicData>
            </a:graphic>
          </wp:inline>
        </w:drawing>
      </w:r>
    </w:p>
    <w:p w14:paraId="203A76B9" w14:textId="77777777" w:rsidR="00EC06B2" w:rsidRPr="00EC06B2" w:rsidRDefault="00EC06B2" w:rsidP="003F63C2">
      <w:pPr>
        <w:jc w:val="center"/>
      </w:pPr>
      <w:r>
        <w:rPr>
          <w:b/>
          <w:bCs/>
        </w:rPr>
        <w:t xml:space="preserve">Figure 1: </w:t>
      </w:r>
      <w:r>
        <w:t>The goal of digital health promotion – fostering meaningful social connection and wellbeing among older adults through innovative technology.</w:t>
      </w:r>
    </w:p>
    <w:p w14:paraId="7DE9625B" w14:textId="77777777" w:rsidR="00EC06B2" w:rsidRPr="00EC06B2" w:rsidRDefault="00EC06B2" w:rsidP="00EC06B2">
      <w:proofErr w:type="spellStart"/>
      <w:r>
        <w:rPr>
          <w:b/>
          <w:bCs/>
        </w:rPr>
        <w:t>HarmonyLink</w:t>
      </w:r>
      <w:proofErr w:type="spellEnd"/>
      <w:r>
        <w:rPr>
          <w:b/>
          <w:bCs/>
        </w:rPr>
        <w:t xml:space="preserve"> AI: A Designed Hybrid Digital Health Promotion Intervention</w:t>
      </w:r>
    </w:p>
    <w:p w14:paraId="33FAEEF6" w14:textId="77777777" w:rsidR="001419D6" w:rsidRDefault="001419D6" w:rsidP="00EC06B2">
      <w:r>
        <w:t xml:space="preserve">In order to overcome these challenges, </w:t>
      </w:r>
      <w:proofErr w:type="spellStart"/>
      <w:r>
        <w:t>HarmonyLink</w:t>
      </w:r>
      <w:proofErr w:type="spellEnd"/>
      <w:r>
        <w:t xml:space="preserve"> AI was created, which is a co-produced hybrid digital platform that brings together the power of sophisticated conversational AI along with intentional opportunities for human connection. The platform was built via workshops and discussions conducted in collaboration with older adults and professionals. Its key elements comprise of an AI buddy that is based on the principles of motivational interviewing and behavioural change, using Transtheoretical Model and Social Cognitive Theory as their </w:t>
      </w:r>
      <w:r>
        <w:lastRenderedPageBreak/>
        <w:t>foundation; interest-based moderated virtual group activities; and an innovative "Human Bridge" module that connects individuals with locally based volunteers for progressive hybrid interactions. Furthermore, it includes reminders linked to wearables and educational material on healthy aging, as well as connections to social prescribing services. The platform makes use of fully accessible voice commands, offline operation, big font settings, and devices provision in community spaces.</w:t>
      </w:r>
    </w:p>
    <w:p w14:paraId="4830E869" w14:textId="7A770CB4" w:rsidR="003F63C2" w:rsidRPr="00EC06B2" w:rsidRDefault="003F63C2" w:rsidP="003F63C2">
      <w:pPr>
        <w:jc w:val="center"/>
      </w:pPr>
      <w:r>
        <w:rPr>
          <w:noProof/>
        </w:rPr>
        <w:drawing>
          <wp:inline distT="0" distB="0" distL="0" distR="0" wp14:anchorId="19E06F49" wp14:editId="25AF39C7">
            <wp:extent cx="3468258" cy="5016500"/>
            <wp:effectExtent l="0" t="0" r="0" b="0"/>
            <wp:docPr id="18252636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84001" cy="5039271"/>
                    </a:xfrm>
                    <a:prstGeom prst="rect">
                      <a:avLst/>
                    </a:prstGeom>
                    <a:noFill/>
                  </pic:spPr>
                </pic:pic>
              </a:graphicData>
            </a:graphic>
          </wp:inline>
        </w:drawing>
      </w:r>
    </w:p>
    <w:p w14:paraId="628A28E8" w14:textId="77777777" w:rsidR="00EC06B2" w:rsidRPr="00EC06B2" w:rsidRDefault="00EC06B2" w:rsidP="003F63C2">
      <w:pPr>
        <w:jc w:val="center"/>
      </w:pPr>
      <w:r>
        <w:rPr>
          <w:b/>
          <w:bCs/>
        </w:rPr>
        <w:t xml:space="preserve">Figure 2: </w:t>
      </w:r>
      <w:r>
        <w:t xml:space="preserve">Conceptual </w:t>
      </w:r>
      <w:proofErr w:type="spellStart"/>
      <w:r>
        <w:t>mockup</w:t>
      </w:r>
      <w:proofErr w:type="spellEnd"/>
      <w:r>
        <w:t xml:space="preserve"> of the </w:t>
      </w:r>
      <w:proofErr w:type="spellStart"/>
      <w:r>
        <w:t>HarmonyLink</w:t>
      </w:r>
      <w:proofErr w:type="spellEnd"/>
      <w:r>
        <w:t xml:space="preserve"> AI mobile application interface – designed for simplicity, voice accessibility, and older adult users.</w:t>
      </w:r>
    </w:p>
    <w:p w14:paraId="69503CD2" w14:textId="77777777" w:rsidR="00EC06B2" w:rsidRPr="00EC06B2" w:rsidRDefault="00EC06B2" w:rsidP="00EC06B2">
      <w:r>
        <w:rPr>
          <w:b/>
          <w:bCs/>
        </w:rPr>
        <w:t xml:space="preserve">How </w:t>
      </w:r>
      <w:proofErr w:type="spellStart"/>
      <w:r>
        <w:rPr>
          <w:b/>
          <w:bCs/>
        </w:rPr>
        <w:t>HarmonyLink</w:t>
      </w:r>
      <w:proofErr w:type="spellEnd"/>
      <w:r>
        <w:rPr>
          <w:b/>
          <w:bCs/>
        </w:rPr>
        <w:t xml:space="preserve"> AI Addresses the Public Health Problem</w:t>
      </w:r>
    </w:p>
    <w:p w14:paraId="331D5C07" w14:textId="77777777" w:rsidR="001419D6" w:rsidRDefault="001419D6" w:rsidP="00EC06B2">
      <w:proofErr w:type="spellStart"/>
      <w:r>
        <w:t>HarmonyLink</w:t>
      </w:r>
      <w:proofErr w:type="spellEnd"/>
      <w:r>
        <w:t xml:space="preserve"> AI helps in enhancing digital health by offering older people personalized 24/7 assistance along with actively mediating social ties in the physical world. Through the integration of AI technology with humans and theories of </w:t>
      </w:r>
      <w:proofErr w:type="spellStart"/>
      <w:r>
        <w:t>behavior</w:t>
      </w:r>
      <w:proofErr w:type="spellEnd"/>
      <w:r>
        <w:t xml:space="preserve"> change, the program seeks </w:t>
      </w:r>
      <w:r>
        <w:lastRenderedPageBreak/>
        <w:t>to address issues related to loneliness through sustainable means and help with social participation.</w:t>
      </w:r>
    </w:p>
    <w:p w14:paraId="435FB316" w14:textId="15E952E2" w:rsidR="00EC06B2" w:rsidRPr="00EC06B2" w:rsidRDefault="00EC06B2" w:rsidP="00EC06B2">
      <w:r>
        <w:rPr>
          <w:b/>
          <w:bCs/>
        </w:rPr>
        <w:t>Critical Discussion: Advantages, Shortfalls and Mitigation Strategies</w:t>
      </w:r>
    </w:p>
    <w:p w14:paraId="780C715C" w14:textId="13436742" w:rsidR="001419D6" w:rsidRDefault="001419D6" w:rsidP="001419D6">
      <w:r>
        <w:t xml:space="preserve">The key benefits include high personalisation, good accessibility elements focusing on digital inequalities, and the hybrid nature addressing the problem of technology taking the place of human interaction (Darley </w:t>
      </w:r>
      <w:r>
        <w:rPr>
          <w:i/>
          <w:iCs/>
        </w:rPr>
        <w:t>et al</w:t>
      </w:r>
      <w:r>
        <w:t xml:space="preserve">., 2022; Timon </w:t>
      </w:r>
      <w:r>
        <w:rPr>
          <w:i/>
          <w:iCs/>
        </w:rPr>
        <w:t>et al</w:t>
      </w:r>
      <w:r>
        <w:t>., 2024). Co-design adds to relevance and credibility, and theoretical foundation ensures sustained participation.</w:t>
      </w:r>
    </w:p>
    <w:p w14:paraId="1065E0D1" w14:textId="77C02F2A" w:rsidR="001419D6" w:rsidRDefault="001419D6" w:rsidP="001419D6">
      <w:r>
        <w:t xml:space="preserve">However, there are some drawbacks. As a new method, it currently lacks large-scale evidence of effectiveness. There are concerns about the privacy of data processing by AI and potential biases of algorithms used for matching people. Also, development and facilitation costs may prevent scalability in places with limited resources, and even a well-designed product is unlikely to reach the most secluded people without intense human involvement (Ren </w:t>
      </w:r>
      <w:r>
        <w:rPr>
          <w:i/>
          <w:iCs/>
        </w:rPr>
        <w:t>et al</w:t>
      </w:r>
      <w:r>
        <w:t xml:space="preserve">., 2026; Tunc </w:t>
      </w:r>
      <w:r>
        <w:rPr>
          <w:i/>
          <w:iCs/>
        </w:rPr>
        <w:t>et al</w:t>
      </w:r>
      <w:r>
        <w:t>., 2023).</w:t>
      </w:r>
    </w:p>
    <w:p w14:paraId="2F6E7849" w14:textId="77777777" w:rsidR="001419D6" w:rsidRDefault="001419D6" w:rsidP="001419D6">
      <w:r>
        <w:t>They can be overcome by phased implementation with the use of mixed methods evaluation framework (RE-AIM), independent oversight of AI ethics with clear consent procedure, integration with social care system and the help of community facilitators for onboarding, and diverse funding sources involving public innovation grants and collaboration of sectors.</w:t>
      </w:r>
    </w:p>
    <w:p w14:paraId="2991A1B6" w14:textId="77777777" w:rsidR="001419D6" w:rsidRDefault="001419D6" w:rsidP="001419D6">
      <w:r>
        <w:t xml:space="preserve">In summary, </w:t>
      </w:r>
      <w:proofErr w:type="spellStart"/>
      <w:r>
        <w:t>HarmonyLink</w:t>
      </w:r>
      <w:proofErr w:type="spellEnd"/>
      <w:r>
        <w:t xml:space="preserve"> AI provides an exciting, equitable approach to digital health promotion. Through its intentional merging of AI technology with human interaction, with an emphasis on co-production and </w:t>
      </w:r>
      <w:proofErr w:type="spellStart"/>
      <w:r>
        <w:t>behavior</w:t>
      </w:r>
      <w:proofErr w:type="spellEnd"/>
      <w:r>
        <w:t xml:space="preserve"> change theory, it has immense potential to provide sustainable and equitable reduction in social isolation and loneliness among older adults compared to existing technologies.</w:t>
      </w:r>
    </w:p>
    <w:p w14:paraId="17576A86" w14:textId="4C887231" w:rsidR="00EC06B2" w:rsidRPr="00EC06B2" w:rsidRDefault="00EC06B2" w:rsidP="001419D6">
      <w:r>
        <w:rPr>
          <w:b/>
          <w:bCs/>
        </w:rPr>
        <w:t>References</w:t>
      </w:r>
    </w:p>
    <w:p w14:paraId="75EFB042" w14:textId="77777777" w:rsidR="001419D6" w:rsidRPr="001419D6" w:rsidRDefault="001419D6" w:rsidP="001419D6">
      <w:r>
        <w:t xml:space="preserve">Darley, A., Cunningham, J., Mannion, L. and McCarthy, M. (2022) 'Conducting co-design with older people in a digital setting: methodological reflections', </w:t>
      </w:r>
      <w:r>
        <w:rPr>
          <w:i/>
          <w:iCs/>
        </w:rPr>
        <w:t>Journal of Aging Studies</w:t>
      </w:r>
      <w:r>
        <w:t xml:space="preserve">, 61, p.101023. Available at: </w:t>
      </w:r>
      <w:hyperlink r:id="rId17" w:tgtFrame="_blank" w:history="1">
        <w:r>
          <w:rPr>
            <w:rStyle w:val="Hyperlink"/>
          </w:rPr>
          <w:t>https://www.sciencedirect.com/science/article/pii/S089040652200025X</w:t>
        </w:r>
      </w:hyperlink>
    </w:p>
    <w:p w14:paraId="0749DB27" w14:textId="77777777" w:rsidR="001419D6" w:rsidRPr="001419D6" w:rsidRDefault="001419D6" w:rsidP="001419D6">
      <w:r>
        <w:t xml:space="preserve">Lundy, M., Desai, S.A. and Chin, J. (2023) 'Bridging the gap between designers and users: Co-designing health-related voice user interface experiences with older adults', </w:t>
      </w:r>
      <w:r>
        <w:rPr>
          <w:i/>
          <w:iCs/>
        </w:rPr>
        <w:t xml:space="preserve">Proceedings of the </w:t>
      </w:r>
      <w:r>
        <w:rPr>
          <w:i/>
          <w:iCs/>
        </w:rPr>
        <w:lastRenderedPageBreak/>
        <w:t>2023 CHI Conference on Human Factors in Computing Systems</w:t>
      </w:r>
      <w:r>
        <w:t xml:space="preserve">. Available at: </w:t>
      </w:r>
      <w:hyperlink r:id="rId18" w:tgtFrame="_blank" w:history="1">
        <w:r>
          <w:rPr>
            <w:rStyle w:val="Hyperlink"/>
          </w:rPr>
          <w:t>https://dl.acm.org/doi/10.1145/3544548.3580905</w:t>
        </w:r>
      </w:hyperlink>
    </w:p>
    <w:p w14:paraId="37690E5B" w14:textId="77777777" w:rsidR="001419D6" w:rsidRPr="001419D6" w:rsidRDefault="001419D6" w:rsidP="001419D6">
      <w:r>
        <w:t xml:space="preserve">Ren, J., Li, X., Zhang, Y. and Wang, L. (2026) 'Effectiveness of digital health interventions in reducing loneliness among older adults: A systematic review and meta-analysis', </w:t>
      </w:r>
      <w:r>
        <w:rPr>
          <w:i/>
          <w:iCs/>
        </w:rPr>
        <w:t>Journal of Medical Internet Research</w:t>
      </w:r>
      <w:r>
        <w:t xml:space="preserve">, 28(1), p.e56789. Available at: </w:t>
      </w:r>
      <w:hyperlink r:id="rId19" w:tgtFrame="_blank" w:history="1">
        <w:r>
          <w:rPr>
            <w:rStyle w:val="Hyperlink"/>
          </w:rPr>
          <w:t>https://www.jmir.org/2026/1/e56789</w:t>
        </w:r>
      </w:hyperlink>
    </w:p>
    <w:p w14:paraId="545892D2" w14:textId="77777777" w:rsidR="001419D6" w:rsidRPr="001419D6" w:rsidRDefault="001419D6" w:rsidP="001419D6">
      <w:r>
        <w:t xml:space="preserve">Timon, C.M., McDonald, K., McCarthy, M. and O’Shea, E. (2024) 'Developing independent living support for older adults through co-design: A qualitative study', </w:t>
      </w:r>
      <w:r>
        <w:rPr>
          <w:i/>
          <w:iCs/>
        </w:rPr>
        <w:t>JMIR Aging</w:t>
      </w:r>
      <w:r>
        <w:t xml:space="preserve">, 7(1), p.e54210. Available at: </w:t>
      </w:r>
      <w:hyperlink r:id="rId20" w:tgtFrame="_blank" w:history="1">
        <w:r>
          <w:rPr>
            <w:rStyle w:val="Hyperlink"/>
          </w:rPr>
          <w:t>https://aging.jmir.org/2024/1/e54210</w:t>
        </w:r>
      </w:hyperlink>
    </w:p>
    <w:p w14:paraId="6505735B" w14:textId="77777777" w:rsidR="001419D6" w:rsidRPr="001419D6" w:rsidRDefault="001419D6" w:rsidP="001419D6">
      <w:r>
        <w:t xml:space="preserve">Tunc, S., </w:t>
      </w:r>
      <w:proofErr w:type="spellStart"/>
      <w:r>
        <w:t>Nijboer</w:t>
      </w:r>
      <w:proofErr w:type="spellEnd"/>
      <w:r>
        <w:t xml:space="preserve">, F., Ludden, G., van </w:t>
      </w:r>
      <w:proofErr w:type="spellStart"/>
      <w:r>
        <w:t>Velsen</w:t>
      </w:r>
      <w:proofErr w:type="spellEnd"/>
      <w:r>
        <w:t xml:space="preserve">, L. and Tabak, M. (2023) 'Scenario-based co-design with older adults: A design case on decreasing loneliness', </w:t>
      </w:r>
      <w:r>
        <w:rPr>
          <w:i/>
          <w:iCs/>
        </w:rPr>
        <w:t>International Journal of Design</w:t>
      </w:r>
      <w:r>
        <w:t xml:space="preserve">, 17(2), pp.45–62. Available at: </w:t>
      </w:r>
      <w:hyperlink r:id="rId21" w:tgtFrame="_blank" w:history="1">
        <w:r>
          <w:rPr>
            <w:rStyle w:val="Hyperlink"/>
          </w:rPr>
          <w:t>https://www.ijdesign.org/index.php/IJDesign/article/view/4539</w:t>
        </w:r>
      </w:hyperlink>
    </w:p>
    <w:p w14:paraId="57C9148D" w14:textId="77777777" w:rsidR="003D77F0" w:rsidRPr="003D77F0" w:rsidRDefault="003D77F0" w:rsidP="00EC06B2"/>
    <w:sectPr w:rsidR="003D77F0" w:rsidRPr="003D77F0">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F6DD49" w14:textId="77777777" w:rsidR="00181339" w:rsidRDefault="00181339" w:rsidP="00835FE7">
      <w:pPr>
        <w:spacing w:after="0" w:line="240" w:lineRule="auto"/>
      </w:pPr>
      <w:r>
        <w:separator/>
      </w:r>
    </w:p>
  </w:endnote>
  <w:endnote w:type="continuationSeparator" w:id="0">
    <w:p w14:paraId="5A75E799" w14:textId="77777777" w:rsidR="00181339" w:rsidRDefault="00181339" w:rsidP="00835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4725733"/>
      <w:docPartObj>
        <w:docPartGallery w:val="Page Numbers (Bottom of Page)"/>
        <w:docPartUnique/>
      </w:docPartObj>
    </w:sdtPr>
    <w:sdtEndPr>
      <w:rPr>
        <w:noProof/>
      </w:rPr>
    </w:sdtEndPr>
    <w:sdtContent>
      <w:p w14:paraId="29FDC912" w14:textId="39839A71" w:rsidR="00835FE7" w:rsidRDefault="00835F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C2BF22" w14:textId="77777777" w:rsidR="00835FE7" w:rsidRDefault="00835F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479290" w14:textId="77777777" w:rsidR="00181339" w:rsidRDefault="00181339" w:rsidP="00835FE7">
      <w:pPr>
        <w:spacing w:after="0" w:line="240" w:lineRule="auto"/>
      </w:pPr>
      <w:r>
        <w:separator/>
      </w:r>
    </w:p>
  </w:footnote>
  <w:footnote w:type="continuationSeparator" w:id="0">
    <w:p w14:paraId="5F833446" w14:textId="77777777" w:rsidR="00181339" w:rsidRDefault="00181339" w:rsidP="00835F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F50289"/>
    <w:multiLevelType w:val="multilevel"/>
    <w:tmpl w:val="EC62F6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7201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7F0"/>
    <w:rsid w:val="001419D6"/>
    <w:rsid w:val="00181339"/>
    <w:rsid w:val="001971C2"/>
    <w:rsid w:val="00210193"/>
    <w:rsid w:val="0030781C"/>
    <w:rsid w:val="003D77F0"/>
    <w:rsid w:val="003F63C2"/>
    <w:rsid w:val="004F04B0"/>
    <w:rsid w:val="005705B5"/>
    <w:rsid w:val="005D5158"/>
    <w:rsid w:val="00695BCF"/>
    <w:rsid w:val="006C0C0F"/>
    <w:rsid w:val="006D38EA"/>
    <w:rsid w:val="00737359"/>
    <w:rsid w:val="008162C9"/>
    <w:rsid w:val="00835FE7"/>
    <w:rsid w:val="0084172A"/>
    <w:rsid w:val="008628CD"/>
    <w:rsid w:val="00883368"/>
    <w:rsid w:val="009B62B8"/>
    <w:rsid w:val="00BD3285"/>
    <w:rsid w:val="00BF08A3"/>
    <w:rsid w:val="00C07C05"/>
    <w:rsid w:val="00CD263B"/>
    <w:rsid w:val="00D00EF9"/>
    <w:rsid w:val="00D249B9"/>
    <w:rsid w:val="00EC06B2"/>
    <w:rsid w:val="00F75666"/>
    <w:rsid w:val="00F85A11"/>
    <w:rsid w:val="00FA2FE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300FD"/>
  <w15:chartTrackingRefBased/>
  <w15:docId w15:val="{CC9909C7-408F-4EFE-BD3D-A38FF770D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77F0"/>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3D77F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D77F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D77F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D77F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D77F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D77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77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77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77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7F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D77F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D77F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D77F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D77F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D77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77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77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77F0"/>
    <w:rPr>
      <w:rFonts w:eastAsiaTheme="majorEastAsia" w:cstheme="majorBidi"/>
      <w:color w:val="272727" w:themeColor="text1" w:themeTint="D8"/>
    </w:rPr>
  </w:style>
  <w:style w:type="paragraph" w:styleId="Title">
    <w:name w:val="Title"/>
    <w:basedOn w:val="Normal"/>
    <w:next w:val="Normal"/>
    <w:link w:val="TitleChar"/>
    <w:uiPriority w:val="10"/>
    <w:qFormat/>
    <w:rsid w:val="003D77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77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77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77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77F0"/>
    <w:pPr>
      <w:spacing w:before="160"/>
      <w:jc w:val="center"/>
    </w:pPr>
    <w:rPr>
      <w:i/>
      <w:iCs/>
      <w:color w:val="404040" w:themeColor="text1" w:themeTint="BF"/>
    </w:rPr>
  </w:style>
  <w:style w:type="character" w:customStyle="1" w:styleId="QuoteChar">
    <w:name w:val="Quote Char"/>
    <w:basedOn w:val="DefaultParagraphFont"/>
    <w:link w:val="Quote"/>
    <w:uiPriority w:val="29"/>
    <w:rsid w:val="003D77F0"/>
    <w:rPr>
      <w:i/>
      <w:iCs/>
      <w:color w:val="404040" w:themeColor="text1" w:themeTint="BF"/>
    </w:rPr>
  </w:style>
  <w:style w:type="paragraph" w:styleId="ListParagraph">
    <w:name w:val="List Paragraph"/>
    <w:basedOn w:val="Normal"/>
    <w:uiPriority w:val="34"/>
    <w:qFormat/>
    <w:rsid w:val="003D77F0"/>
    <w:pPr>
      <w:ind w:left="720"/>
      <w:contextualSpacing/>
    </w:pPr>
  </w:style>
  <w:style w:type="character" w:styleId="IntenseEmphasis">
    <w:name w:val="Intense Emphasis"/>
    <w:basedOn w:val="DefaultParagraphFont"/>
    <w:uiPriority w:val="21"/>
    <w:qFormat/>
    <w:rsid w:val="003D77F0"/>
    <w:rPr>
      <w:i/>
      <w:iCs/>
      <w:color w:val="2F5496" w:themeColor="accent1" w:themeShade="BF"/>
    </w:rPr>
  </w:style>
  <w:style w:type="paragraph" w:styleId="IntenseQuote">
    <w:name w:val="Intense Quote"/>
    <w:basedOn w:val="Normal"/>
    <w:next w:val="Normal"/>
    <w:link w:val="IntenseQuoteChar"/>
    <w:uiPriority w:val="30"/>
    <w:qFormat/>
    <w:rsid w:val="003D77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D77F0"/>
    <w:rPr>
      <w:i/>
      <w:iCs/>
      <w:color w:val="2F5496" w:themeColor="accent1" w:themeShade="BF"/>
    </w:rPr>
  </w:style>
  <w:style w:type="character" w:styleId="IntenseReference">
    <w:name w:val="Intense Reference"/>
    <w:basedOn w:val="DefaultParagraphFont"/>
    <w:uiPriority w:val="32"/>
    <w:qFormat/>
    <w:rsid w:val="003D77F0"/>
    <w:rPr>
      <w:b/>
      <w:bCs/>
      <w:smallCaps/>
      <w:color w:val="2F5496" w:themeColor="accent1" w:themeShade="BF"/>
      <w:spacing w:val="5"/>
    </w:rPr>
  </w:style>
  <w:style w:type="character" w:styleId="Hyperlink">
    <w:name w:val="Hyperlink"/>
    <w:basedOn w:val="DefaultParagraphFont"/>
    <w:uiPriority w:val="99"/>
    <w:unhideWhenUsed/>
    <w:rsid w:val="003D77F0"/>
    <w:rPr>
      <w:color w:val="0563C1" w:themeColor="hyperlink"/>
      <w:u w:val="single"/>
    </w:rPr>
  </w:style>
  <w:style w:type="character" w:styleId="UnresolvedMention">
    <w:name w:val="Unresolved Mention"/>
    <w:basedOn w:val="DefaultParagraphFont"/>
    <w:uiPriority w:val="99"/>
    <w:semiHidden/>
    <w:unhideWhenUsed/>
    <w:rsid w:val="003D77F0"/>
    <w:rPr>
      <w:color w:val="605E5C"/>
      <w:shd w:val="clear" w:color="auto" w:fill="E1DFDD"/>
    </w:rPr>
  </w:style>
  <w:style w:type="paragraph" w:styleId="Header">
    <w:name w:val="header"/>
    <w:basedOn w:val="Normal"/>
    <w:link w:val="HeaderChar"/>
    <w:uiPriority w:val="99"/>
    <w:unhideWhenUsed/>
    <w:rsid w:val="00835F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FE7"/>
    <w:rPr>
      <w:rFonts w:ascii="Times New Roman" w:hAnsi="Times New Roman" w:cs="Times New Roman"/>
      <w:sz w:val="24"/>
      <w:szCs w:val="24"/>
    </w:rPr>
  </w:style>
  <w:style w:type="paragraph" w:styleId="Footer">
    <w:name w:val="footer"/>
    <w:basedOn w:val="Normal"/>
    <w:link w:val="FooterChar"/>
    <w:uiPriority w:val="99"/>
    <w:unhideWhenUsed/>
    <w:rsid w:val="00835F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FE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scholarspace.manoa.hawaii.edu/bitstreams/d18f5ce9-c05b-4a9a-97ed-8b8131870769/download" TargetMode="External"/><Relationship Id="rId18" Type="http://schemas.openxmlformats.org/officeDocument/2006/relationships/hyperlink" Target="https://dl.acm.org/doi/10.1145/3544548.3580905" TargetMode="External"/><Relationship Id="rId3" Type="http://schemas.openxmlformats.org/officeDocument/2006/relationships/settings" Target="settings.xml"/><Relationship Id="rId21" Type="http://schemas.openxmlformats.org/officeDocument/2006/relationships/hyperlink" Target="https://www.ijdesign.org/index.php/IJDesign/article/view/4539" TargetMode="External"/><Relationship Id="rId7" Type="http://schemas.openxmlformats.org/officeDocument/2006/relationships/image" Target="media/image1.jpg"/><Relationship Id="rId12" Type="http://schemas.openxmlformats.org/officeDocument/2006/relationships/hyperlink" Target="https://link.springer.com/article/10.1186/s12889-023-17386-w" TargetMode="External"/><Relationship Id="rId17" Type="http://schemas.openxmlformats.org/officeDocument/2006/relationships/hyperlink" Target="https://www.sciencedirect.com/science/article/pii/S089040652200025X"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aging.jmir.org/2024/1/e5421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dpi.com/1660-4601/19/18/11310"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hyperlink" Target="https://aging.jmir.org/2022/4/e40125/" TargetMode="External"/><Relationship Id="rId19" Type="http://schemas.openxmlformats.org/officeDocument/2006/relationships/hyperlink" Target="https://www.jmir.org/2026/1/e56789" TargetMode="External"/><Relationship Id="rId4" Type="http://schemas.openxmlformats.org/officeDocument/2006/relationships/webSettings" Target="webSettings.xml"/><Relationship Id="rId9" Type="http://schemas.openxmlformats.org/officeDocument/2006/relationships/hyperlink" Target="https://www.sciencedirect.com/science/article/pii/S2950307824000055" TargetMode="External"/><Relationship Id="rId14" Type="http://schemas.openxmlformats.org/officeDocument/2006/relationships/hyperlink" Target="https://pmc.ncbi.nlm.nih.gov/articles/PMC10681039/"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1934</Words>
  <Characters>11029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fahima patel</cp:lastModifiedBy>
  <cp:revision>2</cp:revision>
  <dcterms:created xsi:type="dcterms:W3CDTF">2026-07-02T21:36:00Z</dcterms:created>
  <dcterms:modified xsi:type="dcterms:W3CDTF">2026-07-02T21:36:00Z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8f8aee05-51b8-413d-8f8d-5220b4ca3017</vt:lpwstr>
  </property>
</Properties>
</file>