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F0477" w14:textId="465EA2BF" w:rsidR="00D6072E" w:rsidRDefault="00D6072E" w:rsidP="00FA7EBB">
      <w:pPr>
        <w:pStyle w:val="Heading1"/>
      </w:pPr>
      <w:r>
        <w:rPr>
          <w:rStyle w:val="Strong"/>
          <w:b w:val="0"/>
          <w:bCs w:val="0"/>
        </w:rPr>
        <w:t xml:space="preserve">                              </w:t>
      </w:r>
      <w:r w:rsidR="0069392A" w:rsidRPr="0069392A">
        <w:rPr>
          <w:rStyle w:val="Strong"/>
          <w:b w:val="0"/>
          <w:bCs w:val="0"/>
        </w:rPr>
        <w:t xml:space="preserve"> Gibbs reflection assay</w:t>
      </w:r>
    </w:p>
    <w:p w14:paraId="095F7519" w14:textId="77777777" w:rsidR="00D6072E" w:rsidRPr="00D6072E" w:rsidRDefault="00D6072E" w:rsidP="00D6072E"/>
    <w:p w14:paraId="71B127EF" w14:textId="77777777" w:rsidR="0069392A" w:rsidRPr="0069392A" w:rsidRDefault="0069392A" w:rsidP="00D6072E">
      <w:pPr>
        <w:jc w:val="both"/>
      </w:pPr>
    </w:p>
    <w:p w14:paraId="458CB4E9" w14:textId="79CB6E2C" w:rsidR="0069392A" w:rsidRPr="00FA7EBB" w:rsidRDefault="0069392A" w:rsidP="0049589B">
      <w:pPr>
        <w:pStyle w:val="Title"/>
        <w:rPr>
          <w:rStyle w:val="Strong"/>
          <w:sz w:val="28"/>
          <w:szCs w:val="28"/>
        </w:rPr>
      </w:pPr>
      <w:r w:rsidRPr="00FA7EBB">
        <w:rPr>
          <w:rStyle w:val="Strong"/>
          <w:sz w:val="28"/>
          <w:szCs w:val="28"/>
        </w:rPr>
        <w:t xml:space="preserve">Reflective Essay Using Gibbs’ Reflective Cycle: Integrating Empowerment Theory and Personal Development </w:t>
      </w:r>
    </w:p>
    <w:p w14:paraId="7096C5E9" w14:textId="77777777" w:rsidR="00FA7EBB" w:rsidRPr="00FA7EBB" w:rsidRDefault="00FA7EBB" w:rsidP="00FA7EBB"/>
    <w:p w14:paraId="42053080" w14:textId="77777777" w:rsidR="0069392A" w:rsidRDefault="0069392A" w:rsidP="00D6072E">
      <w:pPr>
        <w:pStyle w:val="Heading3"/>
        <w:jc w:val="both"/>
        <w:rPr>
          <w:rFonts w:eastAsia="Times New Roman"/>
        </w:rPr>
      </w:pPr>
      <w:r>
        <w:rPr>
          <w:rStyle w:val="Strong"/>
          <w:rFonts w:eastAsia="Times New Roman"/>
          <w:color w:val="000000"/>
          <w:sz w:val="24"/>
          <w:szCs w:val="24"/>
        </w:rPr>
        <w:t>Introduction</w:t>
      </w:r>
      <w:r>
        <w:rPr>
          <w:rStyle w:val="Strong"/>
          <w:rFonts w:eastAsia="Times New Roman"/>
        </w:rPr>
        <w:t xml:space="preserve"> </w:t>
      </w:r>
    </w:p>
    <w:p w14:paraId="5C2280E1" w14:textId="75DDAF43" w:rsidR="0069392A" w:rsidRDefault="0069392A" w:rsidP="00D6072E">
      <w:pPr>
        <w:jc w:val="both"/>
        <w:rPr>
          <w:rFonts w:eastAsiaTheme="minorEastAsia"/>
        </w:rPr>
      </w:pPr>
      <w:r>
        <w:rPr>
          <w:b/>
          <w:bCs/>
          <w:color w:val="000000"/>
        </w:rPr>
        <w:t>Reflective practice is a deliberate and purposeful process, enabling individuals to critically examine their experiences to foster learning and future growth. Moon (2013) describes reflection as an intentional exploration of actions and thoughts, leading to deeper understanding and personal development. In academic settings, this process is invaluable for enhancing self</w:t>
      </w:r>
      <w:r>
        <w:rPr>
          <w:b/>
          <w:bCs/>
          <w:color w:val="000000"/>
        </w:rPr>
        <w:noBreakHyphen/>
        <w:t>awareness, critical thinking, and professional advancement. The act of reflection is active, challenging assumptions and beliefs to support nuanced learning.</w:t>
      </w:r>
      <w:r w:rsidR="0049589B">
        <w:rPr>
          <w:b/>
          <w:bCs/>
          <w:color w:val="000000"/>
        </w:rPr>
        <w:t xml:space="preserve"> </w:t>
      </w:r>
      <w:r>
        <w:rPr>
          <w:b/>
          <w:bCs/>
          <w:color w:val="000000"/>
        </w:rPr>
        <w:t>Through reflection, students and professionals can identify behavioural patterns, recognise strengths and weaknesses, and set meaningful goals for ongoing improvement. Lifelong learning is underpinned by reflective practice, which encourages adaptability and resilience in the face of change (Jasper, 2013).</w:t>
      </w:r>
      <w:r>
        <w:rPr>
          <w:b/>
          <w:bCs/>
        </w:rPr>
        <w:t xml:space="preserve"> </w:t>
      </w:r>
    </w:p>
    <w:p w14:paraId="32B72489" w14:textId="77777777" w:rsidR="0069392A" w:rsidRDefault="0069392A" w:rsidP="00D6072E">
      <w:pPr>
        <w:jc w:val="both"/>
      </w:pPr>
      <w:r>
        <w:rPr>
          <w:b/>
          <w:bCs/>
          <w:color w:val="000000"/>
        </w:rPr>
        <w:t xml:space="preserve">This essay utilises </w:t>
      </w:r>
      <w:r>
        <w:rPr>
          <w:rStyle w:val="Strong"/>
          <w:color w:val="000000"/>
        </w:rPr>
        <w:t xml:space="preserve">Gibbs’ Reflective Cycle </w:t>
      </w:r>
      <w:r>
        <w:rPr>
          <w:b/>
          <w:bCs/>
          <w:color w:val="000000"/>
        </w:rPr>
        <w:t>as a structured framework to examine my transition into higher education in 2025. Gibbs’ model consists of description, feelings, evaluation, analysis, conclusion, and action plan (Gibbs, 1988; Gibbs, 2013), providing a systematic approach to reflection that moves beyond mere recounting towards meaningful learning. To deepen this reflective process, empowerment theory is integrated, explicitly connecting actions—such as seeking advice and attending workshops—to increased self</w:t>
      </w:r>
      <w:r>
        <w:rPr>
          <w:b/>
          <w:bCs/>
          <w:color w:val="000000"/>
        </w:rPr>
        <w:noBreakHyphen/>
        <w:t xml:space="preserve">efficacy and overcoming barriers. Each stage is developed to demonstrate the interplay between theory and practice, and key takeaways are summarised to reinforce learning points for students, educators, and assessors. </w:t>
      </w:r>
    </w:p>
    <w:p w14:paraId="37016BB8" w14:textId="77777777" w:rsidR="0069392A" w:rsidRDefault="0069392A" w:rsidP="00D6072E">
      <w:pPr>
        <w:pStyle w:val="Heading3"/>
        <w:jc w:val="both"/>
        <w:rPr>
          <w:rFonts w:eastAsia="Times New Roman"/>
        </w:rPr>
      </w:pPr>
      <w:r>
        <w:rPr>
          <w:rStyle w:val="Strong"/>
          <w:rFonts w:eastAsia="Times New Roman"/>
          <w:color w:val="000000"/>
          <w:sz w:val="24"/>
          <w:szCs w:val="24"/>
        </w:rPr>
        <w:t>Description</w:t>
      </w:r>
      <w:r>
        <w:rPr>
          <w:rStyle w:val="Strong"/>
          <w:rFonts w:eastAsia="Times New Roman"/>
        </w:rPr>
        <w:t xml:space="preserve"> </w:t>
      </w:r>
    </w:p>
    <w:p w14:paraId="397C04F5" w14:textId="77777777" w:rsidR="00331819" w:rsidRDefault="00331819" w:rsidP="00D6072E">
      <w:pPr>
        <w:jc w:val="both"/>
        <w:rPr>
          <w:kern w:val="0"/>
          <w14:ligatures w14:val="none"/>
        </w:rPr>
      </w:pPr>
      <w:r>
        <w:rPr>
          <w:b/>
          <w:bCs/>
          <w:color w:val="000000"/>
        </w:rPr>
        <w:t xml:space="preserve">In the description stage of Gibbs’ cycle, I’m meant to focus on what happened, without adding my opinions (Gibbs, 1988). My journey into higher education started in 2025 because I wanted a change in my career and to grow personally. I spent a lot of time looking into universities nearby, checking out their courses, what grades I needed, and what support they offered, to find the best fit for me. I went to online open days, read through prospectuses, and spoke to career advisors. I made a </w:t>
      </w:r>
      <w:r>
        <w:rPr>
          <w:b/>
          <w:bCs/>
          <w:color w:val="000000"/>
        </w:rPr>
        <w:lastRenderedPageBreak/>
        <w:t>shortlist, ranking the universities based on things like their reputation, how happy the students were, and how flexible their courses seemed.</w:t>
      </w:r>
      <w:r>
        <w:rPr>
          <w:b/>
          <w:bCs/>
        </w:rPr>
        <w:t xml:space="preserve"> </w:t>
      </w:r>
    </w:p>
    <w:p w14:paraId="65D6FA93" w14:textId="77777777" w:rsidR="00331819" w:rsidRDefault="00331819" w:rsidP="00D6072E">
      <w:pPr>
        <w:jc w:val="both"/>
      </w:pPr>
      <w:r>
        <w:rPr>
          <w:b/>
          <w:bCs/>
          <w:color w:val="000000"/>
        </w:rPr>
        <w:t xml:space="preserve">I knew that being financially secure was </w:t>
      </w:r>
      <w:proofErr w:type="gramStart"/>
      <w:r>
        <w:rPr>
          <w:b/>
          <w:bCs/>
          <w:color w:val="000000"/>
        </w:rPr>
        <w:t>really important</w:t>
      </w:r>
      <w:proofErr w:type="gramEnd"/>
      <w:r>
        <w:rPr>
          <w:b/>
          <w:bCs/>
          <w:color w:val="000000"/>
        </w:rPr>
        <w:t xml:space="preserve">, so I contacted the local council to ask about grants and loans. I also got in touch with the university admissions teams to make sure I understood what I needed for my application. One of the best things I did was speak to Serena, who was already studying at university. She gave me </w:t>
      </w:r>
      <w:proofErr w:type="gramStart"/>
      <w:r>
        <w:rPr>
          <w:b/>
          <w:bCs/>
          <w:color w:val="000000"/>
        </w:rPr>
        <w:t>really helpful</w:t>
      </w:r>
      <w:proofErr w:type="gramEnd"/>
      <w:r>
        <w:rPr>
          <w:b/>
          <w:bCs/>
          <w:color w:val="000000"/>
        </w:rPr>
        <w:t xml:space="preserve"> advice about what to expect and what student life was like. This proactive approach fits with empowerment theory, which says taking charge and seeking support builds confidence (Rappaport &amp; Seidman, 2000). I also joined workshops on academic writing and time management to pick up useful skills, which made me feel more ready and less nervous about starting. My careful planning, and support from my family and friends, helped me feel prepared and confident as I took this big step.</w:t>
      </w:r>
      <w:r>
        <w:rPr>
          <w:b/>
          <w:bCs/>
        </w:rPr>
        <w:t xml:space="preserve"> </w:t>
      </w:r>
    </w:p>
    <w:p w14:paraId="0357D5DD" w14:textId="77777777" w:rsidR="00331819" w:rsidRDefault="00331819" w:rsidP="00D6072E">
      <w:pPr>
        <w:numPr>
          <w:ilvl w:val="0"/>
          <w:numId w:val="28"/>
        </w:numPr>
        <w:spacing w:line="276" w:lineRule="auto"/>
        <w:jc w:val="both"/>
        <w:rPr>
          <w:rFonts w:eastAsia="Times New Roman"/>
        </w:rPr>
      </w:pPr>
      <w:r>
        <w:rPr>
          <w:rFonts w:eastAsia="Times New Roman"/>
          <w:b/>
          <w:bCs/>
          <w:color w:val="000000"/>
        </w:rPr>
        <w:t>Summary:</w:t>
      </w:r>
      <w:r>
        <w:rPr>
          <w:rFonts w:eastAsia="Times New Roman"/>
          <w:b/>
          <w:bCs/>
        </w:rPr>
        <w:t xml:space="preserve"> </w:t>
      </w:r>
      <w:r>
        <w:rPr>
          <w:rFonts w:eastAsia="Times New Roman"/>
        </w:rPr>
        <w:t>I took charge by doing my research, asking for advice, and learning new skills. This gave me more confidence and helped me overcome the challenges of starting university.</w:t>
      </w:r>
    </w:p>
    <w:p w14:paraId="55680A59" w14:textId="77777777" w:rsidR="0069392A" w:rsidRDefault="0069392A" w:rsidP="00D6072E">
      <w:pPr>
        <w:pStyle w:val="Heading3"/>
        <w:jc w:val="both"/>
        <w:rPr>
          <w:rFonts w:eastAsia="Times New Roman"/>
        </w:rPr>
      </w:pPr>
      <w:r>
        <w:rPr>
          <w:rStyle w:val="Strong"/>
          <w:rFonts w:eastAsia="Times New Roman"/>
          <w:color w:val="000000"/>
          <w:sz w:val="24"/>
          <w:szCs w:val="24"/>
        </w:rPr>
        <w:t>Feelings</w:t>
      </w:r>
      <w:r>
        <w:rPr>
          <w:rStyle w:val="Strong"/>
          <w:rFonts w:eastAsia="Times New Roman"/>
        </w:rPr>
        <w:t xml:space="preserve"> </w:t>
      </w:r>
    </w:p>
    <w:p w14:paraId="28475A2E" w14:textId="77777777" w:rsidR="00AB38C3" w:rsidRDefault="00AB38C3" w:rsidP="00D6072E">
      <w:pPr>
        <w:jc w:val="both"/>
        <w:rPr>
          <w:kern w:val="0"/>
          <w14:ligatures w14:val="none"/>
        </w:rPr>
      </w:pPr>
      <w:r>
        <w:rPr>
          <w:b/>
          <w:bCs/>
          <w:color w:val="000000"/>
        </w:rPr>
        <w:t>Gibbs’ model says it’s important to notice how you feel because your emotions affect what you do (Gibbs, 1988). Going through the admissions process, my feelings were all over the place. Sometimes I was excited about starting something new, but other times I felt nervous and unsure of myself. Since I hadn’t been in school for a while, I worried about whether I could keep up and fit in. Getting ready for applications and interviews felt stressful, and I often asked myself if I could really pull it off.</w:t>
      </w:r>
      <w:r>
        <w:rPr>
          <w:b/>
          <w:bCs/>
        </w:rPr>
        <w:t xml:space="preserve"> </w:t>
      </w:r>
    </w:p>
    <w:p w14:paraId="545B6097" w14:textId="77777777" w:rsidR="00AB38C3" w:rsidRDefault="00AB38C3" w:rsidP="00D6072E">
      <w:pPr>
        <w:jc w:val="both"/>
      </w:pPr>
      <w:r>
        <w:rPr>
          <w:b/>
          <w:bCs/>
          <w:color w:val="000000"/>
        </w:rPr>
        <w:t xml:space="preserve">Even with these worries, I kept pushing myself. I was </w:t>
      </w:r>
      <w:proofErr w:type="gramStart"/>
      <w:r>
        <w:rPr>
          <w:b/>
          <w:bCs/>
          <w:color w:val="000000"/>
        </w:rPr>
        <w:t>really nervous</w:t>
      </w:r>
      <w:proofErr w:type="gramEnd"/>
      <w:r>
        <w:rPr>
          <w:b/>
          <w:bCs/>
          <w:color w:val="000000"/>
        </w:rPr>
        <w:t xml:space="preserve"> before the interviews, but the more I prepared, the more determined I became. When I finally got accepted into university, I felt a huge sense of relief and started to believe in myself again. Empowerment theory suggests that having people to support you makes it easier to bounce back (Rappaport &amp; Seidman, 2000). Serena’s advice and my family’s encouragement helped calm my nerves and reminded me I could do this. Looking back, I realise that everyone feels vulnerable and doubtful at </w:t>
      </w:r>
      <w:proofErr w:type="gramStart"/>
      <w:r>
        <w:rPr>
          <w:b/>
          <w:bCs/>
          <w:color w:val="000000"/>
        </w:rPr>
        <w:t>times, but</w:t>
      </w:r>
      <w:proofErr w:type="gramEnd"/>
      <w:r>
        <w:rPr>
          <w:b/>
          <w:bCs/>
          <w:color w:val="000000"/>
        </w:rPr>
        <w:t xml:space="preserve"> having a plan and people behind you makes it easier to face challenges.</w:t>
      </w:r>
      <w:r>
        <w:rPr>
          <w:b/>
          <w:bCs/>
        </w:rPr>
        <w:t xml:space="preserve"> </w:t>
      </w:r>
    </w:p>
    <w:p w14:paraId="50955E71" w14:textId="77777777" w:rsidR="00AB38C3" w:rsidRDefault="00AB38C3" w:rsidP="00D6072E">
      <w:pPr>
        <w:numPr>
          <w:ilvl w:val="0"/>
          <w:numId w:val="31"/>
        </w:numPr>
        <w:spacing w:line="276" w:lineRule="auto"/>
        <w:jc w:val="both"/>
        <w:rPr>
          <w:rFonts w:eastAsia="Times New Roman"/>
        </w:rPr>
      </w:pPr>
      <w:r>
        <w:rPr>
          <w:rFonts w:eastAsia="Times New Roman"/>
          <w:b/>
          <w:bCs/>
          <w:color w:val="000000"/>
        </w:rPr>
        <w:t>Summary:</w:t>
      </w:r>
      <w:r>
        <w:rPr>
          <w:rFonts w:eastAsia="Times New Roman"/>
          <w:b/>
          <w:bCs/>
        </w:rPr>
        <w:t xml:space="preserve"> </w:t>
      </w:r>
      <w:r>
        <w:rPr>
          <w:rFonts w:eastAsia="Times New Roman"/>
        </w:rPr>
        <w:t>I managed my emotions by reaching out for help and leaning on my support network. This made me feel stronger and more able to handle what came my way.</w:t>
      </w:r>
    </w:p>
    <w:p w14:paraId="7886DE38" w14:textId="77777777" w:rsidR="0069392A" w:rsidRDefault="0069392A" w:rsidP="00D6072E">
      <w:pPr>
        <w:pStyle w:val="Heading3"/>
        <w:jc w:val="both"/>
        <w:rPr>
          <w:rFonts w:eastAsia="Times New Roman"/>
        </w:rPr>
      </w:pPr>
      <w:r>
        <w:rPr>
          <w:rStyle w:val="Strong"/>
          <w:rFonts w:eastAsia="Times New Roman"/>
          <w:color w:val="000000"/>
          <w:sz w:val="24"/>
          <w:szCs w:val="24"/>
        </w:rPr>
        <w:t>Evaluation</w:t>
      </w:r>
      <w:r>
        <w:rPr>
          <w:rStyle w:val="Strong"/>
          <w:rFonts w:eastAsia="Times New Roman"/>
        </w:rPr>
        <w:t xml:space="preserve"> </w:t>
      </w:r>
    </w:p>
    <w:p w14:paraId="6907F317" w14:textId="77777777" w:rsidR="0069392A" w:rsidRDefault="0069392A" w:rsidP="00D6072E">
      <w:pPr>
        <w:jc w:val="both"/>
        <w:rPr>
          <w:rFonts w:eastAsiaTheme="minorEastAsia"/>
        </w:rPr>
      </w:pPr>
      <w:r>
        <w:rPr>
          <w:b/>
          <w:bCs/>
          <w:color w:val="000000"/>
        </w:rPr>
        <w:t xml:space="preserve">Gibbs’ evaluation stage requires balanced consideration of positives and negatives (Gibbs, 1988). Engagement in academic activities fostered confidence, with </w:t>
      </w:r>
      <w:r>
        <w:rPr>
          <w:b/>
          <w:bCs/>
          <w:color w:val="000000"/>
        </w:rPr>
        <w:lastRenderedPageBreak/>
        <w:t>participation in discussions and debates strengthening communication skills and openness to diverse perspectives. Peer and staff support created a sense of belonging and academic reassurance. The university environment was inclusive and stimulating, and sharing opinions in seminars broadened my understanding. However, challenges arose—particularly struggling with reading assignments and managing deadlines. These difficulties initially led to frustration and self</w:t>
      </w:r>
      <w:r>
        <w:rPr>
          <w:b/>
          <w:bCs/>
          <w:color w:val="000000"/>
        </w:rPr>
        <w:noBreakHyphen/>
        <w:t>doubt.</w:t>
      </w:r>
      <w:r>
        <w:rPr>
          <w:b/>
          <w:bCs/>
        </w:rPr>
        <w:t xml:space="preserve"> </w:t>
      </w:r>
    </w:p>
    <w:p w14:paraId="7105B728" w14:textId="77777777" w:rsidR="0069392A" w:rsidRDefault="0069392A" w:rsidP="00D6072E">
      <w:pPr>
        <w:jc w:val="both"/>
      </w:pPr>
      <w:r>
        <w:rPr>
          <w:b/>
          <w:bCs/>
          <w:color w:val="000000"/>
        </w:rPr>
        <w:t>To address these challenges, I adopted targeted strategies: I developed a weekly study schedule, breaking reading tasks into manageable segments and prioritising essential materials. I sought academic support through workshops and joined study groups, which provided collective encouragement and practical tips for tackling complex material. Attending time management sessions enabled me to allocate sufficient time for assignments, while feedback from tutors helped refine my approach. Reflecting on these actions, I recognised that empowerment theory was enacted—each strategy increased my self-efficacy, transforming obstacles into opportunities for growth. Overcoming isolation by engaging with peers and seeking help when needed reinforced adaptability and resilience, qualities vital for academic and professional success.</w:t>
      </w:r>
      <w:r>
        <w:rPr>
          <w:b/>
          <w:bCs/>
        </w:rPr>
        <w:t xml:space="preserve"> </w:t>
      </w:r>
    </w:p>
    <w:p w14:paraId="035078C3" w14:textId="77777777" w:rsidR="0069392A" w:rsidRDefault="0069392A" w:rsidP="00D6072E">
      <w:pPr>
        <w:numPr>
          <w:ilvl w:val="0"/>
          <w:numId w:val="22"/>
        </w:numPr>
        <w:spacing w:line="276" w:lineRule="auto"/>
        <w:jc w:val="both"/>
        <w:rPr>
          <w:rFonts w:eastAsia="Times New Roman"/>
        </w:rPr>
      </w:pPr>
      <w:r>
        <w:rPr>
          <w:rFonts w:eastAsia="Times New Roman"/>
          <w:b/>
          <w:bCs/>
          <w:color w:val="000000"/>
        </w:rPr>
        <w:t>Summary:</w:t>
      </w:r>
      <w:r>
        <w:rPr>
          <w:rFonts w:eastAsia="Times New Roman"/>
        </w:rPr>
        <w:t xml:space="preserve"> Specific strategies—study scheduling, collaborative learning, and academic support—helped overcome challenges, demonstrating empowerment through increased self-efficacy and adaptability.</w:t>
      </w:r>
    </w:p>
    <w:p w14:paraId="413594CD" w14:textId="77777777" w:rsidR="0069392A" w:rsidRDefault="0069392A" w:rsidP="00D6072E">
      <w:pPr>
        <w:pStyle w:val="Heading3"/>
        <w:jc w:val="both"/>
        <w:rPr>
          <w:rFonts w:eastAsia="Times New Roman"/>
        </w:rPr>
      </w:pPr>
      <w:r>
        <w:rPr>
          <w:rStyle w:val="Strong"/>
          <w:rFonts w:eastAsia="Times New Roman"/>
          <w:color w:val="000000"/>
          <w:sz w:val="24"/>
          <w:szCs w:val="24"/>
        </w:rPr>
        <w:t>Analysis</w:t>
      </w:r>
      <w:r>
        <w:rPr>
          <w:rStyle w:val="Strong"/>
          <w:rFonts w:eastAsia="Times New Roman"/>
        </w:rPr>
        <w:t xml:space="preserve"> </w:t>
      </w:r>
    </w:p>
    <w:p w14:paraId="3F9A4CA6" w14:textId="77777777" w:rsidR="0069392A" w:rsidRDefault="0069392A" w:rsidP="00D6072E">
      <w:pPr>
        <w:jc w:val="both"/>
        <w:rPr>
          <w:rFonts w:eastAsiaTheme="minorEastAsia"/>
        </w:rPr>
      </w:pPr>
      <w:r>
        <w:rPr>
          <w:b/>
          <w:bCs/>
          <w:color w:val="000000"/>
        </w:rPr>
        <w:t>The analysis stage deepens understanding by integrating theory and experience (Gibbs, 1988). Empowerment theory (Rappaport &amp; Seidman, 2000) posits that self-efficacy is increased through proactive engagement and support. My actions—seeking advice from Serena, attending workshops, and joining study groups—embodied empowerment, transforming uncertainty into confidence and agency. These experiences illustrate the cyclical nature of empowerment: as I overcame barriers, my self</w:t>
      </w:r>
      <w:r>
        <w:rPr>
          <w:b/>
          <w:bCs/>
          <w:color w:val="000000"/>
        </w:rPr>
        <w:noBreakHyphen/>
        <w:t xml:space="preserve">belief and independence grew, enabling further proactive behaviours. </w:t>
      </w:r>
    </w:p>
    <w:p w14:paraId="1D7B546C" w14:textId="77777777" w:rsidR="0069392A" w:rsidRDefault="0069392A" w:rsidP="00D6072E">
      <w:pPr>
        <w:jc w:val="both"/>
      </w:pPr>
      <w:r>
        <w:rPr>
          <w:b/>
          <w:bCs/>
          <w:color w:val="000000"/>
        </w:rPr>
        <w:t>Gibbs’ model underscores the importance of structured reflection and feedback (Gibbs, 2013). Serena’s peer support and tutor feedback facilitated learning, while collaborative academic activities fostered teamwork and resilience. Moon (2013) asserts that reflective practice encourages learning from experience, applying insights to new contexts. By systematically reflecting and linking theory to actions, I not only enhanced my academic skills but also developed transferable competencies essential for future aspirations. This stage demonstrates how empowerment and reflective practice intertwine, reinforcing each other to foster sustained personal and professional growth.</w:t>
      </w:r>
      <w:r>
        <w:rPr>
          <w:b/>
          <w:bCs/>
        </w:rPr>
        <w:t xml:space="preserve"> </w:t>
      </w:r>
    </w:p>
    <w:p w14:paraId="1F627E17" w14:textId="77777777" w:rsidR="0069392A" w:rsidRDefault="0069392A" w:rsidP="00D6072E">
      <w:pPr>
        <w:numPr>
          <w:ilvl w:val="0"/>
          <w:numId w:val="23"/>
        </w:numPr>
        <w:spacing w:line="276" w:lineRule="auto"/>
        <w:jc w:val="both"/>
        <w:rPr>
          <w:rFonts w:eastAsia="Times New Roman"/>
        </w:rPr>
      </w:pPr>
      <w:r>
        <w:rPr>
          <w:rFonts w:eastAsia="Times New Roman"/>
          <w:b/>
          <w:bCs/>
          <w:color w:val="000000"/>
        </w:rPr>
        <w:lastRenderedPageBreak/>
        <w:t>Summary:</w:t>
      </w:r>
      <w:r>
        <w:rPr>
          <w:rFonts w:eastAsia="Times New Roman"/>
        </w:rPr>
        <w:t xml:space="preserve"> Empowerment theory and Gibbs’ model were actively applied through seeking support, engaging in learning, and reflecting on feedback, deepening self-efficacy and transferable skill development.</w:t>
      </w:r>
    </w:p>
    <w:p w14:paraId="208BFD71" w14:textId="77777777" w:rsidR="0069392A" w:rsidRDefault="0069392A" w:rsidP="00D6072E">
      <w:pPr>
        <w:pStyle w:val="Heading3"/>
        <w:jc w:val="both"/>
        <w:rPr>
          <w:rFonts w:eastAsia="Times New Roman"/>
        </w:rPr>
      </w:pPr>
      <w:r>
        <w:rPr>
          <w:rStyle w:val="Strong"/>
          <w:rFonts w:eastAsia="Times New Roman"/>
          <w:color w:val="000000"/>
          <w:sz w:val="24"/>
          <w:szCs w:val="24"/>
        </w:rPr>
        <w:t>Conclusion</w:t>
      </w:r>
      <w:r>
        <w:rPr>
          <w:rStyle w:val="Strong"/>
          <w:rFonts w:eastAsia="Times New Roman"/>
        </w:rPr>
        <w:t xml:space="preserve"> </w:t>
      </w:r>
    </w:p>
    <w:p w14:paraId="35869DA9" w14:textId="77777777" w:rsidR="0069392A" w:rsidRDefault="0069392A" w:rsidP="00D6072E">
      <w:pPr>
        <w:jc w:val="both"/>
        <w:rPr>
          <w:rFonts w:eastAsiaTheme="minorEastAsia"/>
        </w:rPr>
      </w:pPr>
      <w:r>
        <w:rPr>
          <w:b/>
          <w:bCs/>
          <w:color w:val="000000"/>
        </w:rPr>
        <w:t>Reflecting on my transition into higher education, I have gained a clearer understanding of the factors influencing academic change. Preparation, emotional awareness, and support networks were pivotal. Applying Gibbs’ Reflective Cycle and empowerment theory highlighted how structured reflection and proactive action foster self-efficacy and resilience (Gibbs, 1988; Rappaport &amp; Seidman, 2000). Key lessons learned include the importance of linking theory to practice, seeking support to overcome barriers, and maintaining openness to feedback. This reflective process has clarified my sense of purpose and increased confidence in facing future challenges.</w:t>
      </w:r>
      <w:r>
        <w:rPr>
          <w:b/>
          <w:bCs/>
        </w:rPr>
        <w:t xml:space="preserve"> </w:t>
      </w:r>
    </w:p>
    <w:p w14:paraId="085B2C6C" w14:textId="77777777" w:rsidR="0069392A" w:rsidRDefault="0069392A" w:rsidP="00D6072E">
      <w:pPr>
        <w:numPr>
          <w:ilvl w:val="0"/>
          <w:numId w:val="24"/>
        </w:numPr>
        <w:spacing w:line="276" w:lineRule="auto"/>
        <w:jc w:val="both"/>
        <w:rPr>
          <w:rFonts w:eastAsia="Times New Roman"/>
        </w:rPr>
      </w:pPr>
      <w:r>
        <w:rPr>
          <w:rFonts w:eastAsia="Times New Roman"/>
          <w:b/>
          <w:bCs/>
          <w:color w:val="000000"/>
        </w:rPr>
        <w:t>Summary:</w:t>
      </w:r>
      <w:r>
        <w:rPr>
          <w:rFonts w:eastAsia="Times New Roman"/>
        </w:rPr>
        <w:t xml:space="preserve"> Structured reflection and empowerment actions underpin academic and personal growth, supporting adaptability and sustained progress.</w:t>
      </w:r>
    </w:p>
    <w:p w14:paraId="2CC3DE69" w14:textId="77777777" w:rsidR="0069392A" w:rsidRDefault="0069392A" w:rsidP="00D6072E">
      <w:pPr>
        <w:pStyle w:val="Heading3"/>
        <w:jc w:val="both"/>
        <w:rPr>
          <w:rFonts w:eastAsia="Times New Roman"/>
        </w:rPr>
      </w:pPr>
      <w:r>
        <w:rPr>
          <w:rStyle w:val="Strong"/>
          <w:rFonts w:eastAsia="Times New Roman"/>
          <w:color w:val="000000"/>
          <w:sz w:val="24"/>
          <w:szCs w:val="24"/>
        </w:rPr>
        <w:t>Action Plan</w:t>
      </w:r>
      <w:r>
        <w:rPr>
          <w:rStyle w:val="Strong"/>
          <w:rFonts w:eastAsia="Times New Roman"/>
        </w:rPr>
        <w:t xml:space="preserve"> </w:t>
      </w:r>
    </w:p>
    <w:p w14:paraId="5C08C34B" w14:textId="77777777" w:rsidR="00793352" w:rsidRDefault="00793352" w:rsidP="00D6072E">
      <w:pPr>
        <w:jc w:val="both"/>
        <w:rPr>
          <w:kern w:val="0"/>
          <w14:ligatures w14:val="none"/>
        </w:rPr>
      </w:pPr>
      <w:r>
        <w:rPr>
          <w:b/>
          <w:bCs/>
          <w:color w:val="000000"/>
        </w:rPr>
        <w:t xml:space="preserve">Looking ahead, my action plan is deeply rooted in my journey towards empowerment and reflective practice. I am determined to stay actively involved in academic life, making a conscious effort to participate in seminars and group discussions that challenge me. I will continue seeking feedback from my tutors, as their insights have proven invaluable in identifying areas for improvement. Setting aside specific time each week for reading and writing is not just about skill development, but about nurturing my confidence and independence. I want to build on my strengths by attending workshops in research methods and critical thinking, tapping into university resources, and joining clubs that genuinely interest me and relate to my field of study. These steps are inspired by my own experience of how empowerment theory has helped me overcome obstacles—each action is a way of bolstering my self-belief and tackling challenges head-on. By setting clear, personal goals and monitoring my progress, I will ensure that my growth remains steady and meaningful. </w:t>
      </w:r>
    </w:p>
    <w:p w14:paraId="5738F547" w14:textId="77CADFE6" w:rsidR="00793352" w:rsidRDefault="00793352" w:rsidP="00D6072E">
      <w:pPr>
        <w:jc w:val="both"/>
      </w:pPr>
      <w:r>
        <w:rPr>
          <w:b/>
          <w:bCs/>
          <w:color w:val="000000"/>
        </w:rPr>
        <w:t xml:space="preserve">As I plan for future study, I intend to thoroughly research degree programmes that truly align with my long-term aspirations. Strengthening my applications will involve not only striving for academic excellence but also immersing myself in extracurricular activities that reflect my interests and values. I am committed to ongoing reflective practice, and will keep a journal to record my progress, challenges, and achievements—this routine will help me process experiences and track my development, just as Gibbs’ model suggests (Gibbs, 2013). I also want to seek out mentors who can guide </w:t>
      </w:r>
      <w:r w:rsidR="00C7428B">
        <w:rPr>
          <w:b/>
          <w:bCs/>
          <w:color w:val="000000"/>
        </w:rPr>
        <w:t>me and</w:t>
      </w:r>
      <w:r>
        <w:rPr>
          <w:b/>
          <w:bCs/>
          <w:color w:val="000000"/>
        </w:rPr>
        <w:t xml:space="preserve"> take part in voluntary work that will expand </w:t>
      </w:r>
      <w:r>
        <w:rPr>
          <w:b/>
          <w:bCs/>
          <w:color w:val="000000"/>
        </w:rPr>
        <w:lastRenderedPageBreak/>
        <w:t xml:space="preserve">my skillset and open new doors for employability. By weaving these strategies into my daily life, I am reinforcing my sense of empowerment, making sure I am prepared for whatever academic or career challenges lie ahead. </w:t>
      </w:r>
    </w:p>
    <w:p w14:paraId="3F268740" w14:textId="77777777" w:rsidR="00793352" w:rsidRDefault="00793352" w:rsidP="00D6072E">
      <w:pPr>
        <w:numPr>
          <w:ilvl w:val="0"/>
          <w:numId w:val="34"/>
        </w:numPr>
        <w:spacing w:line="276" w:lineRule="auto"/>
        <w:jc w:val="both"/>
        <w:rPr>
          <w:rFonts w:eastAsia="Times New Roman"/>
        </w:rPr>
      </w:pPr>
      <w:r>
        <w:rPr>
          <w:rFonts w:eastAsia="Times New Roman"/>
          <w:b/>
          <w:bCs/>
          <w:color w:val="000000"/>
        </w:rPr>
        <w:t>Summary:</w:t>
      </w:r>
      <w:r>
        <w:rPr>
          <w:rFonts w:eastAsia="Times New Roman"/>
          <w:b/>
          <w:bCs/>
        </w:rPr>
        <w:t xml:space="preserve"> </w:t>
      </w:r>
      <w:r>
        <w:rPr>
          <w:rFonts w:eastAsia="Times New Roman"/>
        </w:rPr>
        <w:t>My action plan is shaped by my personal experiences with empowerment theory and Gibbs’ cycle, emphasising self-efficacy, skill development, and reflective practice to support my ongoing academic and professional growth.</w:t>
      </w:r>
    </w:p>
    <w:p w14:paraId="2217DDAE" w14:textId="77777777" w:rsidR="0069392A" w:rsidRDefault="0069392A" w:rsidP="00D6072E">
      <w:pPr>
        <w:pStyle w:val="Heading3"/>
        <w:jc w:val="both"/>
        <w:rPr>
          <w:rFonts w:eastAsia="Times New Roman"/>
        </w:rPr>
      </w:pPr>
      <w:r>
        <w:rPr>
          <w:rStyle w:val="Strong"/>
          <w:rFonts w:eastAsia="Times New Roman"/>
          <w:color w:val="000000"/>
          <w:sz w:val="24"/>
          <w:szCs w:val="24"/>
        </w:rPr>
        <w:t>References</w:t>
      </w:r>
      <w:r>
        <w:rPr>
          <w:rStyle w:val="Strong"/>
          <w:rFonts w:eastAsia="Times New Roman"/>
        </w:rPr>
        <w:t xml:space="preserve"> </w:t>
      </w:r>
    </w:p>
    <w:p w14:paraId="08A029C4" w14:textId="77777777" w:rsidR="0069392A" w:rsidRDefault="0069392A" w:rsidP="00D6072E">
      <w:pPr>
        <w:jc w:val="both"/>
        <w:rPr>
          <w:rFonts w:eastAsiaTheme="minorEastAsia"/>
        </w:rPr>
      </w:pPr>
      <w:r>
        <w:rPr>
          <w:b/>
          <w:bCs/>
          <w:color w:val="000000"/>
        </w:rPr>
        <w:t>Gibbs, G. (1988).</w:t>
      </w:r>
      <w:r>
        <w:rPr>
          <w:b/>
          <w:bCs/>
        </w:rPr>
        <w:t xml:space="preserve"> </w:t>
      </w:r>
      <w:r>
        <w:rPr>
          <w:i/>
          <w:iCs/>
          <w:color w:val="000000"/>
        </w:rPr>
        <w:t>Learning by Doing: A Guide to Teaching and Learning Methods.</w:t>
      </w:r>
      <w:r>
        <w:rPr>
          <w:i/>
          <w:iCs/>
        </w:rPr>
        <w:t xml:space="preserve"> </w:t>
      </w:r>
      <w:r>
        <w:rPr>
          <w:color w:val="000000"/>
        </w:rPr>
        <w:t>Oxford: Further Education Unit.</w:t>
      </w:r>
    </w:p>
    <w:p w14:paraId="036EF79C" w14:textId="77777777" w:rsidR="0069392A" w:rsidRDefault="0069392A" w:rsidP="00D6072E">
      <w:pPr>
        <w:jc w:val="both"/>
      </w:pPr>
      <w:r>
        <w:rPr>
          <w:b/>
          <w:bCs/>
          <w:color w:val="000000"/>
        </w:rPr>
        <w:t>Gibbs, G. (2013).</w:t>
      </w:r>
      <w:r>
        <w:rPr>
          <w:b/>
          <w:bCs/>
        </w:rPr>
        <w:t xml:space="preserve"> </w:t>
      </w:r>
      <w:r>
        <w:rPr>
          <w:i/>
          <w:iCs/>
          <w:color w:val="000000"/>
        </w:rPr>
        <w:t>Learning by Doing: A Guide to Teaching and Learning Methods.</w:t>
      </w:r>
      <w:r>
        <w:rPr>
          <w:i/>
          <w:iCs/>
        </w:rPr>
        <w:t xml:space="preserve"> </w:t>
      </w:r>
      <w:r>
        <w:rPr>
          <w:color w:val="000000"/>
        </w:rPr>
        <w:t>Oxford Centre for Staff and Learning Development.</w:t>
      </w:r>
    </w:p>
    <w:p w14:paraId="531DC003" w14:textId="77777777" w:rsidR="0069392A" w:rsidRDefault="0069392A" w:rsidP="00D6072E">
      <w:pPr>
        <w:jc w:val="both"/>
      </w:pPr>
      <w:r>
        <w:rPr>
          <w:b/>
          <w:bCs/>
          <w:color w:val="000000"/>
        </w:rPr>
        <w:t>Jasper, M. (2013).</w:t>
      </w:r>
      <w:r>
        <w:rPr>
          <w:b/>
          <w:bCs/>
        </w:rPr>
        <w:t xml:space="preserve"> </w:t>
      </w:r>
      <w:r>
        <w:rPr>
          <w:i/>
          <w:iCs/>
          <w:color w:val="000000"/>
        </w:rPr>
        <w:t>Beginning Reflective Practice.</w:t>
      </w:r>
      <w:r>
        <w:rPr>
          <w:i/>
          <w:iCs/>
        </w:rPr>
        <w:t xml:space="preserve"> </w:t>
      </w:r>
      <w:r>
        <w:rPr>
          <w:color w:val="000000"/>
        </w:rPr>
        <w:t>2nd ed. Hampshire: Cengage Learning.</w:t>
      </w:r>
    </w:p>
    <w:p w14:paraId="375C109A" w14:textId="77777777" w:rsidR="0069392A" w:rsidRDefault="0069392A" w:rsidP="00D6072E">
      <w:pPr>
        <w:jc w:val="both"/>
      </w:pPr>
      <w:r>
        <w:rPr>
          <w:b/>
          <w:bCs/>
          <w:color w:val="000000"/>
        </w:rPr>
        <w:t>Moon, J. (2013).</w:t>
      </w:r>
      <w:r>
        <w:rPr>
          <w:b/>
          <w:bCs/>
        </w:rPr>
        <w:t xml:space="preserve"> </w:t>
      </w:r>
      <w:r>
        <w:rPr>
          <w:i/>
          <w:iCs/>
          <w:color w:val="000000"/>
        </w:rPr>
        <w:t>A Handbook of Reflective and Experiential Learning: Theory and Practice.</w:t>
      </w:r>
      <w:r>
        <w:rPr>
          <w:i/>
          <w:iCs/>
        </w:rPr>
        <w:t xml:space="preserve"> </w:t>
      </w:r>
      <w:r>
        <w:rPr>
          <w:color w:val="000000"/>
        </w:rPr>
        <w:t>Oxon: Routledge.</w:t>
      </w:r>
    </w:p>
    <w:p w14:paraId="61F5B1CB" w14:textId="77777777" w:rsidR="0069392A" w:rsidRDefault="0069392A" w:rsidP="00D6072E">
      <w:pPr>
        <w:jc w:val="both"/>
      </w:pPr>
      <w:r>
        <w:rPr>
          <w:b/>
          <w:bCs/>
          <w:color w:val="000000"/>
        </w:rPr>
        <w:t>Rappaport, J. &amp; Seidman, E. (2000).</w:t>
      </w:r>
      <w:r>
        <w:rPr>
          <w:b/>
          <w:bCs/>
        </w:rPr>
        <w:t xml:space="preserve"> </w:t>
      </w:r>
      <w:r>
        <w:rPr>
          <w:i/>
          <w:iCs/>
          <w:color w:val="000000"/>
        </w:rPr>
        <w:t>Handbook of Community Psychology.</w:t>
      </w:r>
      <w:r>
        <w:rPr>
          <w:i/>
          <w:iCs/>
        </w:rPr>
        <w:t xml:space="preserve"> </w:t>
      </w:r>
      <w:r>
        <w:rPr>
          <w:color w:val="000000"/>
        </w:rPr>
        <w:t>New York: Plenum.</w:t>
      </w:r>
    </w:p>
    <w:p w14:paraId="00190499" w14:textId="35852019" w:rsidR="00C87B98" w:rsidRPr="0069392A" w:rsidRDefault="00C87B98" w:rsidP="00D6072E">
      <w:pPr>
        <w:jc w:val="both"/>
      </w:pPr>
    </w:p>
    <w:sectPr w:rsidR="00C87B98" w:rsidRPr="006939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60FB"/>
    <w:multiLevelType w:val="multilevel"/>
    <w:tmpl w:val="B64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36FA3"/>
    <w:multiLevelType w:val="multilevel"/>
    <w:tmpl w:val="28AE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65A66"/>
    <w:multiLevelType w:val="multilevel"/>
    <w:tmpl w:val="9CB4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7694D"/>
    <w:multiLevelType w:val="multilevel"/>
    <w:tmpl w:val="D39C9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B4F29"/>
    <w:multiLevelType w:val="multilevel"/>
    <w:tmpl w:val="48FE8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68668D"/>
    <w:multiLevelType w:val="multilevel"/>
    <w:tmpl w:val="EE08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7F562E"/>
    <w:multiLevelType w:val="multilevel"/>
    <w:tmpl w:val="B1BE7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46376E"/>
    <w:multiLevelType w:val="multilevel"/>
    <w:tmpl w:val="5C06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232273"/>
    <w:multiLevelType w:val="multilevel"/>
    <w:tmpl w:val="A37E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2444D1"/>
    <w:multiLevelType w:val="multilevel"/>
    <w:tmpl w:val="90466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0A4A28"/>
    <w:multiLevelType w:val="multilevel"/>
    <w:tmpl w:val="697E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B60105"/>
    <w:multiLevelType w:val="multilevel"/>
    <w:tmpl w:val="913A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D63D7F"/>
    <w:multiLevelType w:val="multilevel"/>
    <w:tmpl w:val="E612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3A3F4D"/>
    <w:multiLevelType w:val="multilevel"/>
    <w:tmpl w:val="7B3C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464E49"/>
    <w:multiLevelType w:val="multilevel"/>
    <w:tmpl w:val="14569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9F02C4"/>
    <w:multiLevelType w:val="multilevel"/>
    <w:tmpl w:val="7A5C7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BF6BBD"/>
    <w:multiLevelType w:val="multilevel"/>
    <w:tmpl w:val="1E5AE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B3BD6"/>
    <w:multiLevelType w:val="multilevel"/>
    <w:tmpl w:val="8CE2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B323AD"/>
    <w:multiLevelType w:val="multilevel"/>
    <w:tmpl w:val="A168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5B2C3F"/>
    <w:multiLevelType w:val="multilevel"/>
    <w:tmpl w:val="44C49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EE6290"/>
    <w:multiLevelType w:val="multilevel"/>
    <w:tmpl w:val="F3F0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036D79"/>
    <w:multiLevelType w:val="multilevel"/>
    <w:tmpl w:val="3536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542A79"/>
    <w:multiLevelType w:val="multilevel"/>
    <w:tmpl w:val="4B16E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5B74D9"/>
    <w:multiLevelType w:val="multilevel"/>
    <w:tmpl w:val="E468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3C50E3"/>
    <w:multiLevelType w:val="multilevel"/>
    <w:tmpl w:val="D2E40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2919CC"/>
    <w:multiLevelType w:val="multilevel"/>
    <w:tmpl w:val="B40E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3B4AD3"/>
    <w:multiLevelType w:val="multilevel"/>
    <w:tmpl w:val="716E2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9821AA"/>
    <w:multiLevelType w:val="multilevel"/>
    <w:tmpl w:val="7C7E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DD76F3"/>
    <w:multiLevelType w:val="multilevel"/>
    <w:tmpl w:val="4FEA3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924BAC"/>
    <w:multiLevelType w:val="multilevel"/>
    <w:tmpl w:val="7452E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F2580A"/>
    <w:multiLevelType w:val="multilevel"/>
    <w:tmpl w:val="916ED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A16586"/>
    <w:multiLevelType w:val="multilevel"/>
    <w:tmpl w:val="30BA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1F36DF"/>
    <w:multiLevelType w:val="multilevel"/>
    <w:tmpl w:val="71426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BF5468"/>
    <w:multiLevelType w:val="multilevel"/>
    <w:tmpl w:val="B86E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2073382">
    <w:abstractNumId w:val="22"/>
  </w:num>
  <w:num w:numId="2" w16cid:durableId="1011907178">
    <w:abstractNumId w:val="5"/>
  </w:num>
  <w:num w:numId="3" w16cid:durableId="894315797">
    <w:abstractNumId w:val="32"/>
  </w:num>
  <w:num w:numId="4" w16cid:durableId="924653519">
    <w:abstractNumId w:val="17"/>
  </w:num>
  <w:num w:numId="5" w16cid:durableId="1626496368">
    <w:abstractNumId w:val="16"/>
  </w:num>
  <w:num w:numId="6" w16cid:durableId="2114862050">
    <w:abstractNumId w:val="11"/>
  </w:num>
  <w:num w:numId="7" w16cid:durableId="1912811038">
    <w:abstractNumId w:val="30"/>
  </w:num>
  <w:num w:numId="8" w16cid:durableId="489754018">
    <w:abstractNumId w:val="3"/>
  </w:num>
  <w:num w:numId="9" w16cid:durableId="694309152">
    <w:abstractNumId w:val="0"/>
  </w:num>
  <w:num w:numId="10" w16cid:durableId="223223413">
    <w:abstractNumId w:val="20"/>
  </w:num>
  <w:num w:numId="11" w16cid:durableId="1328898690">
    <w:abstractNumId w:val="21"/>
  </w:num>
  <w:num w:numId="12" w16cid:durableId="1770078710">
    <w:abstractNumId w:val="27"/>
  </w:num>
  <w:num w:numId="13" w16cid:durableId="4989860">
    <w:abstractNumId w:val="2"/>
  </w:num>
  <w:num w:numId="14" w16cid:durableId="1529947743">
    <w:abstractNumId w:val="14"/>
  </w:num>
  <w:num w:numId="15" w16cid:durableId="1677688129">
    <w:abstractNumId w:val="1"/>
  </w:num>
  <w:num w:numId="16" w16cid:durableId="1461267172">
    <w:abstractNumId w:val="6"/>
  </w:num>
  <w:num w:numId="17" w16cid:durableId="404299120">
    <w:abstractNumId w:val="26"/>
  </w:num>
  <w:num w:numId="18" w16cid:durableId="31736431">
    <w:abstractNumId w:val="33"/>
  </w:num>
  <w:num w:numId="19" w16cid:durableId="162014965">
    <w:abstractNumId w:val="15"/>
  </w:num>
  <w:num w:numId="20" w16cid:durableId="1784106880">
    <w:abstractNumId w:val="8"/>
  </w:num>
  <w:num w:numId="21" w16cid:durableId="233011716">
    <w:abstractNumId w:val="10"/>
  </w:num>
  <w:num w:numId="22" w16cid:durableId="384569178">
    <w:abstractNumId w:val="28"/>
  </w:num>
  <w:num w:numId="23" w16cid:durableId="2079665606">
    <w:abstractNumId w:val="12"/>
  </w:num>
  <w:num w:numId="24" w16cid:durableId="1581328436">
    <w:abstractNumId w:val="25"/>
  </w:num>
  <w:num w:numId="25" w16cid:durableId="1657346004">
    <w:abstractNumId w:val="19"/>
  </w:num>
  <w:num w:numId="26" w16cid:durableId="768964125">
    <w:abstractNumId w:val="24"/>
  </w:num>
  <w:num w:numId="27" w16cid:durableId="178856466">
    <w:abstractNumId w:val="7"/>
  </w:num>
  <w:num w:numId="28" w16cid:durableId="711463949">
    <w:abstractNumId w:val="23"/>
  </w:num>
  <w:num w:numId="29" w16cid:durableId="1231844190">
    <w:abstractNumId w:val="18"/>
  </w:num>
  <w:num w:numId="30" w16cid:durableId="1549342436">
    <w:abstractNumId w:val="9"/>
  </w:num>
  <w:num w:numId="31" w16cid:durableId="129714249">
    <w:abstractNumId w:val="29"/>
  </w:num>
  <w:num w:numId="32" w16cid:durableId="912087156">
    <w:abstractNumId w:val="31"/>
  </w:num>
  <w:num w:numId="33" w16cid:durableId="1321886956">
    <w:abstractNumId w:val="13"/>
  </w:num>
  <w:num w:numId="34" w16cid:durableId="874656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B98"/>
    <w:rsid w:val="00331819"/>
    <w:rsid w:val="0045309C"/>
    <w:rsid w:val="0049589B"/>
    <w:rsid w:val="0058627A"/>
    <w:rsid w:val="0069392A"/>
    <w:rsid w:val="00793352"/>
    <w:rsid w:val="00AB38C3"/>
    <w:rsid w:val="00C7428B"/>
    <w:rsid w:val="00C87B98"/>
    <w:rsid w:val="00D265EB"/>
    <w:rsid w:val="00D6072E"/>
    <w:rsid w:val="00DD434C"/>
    <w:rsid w:val="00E36A35"/>
    <w:rsid w:val="00FA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269D2"/>
  <w15:chartTrackingRefBased/>
  <w15:docId w15:val="{E85934A4-025E-4B41-85B3-E09DD3F3D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7B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7B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7B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7B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7B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7B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7B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7B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7B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B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7B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7B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7B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7B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7B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7B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7B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7B98"/>
    <w:rPr>
      <w:rFonts w:eastAsiaTheme="majorEastAsia" w:cstheme="majorBidi"/>
      <w:color w:val="272727" w:themeColor="text1" w:themeTint="D8"/>
    </w:rPr>
  </w:style>
  <w:style w:type="paragraph" w:styleId="Title">
    <w:name w:val="Title"/>
    <w:basedOn w:val="Normal"/>
    <w:next w:val="Normal"/>
    <w:link w:val="TitleChar"/>
    <w:uiPriority w:val="10"/>
    <w:qFormat/>
    <w:rsid w:val="00C87B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7B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7B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7B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7B98"/>
    <w:pPr>
      <w:spacing w:before="160"/>
      <w:jc w:val="center"/>
    </w:pPr>
    <w:rPr>
      <w:i/>
      <w:iCs/>
      <w:color w:val="404040" w:themeColor="text1" w:themeTint="BF"/>
    </w:rPr>
  </w:style>
  <w:style w:type="character" w:customStyle="1" w:styleId="QuoteChar">
    <w:name w:val="Quote Char"/>
    <w:basedOn w:val="DefaultParagraphFont"/>
    <w:link w:val="Quote"/>
    <w:uiPriority w:val="29"/>
    <w:rsid w:val="00C87B98"/>
    <w:rPr>
      <w:i/>
      <w:iCs/>
      <w:color w:val="404040" w:themeColor="text1" w:themeTint="BF"/>
    </w:rPr>
  </w:style>
  <w:style w:type="paragraph" w:styleId="ListParagraph">
    <w:name w:val="List Paragraph"/>
    <w:basedOn w:val="Normal"/>
    <w:uiPriority w:val="34"/>
    <w:qFormat/>
    <w:rsid w:val="00C87B98"/>
    <w:pPr>
      <w:ind w:left="720"/>
      <w:contextualSpacing/>
    </w:pPr>
  </w:style>
  <w:style w:type="character" w:styleId="IntenseEmphasis">
    <w:name w:val="Intense Emphasis"/>
    <w:basedOn w:val="DefaultParagraphFont"/>
    <w:uiPriority w:val="21"/>
    <w:qFormat/>
    <w:rsid w:val="00C87B98"/>
    <w:rPr>
      <w:i/>
      <w:iCs/>
      <w:color w:val="0F4761" w:themeColor="accent1" w:themeShade="BF"/>
    </w:rPr>
  </w:style>
  <w:style w:type="paragraph" w:styleId="IntenseQuote">
    <w:name w:val="Intense Quote"/>
    <w:basedOn w:val="Normal"/>
    <w:next w:val="Normal"/>
    <w:link w:val="IntenseQuoteChar"/>
    <w:uiPriority w:val="30"/>
    <w:qFormat/>
    <w:rsid w:val="00C87B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7B98"/>
    <w:rPr>
      <w:i/>
      <w:iCs/>
      <w:color w:val="0F4761" w:themeColor="accent1" w:themeShade="BF"/>
    </w:rPr>
  </w:style>
  <w:style w:type="character" w:styleId="IntenseReference">
    <w:name w:val="Intense Reference"/>
    <w:basedOn w:val="DefaultParagraphFont"/>
    <w:uiPriority w:val="32"/>
    <w:qFormat/>
    <w:rsid w:val="00C87B98"/>
    <w:rPr>
      <w:b/>
      <w:bCs/>
      <w:smallCaps/>
      <w:color w:val="0F4761" w:themeColor="accent1" w:themeShade="BF"/>
      <w:spacing w:val="5"/>
    </w:rPr>
  </w:style>
  <w:style w:type="paragraph" w:styleId="NormalWeb">
    <w:name w:val="Normal (Web)"/>
    <w:basedOn w:val="Normal"/>
    <w:uiPriority w:val="99"/>
    <w:semiHidden/>
    <w:unhideWhenUsed/>
    <w:rsid w:val="00C87B98"/>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Strong">
    <w:name w:val="Strong"/>
    <w:basedOn w:val="DefaultParagraphFont"/>
    <w:uiPriority w:val="22"/>
    <w:qFormat/>
    <w:rsid w:val="00C87B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5D8D9-B6B3-4DB2-B074-79CAAFA49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1639</Words>
  <Characters>9692</Characters>
  <Application>Microsoft Office Word</Application>
  <DocSecurity>0</DocSecurity>
  <Lines>166</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ashh 12</dc:creator>
  <cp:keywords/>
  <dc:description/>
  <cp:lastModifiedBy>ashh 12</cp:lastModifiedBy>
  <cp:revision>11</cp:revision>
  <dcterms:created xsi:type="dcterms:W3CDTF">2026-03-04T18:54:00Z</dcterms:created>
  <dcterms:modified xsi:type="dcterms:W3CDTF">2026-03-04T20:39:00Z</dcterms:modified>
</cp:coreProperties>
</file>