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BE7E" w14:textId="77777777" w:rsidR="00F219D6" w:rsidRDefault="00F219D6"/>
    <w:p w14:paraId="67F7C3DC" w14:textId="77777777" w:rsidR="0045062C" w:rsidRDefault="0045062C"/>
    <w:p w14:paraId="2721B1D4" w14:textId="77777777" w:rsidR="0045062C" w:rsidRDefault="0045062C"/>
    <w:p w14:paraId="52AFE2DD" w14:textId="77777777" w:rsidR="0045062C" w:rsidRDefault="0045062C"/>
    <w:p w14:paraId="409F11C0" w14:textId="77777777" w:rsidR="0045062C" w:rsidRDefault="0045062C"/>
    <w:p w14:paraId="3178C7F2" w14:textId="77777777" w:rsidR="0045062C" w:rsidRDefault="0045062C"/>
    <w:p w14:paraId="019B568D" w14:textId="77777777" w:rsidR="0045062C" w:rsidRDefault="0045062C"/>
    <w:p w14:paraId="3F540536" w14:textId="77777777" w:rsidR="0045062C" w:rsidRDefault="0045062C"/>
    <w:p w14:paraId="1558C5FB" w14:textId="77777777" w:rsidR="0045062C" w:rsidRDefault="0045062C"/>
    <w:p w14:paraId="09AFF991" w14:textId="77777777" w:rsidR="0045062C" w:rsidRDefault="0045062C"/>
    <w:p w14:paraId="3F05D8D0" w14:textId="77777777" w:rsidR="0045062C" w:rsidRDefault="0045062C"/>
    <w:p w14:paraId="5E5B72AF" w14:textId="0182A123" w:rsidR="0045062C" w:rsidRDefault="005354F3" w:rsidP="0045062C">
      <w:pPr>
        <w:pStyle w:val="Title"/>
        <w:jc w:val="center"/>
      </w:pPr>
      <w:r>
        <w:t>Geographical Information Systems</w:t>
      </w:r>
    </w:p>
    <w:p w14:paraId="754B9C95" w14:textId="118B3F1A" w:rsidR="0048554D" w:rsidRDefault="0048554D" w:rsidP="0048554D">
      <w:pPr>
        <w:pStyle w:val="Subtitle"/>
        <w:jc w:val="center"/>
        <w:rPr>
          <w:rStyle w:val="SubtleEmphasis"/>
        </w:rPr>
      </w:pPr>
      <w:r w:rsidRPr="0048554D">
        <w:rPr>
          <w:rStyle w:val="SubtleEmphasis"/>
        </w:rPr>
        <w:t>Module ACC</w:t>
      </w:r>
      <w:r w:rsidR="005C779D">
        <w:rPr>
          <w:rStyle w:val="SubtleEmphasis"/>
        </w:rPr>
        <w:t>A</w:t>
      </w:r>
      <w:r w:rsidR="005354F3">
        <w:rPr>
          <w:rStyle w:val="SubtleEmphasis"/>
        </w:rPr>
        <w:t>5027</w:t>
      </w:r>
      <w:r w:rsidRPr="0048554D">
        <w:rPr>
          <w:rStyle w:val="SubtleEmphasis"/>
        </w:rPr>
        <w:t xml:space="preserve"> Assignment</w:t>
      </w:r>
    </w:p>
    <w:p w14:paraId="70C2E761" w14:textId="77777777" w:rsidR="0048554D" w:rsidRPr="0048554D" w:rsidRDefault="0048554D" w:rsidP="0048554D">
      <w:pPr>
        <w:jc w:val="center"/>
      </w:pPr>
      <w:r>
        <w:t>by</w:t>
      </w:r>
    </w:p>
    <w:p w14:paraId="003359C5" w14:textId="77777777" w:rsidR="0045062C" w:rsidRDefault="0045062C" w:rsidP="0045062C">
      <w:pPr>
        <w:pStyle w:val="Subtitle"/>
        <w:jc w:val="center"/>
      </w:pPr>
      <w:r>
        <w:t>John Dunkley-Williams</w:t>
      </w:r>
    </w:p>
    <w:p w14:paraId="4D0792D6" w14:textId="77777777" w:rsidR="0045062C" w:rsidRDefault="0045062C" w:rsidP="0045062C">
      <w:pPr>
        <w:pStyle w:val="ListParagraph"/>
        <w:ind w:left="0"/>
        <w:jc w:val="center"/>
        <w:rPr>
          <w:rStyle w:val="SubtleReference"/>
        </w:rPr>
      </w:pPr>
      <w:r w:rsidRPr="0045062C">
        <w:rPr>
          <w:rStyle w:val="SubtleReference"/>
        </w:rPr>
        <w:t>1903715</w:t>
      </w:r>
    </w:p>
    <w:p w14:paraId="36990565" w14:textId="77777777" w:rsidR="0045062C" w:rsidRDefault="0045062C">
      <w:pPr>
        <w:rPr>
          <w:rStyle w:val="SubtleReference"/>
        </w:rPr>
      </w:pPr>
      <w:r>
        <w:rPr>
          <w:rStyle w:val="SubtleReference"/>
        </w:rPr>
        <w:br w:type="page"/>
      </w:r>
    </w:p>
    <w:p w14:paraId="2770B9E7" w14:textId="77777777" w:rsidR="0045062C" w:rsidRDefault="0045062C" w:rsidP="0045062C">
      <w:pPr>
        <w:pStyle w:val="Heading1"/>
        <w:rPr>
          <w:rStyle w:val="SubtleReference"/>
        </w:rPr>
      </w:pPr>
      <w:r>
        <w:rPr>
          <w:rStyle w:val="SubtleReference"/>
        </w:rPr>
        <w:lastRenderedPageBreak/>
        <w:t>Contents</w:t>
      </w:r>
    </w:p>
    <w:p w14:paraId="2A988DF7" w14:textId="77777777" w:rsidR="0045062C" w:rsidRDefault="0045062C" w:rsidP="0045062C"/>
    <w:p w14:paraId="5FB54CA0" w14:textId="0A57BBDA" w:rsidR="00D23136" w:rsidRDefault="00534CB9" w:rsidP="00412F11">
      <w:pPr>
        <w:pStyle w:val="ListParagraph"/>
        <w:numPr>
          <w:ilvl w:val="0"/>
          <w:numId w:val="25"/>
        </w:numPr>
      </w:pPr>
      <w:r>
        <w:t>Development Log</w:t>
      </w:r>
    </w:p>
    <w:p w14:paraId="398AF54D" w14:textId="0539C78E" w:rsidR="00C844B7" w:rsidRDefault="00534CB9" w:rsidP="00412F11">
      <w:pPr>
        <w:pStyle w:val="ListParagraph"/>
        <w:numPr>
          <w:ilvl w:val="0"/>
          <w:numId w:val="25"/>
        </w:numPr>
      </w:pPr>
      <w:r>
        <w:t>Report</w:t>
      </w:r>
    </w:p>
    <w:p w14:paraId="37A9FB07" w14:textId="77777777" w:rsidR="003C245F" w:rsidRDefault="00324C04" w:rsidP="00412F11">
      <w:pPr>
        <w:pStyle w:val="ListParagraph"/>
        <w:numPr>
          <w:ilvl w:val="0"/>
          <w:numId w:val="25"/>
        </w:numPr>
      </w:pPr>
      <w:hyperlink w:anchor="_References" w:history="1">
        <w:r w:rsidR="003C245F" w:rsidRPr="003B5171">
          <w:rPr>
            <w:rStyle w:val="Hyperlink"/>
          </w:rPr>
          <w:t>References</w:t>
        </w:r>
      </w:hyperlink>
    </w:p>
    <w:p w14:paraId="0F100BDF" w14:textId="77777777" w:rsidR="00C36823" w:rsidRDefault="00324C04" w:rsidP="00412F11">
      <w:pPr>
        <w:pStyle w:val="ListParagraph"/>
        <w:numPr>
          <w:ilvl w:val="0"/>
          <w:numId w:val="25"/>
        </w:numPr>
      </w:pPr>
      <w:hyperlink w:anchor="_Appendices" w:history="1">
        <w:r w:rsidR="004F3836" w:rsidRPr="003B5171">
          <w:rPr>
            <w:rStyle w:val="Hyperlink"/>
          </w:rPr>
          <w:t>Appendices</w:t>
        </w:r>
      </w:hyperlink>
    </w:p>
    <w:p w14:paraId="75A412B2" w14:textId="77777777" w:rsidR="00C36823" w:rsidRDefault="00C36823">
      <w:r>
        <w:br w:type="page"/>
      </w:r>
    </w:p>
    <w:p w14:paraId="326E28B5" w14:textId="3EFC8D14" w:rsidR="004F3836" w:rsidRDefault="00534CB9" w:rsidP="00155FB6">
      <w:pPr>
        <w:pStyle w:val="Heading1"/>
      </w:pPr>
      <w:bookmarkStart w:id="0" w:name="_Presentation"/>
      <w:bookmarkEnd w:id="0"/>
      <w:r>
        <w:lastRenderedPageBreak/>
        <w:t>Development Log</w:t>
      </w:r>
    </w:p>
    <w:p w14:paraId="471C6CEA" w14:textId="0990CBD9" w:rsidR="00C36823" w:rsidRDefault="00C36823" w:rsidP="00C36823"/>
    <w:p w14:paraId="26DF5B35" w14:textId="77777777" w:rsidR="00F90679" w:rsidRDefault="00F90679" w:rsidP="00F90679">
      <w:r>
        <w:t>For the purposes of the assignment, the data focal point will be that of Bridgend. In order to analyse data to effectively inform healthcare professionals of vaccination uptakes, the first step will be to isolate the required data in order to build up a visualisation of vaccine uptake and population trends.</w:t>
      </w:r>
    </w:p>
    <w:p w14:paraId="61BAD179" w14:textId="77777777" w:rsidR="00F90679" w:rsidRDefault="00F90679" w:rsidP="00F90679">
      <w:r>
        <w:rPr>
          <w:noProof/>
        </w:rPr>
        <w:drawing>
          <wp:inline distT="0" distB="0" distL="0" distR="0" wp14:anchorId="243AC755" wp14:editId="7DFDE037">
            <wp:extent cx="4572000" cy="2257425"/>
            <wp:effectExtent l="0" t="0" r="0" b="0"/>
            <wp:docPr id="1175600235" name="Picture 1175600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57030B43" w14:textId="77777777" w:rsidR="00F90679" w:rsidRDefault="00F90679" w:rsidP="00F90679">
      <w:r>
        <w:t>The Bridgend data for vaccination uptake is isolated from the all Wales data.</w:t>
      </w:r>
    </w:p>
    <w:p w14:paraId="2AD3F04B" w14:textId="77777777" w:rsidR="00F90679" w:rsidRDefault="00F90679" w:rsidP="00F90679">
      <w:r>
        <w:rPr>
          <w:noProof/>
        </w:rPr>
        <w:drawing>
          <wp:inline distT="0" distB="0" distL="0" distR="0" wp14:anchorId="0F8FA41B" wp14:editId="149758AF">
            <wp:extent cx="4572000" cy="2914650"/>
            <wp:effectExtent l="0" t="0" r="0" b="0"/>
            <wp:docPr id="1017245845" name="Picture 101724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914650"/>
                    </a:xfrm>
                    <a:prstGeom prst="rect">
                      <a:avLst/>
                    </a:prstGeom>
                  </pic:spPr>
                </pic:pic>
              </a:graphicData>
            </a:graphic>
          </wp:inline>
        </w:drawing>
      </w:r>
    </w:p>
    <w:p w14:paraId="1FB636C1" w14:textId="77777777" w:rsidR="00F90679" w:rsidRDefault="00F90679" w:rsidP="00F90679">
      <w:r>
        <w:t xml:space="preserve">Then the data for Bridgend Covid cases are isolated. These will next need to be mapped to show the visualisation of the data geographically. </w:t>
      </w:r>
    </w:p>
    <w:p w14:paraId="2C5F44DC" w14:textId="77777777" w:rsidR="00F90679" w:rsidRDefault="00F90679" w:rsidP="00F90679">
      <w:r>
        <w:t>The first thing notable when the map data is examined however, is that the area codes do not match up. These will need to be uniform between data sets if the data is to map.</w:t>
      </w:r>
    </w:p>
    <w:p w14:paraId="5DE16EFB" w14:textId="77777777" w:rsidR="00F90679" w:rsidRDefault="00F90679" w:rsidP="00F90679">
      <w:r>
        <w:rPr>
          <w:noProof/>
        </w:rPr>
        <w:lastRenderedPageBreak/>
        <w:drawing>
          <wp:inline distT="0" distB="0" distL="0" distR="0" wp14:anchorId="0D31DFE2" wp14:editId="4D669E51">
            <wp:extent cx="4572000" cy="2619375"/>
            <wp:effectExtent l="0" t="0" r="0" b="0"/>
            <wp:docPr id="1213725932" name="Picture 121372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2C6B82D4" w14:textId="77777777" w:rsidR="00F90679" w:rsidRDefault="00F90679" w:rsidP="00F90679">
      <w:r>
        <w:t>To resolve this, I need to obtain the data again, this time separating out the Mid Super Output Layer for the map download, in order to align with the area codes in the Covid data file.</w:t>
      </w:r>
    </w:p>
    <w:p w14:paraId="3386CB38" w14:textId="77777777" w:rsidR="00F90679" w:rsidRDefault="00F90679" w:rsidP="00F90679">
      <w:r>
        <w:t>With the MSOA area codes aligned, both tables can be loaded in to MapInfo, and the data visualised for Bridgend County;</w:t>
      </w:r>
    </w:p>
    <w:p w14:paraId="552EF2C4" w14:textId="77777777" w:rsidR="00F90679" w:rsidRDefault="00F90679" w:rsidP="00F90679">
      <w:r>
        <w:rPr>
          <w:noProof/>
        </w:rPr>
        <w:drawing>
          <wp:inline distT="0" distB="0" distL="0" distR="0" wp14:anchorId="74D4729F" wp14:editId="153E3EDE">
            <wp:extent cx="4572000" cy="2447925"/>
            <wp:effectExtent l="0" t="0" r="0" b="0"/>
            <wp:docPr id="1974669164" name="Picture 197466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p>
    <w:p w14:paraId="052437BA" w14:textId="77777777" w:rsidR="00F90679" w:rsidRDefault="00F90679" w:rsidP="00F90679">
      <w:r>
        <w:t xml:space="preserve">From light to darker colours, there are more Covid cases per 100,000 of the population. The lowest cases are around the town centre, with the addition of Aberkenfig, while further from the town and heading up the valleys, the case numbers increase. </w:t>
      </w:r>
    </w:p>
    <w:p w14:paraId="597A8AF9" w14:textId="77777777" w:rsidR="00F90679" w:rsidRDefault="00F90679" w:rsidP="00F90679">
      <w:r>
        <w:t>Data is collected from InFuse to examine age, economic activity, and academic education levels to look for correlation between this data and Covid vaccine uptake.</w:t>
      </w:r>
    </w:p>
    <w:p w14:paraId="4D325955" w14:textId="77777777" w:rsidR="00F90679" w:rsidRDefault="00F90679" w:rsidP="00F90679">
      <w:r>
        <w:rPr>
          <w:noProof/>
        </w:rPr>
        <w:lastRenderedPageBreak/>
        <w:drawing>
          <wp:inline distT="0" distB="0" distL="0" distR="0" wp14:anchorId="0FFE7CEE" wp14:editId="310B655E">
            <wp:extent cx="4572000" cy="2200275"/>
            <wp:effectExtent l="0" t="0" r="0" b="0"/>
            <wp:docPr id="1737879608" name="Picture 1737879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2200275"/>
                    </a:xfrm>
                    <a:prstGeom prst="rect">
                      <a:avLst/>
                    </a:prstGeom>
                  </pic:spPr>
                </pic:pic>
              </a:graphicData>
            </a:graphic>
          </wp:inline>
        </w:drawing>
      </w:r>
    </w:p>
    <w:p w14:paraId="1F99FAC8" w14:textId="77777777" w:rsidR="00F90679" w:rsidRDefault="00F90679" w:rsidP="00F90679">
      <w:r>
        <w:t>The Covid uptake data doesn’t allow for such a detailed look at Wales, and so instead a map of Wales must be used in order to map against our vaccine uptake data.</w:t>
      </w:r>
    </w:p>
    <w:p w14:paraId="71368985" w14:textId="77777777" w:rsidR="00F90679" w:rsidRDefault="00F90679" w:rsidP="00F90679">
      <w:r>
        <w:rPr>
          <w:noProof/>
        </w:rPr>
        <w:drawing>
          <wp:inline distT="0" distB="0" distL="0" distR="0" wp14:anchorId="1D3C95C0" wp14:editId="3849AEFB">
            <wp:extent cx="5731510" cy="32829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82950"/>
                    </a:xfrm>
                    <a:prstGeom prst="rect">
                      <a:avLst/>
                    </a:prstGeom>
                  </pic:spPr>
                </pic:pic>
              </a:graphicData>
            </a:graphic>
          </wp:inline>
        </w:drawing>
      </w:r>
    </w:p>
    <w:p w14:paraId="54469C5D" w14:textId="77777777" w:rsidR="00F90679" w:rsidRDefault="00F90679" w:rsidP="00F90679">
      <w:r>
        <w:t>To map against this data, Welsh MSOA Rural/Urban Classification data was used.</w:t>
      </w:r>
    </w:p>
    <w:p w14:paraId="33E98F1A" w14:textId="77777777" w:rsidR="00F90679" w:rsidRDefault="00F90679" w:rsidP="00F90679">
      <w:r>
        <w:rPr>
          <w:noProof/>
        </w:rPr>
        <w:lastRenderedPageBreak/>
        <w:drawing>
          <wp:inline distT="0" distB="0" distL="0" distR="0" wp14:anchorId="7DCAB0EA" wp14:editId="63F20A20">
            <wp:extent cx="5731510" cy="44240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424045"/>
                    </a:xfrm>
                    <a:prstGeom prst="rect">
                      <a:avLst/>
                    </a:prstGeom>
                  </pic:spPr>
                </pic:pic>
              </a:graphicData>
            </a:graphic>
          </wp:inline>
        </w:drawing>
      </w:r>
    </w:p>
    <w:p w14:paraId="2223A0D4" w14:textId="77777777" w:rsidR="00F90679" w:rsidRDefault="00F90679" w:rsidP="00F90679">
      <w:r>
        <w:t>This data needed to be edited, again to match the Covid data by removing numerical identifiers.</w:t>
      </w:r>
    </w:p>
    <w:p w14:paraId="4BDDAA53" w14:textId="77777777" w:rsidR="00F90679" w:rsidRDefault="00F90679" w:rsidP="00F90679">
      <w:r>
        <w:rPr>
          <w:noProof/>
        </w:rPr>
        <w:lastRenderedPageBreak/>
        <w:drawing>
          <wp:inline distT="0" distB="0" distL="0" distR="0" wp14:anchorId="577B570C" wp14:editId="31C75701">
            <wp:extent cx="5731510" cy="58470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847080"/>
                    </a:xfrm>
                    <a:prstGeom prst="rect">
                      <a:avLst/>
                    </a:prstGeom>
                  </pic:spPr>
                </pic:pic>
              </a:graphicData>
            </a:graphic>
          </wp:inline>
        </w:drawing>
      </w:r>
    </w:p>
    <w:p w14:paraId="11DC0CAB" w14:textId="77777777" w:rsidR="00F90679" w:rsidRDefault="00F90679" w:rsidP="00F90679">
      <w:r>
        <w:t>Because the data was edited in csv format, it needs to be remapped, so first the data needs to be marked as mappable.</w:t>
      </w:r>
    </w:p>
    <w:p w14:paraId="41DEBFC8" w14:textId="77777777" w:rsidR="00F90679" w:rsidRDefault="00F90679" w:rsidP="00F90679">
      <w:r>
        <w:rPr>
          <w:noProof/>
        </w:rPr>
        <w:lastRenderedPageBreak/>
        <w:drawing>
          <wp:inline distT="0" distB="0" distL="0" distR="0" wp14:anchorId="47618D91" wp14:editId="0480C31B">
            <wp:extent cx="5731510" cy="34499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49955"/>
                    </a:xfrm>
                    <a:prstGeom prst="rect">
                      <a:avLst/>
                    </a:prstGeom>
                  </pic:spPr>
                </pic:pic>
              </a:graphicData>
            </a:graphic>
          </wp:inline>
        </w:drawing>
      </w:r>
    </w:p>
    <w:p w14:paraId="19703652" w14:textId="77777777" w:rsidR="00F90679" w:rsidRDefault="00F90679" w:rsidP="00F90679">
      <w:r>
        <w:t>Then, using the spatial tab, points need to be created.</w:t>
      </w:r>
    </w:p>
    <w:p w14:paraId="00E0B964" w14:textId="77777777" w:rsidR="00F90679" w:rsidRDefault="00F90679" w:rsidP="00F90679">
      <w:r>
        <w:rPr>
          <w:noProof/>
        </w:rPr>
        <w:drawing>
          <wp:inline distT="0" distB="0" distL="0" distR="0" wp14:anchorId="5AC9849A" wp14:editId="7FF0DEB5">
            <wp:extent cx="5731510" cy="30689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68955"/>
                    </a:xfrm>
                    <a:prstGeom prst="rect">
                      <a:avLst/>
                    </a:prstGeom>
                  </pic:spPr>
                </pic:pic>
              </a:graphicData>
            </a:graphic>
          </wp:inline>
        </w:drawing>
      </w:r>
    </w:p>
    <w:p w14:paraId="4834DD63" w14:textId="77777777" w:rsidR="00F90679" w:rsidRDefault="00F90679" w:rsidP="00F90679">
      <w:r>
        <w:t>This still proved difficult to map with, so after some more searching, it was discovered that a different map better fitted the need.</w:t>
      </w:r>
    </w:p>
    <w:p w14:paraId="2F1DF150" w14:textId="77777777" w:rsidR="00F90679" w:rsidRDefault="00F90679" w:rsidP="00F90679">
      <w:r>
        <w:rPr>
          <w:noProof/>
        </w:rPr>
        <w:lastRenderedPageBreak/>
        <w:drawing>
          <wp:inline distT="0" distB="0" distL="0" distR="0" wp14:anchorId="569CD2FE" wp14:editId="5957433F">
            <wp:extent cx="5731510" cy="3454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454400"/>
                    </a:xfrm>
                    <a:prstGeom prst="rect">
                      <a:avLst/>
                    </a:prstGeom>
                  </pic:spPr>
                </pic:pic>
              </a:graphicData>
            </a:graphic>
          </wp:inline>
        </w:drawing>
      </w:r>
    </w:p>
    <w:p w14:paraId="2ABF60E8" w14:textId="77777777" w:rsidR="00F90679" w:rsidRDefault="00F90679" w:rsidP="00F90679">
      <w:r>
        <w:t>With this map, it was possible to quickly combine the extracted data to look at Covid Vaccine uptake in Wales.</w:t>
      </w:r>
    </w:p>
    <w:p w14:paraId="0AF56BC4" w14:textId="77777777" w:rsidR="00F90679" w:rsidRDefault="00F90679" w:rsidP="00F90679">
      <w:r>
        <w:rPr>
          <w:noProof/>
        </w:rPr>
        <w:drawing>
          <wp:inline distT="0" distB="0" distL="0" distR="0" wp14:anchorId="03BBB416" wp14:editId="52F86E8E">
            <wp:extent cx="5731510" cy="28098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09875"/>
                    </a:xfrm>
                    <a:prstGeom prst="rect">
                      <a:avLst/>
                    </a:prstGeom>
                  </pic:spPr>
                </pic:pic>
              </a:graphicData>
            </a:graphic>
          </wp:inline>
        </w:drawing>
      </w:r>
    </w:p>
    <w:p w14:paraId="0433FC9F" w14:textId="77777777" w:rsidR="00F90679" w:rsidRDefault="00F90679" w:rsidP="00F90679">
      <w:r>
        <w:t xml:space="preserve">As it stands, this map merges all of the available data which is actually separated out by age group. </w:t>
      </w:r>
    </w:p>
    <w:p w14:paraId="596F1F00" w14:textId="77777777" w:rsidR="00F90679" w:rsidRDefault="00F90679" w:rsidP="00F90679">
      <w:r>
        <w:rPr>
          <w:noProof/>
        </w:rPr>
        <w:lastRenderedPageBreak/>
        <w:drawing>
          <wp:inline distT="0" distB="0" distL="0" distR="0" wp14:anchorId="1FB63121" wp14:editId="2B8775EA">
            <wp:extent cx="5731510" cy="174815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748155"/>
                    </a:xfrm>
                    <a:prstGeom prst="rect">
                      <a:avLst/>
                    </a:prstGeom>
                  </pic:spPr>
                </pic:pic>
              </a:graphicData>
            </a:graphic>
          </wp:inline>
        </w:drawing>
      </w:r>
    </w:p>
    <w:p w14:paraId="17052888" w14:textId="77777777" w:rsidR="00F90679" w:rsidRDefault="00F90679" w:rsidP="00F90679">
      <w:r>
        <w:t>To improve the ability to scrutinize this data, it would be better to separate out the age groups in to their own spreadsheets and control them using MapInfo layers.</w:t>
      </w:r>
    </w:p>
    <w:p w14:paraId="3BF0A19A" w14:textId="77777777" w:rsidR="00F90679" w:rsidRDefault="00F90679" w:rsidP="00F90679">
      <w:r>
        <w:rPr>
          <w:noProof/>
        </w:rPr>
        <w:drawing>
          <wp:inline distT="0" distB="0" distL="0" distR="0" wp14:anchorId="06C34AF5" wp14:editId="0D1F4E48">
            <wp:extent cx="5731510" cy="29571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57195"/>
                    </a:xfrm>
                    <a:prstGeom prst="rect">
                      <a:avLst/>
                    </a:prstGeom>
                  </pic:spPr>
                </pic:pic>
              </a:graphicData>
            </a:graphic>
          </wp:inline>
        </w:drawing>
      </w:r>
    </w:p>
    <w:p w14:paraId="197473A1" w14:textId="77777777" w:rsidR="00F90679" w:rsidRDefault="00F90679" w:rsidP="00F90679">
      <w:r>
        <w:t>Once this data is geocoded, the age group data will be interchangeable in MapInfo.</w:t>
      </w:r>
    </w:p>
    <w:p w14:paraId="2384A36F" w14:textId="77777777" w:rsidR="00F90679" w:rsidRDefault="00F90679" w:rsidP="00F90679">
      <w:r>
        <w:rPr>
          <w:noProof/>
        </w:rPr>
        <w:lastRenderedPageBreak/>
        <w:drawing>
          <wp:inline distT="0" distB="0" distL="0" distR="0" wp14:anchorId="050AD941" wp14:editId="0C3D55D4">
            <wp:extent cx="5731510" cy="42341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234180"/>
                    </a:xfrm>
                    <a:prstGeom prst="rect">
                      <a:avLst/>
                    </a:prstGeom>
                  </pic:spPr>
                </pic:pic>
              </a:graphicData>
            </a:graphic>
          </wp:inline>
        </w:drawing>
      </w:r>
      <w:r>
        <w:t>The map now shows clearly where the highest percetange of vaccine uptake in 18-29 year olds was, and this can be built upon.</w:t>
      </w:r>
    </w:p>
    <w:p w14:paraId="327E98CA" w14:textId="77777777" w:rsidR="00F90679" w:rsidRDefault="00F90679" w:rsidP="00F90679">
      <w:r>
        <w:rPr>
          <w:noProof/>
        </w:rPr>
        <w:lastRenderedPageBreak/>
        <w:drawing>
          <wp:inline distT="0" distB="0" distL="0" distR="0" wp14:anchorId="281256DF" wp14:editId="629B6CF8">
            <wp:extent cx="5731510" cy="41795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179570"/>
                    </a:xfrm>
                    <a:prstGeom prst="rect">
                      <a:avLst/>
                    </a:prstGeom>
                  </pic:spPr>
                </pic:pic>
              </a:graphicData>
            </a:graphic>
          </wp:inline>
        </w:drawing>
      </w:r>
    </w:p>
    <w:p w14:paraId="3DB85174" w14:textId="77777777" w:rsidR="00F90679" w:rsidRDefault="00F90679" w:rsidP="00F90679">
      <w:r>
        <w:t>The data for 30-39 year olds looks very similar, differing only in North Wales.</w:t>
      </w:r>
    </w:p>
    <w:p w14:paraId="6319A156" w14:textId="77777777" w:rsidR="00F90679" w:rsidRDefault="00F90679" w:rsidP="00F90679">
      <w:r>
        <w:rPr>
          <w:noProof/>
        </w:rPr>
        <w:lastRenderedPageBreak/>
        <w:drawing>
          <wp:inline distT="0" distB="0" distL="0" distR="0" wp14:anchorId="7FB05CA0" wp14:editId="2BDE73F7">
            <wp:extent cx="5731510" cy="44837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483735"/>
                    </a:xfrm>
                    <a:prstGeom prst="rect">
                      <a:avLst/>
                    </a:prstGeom>
                  </pic:spPr>
                </pic:pic>
              </a:graphicData>
            </a:graphic>
          </wp:inline>
        </w:drawing>
      </w:r>
    </w:p>
    <w:p w14:paraId="694F440B" w14:textId="77777777" w:rsidR="00F90679" w:rsidRDefault="00F90679" w:rsidP="00F90679">
      <w:r>
        <w:t>As the age group increase, the layout changes, but also the bottom ranging uptake percentage is much higher. This could be due to rollout speed, starting with the oldest, but at the time this data was taken, people were already being given a booster jab, so it is more likely representative of the willingness to get immunised in the older age groups.</w:t>
      </w:r>
    </w:p>
    <w:p w14:paraId="20F2581A" w14:textId="77777777" w:rsidR="00F90679" w:rsidRDefault="00F90679" w:rsidP="00F90679">
      <w:r>
        <w:rPr>
          <w:noProof/>
        </w:rPr>
        <w:lastRenderedPageBreak/>
        <w:drawing>
          <wp:inline distT="0" distB="0" distL="0" distR="0" wp14:anchorId="10139EBA" wp14:editId="5BBD10CC">
            <wp:extent cx="5731510" cy="403796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037965"/>
                    </a:xfrm>
                    <a:prstGeom prst="rect">
                      <a:avLst/>
                    </a:prstGeom>
                  </pic:spPr>
                </pic:pic>
              </a:graphicData>
            </a:graphic>
          </wp:inline>
        </w:drawing>
      </w:r>
    </w:p>
    <w:p w14:paraId="0C2AABD3" w14:textId="77777777" w:rsidR="00F90679" w:rsidRDefault="00F90679" w:rsidP="00F90679">
      <w:r>
        <w:t>There is little difference as the age bracket is increased to the next two decades, but again the bottom percentage is a much higher 95.</w:t>
      </w:r>
    </w:p>
    <w:p w14:paraId="5C0E70FA" w14:textId="77777777" w:rsidR="00F90679" w:rsidRDefault="00F90679" w:rsidP="00F90679">
      <w:r>
        <w:rPr>
          <w:noProof/>
        </w:rPr>
        <w:drawing>
          <wp:inline distT="0" distB="0" distL="0" distR="0" wp14:anchorId="7F3A4A08" wp14:editId="7A3712A2">
            <wp:extent cx="3200400" cy="2609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00400" cy="2609850"/>
                    </a:xfrm>
                    <a:prstGeom prst="rect">
                      <a:avLst/>
                    </a:prstGeom>
                  </pic:spPr>
                </pic:pic>
              </a:graphicData>
            </a:graphic>
          </wp:inline>
        </w:drawing>
      </w:r>
    </w:p>
    <w:p w14:paraId="311110EC" w14:textId="77777777" w:rsidR="00F90679" w:rsidRDefault="00F90679" w:rsidP="00F90679">
      <w:r>
        <w:t>The further the data is broken up, the more it can be scrutinised and compared to evaluate; in this case the uptake of Covid vaccines.</w:t>
      </w:r>
    </w:p>
    <w:p w14:paraId="76C2E900" w14:textId="77777777" w:rsidR="00F90679" w:rsidRDefault="00F90679" w:rsidP="00F90679">
      <w:r>
        <w:t>The data input is the most important factor when manipulating data for visualisation, with GIS as much as any other data visualisation. By using the area codes available in the MSOA data from the UK Data Service, it is possible to use MapInfo (or other GIS software) to explore data geographically, adding layers to the Covid cases and vaccine uptake (if the data had corresponding area codes) and comparing this to education, income, and deprivation levels.</w:t>
      </w:r>
    </w:p>
    <w:p w14:paraId="2E7198D7" w14:textId="77777777" w:rsidR="00F90679" w:rsidRDefault="00F90679" w:rsidP="00F90679">
      <w:r>
        <w:rPr>
          <w:noProof/>
        </w:rPr>
        <w:lastRenderedPageBreak/>
        <w:drawing>
          <wp:inline distT="0" distB="0" distL="0" distR="0" wp14:anchorId="2DD2C943" wp14:editId="0A7FE549">
            <wp:extent cx="5731510" cy="302006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20060"/>
                    </a:xfrm>
                    <a:prstGeom prst="rect">
                      <a:avLst/>
                    </a:prstGeom>
                  </pic:spPr>
                </pic:pic>
              </a:graphicData>
            </a:graphic>
          </wp:inline>
        </w:drawing>
      </w:r>
    </w:p>
    <w:p w14:paraId="5701430D" w14:textId="77777777" w:rsidR="00F90679" w:rsidRDefault="00F90679" w:rsidP="00F90679">
      <w:r>
        <w:t>Using Swansea as an example, above is a map demonstrating deprivation levels according to the Townsend Index. If the data for number of Covid cases is added, layers can be switched on and off to compare the overlays.</w:t>
      </w:r>
    </w:p>
    <w:p w14:paraId="6676267B" w14:textId="77777777" w:rsidR="00F90679" w:rsidRDefault="00F90679" w:rsidP="00F90679">
      <w:r>
        <w:rPr>
          <w:noProof/>
        </w:rPr>
        <w:drawing>
          <wp:inline distT="0" distB="0" distL="0" distR="0" wp14:anchorId="678BE21B" wp14:editId="7C6E15AC">
            <wp:extent cx="5731510" cy="253428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534285"/>
                    </a:xfrm>
                    <a:prstGeom prst="rect">
                      <a:avLst/>
                    </a:prstGeom>
                  </pic:spPr>
                </pic:pic>
              </a:graphicData>
            </a:graphic>
          </wp:inline>
        </w:drawing>
      </w:r>
    </w:p>
    <w:p w14:paraId="5DAF37F0" w14:textId="77777777" w:rsidR="00F90679" w:rsidRDefault="00F90679" w:rsidP="00F90679">
      <w:r>
        <w:t>Furthermore, symbols can be used for an overlapped view when it would be of use.</w:t>
      </w:r>
    </w:p>
    <w:p w14:paraId="2601EAAD" w14:textId="77777777" w:rsidR="00F90679" w:rsidRDefault="00F90679" w:rsidP="00F90679">
      <w:r>
        <w:rPr>
          <w:noProof/>
        </w:rPr>
        <w:lastRenderedPageBreak/>
        <w:drawing>
          <wp:inline distT="0" distB="0" distL="0" distR="0" wp14:anchorId="26426EF5" wp14:editId="5DA77010">
            <wp:extent cx="5731510" cy="2911475"/>
            <wp:effectExtent l="0" t="0" r="254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911475"/>
                    </a:xfrm>
                    <a:prstGeom prst="rect">
                      <a:avLst/>
                    </a:prstGeom>
                  </pic:spPr>
                </pic:pic>
              </a:graphicData>
            </a:graphic>
          </wp:inline>
        </w:drawing>
      </w:r>
    </w:p>
    <w:p w14:paraId="3294A552" w14:textId="77777777" w:rsidR="00F90679" w:rsidRDefault="00F90679" w:rsidP="00F90679">
      <w:r>
        <w:t>This map demonstrates deprivation levels as per the Townsend Index by coloured circle; the lighter the dot the more deprived an area, while the map denotes Covid cases as per the legend. Again, with a better matched set of data, clarity could be improved.</w:t>
      </w:r>
    </w:p>
    <w:p w14:paraId="0B9716A8" w14:textId="77777777" w:rsidR="00F90679" w:rsidRDefault="00F90679" w:rsidP="00F90679">
      <w:r>
        <w:t>Additional data might also prove interesting, such as hospital location. It has been noted in other studies that distance from a hospital or vaccination centre is a contributing factor in vaccination uptake.</w:t>
      </w:r>
    </w:p>
    <w:p w14:paraId="3E4CD2AB" w14:textId="77777777" w:rsidR="00F90679" w:rsidRDefault="00F90679" w:rsidP="00F90679"/>
    <w:p w14:paraId="12E8F7AF" w14:textId="77777777" w:rsidR="00534CB9" w:rsidRDefault="00534CB9" w:rsidP="00C36823"/>
    <w:p w14:paraId="45D8E461" w14:textId="26FA1BD5" w:rsidR="009925A2" w:rsidRDefault="00534CB9" w:rsidP="00857ED0">
      <w:pPr>
        <w:pStyle w:val="Heading1"/>
      </w:pPr>
      <w:bookmarkStart w:id="1" w:name="_1.1_Brief_Overview"/>
      <w:bookmarkEnd w:id="1"/>
      <w:r>
        <w:t>Report</w:t>
      </w:r>
    </w:p>
    <w:p w14:paraId="2CBE36EE" w14:textId="77777777" w:rsidR="009925A2" w:rsidRDefault="009925A2" w:rsidP="009925A2"/>
    <w:p w14:paraId="22312ED8" w14:textId="6DBBD2C5" w:rsidR="002A3FA0" w:rsidRDefault="00C30D96" w:rsidP="002A3FA0">
      <w:bookmarkStart w:id="2" w:name="_Skills_required_for"/>
      <w:bookmarkEnd w:id="2"/>
      <w:r>
        <w:t xml:space="preserve">Using </w:t>
      </w:r>
      <w:r w:rsidR="005517F8">
        <w:t xml:space="preserve">the Geographical Information System; MapInfo and the data visualisation built, it is now possible to examine the data </w:t>
      </w:r>
      <w:r w:rsidR="00690D80">
        <w:t xml:space="preserve">to inform healthcare professionals on the uptake of vaccine </w:t>
      </w:r>
      <w:r w:rsidR="00A64640">
        <w:t xml:space="preserve">programmes, as well as much more besides. It can be used to search patterns </w:t>
      </w:r>
      <w:r w:rsidR="00F337F3">
        <w:t xml:space="preserve">and view data in a different way, that will provide evidence not only as to the vaccination uptake, but trends that might be influencing </w:t>
      </w:r>
      <w:r w:rsidR="00AA79B7">
        <w:t xml:space="preserve">this, such as trends in age, income, academic levels and </w:t>
      </w:r>
      <w:r w:rsidR="00CE1DB3">
        <w:t>much more</w:t>
      </w:r>
      <w:r w:rsidR="00AA79B7">
        <w:t>.</w:t>
      </w:r>
    </w:p>
    <w:p w14:paraId="012F9F3F" w14:textId="32B8C7EB" w:rsidR="00CE1DB3" w:rsidRDefault="00BC09C4" w:rsidP="002A3FA0">
      <w:r>
        <w:t xml:space="preserve">GIS can be used as a means of problem solving and decision making, </w:t>
      </w:r>
      <w:r w:rsidR="001000AC">
        <w:t>and has more applications than one might initially think. For example:</w:t>
      </w:r>
    </w:p>
    <w:p w14:paraId="75DA5FE1" w14:textId="175EE2D5" w:rsidR="001000AC" w:rsidRDefault="001000AC" w:rsidP="001000AC">
      <w:pPr>
        <w:pStyle w:val="ListParagraph"/>
        <w:numPr>
          <w:ilvl w:val="0"/>
          <w:numId w:val="33"/>
        </w:numPr>
      </w:pPr>
      <w:r>
        <w:t>Location</w:t>
      </w:r>
      <w:r w:rsidR="002E7047">
        <w:t>s in relation to other locations</w:t>
      </w:r>
    </w:p>
    <w:p w14:paraId="2E30CEA9" w14:textId="34C279D4" w:rsidR="002E7047" w:rsidRDefault="008372AB" w:rsidP="001000AC">
      <w:pPr>
        <w:pStyle w:val="ListParagraph"/>
        <w:numPr>
          <w:ilvl w:val="0"/>
          <w:numId w:val="33"/>
        </w:numPr>
      </w:pPr>
      <w:r>
        <w:t>The density/occurrence of a feature on a map</w:t>
      </w:r>
    </w:p>
    <w:p w14:paraId="23C88EB0" w14:textId="1A49D89E" w:rsidR="008372AB" w:rsidRDefault="004A170B" w:rsidP="001000AC">
      <w:pPr>
        <w:pStyle w:val="ListParagraph"/>
        <w:numPr>
          <w:ilvl w:val="0"/>
          <w:numId w:val="33"/>
        </w:numPr>
      </w:pPr>
      <w:r>
        <w:t>Activity in relation to a geographical point</w:t>
      </w:r>
    </w:p>
    <w:p w14:paraId="1E07E218" w14:textId="5AC32A37" w:rsidR="004A170B" w:rsidRDefault="004A170B" w:rsidP="001000AC">
      <w:pPr>
        <w:pStyle w:val="ListParagraph"/>
        <w:numPr>
          <w:ilvl w:val="0"/>
          <w:numId w:val="33"/>
        </w:numPr>
      </w:pPr>
      <w:r>
        <w:t>How an area has changed over time</w:t>
      </w:r>
      <w:sdt>
        <w:sdtPr>
          <w:id w:val="679168772"/>
          <w:citation/>
        </w:sdtPr>
        <w:sdtContent>
          <w:r>
            <w:fldChar w:fldCharType="begin"/>
          </w:r>
          <w:r>
            <w:instrText xml:space="preserve"> CITATION Uni22 \l 2057 </w:instrText>
          </w:r>
          <w:r>
            <w:fldChar w:fldCharType="separate"/>
          </w:r>
          <w:r w:rsidR="008B6DD4">
            <w:rPr>
              <w:noProof/>
            </w:rPr>
            <w:t xml:space="preserve"> </w:t>
          </w:r>
          <w:r w:rsidR="008B6DD4" w:rsidRPr="008B6DD4">
            <w:rPr>
              <w:noProof/>
            </w:rPr>
            <w:t>[1]</w:t>
          </w:r>
          <w:r>
            <w:fldChar w:fldCharType="end"/>
          </w:r>
        </w:sdtContent>
      </w:sdt>
    </w:p>
    <w:p w14:paraId="3AFAB674" w14:textId="64D62314" w:rsidR="001A59B6" w:rsidRDefault="001A59B6" w:rsidP="001A59B6">
      <w:pPr>
        <w:pStyle w:val="Heading2"/>
      </w:pPr>
      <w:r>
        <w:t>Vaccination uptake in Wales</w:t>
      </w:r>
    </w:p>
    <w:p w14:paraId="266D5E5D" w14:textId="53889CF8" w:rsidR="004A170B" w:rsidRDefault="00CE207C" w:rsidP="004A170B">
      <w:r>
        <w:t xml:space="preserve">To firstly examine </w:t>
      </w:r>
      <w:r w:rsidR="00312082">
        <w:t xml:space="preserve">the uptake of the Covid Vaccine in Wales, the </w:t>
      </w:r>
      <w:r w:rsidR="00F267D5">
        <w:t>data allows examination by age group of vaccination uptake.</w:t>
      </w:r>
    </w:p>
    <w:p w14:paraId="213D8B66" w14:textId="3A458375" w:rsidR="00F267D5" w:rsidRDefault="00F97CF8" w:rsidP="004A170B">
      <w:r>
        <w:rPr>
          <w:noProof/>
        </w:rPr>
        <w:lastRenderedPageBreak/>
        <w:drawing>
          <wp:inline distT="0" distB="0" distL="0" distR="0" wp14:anchorId="3B07EF20" wp14:editId="3A6D7671">
            <wp:extent cx="2524125" cy="2171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524125" cy="2171700"/>
                    </a:xfrm>
                    <a:prstGeom prst="rect">
                      <a:avLst/>
                    </a:prstGeom>
                  </pic:spPr>
                </pic:pic>
              </a:graphicData>
            </a:graphic>
          </wp:inline>
        </w:drawing>
      </w:r>
    </w:p>
    <w:p w14:paraId="17D0F8D2" w14:textId="26818EA5" w:rsidR="00F97CF8" w:rsidRDefault="007618F0" w:rsidP="004A170B">
      <w:r>
        <w:t xml:space="preserve">Starting with </w:t>
      </w:r>
      <w:r w:rsidR="00AA236A">
        <w:t xml:space="preserve">60 – 79 years old, vaccination uptake </w:t>
      </w:r>
      <w:r w:rsidR="005A3A9A">
        <w:t xml:space="preserve">in the lowest area (pink) is still over 95%, with the highest </w:t>
      </w:r>
      <w:r w:rsidR="00055C42">
        <w:t>being 97.6%</w:t>
      </w:r>
      <w:r w:rsidR="001B5AE5">
        <w:t>. It is a variability of less than 3% between the lowest and highest uptake areas</w:t>
      </w:r>
      <w:r w:rsidR="00CD57C4">
        <w:t xml:space="preserve">. </w:t>
      </w:r>
    </w:p>
    <w:p w14:paraId="534A055D" w14:textId="51210FD7" w:rsidR="00CD57C4" w:rsidRDefault="004D7A50" w:rsidP="004A170B">
      <w:r>
        <w:rPr>
          <w:noProof/>
        </w:rPr>
        <w:drawing>
          <wp:inline distT="0" distB="0" distL="0" distR="0" wp14:anchorId="2DCFA4DE" wp14:editId="11F4B26A">
            <wp:extent cx="2181225" cy="21621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181225" cy="2162175"/>
                    </a:xfrm>
                    <a:prstGeom prst="rect">
                      <a:avLst/>
                    </a:prstGeom>
                  </pic:spPr>
                </pic:pic>
              </a:graphicData>
            </a:graphic>
          </wp:inline>
        </w:drawing>
      </w:r>
    </w:p>
    <w:p w14:paraId="7C697A60" w14:textId="5F8CAF56" w:rsidR="004D7A50" w:rsidRDefault="00F911B3" w:rsidP="004A170B">
      <w:r>
        <w:t xml:space="preserve">Comparing this map to 40-59 year olds, </w:t>
      </w:r>
      <w:r w:rsidR="008E2A78">
        <w:t>where uptake has a much wider range, from 84.6%</w:t>
      </w:r>
      <w:r w:rsidR="00633619">
        <w:t xml:space="preserve"> (pale yellow) to 91.8% (brown)</w:t>
      </w:r>
      <w:r w:rsidR="004F483C">
        <w:t xml:space="preserve">. </w:t>
      </w:r>
      <w:r w:rsidR="007D7A72">
        <w:t>The highest uptake is also much lower than the lowest uptake in the age bracket above</w:t>
      </w:r>
      <w:r w:rsidR="003A7BC5">
        <w:t xml:space="preserve">, though the uptake trends closely follows that of the higher age group in terms of geographical area. </w:t>
      </w:r>
      <w:r w:rsidR="00435AB0">
        <w:t xml:space="preserve">These facts could point simply to the vaccination rollout speed, with it having been offered to the older population first, however there are some key differences to highlight. </w:t>
      </w:r>
      <w:r w:rsidR="00D10E33">
        <w:t>Comparatively</w:t>
      </w:r>
      <w:r w:rsidR="000F2A5C">
        <w:t xml:space="preserve">, the uptake of vaccination in mid-Wales has proven to be relatively more </w:t>
      </w:r>
      <w:r w:rsidR="00D10E33">
        <w:t xml:space="preserve">successful in the younger age group. If we were to consider the difference in uptake range to be solely down to rollout pace, </w:t>
      </w:r>
      <w:r w:rsidR="00E83A03">
        <w:t xml:space="preserve">we would expect to see the colours follow the same trend. </w:t>
      </w:r>
      <w:r w:rsidR="001C507A">
        <w:t>On the other hand, the uptake in Swansea was much higher in the older age category,</w:t>
      </w:r>
      <w:r w:rsidR="002A362B">
        <w:t xml:space="preserve"> while In 40-59 year olds the relative scale positioning is 2 points lower.</w:t>
      </w:r>
    </w:p>
    <w:p w14:paraId="332F6BA8" w14:textId="7E4A14B6" w:rsidR="002A362B" w:rsidRDefault="000A3AE7" w:rsidP="004A170B">
      <w:r>
        <w:rPr>
          <w:noProof/>
        </w:rPr>
        <w:lastRenderedPageBreak/>
        <w:drawing>
          <wp:inline distT="0" distB="0" distL="0" distR="0" wp14:anchorId="26838DFE" wp14:editId="1FEB0C09">
            <wp:extent cx="2409825" cy="22860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409825" cy="2286000"/>
                    </a:xfrm>
                    <a:prstGeom prst="rect">
                      <a:avLst/>
                    </a:prstGeom>
                  </pic:spPr>
                </pic:pic>
              </a:graphicData>
            </a:graphic>
          </wp:inline>
        </w:drawing>
      </w:r>
    </w:p>
    <w:p w14:paraId="7B0986B8" w14:textId="0E9D9CE0" w:rsidR="000A3AE7" w:rsidRDefault="000A3AE7" w:rsidP="004A170B">
      <w:r>
        <w:t xml:space="preserve">Examining next 30-39 year olds, </w:t>
      </w:r>
      <w:r w:rsidR="004039C4">
        <w:t xml:space="preserve">the map is changing quite significantly. </w:t>
      </w:r>
      <w:r w:rsidR="008A10A2">
        <w:t xml:space="preserve">Firstly, the uptake now ranges from </w:t>
      </w:r>
      <w:r w:rsidR="00F85737">
        <w:t xml:space="preserve">69.2% (pale) to 83.6% (dark). Once again the lowest in the higher age category </w:t>
      </w:r>
      <w:r w:rsidR="00EE731F">
        <w:t xml:space="preserve">is a higher uptake than the highest in this. This adds credence to the vaccination rollout speed playing a part. </w:t>
      </w:r>
      <w:r w:rsidR="00730DBF">
        <w:t xml:space="preserve">However, the relative percentage uptake by area changes more this time. </w:t>
      </w:r>
      <w:r w:rsidR="009328FC">
        <w:t>While we still see the highest uptake in Monmouthshire, Bla</w:t>
      </w:r>
      <w:r w:rsidR="00115BE6">
        <w:t>neau Gwent, Rhondda Cynon Taf and Caerphilly in South Wales</w:t>
      </w:r>
      <w:r w:rsidR="00486138">
        <w:t>, uptake in Bridgend</w:t>
      </w:r>
      <w:r w:rsidR="00DF0C9A">
        <w:t xml:space="preserve"> has lessened. Neath Port Talbot has remained consistent, but Swansea has dropped still further behind</w:t>
      </w:r>
      <w:r w:rsidR="00F974DD">
        <w:t xml:space="preserve"> with some of the lowest relative uptake figures</w:t>
      </w:r>
      <w:r w:rsidR="003D2F84">
        <w:t>, as has Gwynedd</w:t>
      </w:r>
      <w:r w:rsidR="00800CB6">
        <w:t xml:space="preserve"> and Wrexham where there has also been a significant drop. </w:t>
      </w:r>
      <w:r w:rsidR="00FA0522">
        <w:t xml:space="preserve">Pembrokeshire has seen an improvement in 30-39 year old uptake, while Powys continues to </w:t>
      </w:r>
      <w:r w:rsidR="0033546B">
        <w:t xml:space="preserve">become a leading area for the age group in Wales. </w:t>
      </w:r>
    </w:p>
    <w:p w14:paraId="4F97EEFA" w14:textId="074243F8" w:rsidR="003A1DB3" w:rsidRDefault="0082349C" w:rsidP="004A170B">
      <w:r>
        <w:rPr>
          <w:noProof/>
        </w:rPr>
        <w:drawing>
          <wp:inline distT="0" distB="0" distL="0" distR="0" wp14:anchorId="37CE1367" wp14:editId="77CB23AB">
            <wp:extent cx="2590800" cy="23336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590800" cy="2333625"/>
                    </a:xfrm>
                    <a:prstGeom prst="rect">
                      <a:avLst/>
                    </a:prstGeom>
                  </pic:spPr>
                </pic:pic>
              </a:graphicData>
            </a:graphic>
          </wp:inline>
        </w:drawing>
      </w:r>
    </w:p>
    <w:p w14:paraId="14364582" w14:textId="376B35BB" w:rsidR="0082349C" w:rsidRDefault="0082349C" w:rsidP="004A170B">
      <w:r>
        <w:t xml:space="preserve">Looking lastly at </w:t>
      </w:r>
      <w:r w:rsidR="00A968D6">
        <w:t xml:space="preserve">18-29 year olds, uptake ranges from 65.5% (pale green) to 81.9% (dark green). </w:t>
      </w:r>
      <w:r w:rsidR="008E5CD2">
        <w:t xml:space="preserve">This is the first time there are been an overlap in ranges with the higher age group. </w:t>
      </w:r>
      <w:r w:rsidR="005B79CB">
        <w:t xml:space="preserve">While there is a 4% difference at the bottom of the scale, there is only a </w:t>
      </w:r>
      <w:r w:rsidR="00753532">
        <w:t xml:space="preserve">2% difference in the areas of highest uptake. Given that we know 18-29 year olds were the last to be offered the vaccination </w:t>
      </w:r>
      <w:r w:rsidR="00AE308D">
        <w:t>in the Welsh rollout program</w:t>
      </w:r>
      <w:r w:rsidR="00634BD0">
        <w:t xml:space="preserve">, this is the first time vaccination rollout pace </w:t>
      </w:r>
      <w:r w:rsidR="0032005F">
        <w:t xml:space="preserve">seems to lessen as a contributing factor. </w:t>
      </w:r>
      <w:r w:rsidR="006833B8">
        <w:t xml:space="preserve">Bridgend </w:t>
      </w:r>
      <w:r w:rsidR="002E5893">
        <w:t>joins the counties with highest rate of vaccine uptake, while uptake also improves in Denbighshire and Wrexham</w:t>
      </w:r>
      <w:r w:rsidR="009D774B">
        <w:t xml:space="preserve">. Neath Port Talbot sees a relative decrease in uptake, </w:t>
      </w:r>
      <w:r w:rsidR="007753A3">
        <w:t>as does Newport and Blaenau Gwent</w:t>
      </w:r>
      <w:r w:rsidR="00BD01E6">
        <w:t>.</w:t>
      </w:r>
    </w:p>
    <w:p w14:paraId="26F9093F" w14:textId="698FA05F" w:rsidR="00BD01E6" w:rsidRDefault="00BD01E6" w:rsidP="004A170B">
      <w:r>
        <w:t xml:space="preserve">Comparing the data presented so far, it would seem that 30-39 year olds were the most hesitant to take up the Covid vaccine, as evidenced </w:t>
      </w:r>
      <w:r w:rsidR="00622CDE">
        <w:t xml:space="preserve">but the 18-29 year olds catching up and overlapping </w:t>
      </w:r>
      <w:r w:rsidR="009753BA">
        <w:t xml:space="preserve">the percentage uptake range. </w:t>
      </w:r>
    </w:p>
    <w:p w14:paraId="46084E41" w14:textId="60F384D9" w:rsidR="009E6831" w:rsidRDefault="00624700" w:rsidP="004A170B">
      <w:r>
        <w:t xml:space="preserve">The next data under examination </w:t>
      </w:r>
      <w:r w:rsidR="0093169A">
        <w:t>to look at in relation will be population data. Rollout speed may have lost momentum or been harder to maintain in areas of high population</w:t>
      </w:r>
      <w:r w:rsidR="00956476">
        <w:t>.</w:t>
      </w:r>
    </w:p>
    <w:p w14:paraId="793C5FB5" w14:textId="413DD46C" w:rsidR="00956476" w:rsidRDefault="00956476" w:rsidP="004A170B">
      <w:r>
        <w:rPr>
          <w:noProof/>
        </w:rPr>
        <w:lastRenderedPageBreak/>
        <w:drawing>
          <wp:inline distT="0" distB="0" distL="0" distR="0" wp14:anchorId="59B83745" wp14:editId="0B2D46A9">
            <wp:extent cx="5429250" cy="69818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29250" cy="6981825"/>
                    </a:xfrm>
                    <a:prstGeom prst="rect">
                      <a:avLst/>
                    </a:prstGeom>
                  </pic:spPr>
                </pic:pic>
              </a:graphicData>
            </a:graphic>
          </wp:inline>
        </w:drawing>
      </w:r>
    </w:p>
    <w:p w14:paraId="7C0B001C" w14:textId="7636422E" w:rsidR="00956476" w:rsidRDefault="00956476" w:rsidP="004A170B">
      <w:r>
        <w:t xml:space="preserve">Looking at this map </w:t>
      </w:r>
      <w:r w:rsidR="00801E90">
        <w:t>published by Welsh Government for population in 2018</w:t>
      </w:r>
      <w:sdt>
        <w:sdtPr>
          <w:id w:val="1805963159"/>
          <w:citation/>
        </w:sdtPr>
        <w:sdtContent>
          <w:r w:rsidR="00801E90">
            <w:fldChar w:fldCharType="begin"/>
          </w:r>
          <w:r w:rsidR="00801E90">
            <w:instrText xml:space="preserve"> CITATION Wel20 \l 2057 </w:instrText>
          </w:r>
          <w:r w:rsidR="00801E90">
            <w:fldChar w:fldCharType="separate"/>
          </w:r>
          <w:r w:rsidR="008B6DD4">
            <w:rPr>
              <w:noProof/>
            </w:rPr>
            <w:t xml:space="preserve"> </w:t>
          </w:r>
          <w:r w:rsidR="008B6DD4" w:rsidRPr="008B6DD4">
            <w:rPr>
              <w:noProof/>
            </w:rPr>
            <w:t>[2]</w:t>
          </w:r>
          <w:r w:rsidR="00801E90">
            <w:fldChar w:fldCharType="end"/>
          </w:r>
        </w:sdtContent>
      </w:sdt>
      <w:r w:rsidR="000E5054">
        <w:t xml:space="preserve"> we can see which</w:t>
      </w:r>
      <w:r w:rsidR="003762F2">
        <w:t xml:space="preserve"> counties in Wales have the highest population. </w:t>
      </w:r>
      <w:r w:rsidR="00501F51">
        <w:t xml:space="preserve">Referring back to the vaccine uptake data, the areas which saw </w:t>
      </w:r>
      <w:r w:rsidR="00D746E0">
        <w:t>the biggest</w:t>
      </w:r>
      <w:r w:rsidR="00501F51">
        <w:t xml:space="preserve"> decrease in uptake as age groups decreased were </w:t>
      </w:r>
      <w:r w:rsidR="009D5C8F">
        <w:t xml:space="preserve">Gwynedd, </w:t>
      </w:r>
      <w:r w:rsidR="00D746E0">
        <w:t xml:space="preserve">Wrexham, </w:t>
      </w:r>
      <w:r w:rsidR="00A34AC0">
        <w:t xml:space="preserve">Swansea, and Neath Port Talbot. </w:t>
      </w:r>
      <w:r w:rsidR="00587A25">
        <w:t xml:space="preserve">The only </w:t>
      </w:r>
      <w:r w:rsidR="005F4B39">
        <w:t xml:space="preserve">county of these four to have a high population is Swansea, </w:t>
      </w:r>
      <w:r w:rsidR="00A12B14">
        <w:t xml:space="preserve">While the rest are quite low on the population scale. </w:t>
      </w:r>
      <w:r w:rsidR="00DD28E8">
        <w:t>Meanwhile the biggest increases in vaccine uptake are seen from Pembrokeshire, Conwy</w:t>
      </w:r>
      <w:r w:rsidR="00292363">
        <w:t>,</w:t>
      </w:r>
      <w:r w:rsidR="00DD28E8">
        <w:t xml:space="preserve"> Denbighshire</w:t>
      </w:r>
      <w:r w:rsidR="00292363">
        <w:t xml:space="preserve"> and Powys</w:t>
      </w:r>
      <w:r w:rsidR="00C13E15">
        <w:t xml:space="preserve">. </w:t>
      </w:r>
    </w:p>
    <w:p w14:paraId="7C506464" w14:textId="565E5B59" w:rsidR="005B49A0" w:rsidRDefault="005B49A0" w:rsidP="004A170B">
      <w:r>
        <w:t xml:space="preserve">Population </w:t>
      </w:r>
      <w:r w:rsidR="009A25F9">
        <w:t xml:space="preserve">density doesn’t seem to have had any detrimental effect on vaccination rollout, as Rhondda Cynon Taf remained consistently </w:t>
      </w:r>
      <w:r w:rsidR="005B1CBB">
        <w:t xml:space="preserve">a top performer in terms of vaccination uptake through the </w:t>
      </w:r>
      <w:r w:rsidR="0015263B">
        <w:t xml:space="preserve">time period, While Cardiff, another of the three most populated areas was consistently </w:t>
      </w:r>
      <w:r w:rsidR="004A6A2A">
        <w:t>low.</w:t>
      </w:r>
      <w:r w:rsidR="002C7CF8">
        <w:t xml:space="preserve"> </w:t>
      </w:r>
      <w:r w:rsidR="00D20962">
        <w:t xml:space="preserve">Meanwhile the areas that </w:t>
      </w:r>
      <w:r w:rsidR="00D20962">
        <w:lastRenderedPageBreak/>
        <w:t xml:space="preserve">saw the largest increases in vaccination uptake are all similarly low on the scale of population density. </w:t>
      </w:r>
      <w:r w:rsidR="008C1D15">
        <w:t xml:space="preserve">Taking also in to account the </w:t>
      </w:r>
      <w:r w:rsidR="00C30DD1">
        <w:t xml:space="preserve">larger land mass of these areas, the data </w:t>
      </w:r>
      <w:r w:rsidR="00FA7A08">
        <w:t xml:space="preserve">suggests that the delivery of the vaccination might have improved over time with </w:t>
      </w:r>
      <w:r w:rsidR="00B46CEF">
        <w:t>logistical experience development, as an additional factor to a willingness to get vaccinated in the descending age groups.</w:t>
      </w:r>
    </w:p>
    <w:p w14:paraId="7CE34DEE" w14:textId="4C1F8855" w:rsidR="00B46CEF" w:rsidRDefault="00F9334A" w:rsidP="004A170B">
      <w:r>
        <w:t>Examining external data sources</w:t>
      </w:r>
      <w:r w:rsidR="00D36AA4">
        <w:t xml:space="preserve">; </w:t>
      </w:r>
    </w:p>
    <w:p w14:paraId="70BDFC05" w14:textId="442006AA" w:rsidR="00D36AA4" w:rsidRDefault="00D36AA4" w:rsidP="00414A85">
      <w:pPr>
        <w:ind w:left="720"/>
      </w:pPr>
      <w:r>
        <w:t>“</w:t>
      </w:r>
      <w:r w:rsidRPr="00414A85">
        <w:t>Both the highest odds and the predictive margins for being unvaccinated for dose 1 among all individuals in the study and for dose 2 among those aged 70 years and above were observed in the most deprived and among the black/African/Caribbean ethnicity.</w:t>
      </w:r>
      <w:r w:rsidRPr="00414A85">
        <w:t>”</w:t>
      </w:r>
      <w:sdt>
        <w:sdtPr>
          <w:id w:val="927460168"/>
          <w:citation/>
        </w:sdtPr>
        <w:sdtContent>
          <w:r w:rsidR="00414A85">
            <w:fldChar w:fldCharType="begin"/>
          </w:r>
          <w:r w:rsidR="00414A85">
            <w:instrText xml:space="preserve"> CITATION Tes21 \l 2057 </w:instrText>
          </w:r>
          <w:r w:rsidR="00414A85">
            <w:fldChar w:fldCharType="separate"/>
          </w:r>
          <w:r w:rsidR="008B6DD4">
            <w:rPr>
              <w:noProof/>
            </w:rPr>
            <w:t xml:space="preserve"> </w:t>
          </w:r>
          <w:r w:rsidR="008B6DD4" w:rsidRPr="008B6DD4">
            <w:rPr>
              <w:noProof/>
            </w:rPr>
            <w:t>[3]</w:t>
          </w:r>
          <w:r w:rsidR="00414A85">
            <w:fldChar w:fldCharType="end"/>
          </w:r>
        </w:sdtContent>
      </w:sdt>
    </w:p>
    <w:p w14:paraId="3F7E3942" w14:textId="272F16F0" w:rsidR="00414A85" w:rsidRDefault="00430124" w:rsidP="00414A85">
      <w:r>
        <w:t xml:space="preserve">It could be that the </w:t>
      </w:r>
      <w:r w:rsidR="001D5AFA">
        <w:t>Cardiff, with the highest diversity of race in Wales</w:t>
      </w:r>
      <w:sdt>
        <w:sdtPr>
          <w:id w:val="1815678269"/>
          <w:citation/>
        </w:sdtPr>
        <w:sdtContent>
          <w:r w:rsidR="001D5AFA">
            <w:fldChar w:fldCharType="begin"/>
          </w:r>
          <w:r w:rsidR="001D5AFA">
            <w:instrText xml:space="preserve"> CITATION Div22 \l 2057 </w:instrText>
          </w:r>
          <w:r w:rsidR="001D5AFA">
            <w:fldChar w:fldCharType="separate"/>
          </w:r>
          <w:r w:rsidR="008B6DD4">
            <w:rPr>
              <w:noProof/>
            </w:rPr>
            <w:t xml:space="preserve"> </w:t>
          </w:r>
          <w:r w:rsidR="008B6DD4" w:rsidRPr="008B6DD4">
            <w:rPr>
              <w:noProof/>
            </w:rPr>
            <w:t>[4]</w:t>
          </w:r>
          <w:r w:rsidR="001D5AFA">
            <w:fldChar w:fldCharType="end"/>
          </w:r>
        </w:sdtContent>
      </w:sdt>
      <w:r w:rsidR="002E3AF1">
        <w:t xml:space="preserve">, when compared to the study of NHS England data, </w:t>
      </w:r>
      <w:r w:rsidR="0087598B">
        <w:t xml:space="preserve">had the consistently lowest vaccine uptake for this same reason. </w:t>
      </w:r>
      <w:r w:rsidR="00671CED">
        <w:t>Meanwhile, Rhondda Cynon Taf, the consistently strongest are</w:t>
      </w:r>
      <w:r w:rsidR="00B8728E">
        <w:t>a</w:t>
      </w:r>
      <w:r w:rsidR="00671CED">
        <w:t xml:space="preserve"> for vaccine uptake has a non-white population of just </w:t>
      </w:r>
      <w:r w:rsidR="005141DC">
        <w:t>2.6%</w:t>
      </w:r>
      <w:sdt>
        <w:sdtPr>
          <w:id w:val="-90469745"/>
          <w:citation/>
        </w:sdtPr>
        <w:sdtContent>
          <w:r w:rsidR="005141DC">
            <w:fldChar w:fldCharType="begin"/>
          </w:r>
          <w:r w:rsidR="005141DC">
            <w:instrText xml:space="preserve"> CITATION Sta22 \l 2057 </w:instrText>
          </w:r>
          <w:r w:rsidR="005141DC">
            <w:fldChar w:fldCharType="separate"/>
          </w:r>
          <w:r w:rsidR="008B6DD4">
            <w:rPr>
              <w:noProof/>
            </w:rPr>
            <w:t xml:space="preserve"> </w:t>
          </w:r>
          <w:r w:rsidR="008B6DD4" w:rsidRPr="008B6DD4">
            <w:rPr>
              <w:noProof/>
            </w:rPr>
            <w:t>[5]</w:t>
          </w:r>
          <w:r w:rsidR="005141DC">
            <w:fldChar w:fldCharType="end"/>
          </w:r>
        </w:sdtContent>
      </w:sdt>
      <w:r w:rsidR="005141DC">
        <w:t xml:space="preserve"> compared to Cardiff</w:t>
      </w:r>
      <w:r w:rsidR="00B8728E">
        <w:t>’s 18.5%.</w:t>
      </w:r>
    </w:p>
    <w:p w14:paraId="7377AC4A" w14:textId="3BDF05D1" w:rsidR="006B4A74" w:rsidRDefault="006B4A74" w:rsidP="00414A85">
      <w:r>
        <w:rPr>
          <w:noProof/>
        </w:rPr>
        <w:drawing>
          <wp:inline distT="0" distB="0" distL="0" distR="0" wp14:anchorId="72CA7B4B" wp14:editId="710B2DB3">
            <wp:extent cx="5731510" cy="443928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439285"/>
                    </a:xfrm>
                    <a:prstGeom prst="rect">
                      <a:avLst/>
                    </a:prstGeom>
                  </pic:spPr>
                </pic:pic>
              </a:graphicData>
            </a:graphic>
          </wp:inline>
        </w:drawing>
      </w:r>
      <w:sdt>
        <w:sdtPr>
          <w:id w:val="1586498716"/>
          <w:citation/>
        </w:sdtPr>
        <w:sdtContent>
          <w:r w:rsidR="00C760BA">
            <w:fldChar w:fldCharType="begin"/>
          </w:r>
          <w:r w:rsidR="00C760BA">
            <w:instrText xml:space="preserve"> CITATION Swa20 \l 2057 </w:instrText>
          </w:r>
          <w:r w:rsidR="00C760BA">
            <w:fldChar w:fldCharType="separate"/>
          </w:r>
          <w:r w:rsidR="008B6DD4">
            <w:rPr>
              <w:noProof/>
            </w:rPr>
            <w:t xml:space="preserve"> </w:t>
          </w:r>
          <w:r w:rsidR="008B6DD4" w:rsidRPr="008B6DD4">
            <w:rPr>
              <w:noProof/>
            </w:rPr>
            <w:t>[6]</w:t>
          </w:r>
          <w:r w:rsidR="00C760BA">
            <w:fldChar w:fldCharType="end"/>
          </w:r>
        </w:sdtContent>
      </w:sdt>
    </w:p>
    <w:p w14:paraId="5DCA2623" w14:textId="77777777" w:rsidR="00D50449" w:rsidRDefault="00C760BA" w:rsidP="00414A85">
      <w:r>
        <w:t>A determined “</w:t>
      </w:r>
      <w:r w:rsidR="001A5622">
        <w:t xml:space="preserve">healthy lifestyle” </w:t>
      </w:r>
      <w:r w:rsidR="00B44524">
        <w:t xml:space="preserve">does actually seem to link to the uptake of Covid vaccination. Monmouthshire, Anglesey and Powys do indeed </w:t>
      </w:r>
      <w:r w:rsidR="00E96CB9">
        <w:t xml:space="preserve">report both healthy lifestyle behaviours, as well as high vaccination uptake. </w:t>
      </w:r>
      <w:r w:rsidR="00422549">
        <w:t xml:space="preserve">Cardiff however is an anomaly here, in that it scores as highly as Powys on the measure of healthy lifestyle, and yet </w:t>
      </w:r>
      <w:r w:rsidR="0091649C">
        <w:t xml:space="preserve">is in the lowest range of vaccination uptake. </w:t>
      </w:r>
    </w:p>
    <w:p w14:paraId="16C814B0" w14:textId="1050C457" w:rsidR="00C760BA" w:rsidRDefault="0091649C" w:rsidP="00414A85">
      <w:r>
        <w:t>Upon review of this additional data, ethnicity is still proving the strongest contributing factor to vaccination uptake</w:t>
      </w:r>
      <w:r w:rsidR="00D71EF3">
        <w:t xml:space="preserve">. This is reinforced by the similarly low uptake in Newport, with it’s second highest </w:t>
      </w:r>
      <w:r w:rsidR="00656CF7">
        <w:t>no</w:t>
      </w:r>
      <w:r w:rsidR="00102F6A">
        <w:t>n-</w:t>
      </w:r>
      <w:r w:rsidR="00656CF7">
        <w:t>white population at 12.1%</w:t>
      </w:r>
      <w:sdt>
        <w:sdtPr>
          <w:id w:val="668684203"/>
          <w:citation/>
        </w:sdtPr>
        <w:sdtContent>
          <w:r w:rsidR="00FE5350">
            <w:fldChar w:fldCharType="begin"/>
          </w:r>
          <w:r w:rsidR="00FE5350">
            <w:instrText xml:space="preserve"> CITATION Div22 \l 2057 </w:instrText>
          </w:r>
          <w:r w:rsidR="00FE5350">
            <w:fldChar w:fldCharType="separate"/>
          </w:r>
          <w:r w:rsidR="008B6DD4">
            <w:rPr>
              <w:noProof/>
            </w:rPr>
            <w:t xml:space="preserve"> </w:t>
          </w:r>
          <w:r w:rsidR="008B6DD4" w:rsidRPr="008B6DD4">
            <w:rPr>
              <w:noProof/>
            </w:rPr>
            <w:t>[4]</w:t>
          </w:r>
          <w:r w:rsidR="00FE5350">
            <w:fldChar w:fldCharType="end"/>
          </w:r>
        </w:sdtContent>
      </w:sdt>
      <w:r w:rsidR="00BA42C0">
        <w:t xml:space="preserve">, and while Swansea, </w:t>
      </w:r>
      <w:r w:rsidR="00FE5350">
        <w:t>with a non-white population of 10.2%</w:t>
      </w:r>
      <w:sdt>
        <w:sdtPr>
          <w:id w:val="662588426"/>
          <w:citation/>
        </w:sdtPr>
        <w:sdtContent>
          <w:r w:rsidR="00FE5350">
            <w:fldChar w:fldCharType="begin"/>
          </w:r>
          <w:r w:rsidR="00FE5350">
            <w:instrText xml:space="preserve"> CITATION Div22 \l 2057 </w:instrText>
          </w:r>
          <w:r w:rsidR="00FE5350">
            <w:fldChar w:fldCharType="separate"/>
          </w:r>
          <w:r w:rsidR="008B6DD4">
            <w:rPr>
              <w:noProof/>
            </w:rPr>
            <w:t xml:space="preserve"> </w:t>
          </w:r>
          <w:r w:rsidR="008B6DD4" w:rsidRPr="008B6DD4">
            <w:rPr>
              <w:noProof/>
            </w:rPr>
            <w:t>[4]</w:t>
          </w:r>
          <w:r w:rsidR="00FE5350">
            <w:fldChar w:fldCharType="end"/>
          </w:r>
        </w:sdtContent>
      </w:sdt>
      <w:r w:rsidR="00FE5350">
        <w:t xml:space="preserve"> </w:t>
      </w:r>
      <w:r w:rsidR="00BA42C0">
        <w:t xml:space="preserve"> has one of the highest uptakes in the aging population, </w:t>
      </w:r>
      <w:r w:rsidR="00102F6A">
        <w:t>bu</w:t>
      </w:r>
      <w:r w:rsidR="00BA42C0">
        <w:t xml:space="preserve">t falls significantly </w:t>
      </w:r>
      <w:r w:rsidR="003A3801">
        <w:t xml:space="preserve">to an area of the lowest uptake by the youngest age group. </w:t>
      </w:r>
    </w:p>
    <w:p w14:paraId="2B268BCD" w14:textId="182B30DB" w:rsidR="001A59B6" w:rsidRDefault="00556E92" w:rsidP="00556E92">
      <w:pPr>
        <w:pStyle w:val="Heading2"/>
      </w:pPr>
      <w:r>
        <w:lastRenderedPageBreak/>
        <w:t>A Focus on Covid cases in Swansea</w:t>
      </w:r>
    </w:p>
    <w:p w14:paraId="4E8FDC26" w14:textId="060C9115" w:rsidR="00FC186F" w:rsidRDefault="000D06BF" w:rsidP="00FC186F">
      <w:r>
        <w:t xml:space="preserve">Returning to </w:t>
      </w:r>
      <w:r w:rsidR="00EF32C7">
        <w:t>the GIS data presented in MapInfo, but focusing in on Swansea</w:t>
      </w:r>
      <w:r w:rsidR="00FC186F">
        <w:t xml:space="preserve">; </w:t>
      </w:r>
      <w:r w:rsidR="00FC186F">
        <w:t>Overlaying a map of deprivation levels in Swansea, as calculated using the Townsend Index* with the number of Covid cases by area within Swansea;</w:t>
      </w:r>
    </w:p>
    <w:p w14:paraId="29D75636" w14:textId="23145018" w:rsidR="00907BC3" w:rsidRPr="003678C7" w:rsidRDefault="00907BC3" w:rsidP="00FC186F">
      <w:pPr>
        <w:rPr>
          <w:i/>
          <w:iCs/>
        </w:rPr>
      </w:pPr>
      <w:r w:rsidRPr="003678C7">
        <w:rPr>
          <w:i/>
          <w:iCs/>
        </w:rPr>
        <w:t>*</w:t>
      </w:r>
      <w:r w:rsidR="00C3572E" w:rsidRPr="003678C7">
        <w:rPr>
          <w:i/>
          <w:iCs/>
        </w:rPr>
        <w:t xml:space="preserve">The Townsend Index </w:t>
      </w:r>
      <w:r w:rsidR="006A10FB" w:rsidRPr="003678C7">
        <w:rPr>
          <w:i/>
          <w:iCs/>
        </w:rPr>
        <w:t xml:space="preserve">is a measure of material deprivation, calculated by the incorporation of unemployment, </w:t>
      </w:r>
      <w:r w:rsidR="00CB791B" w:rsidRPr="003678C7">
        <w:rPr>
          <w:i/>
          <w:iCs/>
        </w:rPr>
        <w:t xml:space="preserve">non-car ownership, non-home ownership and household overcrowding </w:t>
      </w:r>
      <w:sdt>
        <w:sdtPr>
          <w:rPr>
            <w:i/>
            <w:iCs/>
          </w:rPr>
          <w:id w:val="965463895"/>
          <w:citation/>
        </w:sdtPr>
        <w:sdtContent>
          <w:r w:rsidR="00CB791B" w:rsidRPr="003678C7">
            <w:rPr>
              <w:i/>
              <w:iCs/>
            </w:rPr>
            <w:fldChar w:fldCharType="begin"/>
          </w:r>
          <w:r w:rsidR="00CB791B" w:rsidRPr="003678C7">
            <w:rPr>
              <w:i/>
              <w:iCs/>
            </w:rPr>
            <w:instrText xml:space="preserve"> CITATION Ont22 \l 2057 </w:instrText>
          </w:r>
          <w:r w:rsidR="00CB791B" w:rsidRPr="003678C7">
            <w:rPr>
              <w:i/>
              <w:iCs/>
            </w:rPr>
            <w:fldChar w:fldCharType="separate"/>
          </w:r>
          <w:r w:rsidR="008B6DD4" w:rsidRPr="008B6DD4">
            <w:rPr>
              <w:noProof/>
            </w:rPr>
            <w:t>[7]</w:t>
          </w:r>
          <w:r w:rsidR="00CB791B" w:rsidRPr="003678C7">
            <w:rPr>
              <w:i/>
              <w:iCs/>
            </w:rPr>
            <w:fldChar w:fldCharType="end"/>
          </w:r>
        </w:sdtContent>
      </w:sdt>
    </w:p>
    <w:p w14:paraId="6530398C" w14:textId="4B8520FA" w:rsidR="00E1486B" w:rsidRPr="003678C7" w:rsidRDefault="004F18E0" w:rsidP="00FC186F">
      <w:pPr>
        <w:rPr>
          <w:i/>
          <w:iCs/>
        </w:rPr>
      </w:pPr>
      <w:r w:rsidRPr="003678C7">
        <w:rPr>
          <w:i/>
          <w:iCs/>
        </w:rPr>
        <w:t>The most appropriate measure of socio-econ</w:t>
      </w:r>
      <w:r w:rsidR="00183437" w:rsidRPr="003678C7">
        <w:rPr>
          <w:i/>
          <w:iCs/>
        </w:rPr>
        <w:t>o</w:t>
      </w:r>
      <w:r w:rsidRPr="003678C7">
        <w:rPr>
          <w:i/>
          <w:iCs/>
        </w:rPr>
        <w:t xml:space="preserve">mic </w:t>
      </w:r>
      <w:r w:rsidR="00183437" w:rsidRPr="003678C7">
        <w:rPr>
          <w:i/>
          <w:iCs/>
        </w:rPr>
        <w:t xml:space="preserve">position is not yet known. TDS’s </w:t>
      </w:r>
      <w:r w:rsidR="00850B0B" w:rsidRPr="003678C7">
        <w:rPr>
          <w:i/>
          <w:iCs/>
        </w:rPr>
        <w:t>are calculated from Census data</w:t>
      </w:r>
      <w:r w:rsidR="007934FF" w:rsidRPr="003678C7">
        <w:rPr>
          <w:i/>
          <w:iCs/>
        </w:rPr>
        <w:t xml:space="preserve">, but have been found to be </w:t>
      </w:r>
      <w:r w:rsidR="00D64B48" w:rsidRPr="003678C7">
        <w:rPr>
          <w:i/>
          <w:iCs/>
        </w:rPr>
        <w:t>of stronger significance at an enumeration district level tha</w:t>
      </w:r>
      <w:r w:rsidR="002B2CB7" w:rsidRPr="003678C7">
        <w:rPr>
          <w:i/>
          <w:iCs/>
        </w:rPr>
        <w:t xml:space="preserve">n at a ward level. </w:t>
      </w:r>
      <w:sdt>
        <w:sdtPr>
          <w:rPr>
            <w:i/>
            <w:iCs/>
          </w:rPr>
          <w:id w:val="-1207409072"/>
          <w:citation/>
        </w:sdtPr>
        <w:sdtContent>
          <w:r w:rsidR="002B2CB7" w:rsidRPr="003678C7">
            <w:rPr>
              <w:i/>
              <w:iCs/>
            </w:rPr>
            <w:fldChar w:fldCharType="begin"/>
          </w:r>
          <w:r w:rsidR="002B2CB7" w:rsidRPr="003678C7">
            <w:rPr>
              <w:i/>
              <w:iCs/>
            </w:rPr>
            <w:instrText xml:space="preserve"> CITATION Ada04 \l 2057 </w:instrText>
          </w:r>
          <w:r w:rsidR="002B2CB7" w:rsidRPr="003678C7">
            <w:rPr>
              <w:i/>
              <w:iCs/>
            </w:rPr>
            <w:fldChar w:fldCharType="separate"/>
          </w:r>
          <w:r w:rsidR="008B6DD4" w:rsidRPr="008B6DD4">
            <w:rPr>
              <w:noProof/>
            </w:rPr>
            <w:t>[8]</w:t>
          </w:r>
          <w:r w:rsidR="002B2CB7" w:rsidRPr="003678C7">
            <w:rPr>
              <w:i/>
              <w:iCs/>
            </w:rPr>
            <w:fldChar w:fldCharType="end"/>
          </w:r>
        </w:sdtContent>
      </w:sdt>
      <w:r w:rsidR="006F74CF" w:rsidRPr="003678C7">
        <w:rPr>
          <w:i/>
          <w:iCs/>
        </w:rPr>
        <w:t xml:space="preserve"> For the purposes of this examination, TDS will be used for comparison.</w:t>
      </w:r>
    </w:p>
    <w:p w14:paraId="51256053" w14:textId="39838E72" w:rsidR="006F74CF" w:rsidRDefault="006F74CF" w:rsidP="00FC186F"/>
    <w:p w14:paraId="06FC7C44" w14:textId="77777777" w:rsidR="003678C7" w:rsidRDefault="003678C7" w:rsidP="00FC186F"/>
    <w:p w14:paraId="270A88DA" w14:textId="7FFD76F7" w:rsidR="00B8728E" w:rsidRDefault="00B8728E" w:rsidP="00414A85"/>
    <w:p w14:paraId="4CD62ECD" w14:textId="37745C4B" w:rsidR="00EF32C7" w:rsidRDefault="000E73D3" w:rsidP="00414A85">
      <w:r>
        <w:rPr>
          <w:noProof/>
        </w:rPr>
        <w:drawing>
          <wp:inline distT="0" distB="0" distL="0" distR="0" wp14:anchorId="3E163D2E" wp14:editId="36961A1B">
            <wp:extent cx="5731510" cy="4128135"/>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128135"/>
                    </a:xfrm>
                    <a:prstGeom prst="rect">
                      <a:avLst/>
                    </a:prstGeom>
                  </pic:spPr>
                </pic:pic>
              </a:graphicData>
            </a:graphic>
          </wp:inline>
        </w:drawing>
      </w:r>
    </w:p>
    <w:p w14:paraId="0953E8D8" w14:textId="6A3DB168" w:rsidR="00EE201F" w:rsidRDefault="00EE201F" w:rsidP="00414A85">
      <w:r>
        <w:rPr>
          <w:noProof/>
        </w:rPr>
        <w:lastRenderedPageBreak/>
        <w:drawing>
          <wp:inline distT="0" distB="0" distL="0" distR="0" wp14:anchorId="16CCFACE" wp14:editId="4E708D23">
            <wp:extent cx="5731510" cy="442468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424680"/>
                    </a:xfrm>
                    <a:prstGeom prst="rect">
                      <a:avLst/>
                    </a:prstGeom>
                  </pic:spPr>
                </pic:pic>
              </a:graphicData>
            </a:graphic>
          </wp:inline>
        </w:drawing>
      </w:r>
    </w:p>
    <w:p w14:paraId="5BCBC90F" w14:textId="612A84D8" w:rsidR="003678C7" w:rsidRDefault="001358C2" w:rsidP="00414A85">
      <w:r>
        <w:t xml:space="preserve">The TDS map indicates deprivation by area spanning from pale green (most deprived) to blue (least deprived), while the </w:t>
      </w:r>
      <w:r w:rsidR="005B30E1">
        <w:t>map of Covid cases (</w:t>
      </w:r>
      <w:r w:rsidR="00AF3C0A">
        <w:t xml:space="preserve">overlay screenshotted separately for clarity during the comparison) </w:t>
      </w:r>
      <w:r w:rsidR="009353D0">
        <w:t>spans least cases for the captured time period (</w:t>
      </w:r>
      <w:r w:rsidR="0053361F">
        <w:t>2-2.4% of the population</w:t>
      </w:r>
      <w:r w:rsidR="00B90AE0">
        <w:t xml:space="preserve">) in yellow, to most cases </w:t>
      </w:r>
      <w:r w:rsidR="0073226F">
        <w:t>(2.9-3.7%) in dark green.</w:t>
      </w:r>
    </w:p>
    <w:p w14:paraId="37373D8B" w14:textId="5C5E8D5B" w:rsidR="0073226F" w:rsidRDefault="00A43588" w:rsidP="00414A85">
      <w:r>
        <w:t xml:space="preserve">One might expect to see </w:t>
      </w:r>
      <w:r w:rsidR="00C93BE9">
        <w:t>a larger number of Covid cases in the more socio-economically deprived areas</w:t>
      </w:r>
      <w:r w:rsidR="00FC120D">
        <w:t xml:space="preserve">, but at a glance it would appear that the opposite is true. </w:t>
      </w:r>
      <w:r w:rsidR="0069598D">
        <w:t xml:space="preserve">The outlying districts of Swansea, tend towards being the most deprived areas according to the TDS, and yet </w:t>
      </w:r>
      <w:r w:rsidR="00F172C8">
        <w:t>it is these areas that have the lowest number of covid cases for the given time period.</w:t>
      </w:r>
    </w:p>
    <w:p w14:paraId="3261B36D" w14:textId="6F5EE2C6" w:rsidR="009A0EA1" w:rsidRDefault="009A0EA1" w:rsidP="00414A85">
      <w:r>
        <w:t xml:space="preserve">Focusing in on some specific areas, </w:t>
      </w:r>
      <w:r w:rsidR="00BF6FA8">
        <w:t>Bonymaen</w:t>
      </w:r>
      <w:r w:rsidR="0000412F">
        <w:t xml:space="preserve"> and Townhill are some of the highest scoring on the TDS scale, and they are similarly the places with the highest percentage of Covid cases </w:t>
      </w:r>
      <w:r w:rsidR="00CE7D79">
        <w:t xml:space="preserve">according to their populations. </w:t>
      </w:r>
    </w:p>
    <w:p w14:paraId="262EABFC" w14:textId="51C14F2B" w:rsidR="009737D7" w:rsidRDefault="009737D7" w:rsidP="00414A85">
      <w:r>
        <w:t>Kingsbridge</w:t>
      </w:r>
      <w:r w:rsidR="007A6D7D">
        <w:t xml:space="preserve"> and Cockett are some of the most deprived areas, and yet </w:t>
      </w:r>
      <w:r w:rsidR="007479D5">
        <w:t>they also record the top percentage of Covid cases, while Pontardulais and Pe</w:t>
      </w:r>
      <w:r w:rsidR="000203B4">
        <w:t xml:space="preserve">nyrheol score reasonably high on TDS scale, and around the same area of the scale for Covid cases. </w:t>
      </w:r>
    </w:p>
    <w:p w14:paraId="0007000A" w14:textId="0DC01E62" w:rsidR="00135A1D" w:rsidRDefault="00135A1D" w:rsidP="00414A85">
      <w:r>
        <w:t>With this data, it would seem there is no correlation between deprivation levels</w:t>
      </w:r>
      <w:r w:rsidR="00280B93">
        <w:t xml:space="preserve">, as calculated using the Townsend Index, and the number of Covid cases; contrary to </w:t>
      </w:r>
      <w:r w:rsidR="00453304">
        <w:t xml:space="preserve">the earlier hypothesis. </w:t>
      </w:r>
    </w:p>
    <w:p w14:paraId="1E5A3B4B" w14:textId="39B5291A" w:rsidR="00453304" w:rsidRDefault="00453304" w:rsidP="00414A85">
      <w:r>
        <w:t xml:space="preserve">Looking at the density of Covid cases towards the central geographic area of Swansea, </w:t>
      </w:r>
      <w:r w:rsidR="002179D1">
        <w:t>the Covid data suggests instead that it might be the most densely populated areas that have the highest number of Covid cases.</w:t>
      </w:r>
    </w:p>
    <w:p w14:paraId="75F6A8ED" w14:textId="54D8880F" w:rsidR="002179D1" w:rsidRDefault="00C6628B" w:rsidP="00414A85">
      <w:pPr>
        <w:rPr>
          <w:noProof/>
        </w:rPr>
      </w:pPr>
      <w:r>
        <w:rPr>
          <w:noProof/>
        </w:rPr>
        <w:lastRenderedPageBreak/>
        <w:drawing>
          <wp:inline distT="0" distB="0" distL="0" distR="0" wp14:anchorId="72B4EA2C" wp14:editId="218888BB">
            <wp:extent cx="3695700" cy="27527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695700" cy="2752725"/>
                    </a:xfrm>
                    <a:prstGeom prst="rect">
                      <a:avLst/>
                    </a:prstGeom>
                  </pic:spPr>
                </pic:pic>
              </a:graphicData>
            </a:graphic>
          </wp:inline>
        </w:drawing>
      </w:r>
      <w:r w:rsidR="002B02F3" w:rsidRPr="002B02F3">
        <w:rPr>
          <w:noProof/>
        </w:rPr>
        <w:t xml:space="preserve"> </w:t>
      </w:r>
      <w:r w:rsidR="002B02F3">
        <w:rPr>
          <w:noProof/>
        </w:rPr>
        <w:drawing>
          <wp:inline distT="0" distB="0" distL="0" distR="0" wp14:anchorId="3DD3BA15" wp14:editId="7E968972">
            <wp:extent cx="1524000" cy="27146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524000" cy="2714625"/>
                    </a:xfrm>
                    <a:prstGeom prst="rect">
                      <a:avLst/>
                    </a:prstGeom>
                  </pic:spPr>
                </pic:pic>
              </a:graphicData>
            </a:graphic>
          </wp:inline>
        </w:drawing>
      </w:r>
      <w:sdt>
        <w:sdtPr>
          <w:rPr>
            <w:noProof/>
          </w:rPr>
          <w:id w:val="310920485"/>
          <w:citation/>
        </w:sdtPr>
        <w:sdtContent>
          <w:r w:rsidR="009757B7">
            <w:rPr>
              <w:noProof/>
            </w:rPr>
            <w:fldChar w:fldCharType="begin"/>
          </w:r>
          <w:r w:rsidR="009757B7">
            <w:rPr>
              <w:noProof/>
            </w:rPr>
            <w:instrText xml:space="preserve"> CITATION plu19 \l 2057 </w:instrText>
          </w:r>
          <w:r w:rsidR="009757B7">
            <w:rPr>
              <w:noProof/>
            </w:rPr>
            <w:fldChar w:fldCharType="separate"/>
          </w:r>
          <w:r w:rsidR="008B6DD4">
            <w:rPr>
              <w:noProof/>
            </w:rPr>
            <w:t xml:space="preserve"> </w:t>
          </w:r>
          <w:r w:rsidR="008B6DD4" w:rsidRPr="008B6DD4">
            <w:rPr>
              <w:noProof/>
            </w:rPr>
            <w:t>[9]</w:t>
          </w:r>
          <w:r w:rsidR="009757B7">
            <w:rPr>
              <w:noProof/>
            </w:rPr>
            <w:fldChar w:fldCharType="end"/>
          </w:r>
        </w:sdtContent>
      </w:sdt>
    </w:p>
    <w:p w14:paraId="4F507D08" w14:textId="336CA368" w:rsidR="009757B7" w:rsidRDefault="000223AF" w:rsidP="00414A85">
      <w:pPr>
        <w:rPr>
          <w:noProof/>
        </w:rPr>
      </w:pPr>
      <w:r>
        <w:rPr>
          <w:noProof/>
        </w:rPr>
        <w:t xml:space="preserve">A quick </w:t>
      </w:r>
      <w:r w:rsidR="00192DC0">
        <w:rPr>
          <w:noProof/>
        </w:rPr>
        <w:t xml:space="preserve">glance at this map of population density in Swansea doesn’t match exactly to the number of Covid cases </w:t>
      </w:r>
      <w:r w:rsidR="00BA71D7">
        <w:rPr>
          <w:noProof/>
        </w:rPr>
        <w:t xml:space="preserve">as shown on the MapInfo plot. Using Swansea data to </w:t>
      </w:r>
      <w:r w:rsidR="00DF4724">
        <w:rPr>
          <w:noProof/>
        </w:rPr>
        <w:t>examine more closely:</w:t>
      </w:r>
    </w:p>
    <w:p w14:paraId="75C0E9F1" w14:textId="7EDAB6F6" w:rsidR="00953A75" w:rsidRDefault="00783E32" w:rsidP="00414A85">
      <w:r>
        <w:rPr>
          <w:noProof/>
        </w:rPr>
        <w:drawing>
          <wp:inline distT="0" distB="0" distL="0" distR="0" wp14:anchorId="6EB2D282" wp14:editId="2790F383">
            <wp:extent cx="5731510" cy="518922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5189220"/>
                    </a:xfrm>
                    <a:prstGeom prst="rect">
                      <a:avLst/>
                    </a:prstGeom>
                  </pic:spPr>
                </pic:pic>
              </a:graphicData>
            </a:graphic>
          </wp:inline>
        </w:drawing>
      </w:r>
    </w:p>
    <w:p w14:paraId="27A9FB6C" w14:textId="4C694843" w:rsidR="00783E32" w:rsidRDefault="005A2ACC" w:rsidP="00414A85">
      <w:sdt>
        <w:sdtPr>
          <w:id w:val="1007569506"/>
          <w:citation/>
        </w:sdtPr>
        <w:sdtContent>
          <w:r>
            <w:fldChar w:fldCharType="begin"/>
          </w:r>
          <w:r>
            <w:instrText xml:space="preserve"> CITATION Swa20 \l 2057 </w:instrText>
          </w:r>
          <w:r>
            <w:fldChar w:fldCharType="separate"/>
          </w:r>
          <w:r w:rsidR="008B6DD4" w:rsidRPr="008B6DD4">
            <w:rPr>
              <w:noProof/>
            </w:rPr>
            <w:t>[6]</w:t>
          </w:r>
          <w:r>
            <w:fldChar w:fldCharType="end"/>
          </w:r>
        </w:sdtContent>
      </w:sdt>
    </w:p>
    <w:p w14:paraId="5F95C7EC" w14:textId="149F8843" w:rsidR="005A2ACC" w:rsidRDefault="00351556" w:rsidP="00414A85">
      <w:r>
        <w:lastRenderedPageBreak/>
        <w:t xml:space="preserve">Adding this data to </w:t>
      </w:r>
      <w:r w:rsidR="00771A4B">
        <w:t xml:space="preserve">MapInfo shows that </w:t>
      </w:r>
      <w:r w:rsidR="00A24F59">
        <w:t xml:space="preserve">while some areas of high population density, such as </w:t>
      </w:r>
      <w:r w:rsidR="00800B9C">
        <w:t>Townhill</w:t>
      </w:r>
      <w:r w:rsidR="00753601">
        <w:t xml:space="preserve"> and Morriston correlate to the high number of Covid cases</w:t>
      </w:r>
      <w:r w:rsidR="000F4DAD">
        <w:t xml:space="preserve">, </w:t>
      </w:r>
      <w:r w:rsidR="00D4159C">
        <w:t>some of the least densely populated areas of Swansea, such as Bonymaen</w:t>
      </w:r>
      <w:r w:rsidR="00B7369B">
        <w:t xml:space="preserve">, Llangyfelach and Pontardulais </w:t>
      </w:r>
      <w:r w:rsidR="00523C2D">
        <w:t xml:space="preserve">also have very high numbers of Covid cases. </w:t>
      </w:r>
    </w:p>
    <w:p w14:paraId="3C8E0D16" w14:textId="77777777" w:rsidR="00C03F22" w:rsidRDefault="0012548E" w:rsidP="00414A85">
      <w:r>
        <w:t>Cross examining this data using GIS continues to disprove hypotheses</w:t>
      </w:r>
      <w:r w:rsidR="00265E54">
        <w:t>. Covid cases so far do not appear to be related either to socio-economic position</w:t>
      </w:r>
      <w:r w:rsidR="006876BF">
        <w:t xml:space="preserve">, as measured with the Townsend Index, nor population density either, and yet looking at the Covid case map </w:t>
      </w:r>
      <w:r w:rsidR="00B1034D">
        <w:t>it is clear that there are concentrated nuclei in the central areas of Swansea</w:t>
      </w:r>
      <w:r w:rsidR="008A403F">
        <w:t xml:space="preserve">, while the outlying districts report fewer cases. </w:t>
      </w:r>
    </w:p>
    <w:p w14:paraId="06900AA6" w14:textId="77777777" w:rsidR="0029294B" w:rsidRDefault="00B56E9C" w:rsidP="00414A85">
      <w:r>
        <w:t xml:space="preserve">The concentration of cases in Swansea within the examined </w:t>
      </w:r>
      <w:r w:rsidR="00D6634A">
        <w:t xml:space="preserve">time period could be related to services, such as sporting facilities or shopping centres. </w:t>
      </w:r>
      <w:r w:rsidR="00563E1F">
        <w:t xml:space="preserve">It could be related to locations of schools or Universities. </w:t>
      </w:r>
      <w:r w:rsidR="00847E6C">
        <w:t xml:space="preserve">By continuing to add data, hypotheses can be eliminated until one is proven as the common factor between </w:t>
      </w:r>
      <w:r w:rsidR="006E05DE">
        <w:t xml:space="preserve">the societal demographic and the number of Covid cases. Higher case numbers could also be linked to ethnic diversity as </w:t>
      </w:r>
      <w:r w:rsidR="006D6A7E">
        <w:t xml:space="preserve">evidenced on the wider map of Wales with Cardiff, or even something as specific </w:t>
      </w:r>
      <w:r w:rsidR="007735E0">
        <w:t xml:space="preserve">as nuclei of religious activity or political positions. </w:t>
      </w:r>
      <w:r w:rsidR="00517376">
        <w:t>By continuing to add data to GIS, a picture can be created, which could in turn feed back in to the health services</w:t>
      </w:r>
      <w:r w:rsidR="00573A11">
        <w:t>, evidencing the demographics they should target to increase the uptake of vaccination in this case</w:t>
      </w:r>
      <w:r w:rsidR="0029294B">
        <w:t>.</w:t>
      </w:r>
    </w:p>
    <w:p w14:paraId="0FAFD1A0" w14:textId="190538AB" w:rsidR="005E4C68" w:rsidRDefault="005E4C68" w:rsidP="005E4C68">
      <w:pPr>
        <w:pStyle w:val="Heading2"/>
      </w:pPr>
      <w:r>
        <w:t>Wider GIS applications</w:t>
      </w:r>
    </w:p>
    <w:p w14:paraId="43C180DE" w14:textId="00E942AF" w:rsidR="00784950" w:rsidRDefault="00167D62" w:rsidP="00414A85">
      <w:r>
        <w:t xml:space="preserve">Other use </w:t>
      </w:r>
      <w:r w:rsidR="00784950">
        <w:t>important industry applications for GIS include</w:t>
      </w:r>
    </w:p>
    <w:p w14:paraId="473B27C4" w14:textId="5626B551" w:rsidR="00523C2D" w:rsidRDefault="009A7769" w:rsidP="009A7769">
      <w:pPr>
        <w:pStyle w:val="ListParagraph"/>
        <w:numPr>
          <w:ilvl w:val="0"/>
          <w:numId w:val="34"/>
        </w:numPr>
      </w:pPr>
      <w:r>
        <w:t>Supply Chain Management</w:t>
      </w:r>
    </w:p>
    <w:p w14:paraId="2606B9C5" w14:textId="249BC01F" w:rsidR="007D27C1" w:rsidRDefault="007D27C1" w:rsidP="009A7769">
      <w:pPr>
        <w:pStyle w:val="ListParagraph"/>
        <w:numPr>
          <w:ilvl w:val="0"/>
          <w:numId w:val="34"/>
        </w:numPr>
      </w:pPr>
      <w:r>
        <w:t>Insurance</w:t>
      </w:r>
    </w:p>
    <w:p w14:paraId="06262B40" w14:textId="5E77E712" w:rsidR="00D95247" w:rsidRDefault="00D95247" w:rsidP="009A7769">
      <w:pPr>
        <w:pStyle w:val="ListParagraph"/>
        <w:numPr>
          <w:ilvl w:val="0"/>
          <w:numId w:val="34"/>
        </w:numPr>
      </w:pPr>
      <w:r>
        <w:t>Forestry</w:t>
      </w:r>
    </w:p>
    <w:p w14:paraId="38E88F81" w14:textId="015D1A35" w:rsidR="00D95247" w:rsidRDefault="00D95247" w:rsidP="009A7769">
      <w:pPr>
        <w:pStyle w:val="ListParagraph"/>
        <w:numPr>
          <w:ilvl w:val="0"/>
          <w:numId w:val="34"/>
        </w:numPr>
      </w:pPr>
      <w:r>
        <w:t>Urban Planning</w:t>
      </w:r>
    </w:p>
    <w:p w14:paraId="6BC31CDF" w14:textId="3676670E" w:rsidR="00D95247" w:rsidRDefault="00D95247" w:rsidP="009A7769">
      <w:pPr>
        <w:pStyle w:val="ListParagraph"/>
        <w:numPr>
          <w:ilvl w:val="0"/>
          <w:numId w:val="34"/>
        </w:numPr>
      </w:pPr>
      <w:r>
        <w:t>Banking</w:t>
      </w:r>
    </w:p>
    <w:p w14:paraId="775C5E72" w14:textId="611309D5" w:rsidR="00D95247" w:rsidRDefault="00DB47D5" w:rsidP="009A7769">
      <w:pPr>
        <w:pStyle w:val="ListParagraph"/>
        <w:numPr>
          <w:ilvl w:val="0"/>
          <w:numId w:val="34"/>
        </w:numPr>
      </w:pPr>
      <w:r>
        <w:t xml:space="preserve">Health Services </w:t>
      </w:r>
    </w:p>
    <w:p w14:paraId="7A4DE2D9" w14:textId="05DBD326" w:rsidR="00DA072A" w:rsidRDefault="00145947" w:rsidP="00145947">
      <w:r>
        <w:t xml:space="preserve">From </w:t>
      </w:r>
      <w:r w:rsidR="00FE25BF">
        <w:t xml:space="preserve">setting up delivery areas, </w:t>
      </w:r>
      <w:r w:rsidR="00C00D24">
        <w:t>t</w:t>
      </w:r>
      <w:r w:rsidR="00FE25BF">
        <w:t xml:space="preserve">o examining risk based on geographical area with the ability to add layers of data, such as flood risk and </w:t>
      </w:r>
      <w:r w:rsidR="00C00D24">
        <w:t>crime rates, to decid</w:t>
      </w:r>
      <w:r w:rsidR="00165CBF">
        <w:t>ing</w:t>
      </w:r>
      <w:r w:rsidR="00C00D24">
        <w:t xml:space="preserve"> the most effective location to place branches for an optimum caption area</w:t>
      </w:r>
      <w:r w:rsidR="00E91EFF">
        <w:t xml:space="preserve">, </w:t>
      </w:r>
      <w:sdt>
        <w:sdtPr>
          <w:id w:val="808440317"/>
          <w:citation/>
        </w:sdtPr>
        <w:sdtContent>
          <w:r w:rsidR="00E91EFF">
            <w:fldChar w:fldCharType="begin"/>
          </w:r>
          <w:r w:rsidR="00E91EFF">
            <w:instrText xml:space="preserve"> CITATION Uni21 \l 2057 </w:instrText>
          </w:r>
          <w:r w:rsidR="00E91EFF">
            <w:fldChar w:fldCharType="separate"/>
          </w:r>
          <w:r w:rsidR="008B6DD4" w:rsidRPr="008B6DD4">
            <w:rPr>
              <w:noProof/>
            </w:rPr>
            <w:t>[10]</w:t>
          </w:r>
          <w:r w:rsidR="00E91EFF">
            <w:fldChar w:fldCharType="end"/>
          </w:r>
        </w:sdtContent>
      </w:sdt>
      <w:r w:rsidR="00E91EFF">
        <w:t xml:space="preserve"> GIS has grown to become a vital </w:t>
      </w:r>
      <w:r w:rsidR="00A838BE">
        <w:t>technology in modern business and health care</w:t>
      </w:r>
      <w:r w:rsidR="009522F1">
        <w:t xml:space="preserve">. </w:t>
      </w:r>
      <w:r w:rsidR="00573A4C">
        <w:t xml:space="preserve">“The use of GIS so as to solve public health </w:t>
      </w:r>
      <w:r w:rsidR="0044598B">
        <w:t xml:space="preserve">issues has an exponential increase and has been vital to the understanding and treatment of heath problems in different geographic areas.” </w:t>
      </w:r>
      <w:sdt>
        <w:sdtPr>
          <w:id w:val="-1851403406"/>
          <w:citation/>
        </w:sdtPr>
        <w:sdtContent>
          <w:r w:rsidR="0044598B">
            <w:fldChar w:fldCharType="begin"/>
          </w:r>
          <w:r w:rsidR="0044598B">
            <w:instrText xml:space="preserve"> CITATION Fra14 \l 2057 </w:instrText>
          </w:r>
          <w:r w:rsidR="0044598B">
            <w:fldChar w:fldCharType="separate"/>
          </w:r>
          <w:r w:rsidR="008B6DD4" w:rsidRPr="008B6DD4">
            <w:rPr>
              <w:noProof/>
            </w:rPr>
            <w:t>[11]</w:t>
          </w:r>
          <w:r w:rsidR="0044598B">
            <w:fldChar w:fldCharType="end"/>
          </w:r>
        </w:sdtContent>
      </w:sdt>
    </w:p>
    <w:p w14:paraId="7609FD61" w14:textId="785BA54D" w:rsidR="00695146" w:rsidRDefault="00711903" w:rsidP="00145947">
      <w:r>
        <w:t xml:space="preserve">Public health is a very complex field, with everything from lifestyle and environment, </w:t>
      </w:r>
      <w:r w:rsidR="000F231C">
        <w:t xml:space="preserve">to socio-economics, to </w:t>
      </w:r>
      <w:r w:rsidR="00AF1AD7">
        <w:t xml:space="preserve">population and proximity. Medicine as a field has largely grown through experimentation, and the modern practice of medicine is based heavily on the </w:t>
      </w:r>
      <w:r w:rsidR="00CE1155">
        <w:t xml:space="preserve">evidence of what has come before. Diagnosing conditions </w:t>
      </w:r>
      <w:r w:rsidR="00F55B62">
        <w:t xml:space="preserve">can so often be finding corresponding factors that combine to create a certain situation, and the data behind </w:t>
      </w:r>
      <w:r w:rsidR="0035258D">
        <w:t xml:space="preserve">each diagnosis is incredible, and only increases with the population, the accumulated evidence, and the </w:t>
      </w:r>
      <w:r w:rsidR="00223486">
        <w:t>ever increasing combination of factors that create such situations. GIS is just one piece of this puzzle, but none the less a vital piece</w:t>
      </w:r>
      <w:r w:rsidR="00695146">
        <w:t>.</w:t>
      </w:r>
    </w:p>
    <w:p w14:paraId="6EE1691D" w14:textId="25803B90" w:rsidR="005E4C68" w:rsidRDefault="005E4C68" w:rsidP="005E4C68">
      <w:pPr>
        <w:pStyle w:val="Heading2"/>
      </w:pPr>
      <w:r>
        <w:t>Conclusion</w:t>
      </w:r>
    </w:p>
    <w:p w14:paraId="3B91C318" w14:textId="21507D2A" w:rsidR="00DF5ED1" w:rsidRDefault="00DF5ED1" w:rsidP="00145947">
      <w:r>
        <w:t xml:space="preserve">By cross examining the accumulated GIS data </w:t>
      </w:r>
      <w:r w:rsidR="00C17D1A">
        <w:t xml:space="preserve">in MapInfo, with some additional external resources, the data has shown that the most common </w:t>
      </w:r>
      <w:r w:rsidR="005E3A62">
        <w:t xml:space="preserve">correlation to low vaccination uptake </w:t>
      </w:r>
      <w:r w:rsidR="004A3E73">
        <w:t xml:space="preserve">in Wales </w:t>
      </w:r>
      <w:r w:rsidR="005E3A62">
        <w:t xml:space="preserve">would appear to be those of a non-white ethnic background. </w:t>
      </w:r>
    </w:p>
    <w:p w14:paraId="27DE6C4E" w14:textId="28BCD164" w:rsidR="00805DA4" w:rsidRDefault="003344F6" w:rsidP="00145947">
      <w:r>
        <w:t>Focusing in on Swansea, while there was no clear correlation in number of reported Covid cases with regards to socio-</w:t>
      </w:r>
      <w:r w:rsidR="002E08F8">
        <w:t>economic</w:t>
      </w:r>
      <w:r>
        <w:t xml:space="preserve"> positioning </w:t>
      </w:r>
      <w:r w:rsidR="002E08F8">
        <w:t xml:space="preserve">as measured by the Townsend Index, nor either by the population density of Swansea geographic districts, in disproving these hypotheses </w:t>
      </w:r>
      <w:r w:rsidR="008678E1">
        <w:t xml:space="preserve">valuable information was still gained. Additional data can be added to continue to work towards a conclusion, and indeed, it might be discovered that </w:t>
      </w:r>
      <w:r w:rsidR="00F56778">
        <w:t>ethnic diversity by Swansea district might also be the route cause of high case numbers.</w:t>
      </w:r>
    </w:p>
    <w:p w14:paraId="6EB9A0FF" w14:textId="721ECE5E" w:rsidR="00F56778" w:rsidRDefault="00F56778" w:rsidP="00145947">
      <w:r>
        <w:lastRenderedPageBreak/>
        <w:t xml:space="preserve">This small case study using </w:t>
      </w:r>
      <w:r w:rsidR="00AC09E6">
        <w:t xml:space="preserve">the available data shows what a significant impact Geographical Information Systems can have </w:t>
      </w:r>
      <w:r w:rsidR="00F500BC">
        <w:t>on informing Health Care, and the further research shows that the importance and dependency of GIS is only going to increase as time advances, and data available increases.</w:t>
      </w:r>
    </w:p>
    <w:p w14:paraId="270AE274" w14:textId="5D5DE43E" w:rsidR="00ED7AB5" w:rsidRDefault="000F231C" w:rsidP="00145947">
      <w:r>
        <w:t xml:space="preserve"> </w:t>
      </w:r>
    </w:p>
    <w:p w14:paraId="3BC0809A" w14:textId="77777777" w:rsidR="00FE2560" w:rsidRDefault="00FE2560" w:rsidP="00145947"/>
    <w:p w14:paraId="031576BE" w14:textId="77777777" w:rsidR="00EE201F" w:rsidRDefault="00EE201F" w:rsidP="00414A85"/>
    <w:p w14:paraId="74083F3A" w14:textId="77777777" w:rsidR="00414A85" w:rsidRDefault="00414A85" w:rsidP="00414A85">
      <w:pPr>
        <w:ind w:left="720"/>
      </w:pPr>
    </w:p>
    <w:p w14:paraId="571BC94B" w14:textId="67505411" w:rsidR="00AA79B7" w:rsidRPr="002A3FA0" w:rsidRDefault="00AA79B7" w:rsidP="002A3FA0"/>
    <w:p w14:paraId="72E06C57" w14:textId="77777777" w:rsidR="006B5E43" w:rsidRPr="006B5E43" w:rsidRDefault="006B5E43" w:rsidP="006B5E43"/>
    <w:p w14:paraId="7EEFAB27" w14:textId="5ABFC260" w:rsidR="00D70CFF" w:rsidRDefault="00D70CFF">
      <w:bookmarkStart w:id="3" w:name="_Application"/>
      <w:bookmarkStart w:id="4" w:name="_Conclusion_and_Evaluation"/>
      <w:bookmarkEnd w:id="3"/>
      <w:bookmarkEnd w:id="4"/>
      <w:r>
        <w:br w:type="page"/>
      </w:r>
    </w:p>
    <w:bookmarkStart w:id="5" w:name="_References" w:displacedByCustomXml="next"/>
    <w:bookmarkEnd w:id="5"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EndPr/>
      <w:sdtContent>
        <w:p w14:paraId="4B85EC6E" w14:textId="77777777" w:rsidR="002E30E9" w:rsidRDefault="002E30E9">
          <w:pPr>
            <w:pStyle w:val="Heading1"/>
          </w:pPr>
          <w:r>
            <w:t>References</w:t>
          </w:r>
        </w:p>
        <w:sdt>
          <w:sdtPr>
            <w:id w:val="-573587230"/>
            <w:bibliography/>
          </w:sdtPr>
          <w:sdtEndPr/>
          <w:sdtContent>
            <w:p w14:paraId="3C7F9D1D" w14:textId="77777777" w:rsidR="008B6DD4"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4"/>
                <w:gridCol w:w="8642"/>
              </w:tblGrid>
              <w:tr w:rsidR="008B6DD4" w14:paraId="4670C189" w14:textId="77777777">
                <w:trPr>
                  <w:divId w:val="71124112"/>
                  <w:tblCellSpacing w:w="15" w:type="dxa"/>
                </w:trPr>
                <w:tc>
                  <w:tcPr>
                    <w:tcW w:w="50" w:type="pct"/>
                    <w:hideMark/>
                  </w:tcPr>
                  <w:p w14:paraId="71269F13" w14:textId="4D1512D0" w:rsidR="008B6DD4" w:rsidRDefault="008B6DD4">
                    <w:pPr>
                      <w:pStyle w:val="Bibliography"/>
                      <w:rPr>
                        <w:noProof/>
                        <w:sz w:val="24"/>
                        <w:szCs w:val="24"/>
                      </w:rPr>
                    </w:pPr>
                    <w:r>
                      <w:rPr>
                        <w:noProof/>
                      </w:rPr>
                      <w:t xml:space="preserve">[1] </w:t>
                    </w:r>
                  </w:p>
                </w:tc>
                <w:tc>
                  <w:tcPr>
                    <w:tcW w:w="0" w:type="auto"/>
                    <w:hideMark/>
                  </w:tcPr>
                  <w:p w14:paraId="71B1A0BF" w14:textId="77777777" w:rsidR="008B6DD4" w:rsidRDefault="008B6DD4">
                    <w:pPr>
                      <w:pStyle w:val="Bibliography"/>
                      <w:rPr>
                        <w:noProof/>
                      </w:rPr>
                    </w:pPr>
                    <w:r>
                      <w:rPr>
                        <w:noProof/>
                      </w:rPr>
                      <w:t>University of Wisconsin-Madison Libraries, “Mapping and Geographic Information Systems (GIS): What is GIS?,” University of Wisconsin-Madison Libraries, 2022. [Online]. Available: https://researchguides.library.wisc.edu/GIS. [Accessed 5 May 2022].</w:t>
                    </w:r>
                  </w:p>
                </w:tc>
              </w:tr>
              <w:tr w:rsidR="008B6DD4" w14:paraId="0D8A80B7" w14:textId="77777777">
                <w:trPr>
                  <w:divId w:val="71124112"/>
                  <w:tblCellSpacing w:w="15" w:type="dxa"/>
                </w:trPr>
                <w:tc>
                  <w:tcPr>
                    <w:tcW w:w="50" w:type="pct"/>
                    <w:hideMark/>
                  </w:tcPr>
                  <w:p w14:paraId="6EBD923D" w14:textId="77777777" w:rsidR="008B6DD4" w:rsidRDefault="008B6DD4">
                    <w:pPr>
                      <w:pStyle w:val="Bibliography"/>
                      <w:rPr>
                        <w:noProof/>
                      </w:rPr>
                    </w:pPr>
                    <w:r>
                      <w:rPr>
                        <w:noProof/>
                      </w:rPr>
                      <w:t xml:space="preserve">[2] </w:t>
                    </w:r>
                  </w:p>
                </w:tc>
                <w:tc>
                  <w:tcPr>
                    <w:tcW w:w="0" w:type="auto"/>
                    <w:hideMark/>
                  </w:tcPr>
                  <w:p w14:paraId="79A01675" w14:textId="77777777" w:rsidR="008B6DD4" w:rsidRDefault="008B6DD4">
                    <w:pPr>
                      <w:pStyle w:val="Bibliography"/>
                      <w:rPr>
                        <w:noProof/>
                      </w:rPr>
                    </w:pPr>
                    <w:r>
                      <w:rPr>
                        <w:noProof/>
                      </w:rPr>
                      <w:t>Welsh Government, “Summary Statistics for Wales, by region: 2020,” Welsh Government, 20 May 2020. [Online]. Available: https://gov.wales/sites/default/files/statistics-and-research/2020-05/summary-statistics-regions-wales-2020-629.pdf. [Accessed 5 May 2022].</w:t>
                    </w:r>
                  </w:p>
                </w:tc>
              </w:tr>
              <w:tr w:rsidR="008B6DD4" w14:paraId="3CBB9ECE" w14:textId="77777777">
                <w:trPr>
                  <w:divId w:val="71124112"/>
                  <w:tblCellSpacing w:w="15" w:type="dxa"/>
                </w:trPr>
                <w:tc>
                  <w:tcPr>
                    <w:tcW w:w="50" w:type="pct"/>
                    <w:hideMark/>
                  </w:tcPr>
                  <w:p w14:paraId="1578A9DA" w14:textId="77777777" w:rsidR="008B6DD4" w:rsidRDefault="008B6DD4">
                    <w:pPr>
                      <w:pStyle w:val="Bibliography"/>
                      <w:rPr>
                        <w:noProof/>
                      </w:rPr>
                    </w:pPr>
                    <w:r>
                      <w:rPr>
                        <w:noProof/>
                      </w:rPr>
                      <w:t xml:space="preserve">[3] </w:t>
                    </w:r>
                  </w:p>
                </w:tc>
                <w:tc>
                  <w:tcPr>
                    <w:tcW w:w="0" w:type="auto"/>
                    <w:hideMark/>
                  </w:tcPr>
                  <w:p w14:paraId="5118BA9B" w14:textId="77777777" w:rsidR="008B6DD4" w:rsidRDefault="008B6DD4">
                    <w:pPr>
                      <w:pStyle w:val="Bibliography"/>
                      <w:rPr>
                        <w:noProof/>
                      </w:rPr>
                    </w:pPr>
                    <w:r>
                      <w:rPr>
                        <w:noProof/>
                      </w:rPr>
                      <w:t xml:space="preserve">E. e. a. Tessier, “Characteristics associated with COVID-19 vaccine uptake among adults aged 50 years and above in England (8 December 2020-17 May 2021):a population-level observational study,” </w:t>
                    </w:r>
                    <w:r>
                      <w:rPr>
                        <w:i/>
                        <w:iCs/>
                        <w:noProof/>
                      </w:rPr>
                      <w:t xml:space="preserve">BMJ Open, </w:t>
                    </w:r>
                    <w:r>
                      <w:rPr>
                        <w:noProof/>
                      </w:rPr>
                      <w:t xml:space="preserve">vol. 12, no. 3, 2021. </w:t>
                    </w:r>
                  </w:p>
                </w:tc>
              </w:tr>
              <w:tr w:rsidR="008B6DD4" w14:paraId="15C07679" w14:textId="77777777">
                <w:trPr>
                  <w:divId w:val="71124112"/>
                  <w:tblCellSpacing w:w="15" w:type="dxa"/>
                </w:trPr>
                <w:tc>
                  <w:tcPr>
                    <w:tcW w:w="50" w:type="pct"/>
                    <w:hideMark/>
                  </w:tcPr>
                  <w:p w14:paraId="04C81E28" w14:textId="77777777" w:rsidR="008B6DD4" w:rsidRDefault="008B6DD4">
                    <w:pPr>
                      <w:pStyle w:val="Bibliography"/>
                      <w:rPr>
                        <w:noProof/>
                      </w:rPr>
                    </w:pPr>
                    <w:r>
                      <w:rPr>
                        <w:noProof/>
                      </w:rPr>
                      <w:t xml:space="preserve">[4] </w:t>
                    </w:r>
                  </w:p>
                </w:tc>
                <w:tc>
                  <w:tcPr>
                    <w:tcW w:w="0" w:type="auto"/>
                    <w:hideMark/>
                  </w:tcPr>
                  <w:p w14:paraId="0C39856E" w14:textId="77777777" w:rsidR="008B6DD4" w:rsidRDefault="008B6DD4">
                    <w:pPr>
                      <w:pStyle w:val="Bibliography"/>
                      <w:rPr>
                        <w:noProof/>
                      </w:rPr>
                    </w:pPr>
                    <w:r>
                      <w:rPr>
                        <w:noProof/>
                      </w:rPr>
                      <w:t>Diverse Cymru, “Race,” Diverse Cymru, 2022. [Online]. Available: https://diversecymru.org.uk/protected-characteristics/race/#:~:text=The%20Facts,%25)%20and%20Swansea%20(10.2%25).. [Accessed 5 May 2022].</w:t>
                    </w:r>
                  </w:p>
                </w:tc>
              </w:tr>
              <w:tr w:rsidR="008B6DD4" w14:paraId="0CF192D3" w14:textId="77777777">
                <w:trPr>
                  <w:divId w:val="71124112"/>
                  <w:tblCellSpacing w:w="15" w:type="dxa"/>
                </w:trPr>
                <w:tc>
                  <w:tcPr>
                    <w:tcW w:w="50" w:type="pct"/>
                    <w:hideMark/>
                  </w:tcPr>
                  <w:p w14:paraId="138DCB90" w14:textId="77777777" w:rsidR="008B6DD4" w:rsidRDefault="008B6DD4">
                    <w:pPr>
                      <w:pStyle w:val="Bibliography"/>
                      <w:rPr>
                        <w:noProof/>
                      </w:rPr>
                    </w:pPr>
                    <w:r>
                      <w:rPr>
                        <w:noProof/>
                      </w:rPr>
                      <w:t xml:space="preserve">[5] </w:t>
                    </w:r>
                  </w:p>
                </w:tc>
                <w:tc>
                  <w:tcPr>
                    <w:tcW w:w="0" w:type="auto"/>
                    <w:hideMark/>
                  </w:tcPr>
                  <w:p w14:paraId="41C7115A" w14:textId="77777777" w:rsidR="008B6DD4" w:rsidRDefault="008B6DD4">
                    <w:pPr>
                      <w:pStyle w:val="Bibliography"/>
                      <w:rPr>
                        <w:noProof/>
                      </w:rPr>
                    </w:pPr>
                    <w:r>
                      <w:rPr>
                        <w:noProof/>
                      </w:rPr>
                      <w:t>StatsWales, “Population estimates by local authority and ethnicity,” StatsWales, [Online]. Available: https://statswales.gov.wales/Catalogue/Population-and-Migration/Population/Estimates/Ethnicity/PopulationEstimates-by-Localauthority-Ethnicity. [Accessed 5 May 2022].</w:t>
                    </w:r>
                  </w:p>
                </w:tc>
              </w:tr>
              <w:tr w:rsidR="008B6DD4" w14:paraId="3C62BEA4" w14:textId="77777777">
                <w:trPr>
                  <w:divId w:val="71124112"/>
                  <w:tblCellSpacing w:w="15" w:type="dxa"/>
                </w:trPr>
                <w:tc>
                  <w:tcPr>
                    <w:tcW w:w="50" w:type="pct"/>
                    <w:hideMark/>
                  </w:tcPr>
                  <w:p w14:paraId="2A9A560F" w14:textId="77777777" w:rsidR="008B6DD4" w:rsidRDefault="008B6DD4">
                    <w:pPr>
                      <w:pStyle w:val="Bibliography"/>
                      <w:rPr>
                        <w:noProof/>
                      </w:rPr>
                    </w:pPr>
                    <w:r>
                      <w:rPr>
                        <w:noProof/>
                      </w:rPr>
                      <w:t xml:space="preserve">[6] </w:t>
                    </w:r>
                  </w:p>
                </w:tc>
                <w:tc>
                  <w:tcPr>
                    <w:tcW w:w="0" w:type="auto"/>
                    <w:hideMark/>
                  </w:tcPr>
                  <w:p w14:paraId="7DE45A22" w14:textId="77777777" w:rsidR="008B6DD4" w:rsidRDefault="008B6DD4">
                    <w:pPr>
                      <w:pStyle w:val="Bibliography"/>
                      <w:rPr>
                        <w:noProof/>
                      </w:rPr>
                    </w:pPr>
                    <w:r>
                      <w:rPr>
                        <w:noProof/>
                      </w:rPr>
                      <w:t>Swansea Council, “Population density,” Swansea Council, 2020. [Online]. Available: https://www.swansea.gov.uk/population_density. [Accessed 5 May 2022].</w:t>
                    </w:r>
                  </w:p>
                </w:tc>
              </w:tr>
              <w:tr w:rsidR="008B6DD4" w14:paraId="40FE5022" w14:textId="77777777">
                <w:trPr>
                  <w:divId w:val="71124112"/>
                  <w:tblCellSpacing w:w="15" w:type="dxa"/>
                </w:trPr>
                <w:tc>
                  <w:tcPr>
                    <w:tcW w:w="50" w:type="pct"/>
                    <w:hideMark/>
                  </w:tcPr>
                  <w:p w14:paraId="33386FD2" w14:textId="77777777" w:rsidR="008B6DD4" w:rsidRDefault="008B6DD4">
                    <w:pPr>
                      <w:pStyle w:val="Bibliography"/>
                      <w:rPr>
                        <w:noProof/>
                      </w:rPr>
                    </w:pPr>
                    <w:r>
                      <w:rPr>
                        <w:noProof/>
                      </w:rPr>
                      <w:t xml:space="preserve">[7] </w:t>
                    </w:r>
                  </w:p>
                </w:tc>
                <w:tc>
                  <w:tcPr>
                    <w:tcW w:w="0" w:type="auto"/>
                    <w:hideMark/>
                  </w:tcPr>
                  <w:p w14:paraId="1726A7C1" w14:textId="77777777" w:rsidR="008B6DD4" w:rsidRDefault="008B6DD4">
                    <w:pPr>
                      <w:pStyle w:val="Bibliography"/>
                      <w:rPr>
                        <w:noProof/>
                      </w:rPr>
                    </w:pPr>
                    <w:r>
                      <w:rPr>
                        <w:noProof/>
                      </w:rPr>
                      <w:t>Ontology Search, “Townsend deprivation index,” OLS, 2022. [Online]. Available: https://www.ebi.ac.uk/ols/ontologies/efo/terms?iri=http%3A%2F%2Fwww.ebi.ac.uk%2Fefo%2FEFO_0009711. [Accessed 5 May 2022].</w:t>
                    </w:r>
                  </w:p>
                </w:tc>
              </w:tr>
              <w:tr w:rsidR="008B6DD4" w14:paraId="47EED7A1" w14:textId="77777777">
                <w:trPr>
                  <w:divId w:val="71124112"/>
                  <w:tblCellSpacing w:w="15" w:type="dxa"/>
                </w:trPr>
                <w:tc>
                  <w:tcPr>
                    <w:tcW w:w="50" w:type="pct"/>
                    <w:hideMark/>
                  </w:tcPr>
                  <w:p w14:paraId="77550AF4" w14:textId="77777777" w:rsidR="008B6DD4" w:rsidRDefault="008B6DD4">
                    <w:pPr>
                      <w:pStyle w:val="Bibliography"/>
                      <w:rPr>
                        <w:noProof/>
                      </w:rPr>
                    </w:pPr>
                    <w:r>
                      <w:rPr>
                        <w:noProof/>
                      </w:rPr>
                      <w:t xml:space="preserve">[8] </w:t>
                    </w:r>
                  </w:p>
                </w:tc>
                <w:tc>
                  <w:tcPr>
                    <w:tcW w:w="0" w:type="auto"/>
                    <w:hideMark/>
                  </w:tcPr>
                  <w:p w14:paraId="14923458" w14:textId="77777777" w:rsidR="008B6DD4" w:rsidRDefault="008B6DD4">
                    <w:pPr>
                      <w:pStyle w:val="Bibliography"/>
                      <w:rPr>
                        <w:noProof/>
                      </w:rPr>
                    </w:pPr>
                    <w:r>
                      <w:rPr>
                        <w:noProof/>
                      </w:rPr>
                      <w:t xml:space="preserve">J. e. a. Adams, “How accurate are Townsend Deprivation Scores as predictors of self-reported health? A comparison with individual level data,” </w:t>
                    </w:r>
                    <w:r>
                      <w:rPr>
                        <w:i/>
                        <w:iCs/>
                        <w:noProof/>
                      </w:rPr>
                      <w:t xml:space="preserve">Journal of Public Health, </w:t>
                    </w:r>
                    <w:r>
                      <w:rPr>
                        <w:noProof/>
                      </w:rPr>
                      <w:t xml:space="preserve">vol. 27, no. 1, pp. 101-106, 25 November 2004. </w:t>
                    </w:r>
                  </w:p>
                </w:tc>
              </w:tr>
              <w:tr w:rsidR="008B6DD4" w14:paraId="4D01DCA0" w14:textId="77777777">
                <w:trPr>
                  <w:divId w:val="71124112"/>
                  <w:tblCellSpacing w:w="15" w:type="dxa"/>
                </w:trPr>
                <w:tc>
                  <w:tcPr>
                    <w:tcW w:w="50" w:type="pct"/>
                    <w:hideMark/>
                  </w:tcPr>
                  <w:p w14:paraId="30D31627" w14:textId="77777777" w:rsidR="008B6DD4" w:rsidRDefault="008B6DD4">
                    <w:pPr>
                      <w:pStyle w:val="Bibliography"/>
                      <w:rPr>
                        <w:noProof/>
                      </w:rPr>
                    </w:pPr>
                    <w:r>
                      <w:rPr>
                        <w:noProof/>
                      </w:rPr>
                      <w:t xml:space="preserve">[9] </w:t>
                    </w:r>
                  </w:p>
                </w:tc>
                <w:tc>
                  <w:tcPr>
                    <w:tcW w:w="0" w:type="auto"/>
                    <w:hideMark/>
                  </w:tcPr>
                  <w:p w14:paraId="2D05A7C4" w14:textId="77777777" w:rsidR="008B6DD4" w:rsidRDefault="008B6DD4">
                    <w:pPr>
                      <w:pStyle w:val="Bibliography"/>
                      <w:rPr>
                        <w:noProof/>
                      </w:rPr>
                    </w:pPr>
                    <w:r>
                      <w:rPr>
                        <w:noProof/>
                      </w:rPr>
                      <w:t>plumplot, “Swansea population density map,” plumplot, 2019. [Online]. Available: https://www.plumplot.co.uk/Swansea-population.html. [Accessed 5 May 2022].</w:t>
                    </w:r>
                  </w:p>
                </w:tc>
              </w:tr>
              <w:tr w:rsidR="008B6DD4" w14:paraId="03ED43BF" w14:textId="77777777">
                <w:trPr>
                  <w:divId w:val="71124112"/>
                  <w:tblCellSpacing w:w="15" w:type="dxa"/>
                </w:trPr>
                <w:tc>
                  <w:tcPr>
                    <w:tcW w:w="50" w:type="pct"/>
                    <w:hideMark/>
                  </w:tcPr>
                  <w:p w14:paraId="5B79B878" w14:textId="77777777" w:rsidR="008B6DD4" w:rsidRDefault="008B6DD4">
                    <w:pPr>
                      <w:pStyle w:val="Bibliography"/>
                      <w:rPr>
                        <w:noProof/>
                      </w:rPr>
                    </w:pPr>
                    <w:r>
                      <w:rPr>
                        <w:noProof/>
                      </w:rPr>
                      <w:t xml:space="preserve">[10] </w:t>
                    </w:r>
                  </w:p>
                </w:tc>
                <w:tc>
                  <w:tcPr>
                    <w:tcW w:w="0" w:type="auto"/>
                    <w:hideMark/>
                  </w:tcPr>
                  <w:p w14:paraId="67A6C555" w14:textId="77777777" w:rsidR="008B6DD4" w:rsidRDefault="008B6DD4">
                    <w:pPr>
                      <w:pStyle w:val="Bibliography"/>
                      <w:rPr>
                        <w:noProof/>
                      </w:rPr>
                    </w:pPr>
                    <w:r>
                      <w:rPr>
                        <w:noProof/>
                      </w:rPr>
                      <w:t>University of Southern California, “The Top 6 Industries for GIS,” University of Southern California, 13 July 2021. [Online]. Available: https://gis.usc.edu/blog/the-6-top-industries-for-gis/. [Accessed 5 May 2022].</w:t>
                    </w:r>
                  </w:p>
                </w:tc>
              </w:tr>
              <w:tr w:rsidR="008B6DD4" w14:paraId="5EFBEE07" w14:textId="77777777">
                <w:trPr>
                  <w:divId w:val="71124112"/>
                  <w:tblCellSpacing w:w="15" w:type="dxa"/>
                </w:trPr>
                <w:tc>
                  <w:tcPr>
                    <w:tcW w:w="50" w:type="pct"/>
                    <w:hideMark/>
                  </w:tcPr>
                  <w:p w14:paraId="404C9F26" w14:textId="77777777" w:rsidR="008B6DD4" w:rsidRDefault="008B6DD4">
                    <w:pPr>
                      <w:pStyle w:val="Bibliography"/>
                      <w:rPr>
                        <w:noProof/>
                      </w:rPr>
                    </w:pPr>
                    <w:r>
                      <w:rPr>
                        <w:noProof/>
                      </w:rPr>
                      <w:t xml:space="preserve">[11] </w:t>
                    </w:r>
                  </w:p>
                </w:tc>
                <w:tc>
                  <w:tcPr>
                    <w:tcW w:w="0" w:type="auto"/>
                    <w:hideMark/>
                  </w:tcPr>
                  <w:p w14:paraId="56824773" w14:textId="77777777" w:rsidR="008B6DD4" w:rsidRDefault="008B6DD4">
                    <w:pPr>
                      <w:pStyle w:val="Bibliography"/>
                      <w:rPr>
                        <w:noProof/>
                      </w:rPr>
                    </w:pPr>
                    <w:r>
                      <w:rPr>
                        <w:noProof/>
                      </w:rPr>
                      <w:t xml:space="preserve">E. C. e. a. Fradelos, “Health Based Geographic Information Systems (GIS) and their Applications,” </w:t>
                    </w:r>
                    <w:r>
                      <w:rPr>
                        <w:i/>
                        <w:iCs/>
                        <w:noProof/>
                      </w:rPr>
                      <w:t xml:space="preserve">Acta Inform Med, </w:t>
                    </w:r>
                    <w:r>
                      <w:rPr>
                        <w:noProof/>
                      </w:rPr>
                      <w:t xml:space="preserve">vol. 22, no. 6, pp. 402-405, 22 Dec 2014. </w:t>
                    </w:r>
                  </w:p>
                </w:tc>
              </w:tr>
              <w:tr w:rsidR="008B6DD4" w14:paraId="512A22FC" w14:textId="77777777">
                <w:trPr>
                  <w:divId w:val="71124112"/>
                  <w:tblCellSpacing w:w="15" w:type="dxa"/>
                </w:trPr>
                <w:tc>
                  <w:tcPr>
                    <w:tcW w:w="50" w:type="pct"/>
                    <w:hideMark/>
                  </w:tcPr>
                  <w:p w14:paraId="01E767ED" w14:textId="77777777" w:rsidR="008B6DD4" w:rsidRDefault="008B6DD4">
                    <w:pPr>
                      <w:pStyle w:val="Bibliography"/>
                      <w:rPr>
                        <w:noProof/>
                      </w:rPr>
                    </w:pPr>
                    <w:r>
                      <w:rPr>
                        <w:noProof/>
                      </w:rPr>
                      <w:t xml:space="preserve">[12] </w:t>
                    </w:r>
                  </w:p>
                </w:tc>
                <w:tc>
                  <w:tcPr>
                    <w:tcW w:w="0" w:type="auto"/>
                    <w:hideMark/>
                  </w:tcPr>
                  <w:p w14:paraId="258A995C" w14:textId="77777777" w:rsidR="008B6DD4" w:rsidRDefault="008B6DD4">
                    <w:pPr>
                      <w:pStyle w:val="Bibliography"/>
                      <w:rPr>
                        <w:noProof/>
                      </w:rPr>
                    </w:pPr>
                    <w:r>
                      <w:rPr>
                        <w:noProof/>
                      </w:rPr>
                      <w:t>A. Kumar, “Taking String input with space in C (3 Different Methods),” GeeksforGeeks, [Online]. Available: https://www.geeksforgeeks.org/taking-string-input-space-c-3-different-methods/. [Accessed 16 March 2020].</w:t>
                    </w:r>
                  </w:p>
                </w:tc>
              </w:tr>
              <w:tr w:rsidR="008B6DD4" w14:paraId="00F5AFC3" w14:textId="77777777">
                <w:trPr>
                  <w:divId w:val="71124112"/>
                  <w:tblCellSpacing w:w="15" w:type="dxa"/>
                </w:trPr>
                <w:tc>
                  <w:tcPr>
                    <w:tcW w:w="50" w:type="pct"/>
                    <w:hideMark/>
                  </w:tcPr>
                  <w:p w14:paraId="588CEFBE" w14:textId="77777777" w:rsidR="008B6DD4" w:rsidRDefault="008B6DD4">
                    <w:pPr>
                      <w:pStyle w:val="Bibliography"/>
                      <w:rPr>
                        <w:noProof/>
                      </w:rPr>
                    </w:pPr>
                    <w:r>
                      <w:rPr>
                        <w:noProof/>
                      </w:rPr>
                      <w:t xml:space="preserve">[13] </w:t>
                    </w:r>
                  </w:p>
                </w:tc>
                <w:tc>
                  <w:tcPr>
                    <w:tcW w:w="0" w:type="auto"/>
                    <w:hideMark/>
                  </w:tcPr>
                  <w:p w14:paraId="31D62FD4" w14:textId="77777777" w:rsidR="008B6DD4" w:rsidRDefault="008B6DD4">
                    <w:pPr>
                      <w:pStyle w:val="Bibliography"/>
                      <w:rPr>
                        <w:noProof/>
                      </w:rPr>
                    </w:pPr>
                    <w:r>
                      <w:rPr>
                        <w:noProof/>
                      </w:rPr>
                      <w:t>N. Kanralkar, “Scansets in C,” GeeksforGeeks, [Online]. Available: https://www.geeksforgeeks.org/scansets-in-c/. [Accessed 16 March 2020].</w:t>
                    </w:r>
                  </w:p>
                </w:tc>
              </w:tr>
            </w:tbl>
            <w:p w14:paraId="6C6473D9" w14:textId="77777777" w:rsidR="008B6DD4" w:rsidRDefault="008B6DD4">
              <w:pPr>
                <w:divId w:val="71124112"/>
                <w:rPr>
                  <w:rFonts w:eastAsia="Times New Roman"/>
                  <w:noProof/>
                </w:rPr>
              </w:pPr>
            </w:p>
            <w:p w14:paraId="75DBA315" w14:textId="77777777" w:rsidR="002E30E9" w:rsidRDefault="002E30E9">
              <w:r>
                <w:rPr>
                  <w:b/>
                  <w:bCs/>
                  <w:noProof/>
                </w:rPr>
                <w:fldChar w:fldCharType="end"/>
              </w:r>
            </w:p>
          </w:sdtContent>
        </w:sdt>
      </w:sdtContent>
    </w:sdt>
    <w:p w14:paraId="060C5DE2" w14:textId="77777777" w:rsidR="002E30E9" w:rsidRDefault="002E30E9" w:rsidP="003C245F"/>
    <w:p w14:paraId="237A6751" w14:textId="77777777" w:rsidR="009925A2" w:rsidRDefault="00C8430C" w:rsidP="002E30E9">
      <w:pPr>
        <w:pStyle w:val="Heading1"/>
        <w:ind w:left="720"/>
      </w:pPr>
      <w:bookmarkStart w:id="6" w:name="_Appendices"/>
      <w:bookmarkEnd w:id="6"/>
      <w:r>
        <w:br w:type="page"/>
      </w:r>
      <w:r w:rsidR="00DF1FF7">
        <w:lastRenderedPageBreak/>
        <w:t>Appendices</w:t>
      </w:r>
    </w:p>
    <w:p w14:paraId="29DA5B74" w14:textId="77777777" w:rsidR="00964AAB" w:rsidRPr="00754C45" w:rsidRDefault="00964AAB" w:rsidP="00964AAB">
      <w:pPr>
        <w:pStyle w:val="Heading4"/>
      </w:pPr>
      <w:bookmarkStart w:id="7" w:name="_Ransomware_Report"/>
      <w:bookmarkEnd w:id="7"/>
    </w:p>
    <w:p w14:paraId="38F3407E" w14:textId="5D8D8698" w:rsidR="00C8430C" w:rsidRDefault="00F30CDB" w:rsidP="00C8430C">
      <w:r>
        <w:t>Uploaded Pdfs</w:t>
      </w:r>
    </w:p>
    <w:p w14:paraId="19715DE5" w14:textId="6FBFABA1" w:rsidR="00994E34" w:rsidRDefault="00994E34" w:rsidP="00994E34">
      <w:pPr>
        <w:pStyle w:val="ListParagraph"/>
        <w:numPr>
          <w:ilvl w:val="0"/>
          <w:numId w:val="35"/>
        </w:numPr>
      </w:pPr>
      <w:r>
        <w:t>Bridgend Covid Cases</w:t>
      </w:r>
    </w:p>
    <w:p w14:paraId="2728241E" w14:textId="5179D52C" w:rsidR="00994E34" w:rsidRDefault="00994E34" w:rsidP="00994E34">
      <w:pPr>
        <w:pStyle w:val="ListParagraph"/>
        <w:numPr>
          <w:ilvl w:val="0"/>
          <w:numId w:val="35"/>
        </w:numPr>
      </w:pPr>
      <w:r>
        <w:t>Swansea Townsend over Covid Cases</w:t>
      </w:r>
    </w:p>
    <w:p w14:paraId="49F3D91E" w14:textId="083C16CF" w:rsidR="00994E34" w:rsidRDefault="00994E34" w:rsidP="00994E34">
      <w:pPr>
        <w:pStyle w:val="ListParagraph"/>
        <w:numPr>
          <w:ilvl w:val="0"/>
          <w:numId w:val="35"/>
        </w:numPr>
      </w:pPr>
      <w:r>
        <w:t>Swansea Townsend</w:t>
      </w:r>
    </w:p>
    <w:p w14:paraId="0443BD33" w14:textId="66A8252A" w:rsidR="00994E34" w:rsidRDefault="00104928" w:rsidP="00994E34">
      <w:pPr>
        <w:pStyle w:val="ListParagraph"/>
        <w:numPr>
          <w:ilvl w:val="0"/>
          <w:numId w:val="35"/>
        </w:numPr>
      </w:pPr>
      <w:r>
        <w:t>Vaccine Uptake 18-29</w:t>
      </w:r>
    </w:p>
    <w:p w14:paraId="5BA6B783" w14:textId="712D14E6" w:rsidR="00104928" w:rsidRDefault="00104928" w:rsidP="00994E34">
      <w:pPr>
        <w:pStyle w:val="ListParagraph"/>
        <w:numPr>
          <w:ilvl w:val="0"/>
          <w:numId w:val="35"/>
        </w:numPr>
      </w:pPr>
      <w:r>
        <w:t>Vaccine Uptake 30-39</w:t>
      </w:r>
    </w:p>
    <w:p w14:paraId="69879FCE" w14:textId="44E25D35" w:rsidR="00104928" w:rsidRDefault="00104928" w:rsidP="00994E34">
      <w:pPr>
        <w:pStyle w:val="ListParagraph"/>
        <w:numPr>
          <w:ilvl w:val="0"/>
          <w:numId w:val="35"/>
        </w:numPr>
      </w:pPr>
      <w:r>
        <w:t>Vaccine Uptake 40-</w:t>
      </w:r>
      <w:r w:rsidR="00160CC6">
        <w:t>5</w:t>
      </w:r>
      <w:r>
        <w:t>9</w:t>
      </w:r>
    </w:p>
    <w:p w14:paraId="133E296F" w14:textId="0E46FE75" w:rsidR="00104928" w:rsidRDefault="00104928" w:rsidP="00994E34">
      <w:pPr>
        <w:pStyle w:val="ListParagraph"/>
        <w:numPr>
          <w:ilvl w:val="0"/>
          <w:numId w:val="35"/>
        </w:numPr>
      </w:pPr>
      <w:r>
        <w:t xml:space="preserve">Vaccine Uptake </w:t>
      </w:r>
      <w:r w:rsidR="00160CC6">
        <w:t>6</w:t>
      </w:r>
      <w:r>
        <w:t>0-</w:t>
      </w:r>
      <w:r w:rsidR="00160CC6">
        <w:t>79</w:t>
      </w:r>
    </w:p>
    <w:p w14:paraId="549C9696" w14:textId="39EFED41" w:rsidR="00160CC6" w:rsidRDefault="00160CC6" w:rsidP="00994E34">
      <w:pPr>
        <w:pStyle w:val="ListParagraph"/>
        <w:numPr>
          <w:ilvl w:val="0"/>
          <w:numId w:val="35"/>
        </w:numPr>
      </w:pPr>
      <w:r>
        <w:t>Vaccine Uptake PDF</w:t>
      </w:r>
    </w:p>
    <w:p w14:paraId="446DB480" w14:textId="1B47D607" w:rsidR="00160CC6" w:rsidRPr="00C8430C" w:rsidRDefault="002632E3" w:rsidP="00994E34">
      <w:pPr>
        <w:pStyle w:val="ListParagraph"/>
        <w:numPr>
          <w:ilvl w:val="0"/>
          <w:numId w:val="35"/>
        </w:numPr>
      </w:pPr>
      <w:r>
        <w:t>Vaccine Uptake Wales</w:t>
      </w:r>
    </w:p>
    <w:sectPr w:rsidR="00160CC6" w:rsidRPr="00C8430C">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C45DF" w14:textId="77777777" w:rsidR="00324C04" w:rsidRDefault="00324C04" w:rsidP="0045062C">
      <w:pPr>
        <w:spacing w:after="0" w:line="240" w:lineRule="auto"/>
      </w:pPr>
      <w:r>
        <w:separator/>
      </w:r>
    </w:p>
  </w:endnote>
  <w:endnote w:type="continuationSeparator" w:id="0">
    <w:p w14:paraId="6CBC9B13" w14:textId="77777777" w:rsidR="00324C04" w:rsidRDefault="00324C04" w:rsidP="0045062C">
      <w:pPr>
        <w:spacing w:after="0" w:line="240" w:lineRule="auto"/>
      </w:pPr>
      <w:r>
        <w:continuationSeparator/>
      </w:r>
    </w:p>
  </w:endnote>
  <w:endnote w:type="continuationNotice" w:id="1">
    <w:p w14:paraId="0E175F5A" w14:textId="77777777" w:rsidR="00324C04" w:rsidRDefault="00324C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930C9" w14:textId="77777777" w:rsidR="00E85E29" w:rsidRDefault="00E85E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118D6D" w14:textId="77777777" w:rsidR="00E85E29" w:rsidRDefault="00E85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D32C3" w14:textId="77777777" w:rsidR="00324C04" w:rsidRDefault="00324C04" w:rsidP="0045062C">
      <w:pPr>
        <w:spacing w:after="0" w:line="240" w:lineRule="auto"/>
      </w:pPr>
      <w:r>
        <w:separator/>
      </w:r>
    </w:p>
  </w:footnote>
  <w:footnote w:type="continuationSeparator" w:id="0">
    <w:p w14:paraId="4C652C6A" w14:textId="77777777" w:rsidR="00324C04" w:rsidRDefault="00324C04" w:rsidP="0045062C">
      <w:pPr>
        <w:spacing w:after="0" w:line="240" w:lineRule="auto"/>
      </w:pPr>
      <w:r>
        <w:continuationSeparator/>
      </w:r>
    </w:p>
  </w:footnote>
  <w:footnote w:type="continuationNotice" w:id="1">
    <w:p w14:paraId="3AB9D05B" w14:textId="77777777" w:rsidR="00324C04" w:rsidRDefault="00324C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378A" w14:textId="44E2494D" w:rsidR="00E85E29" w:rsidRDefault="00E85E29">
    <w:pPr>
      <w:pStyle w:val="Header"/>
    </w:pPr>
    <w:r>
      <w:t>ACC</w:t>
    </w:r>
    <w:r w:rsidR="005354F3">
      <w:t>A5027</w:t>
    </w:r>
    <w:r>
      <w:ptab w:relativeTo="margin" w:alignment="center" w:leader="none"/>
    </w:r>
    <w:r w:rsidR="000045E1">
      <w:t xml:space="preserve">L5 – </w:t>
    </w:r>
    <w:r w:rsidR="005354F3">
      <w:t>Geographical Information Systems</w:t>
    </w:r>
    <w:r>
      <w:ptab w:relativeTo="margin" w:alignment="right" w:leader="none"/>
    </w:r>
    <w:r>
      <w:t>John Dunkley-Williams</w:t>
    </w:r>
  </w:p>
  <w:p w14:paraId="1B62951B" w14:textId="77777777" w:rsidR="00E85E29" w:rsidRDefault="00E85E29">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441"/>
    <w:multiLevelType w:val="hybridMultilevel"/>
    <w:tmpl w:val="D95E6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A15"/>
    <w:multiLevelType w:val="multilevel"/>
    <w:tmpl w:val="E54402E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9757677"/>
    <w:multiLevelType w:val="hybridMultilevel"/>
    <w:tmpl w:val="F5F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D32B7"/>
    <w:multiLevelType w:val="hybridMultilevel"/>
    <w:tmpl w:val="A0A44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863BE"/>
    <w:multiLevelType w:val="multilevel"/>
    <w:tmpl w:val="596AADDE"/>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75016E1"/>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1B7A5F06"/>
    <w:multiLevelType w:val="multilevel"/>
    <w:tmpl w:val="77BC0B0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D115F07"/>
    <w:multiLevelType w:val="hybridMultilevel"/>
    <w:tmpl w:val="0E063C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FE6F6E"/>
    <w:multiLevelType w:val="hybridMultilevel"/>
    <w:tmpl w:val="1766E3C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9" w15:restartNumberingAfterBreak="0">
    <w:nsid w:val="28C25604"/>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0" w15:restartNumberingAfterBreak="0">
    <w:nsid w:val="2A6C1F1C"/>
    <w:multiLevelType w:val="multilevel"/>
    <w:tmpl w:val="719CF7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2B08D0"/>
    <w:multiLevelType w:val="hybridMultilevel"/>
    <w:tmpl w:val="8B12D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D8757E"/>
    <w:multiLevelType w:val="multilevel"/>
    <w:tmpl w:val="5D1C902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3532088E"/>
    <w:multiLevelType w:val="multilevel"/>
    <w:tmpl w:val="ABF6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6E535B"/>
    <w:multiLevelType w:val="multilevel"/>
    <w:tmpl w:val="1D1C01E4"/>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89A244D"/>
    <w:multiLevelType w:val="multilevel"/>
    <w:tmpl w:val="AD5894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6A02C80"/>
    <w:multiLevelType w:val="hybridMultilevel"/>
    <w:tmpl w:val="BDBA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21D30"/>
    <w:multiLevelType w:val="multilevel"/>
    <w:tmpl w:val="713A26E6"/>
    <w:lvl w:ilvl="0">
      <w:start w:val="2"/>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77B0203"/>
    <w:multiLevelType w:val="hybridMultilevel"/>
    <w:tmpl w:val="B908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0478FD"/>
    <w:multiLevelType w:val="hybridMultilevel"/>
    <w:tmpl w:val="CD1E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707A7"/>
    <w:multiLevelType w:val="hybridMultilevel"/>
    <w:tmpl w:val="6072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E0607C"/>
    <w:multiLevelType w:val="multilevel"/>
    <w:tmpl w:val="72D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9C0A1F"/>
    <w:multiLevelType w:val="hybridMultilevel"/>
    <w:tmpl w:val="CB34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026819"/>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4" w15:restartNumberingAfterBreak="0">
    <w:nsid w:val="63713FD0"/>
    <w:multiLevelType w:val="multilevel"/>
    <w:tmpl w:val="86A04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3730696"/>
    <w:multiLevelType w:val="multilevel"/>
    <w:tmpl w:val="01043FD2"/>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6" w15:restartNumberingAfterBreak="0">
    <w:nsid w:val="640268B4"/>
    <w:multiLevelType w:val="multilevel"/>
    <w:tmpl w:val="2A22A50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7" w15:restartNumberingAfterBreak="0">
    <w:nsid w:val="64AF4752"/>
    <w:multiLevelType w:val="hybridMultilevel"/>
    <w:tmpl w:val="7B8C1C5E"/>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A817CB"/>
    <w:multiLevelType w:val="multilevel"/>
    <w:tmpl w:val="D3AE553E"/>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9" w15:restartNumberingAfterBreak="0">
    <w:nsid w:val="66FD4262"/>
    <w:multiLevelType w:val="hybridMultilevel"/>
    <w:tmpl w:val="B9D6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C6E20"/>
    <w:multiLevelType w:val="multilevel"/>
    <w:tmpl w:val="1512D7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04270C2"/>
    <w:multiLevelType w:val="hybridMultilevel"/>
    <w:tmpl w:val="329AA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E73353"/>
    <w:multiLevelType w:val="hybridMultilevel"/>
    <w:tmpl w:val="8B8E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37E12"/>
    <w:multiLevelType w:val="multilevel"/>
    <w:tmpl w:val="749E6F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E863D02"/>
    <w:multiLevelType w:val="hybridMultilevel"/>
    <w:tmpl w:val="667E78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7"/>
  </w:num>
  <w:num w:numId="2">
    <w:abstractNumId w:val="12"/>
  </w:num>
  <w:num w:numId="3">
    <w:abstractNumId w:val="5"/>
  </w:num>
  <w:num w:numId="4">
    <w:abstractNumId w:val="28"/>
  </w:num>
  <w:num w:numId="5">
    <w:abstractNumId w:val="26"/>
  </w:num>
  <w:num w:numId="6">
    <w:abstractNumId w:val="24"/>
  </w:num>
  <w:num w:numId="7">
    <w:abstractNumId w:val="18"/>
  </w:num>
  <w:num w:numId="8">
    <w:abstractNumId w:val="23"/>
  </w:num>
  <w:num w:numId="9">
    <w:abstractNumId w:val="9"/>
  </w:num>
  <w:num w:numId="10">
    <w:abstractNumId w:val="16"/>
  </w:num>
  <w:num w:numId="11">
    <w:abstractNumId w:val="2"/>
  </w:num>
  <w:num w:numId="12">
    <w:abstractNumId w:val="20"/>
  </w:num>
  <w:num w:numId="13">
    <w:abstractNumId w:val="31"/>
  </w:num>
  <w:num w:numId="14">
    <w:abstractNumId w:val="3"/>
  </w:num>
  <w:num w:numId="15">
    <w:abstractNumId w:val="32"/>
  </w:num>
  <w:num w:numId="16">
    <w:abstractNumId w:val="29"/>
  </w:num>
  <w:num w:numId="17">
    <w:abstractNumId w:val="21"/>
  </w:num>
  <w:num w:numId="18">
    <w:abstractNumId w:val="13"/>
  </w:num>
  <w:num w:numId="19">
    <w:abstractNumId w:val="0"/>
  </w:num>
  <w:num w:numId="20">
    <w:abstractNumId w:val="6"/>
  </w:num>
  <w:num w:numId="21">
    <w:abstractNumId w:val="34"/>
  </w:num>
  <w:num w:numId="22">
    <w:abstractNumId w:val="7"/>
  </w:num>
  <w:num w:numId="23">
    <w:abstractNumId w:val="19"/>
  </w:num>
  <w:num w:numId="24">
    <w:abstractNumId w:val="25"/>
  </w:num>
  <w:num w:numId="25">
    <w:abstractNumId w:val="1"/>
  </w:num>
  <w:num w:numId="26">
    <w:abstractNumId w:val="4"/>
  </w:num>
  <w:num w:numId="27">
    <w:abstractNumId w:val="17"/>
  </w:num>
  <w:num w:numId="28">
    <w:abstractNumId w:val="10"/>
  </w:num>
  <w:num w:numId="29">
    <w:abstractNumId w:val="14"/>
  </w:num>
  <w:num w:numId="30">
    <w:abstractNumId w:val="30"/>
  </w:num>
  <w:num w:numId="31">
    <w:abstractNumId w:val="15"/>
  </w:num>
  <w:num w:numId="32">
    <w:abstractNumId w:val="33"/>
  </w:num>
  <w:num w:numId="33">
    <w:abstractNumId w:val="22"/>
  </w:num>
  <w:num w:numId="34">
    <w:abstractNumId w:val="8"/>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2C"/>
    <w:rsid w:val="0000412F"/>
    <w:rsid w:val="000045E1"/>
    <w:rsid w:val="00006094"/>
    <w:rsid w:val="000134F3"/>
    <w:rsid w:val="000203B4"/>
    <w:rsid w:val="00021D66"/>
    <w:rsid w:val="00022036"/>
    <w:rsid w:val="000223AF"/>
    <w:rsid w:val="000308A7"/>
    <w:rsid w:val="0003549F"/>
    <w:rsid w:val="0004259D"/>
    <w:rsid w:val="00055C42"/>
    <w:rsid w:val="00060C65"/>
    <w:rsid w:val="00064E01"/>
    <w:rsid w:val="00083D9E"/>
    <w:rsid w:val="000874B7"/>
    <w:rsid w:val="0009328B"/>
    <w:rsid w:val="000A3AE7"/>
    <w:rsid w:val="000A7A8F"/>
    <w:rsid w:val="000B03F9"/>
    <w:rsid w:val="000B2025"/>
    <w:rsid w:val="000C0423"/>
    <w:rsid w:val="000C1E9A"/>
    <w:rsid w:val="000D06BF"/>
    <w:rsid w:val="000D0AF0"/>
    <w:rsid w:val="000D337C"/>
    <w:rsid w:val="000E5054"/>
    <w:rsid w:val="000E73D3"/>
    <w:rsid w:val="000F231C"/>
    <w:rsid w:val="000F2A5C"/>
    <w:rsid w:val="000F4DAD"/>
    <w:rsid w:val="001000AC"/>
    <w:rsid w:val="00102F6A"/>
    <w:rsid w:val="00104928"/>
    <w:rsid w:val="001114FB"/>
    <w:rsid w:val="00112FFC"/>
    <w:rsid w:val="00115BE6"/>
    <w:rsid w:val="0012548E"/>
    <w:rsid w:val="00134205"/>
    <w:rsid w:val="001358C2"/>
    <w:rsid w:val="00135A1D"/>
    <w:rsid w:val="00142F9B"/>
    <w:rsid w:val="00145947"/>
    <w:rsid w:val="001525E9"/>
    <w:rsid w:val="0015263B"/>
    <w:rsid w:val="00155FB6"/>
    <w:rsid w:val="00160CC6"/>
    <w:rsid w:val="00165CBF"/>
    <w:rsid w:val="00167D62"/>
    <w:rsid w:val="00167EC6"/>
    <w:rsid w:val="00174168"/>
    <w:rsid w:val="00174B0A"/>
    <w:rsid w:val="001751CB"/>
    <w:rsid w:val="0018297D"/>
    <w:rsid w:val="00183437"/>
    <w:rsid w:val="00192DC0"/>
    <w:rsid w:val="001A5622"/>
    <w:rsid w:val="001A59B6"/>
    <w:rsid w:val="001B0D43"/>
    <w:rsid w:val="001B5AE5"/>
    <w:rsid w:val="001C0857"/>
    <w:rsid w:val="001C1FFE"/>
    <w:rsid w:val="001C507A"/>
    <w:rsid w:val="001C69A9"/>
    <w:rsid w:val="001D5AFA"/>
    <w:rsid w:val="001E5A8D"/>
    <w:rsid w:val="001E6BD0"/>
    <w:rsid w:val="001F3091"/>
    <w:rsid w:val="001F4E4E"/>
    <w:rsid w:val="00200A90"/>
    <w:rsid w:val="0020449F"/>
    <w:rsid w:val="00216157"/>
    <w:rsid w:val="002179D1"/>
    <w:rsid w:val="00223486"/>
    <w:rsid w:val="00224A73"/>
    <w:rsid w:val="0023353C"/>
    <w:rsid w:val="00235DF5"/>
    <w:rsid w:val="002563A7"/>
    <w:rsid w:val="002605E8"/>
    <w:rsid w:val="002606CB"/>
    <w:rsid w:val="002613F3"/>
    <w:rsid w:val="002632E3"/>
    <w:rsid w:val="00263515"/>
    <w:rsid w:val="00265E54"/>
    <w:rsid w:val="00280B93"/>
    <w:rsid w:val="00291F58"/>
    <w:rsid w:val="00292363"/>
    <w:rsid w:val="0029294B"/>
    <w:rsid w:val="00295FF8"/>
    <w:rsid w:val="002A362B"/>
    <w:rsid w:val="002A3FA0"/>
    <w:rsid w:val="002B02F3"/>
    <w:rsid w:val="002B193C"/>
    <w:rsid w:val="002B2CB7"/>
    <w:rsid w:val="002B4A55"/>
    <w:rsid w:val="002C3CD6"/>
    <w:rsid w:val="002C7CF8"/>
    <w:rsid w:val="002D070A"/>
    <w:rsid w:val="002D267B"/>
    <w:rsid w:val="002D4D7B"/>
    <w:rsid w:val="002E08F8"/>
    <w:rsid w:val="002E2671"/>
    <w:rsid w:val="002E30E9"/>
    <w:rsid w:val="002E3AF1"/>
    <w:rsid w:val="002E5893"/>
    <w:rsid w:val="002E7047"/>
    <w:rsid w:val="002F396F"/>
    <w:rsid w:val="002F7FE4"/>
    <w:rsid w:val="00303C69"/>
    <w:rsid w:val="00312082"/>
    <w:rsid w:val="00312BDD"/>
    <w:rsid w:val="00316904"/>
    <w:rsid w:val="0032005F"/>
    <w:rsid w:val="003244BE"/>
    <w:rsid w:val="00324C04"/>
    <w:rsid w:val="003344F6"/>
    <w:rsid w:val="0033546B"/>
    <w:rsid w:val="00341198"/>
    <w:rsid w:val="00351556"/>
    <w:rsid w:val="0035258D"/>
    <w:rsid w:val="00366FDA"/>
    <w:rsid w:val="00367553"/>
    <w:rsid w:val="003678C7"/>
    <w:rsid w:val="003762F2"/>
    <w:rsid w:val="00392C6F"/>
    <w:rsid w:val="003A1DB3"/>
    <w:rsid w:val="003A3801"/>
    <w:rsid w:val="003A3CE8"/>
    <w:rsid w:val="003A7BC5"/>
    <w:rsid w:val="003B5171"/>
    <w:rsid w:val="003C1811"/>
    <w:rsid w:val="003C1813"/>
    <w:rsid w:val="003C245F"/>
    <w:rsid w:val="003D2F84"/>
    <w:rsid w:val="003E2C6C"/>
    <w:rsid w:val="003E647A"/>
    <w:rsid w:val="004039C4"/>
    <w:rsid w:val="00405B24"/>
    <w:rsid w:val="0040701A"/>
    <w:rsid w:val="00411625"/>
    <w:rsid w:val="00412F11"/>
    <w:rsid w:val="00414A85"/>
    <w:rsid w:val="00422549"/>
    <w:rsid w:val="0042311C"/>
    <w:rsid w:val="00430124"/>
    <w:rsid w:val="00433D6B"/>
    <w:rsid w:val="00435AB0"/>
    <w:rsid w:val="0044598B"/>
    <w:rsid w:val="0045062C"/>
    <w:rsid w:val="00453304"/>
    <w:rsid w:val="00470300"/>
    <w:rsid w:val="00477CC0"/>
    <w:rsid w:val="0048554D"/>
    <w:rsid w:val="00486138"/>
    <w:rsid w:val="004918FD"/>
    <w:rsid w:val="004A170B"/>
    <w:rsid w:val="004A2E47"/>
    <w:rsid w:val="004A2FEF"/>
    <w:rsid w:val="004A3E73"/>
    <w:rsid w:val="004A6A2A"/>
    <w:rsid w:val="004B183D"/>
    <w:rsid w:val="004B6A8C"/>
    <w:rsid w:val="004C59D3"/>
    <w:rsid w:val="004C78B8"/>
    <w:rsid w:val="004D7A50"/>
    <w:rsid w:val="004E31CA"/>
    <w:rsid w:val="004F18E0"/>
    <w:rsid w:val="004F3836"/>
    <w:rsid w:val="004F483C"/>
    <w:rsid w:val="00501F51"/>
    <w:rsid w:val="00506A34"/>
    <w:rsid w:val="00512334"/>
    <w:rsid w:val="005141DC"/>
    <w:rsid w:val="00517376"/>
    <w:rsid w:val="005205A3"/>
    <w:rsid w:val="00523AB1"/>
    <w:rsid w:val="00523C2D"/>
    <w:rsid w:val="00525099"/>
    <w:rsid w:val="00530EDA"/>
    <w:rsid w:val="0053361F"/>
    <w:rsid w:val="00534CB9"/>
    <w:rsid w:val="005354F3"/>
    <w:rsid w:val="005407B0"/>
    <w:rsid w:val="00541B8C"/>
    <w:rsid w:val="005455CE"/>
    <w:rsid w:val="005517F8"/>
    <w:rsid w:val="00556E92"/>
    <w:rsid w:val="005610E9"/>
    <w:rsid w:val="00561EE4"/>
    <w:rsid w:val="00563E1F"/>
    <w:rsid w:val="00573A11"/>
    <w:rsid w:val="00573A4C"/>
    <w:rsid w:val="00584BB6"/>
    <w:rsid w:val="00587A25"/>
    <w:rsid w:val="0059204B"/>
    <w:rsid w:val="0059296F"/>
    <w:rsid w:val="00595FEC"/>
    <w:rsid w:val="005A2ACC"/>
    <w:rsid w:val="005A3A9A"/>
    <w:rsid w:val="005B1CBB"/>
    <w:rsid w:val="005B30E1"/>
    <w:rsid w:val="005B49A0"/>
    <w:rsid w:val="005B79CB"/>
    <w:rsid w:val="005C0E3E"/>
    <w:rsid w:val="005C779D"/>
    <w:rsid w:val="005D670A"/>
    <w:rsid w:val="005E3A62"/>
    <w:rsid w:val="005E4C68"/>
    <w:rsid w:val="005F4B39"/>
    <w:rsid w:val="005F4BD9"/>
    <w:rsid w:val="005F7449"/>
    <w:rsid w:val="006032EC"/>
    <w:rsid w:val="0061243D"/>
    <w:rsid w:val="006178BA"/>
    <w:rsid w:val="00622CDE"/>
    <w:rsid w:val="00624700"/>
    <w:rsid w:val="0063163B"/>
    <w:rsid w:val="00633619"/>
    <w:rsid w:val="00634BD0"/>
    <w:rsid w:val="00650351"/>
    <w:rsid w:val="00656CF7"/>
    <w:rsid w:val="00660E18"/>
    <w:rsid w:val="00661B18"/>
    <w:rsid w:val="00663F1E"/>
    <w:rsid w:val="00664C2F"/>
    <w:rsid w:val="006666DC"/>
    <w:rsid w:val="00671CED"/>
    <w:rsid w:val="006727E9"/>
    <w:rsid w:val="006741A5"/>
    <w:rsid w:val="00677197"/>
    <w:rsid w:val="006779A2"/>
    <w:rsid w:val="006833B8"/>
    <w:rsid w:val="006876BF"/>
    <w:rsid w:val="00690D80"/>
    <w:rsid w:val="00695146"/>
    <w:rsid w:val="0069598D"/>
    <w:rsid w:val="006959B6"/>
    <w:rsid w:val="006A10FB"/>
    <w:rsid w:val="006B21BF"/>
    <w:rsid w:val="006B400E"/>
    <w:rsid w:val="006B4A74"/>
    <w:rsid w:val="006B4ADE"/>
    <w:rsid w:val="006B5E43"/>
    <w:rsid w:val="006C5F96"/>
    <w:rsid w:val="006C7648"/>
    <w:rsid w:val="006D569D"/>
    <w:rsid w:val="006D5E12"/>
    <w:rsid w:val="006D6A7E"/>
    <w:rsid w:val="006E05DE"/>
    <w:rsid w:val="006E25C0"/>
    <w:rsid w:val="006F0750"/>
    <w:rsid w:val="006F5377"/>
    <w:rsid w:val="006F6373"/>
    <w:rsid w:val="006F74CF"/>
    <w:rsid w:val="00711903"/>
    <w:rsid w:val="007143FA"/>
    <w:rsid w:val="007279DC"/>
    <w:rsid w:val="00730DBF"/>
    <w:rsid w:val="0073226F"/>
    <w:rsid w:val="00740019"/>
    <w:rsid w:val="0074224F"/>
    <w:rsid w:val="00742B0E"/>
    <w:rsid w:val="007435CD"/>
    <w:rsid w:val="007479D5"/>
    <w:rsid w:val="00753532"/>
    <w:rsid w:val="00753601"/>
    <w:rsid w:val="007576FF"/>
    <w:rsid w:val="007618F0"/>
    <w:rsid w:val="00767323"/>
    <w:rsid w:val="00771A4B"/>
    <w:rsid w:val="007735E0"/>
    <w:rsid w:val="007753A3"/>
    <w:rsid w:val="00783E32"/>
    <w:rsid w:val="00784950"/>
    <w:rsid w:val="00790A63"/>
    <w:rsid w:val="007934FF"/>
    <w:rsid w:val="00797021"/>
    <w:rsid w:val="007A6D7D"/>
    <w:rsid w:val="007B1461"/>
    <w:rsid w:val="007C0783"/>
    <w:rsid w:val="007D0697"/>
    <w:rsid w:val="007D27C1"/>
    <w:rsid w:val="007D7A72"/>
    <w:rsid w:val="00800B9C"/>
    <w:rsid w:val="00800CB6"/>
    <w:rsid w:val="00801E90"/>
    <w:rsid w:val="00805DA4"/>
    <w:rsid w:val="00806B5E"/>
    <w:rsid w:val="0080726B"/>
    <w:rsid w:val="00810ACD"/>
    <w:rsid w:val="0081324F"/>
    <w:rsid w:val="00820E92"/>
    <w:rsid w:val="00821C9A"/>
    <w:rsid w:val="0082349C"/>
    <w:rsid w:val="00824B93"/>
    <w:rsid w:val="0082636A"/>
    <w:rsid w:val="0083145C"/>
    <w:rsid w:val="008372AB"/>
    <w:rsid w:val="008429DD"/>
    <w:rsid w:val="00842C97"/>
    <w:rsid w:val="00847E6C"/>
    <w:rsid w:val="00850B0B"/>
    <w:rsid w:val="00857ED0"/>
    <w:rsid w:val="00863C80"/>
    <w:rsid w:val="008678E1"/>
    <w:rsid w:val="0087598B"/>
    <w:rsid w:val="008876B9"/>
    <w:rsid w:val="008A10A2"/>
    <w:rsid w:val="008A1318"/>
    <w:rsid w:val="008A403F"/>
    <w:rsid w:val="008B2D14"/>
    <w:rsid w:val="008B6DD4"/>
    <w:rsid w:val="008B794E"/>
    <w:rsid w:val="008C1D15"/>
    <w:rsid w:val="008C3018"/>
    <w:rsid w:val="008C688D"/>
    <w:rsid w:val="008D3012"/>
    <w:rsid w:val="008D5BD8"/>
    <w:rsid w:val="008D7D7A"/>
    <w:rsid w:val="008E2A78"/>
    <w:rsid w:val="008E4681"/>
    <w:rsid w:val="008E516B"/>
    <w:rsid w:val="008E5CD2"/>
    <w:rsid w:val="008F7B12"/>
    <w:rsid w:val="00902B03"/>
    <w:rsid w:val="0090337D"/>
    <w:rsid w:val="00907BC3"/>
    <w:rsid w:val="0091649C"/>
    <w:rsid w:val="00931680"/>
    <w:rsid w:val="0093169A"/>
    <w:rsid w:val="009328FC"/>
    <w:rsid w:val="009353D0"/>
    <w:rsid w:val="00942EB5"/>
    <w:rsid w:val="009511F3"/>
    <w:rsid w:val="009522F1"/>
    <w:rsid w:val="00953A75"/>
    <w:rsid w:val="009563B5"/>
    <w:rsid w:val="00956476"/>
    <w:rsid w:val="00957975"/>
    <w:rsid w:val="00964AAB"/>
    <w:rsid w:val="00966761"/>
    <w:rsid w:val="009721CE"/>
    <w:rsid w:val="009737D7"/>
    <w:rsid w:val="009753BA"/>
    <w:rsid w:val="009757B7"/>
    <w:rsid w:val="00987FE4"/>
    <w:rsid w:val="009925A2"/>
    <w:rsid w:val="00994E34"/>
    <w:rsid w:val="00995EF6"/>
    <w:rsid w:val="009A0EA1"/>
    <w:rsid w:val="009A25F9"/>
    <w:rsid w:val="009A3B66"/>
    <w:rsid w:val="009A615C"/>
    <w:rsid w:val="009A7769"/>
    <w:rsid w:val="009C01AC"/>
    <w:rsid w:val="009C616A"/>
    <w:rsid w:val="009C71F8"/>
    <w:rsid w:val="009D28FB"/>
    <w:rsid w:val="009D5C8F"/>
    <w:rsid w:val="009D5D5A"/>
    <w:rsid w:val="009D774B"/>
    <w:rsid w:val="009E6831"/>
    <w:rsid w:val="009F7292"/>
    <w:rsid w:val="00A01FD6"/>
    <w:rsid w:val="00A07B79"/>
    <w:rsid w:val="00A12B14"/>
    <w:rsid w:val="00A139A0"/>
    <w:rsid w:val="00A17D53"/>
    <w:rsid w:val="00A24A60"/>
    <w:rsid w:val="00A24F59"/>
    <w:rsid w:val="00A34AC0"/>
    <w:rsid w:val="00A43588"/>
    <w:rsid w:val="00A502A4"/>
    <w:rsid w:val="00A5202B"/>
    <w:rsid w:val="00A55524"/>
    <w:rsid w:val="00A62A94"/>
    <w:rsid w:val="00A64640"/>
    <w:rsid w:val="00A654B1"/>
    <w:rsid w:val="00A666FD"/>
    <w:rsid w:val="00A668C8"/>
    <w:rsid w:val="00A76078"/>
    <w:rsid w:val="00A838BE"/>
    <w:rsid w:val="00A87556"/>
    <w:rsid w:val="00A90E7C"/>
    <w:rsid w:val="00A91780"/>
    <w:rsid w:val="00A91A07"/>
    <w:rsid w:val="00A92C36"/>
    <w:rsid w:val="00A968D6"/>
    <w:rsid w:val="00AA236A"/>
    <w:rsid w:val="00AA4A91"/>
    <w:rsid w:val="00AA66A2"/>
    <w:rsid w:val="00AA79B7"/>
    <w:rsid w:val="00AC09E6"/>
    <w:rsid w:val="00AC4E00"/>
    <w:rsid w:val="00AE05CF"/>
    <w:rsid w:val="00AE308D"/>
    <w:rsid w:val="00AF1AD7"/>
    <w:rsid w:val="00AF2447"/>
    <w:rsid w:val="00AF3C0A"/>
    <w:rsid w:val="00AF6D3C"/>
    <w:rsid w:val="00B1034D"/>
    <w:rsid w:val="00B11249"/>
    <w:rsid w:val="00B44524"/>
    <w:rsid w:val="00B4680F"/>
    <w:rsid w:val="00B46CEF"/>
    <w:rsid w:val="00B56E9C"/>
    <w:rsid w:val="00B7369B"/>
    <w:rsid w:val="00B8728E"/>
    <w:rsid w:val="00B90AE0"/>
    <w:rsid w:val="00BA2D77"/>
    <w:rsid w:val="00BA42C0"/>
    <w:rsid w:val="00BA552A"/>
    <w:rsid w:val="00BA71D7"/>
    <w:rsid w:val="00BB5841"/>
    <w:rsid w:val="00BC09C4"/>
    <w:rsid w:val="00BC368D"/>
    <w:rsid w:val="00BC45BC"/>
    <w:rsid w:val="00BC5404"/>
    <w:rsid w:val="00BD01E6"/>
    <w:rsid w:val="00BD17B8"/>
    <w:rsid w:val="00BD4C80"/>
    <w:rsid w:val="00BD6C46"/>
    <w:rsid w:val="00BE54FC"/>
    <w:rsid w:val="00BF4E39"/>
    <w:rsid w:val="00BF6FA8"/>
    <w:rsid w:val="00C00D24"/>
    <w:rsid w:val="00C03F22"/>
    <w:rsid w:val="00C13E15"/>
    <w:rsid w:val="00C17D1A"/>
    <w:rsid w:val="00C22DB5"/>
    <w:rsid w:val="00C30D96"/>
    <w:rsid w:val="00C30DD1"/>
    <w:rsid w:val="00C31BC5"/>
    <w:rsid w:val="00C3572E"/>
    <w:rsid w:val="00C36823"/>
    <w:rsid w:val="00C55F44"/>
    <w:rsid w:val="00C62A16"/>
    <w:rsid w:val="00C6628B"/>
    <w:rsid w:val="00C71477"/>
    <w:rsid w:val="00C760BA"/>
    <w:rsid w:val="00C83881"/>
    <w:rsid w:val="00C8430C"/>
    <w:rsid w:val="00C844B7"/>
    <w:rsid w:val="00C92FEE"/>
    <w:rsid w:val="00C93BE9"/>
    <w:rsid w:val="00CB367E"/>
    <w:rsid w:val="00CB791B"/>
    <w:rsid w:val="00CC05B4"/>
    <w:rsid w:val="00CC0A4A"/>
    <w:rsid w:val="00CC54A9"/>
    <w:rsid w:val="00CC7CBF"/>
    <w:rsid w:val="00CD57C4"/>
    <w:rsid w:val="00CE1155"/>
    <w:rsid w:val="00CE1DB3"/>
    <w:rsid w:val="00CE207C"/>
    <w:rsid w:val="00CE2AC2"/>
    <w:rsid w:val="00CE463D"/>
    <w:rsid w:val="00CE7D79"/>
    <w:rsid w:val="00D10E33"/>
    <w:rsid w:val="00D20962"/>
    <w:rsid w:val="00D2129C"/>
    <w:rsid w:val="00D2218E"/>
    <w:rsid w:val="00D23136"/>
    <w:rsid w:val="00D36AA4"/>
    <w:rsid w:val="00D4159C"/>
    <w:rsid w:val="00D42A20"/>
    <w:rsid w:val="00D50449"/>
    <w:rsid w:val="00D51816"/>
    <w:rsid w:val="00D645D4"/>
    <w:rsid w:val="00D64B48"/>
    <w:rsid w:val="00D653DB"/>
    <w:rsid w:val="00D65510"/>
    <w:rsid w:val="00D6634A"/>
    <w:rsid w:val="00D70CFF"/>
    <w:rsid w:val="00D71EF3"/>
    <w:rsid w:val="00D746E0"/>
    <w:rsid w:val="00D75A53"/>
    <w:rsid w:val="00D92753"/>
    <w:rsid w:val="00D95247"/>
    <w:rsid w:val="00DA072A"/>
    <w:rsid w:val="00DB47D5"/>
    <w:rsid w:val="00DC3DFB"/>
    <w:rsid w:val="00DC5C3E"/>
    <w:rsid w:val="00DC62C6"/>
    <w:rsid w:val="00DC66BC"/>
    <w:rsid w:val="00DD0D50"/>
    <w:rsid w:val="00DD28E8"/>
    <w:rsid w:val="00DD46AF"/>
    <w:rsid w:val="00DD7769"/>
    <w:rsid w:val="00DE708A"/>
    <w:rsid w:val="00DF0C9A"/>
    <w:rsid w:val="00DF1FF7"/>
    <w:rsid w:val="00DF4724"/>
    <w:rsid w:val="00DF5ED1"/>
    <w:rsid w:val="00E04B39"/>
    <w:rsid w:val="00E1486B"/>
    <w:rsid w:val="00E148BF"/>
    <w:rsid w:val="00E327E7"/>
    <w:rsid w:val="00E37B35"/>
    <w:rsid w:val="00E73B03"/>
    <w:rsid w:val="00E8159D"/>
    <w:rsid w:val="00E83A03"/>
    <w:rsid w:val="00E85E29"/>
    <w:rsid w:val="00E91EFF"/>
    <w:rsid w:val="00E96CB9"/>
    <w:rsid w:val="00EB695A"/>
    <w:rsid w:val="00EC158C"/>
    <w:rsid w:val="00EC59A9"/>
    <w:rsid w:val="00EC62BC"/>
    <w:rsid w:val="00EC6489"/>
    <w:rsid w:val="00ED1F0D"/>
    <w:rsid w:val="00ED45AC"/>
    <w:rsid w:val="00ED7AB5"/>
    <w:rsid w:val="00EE201F"/>
    <w:rsid w:val="00EE731F"/>
    <w:rsid w:val="00EF1FC8"/>
    <w:rsid w:val="00EF32C7"/>
    <w:rsid w:val="00EF6E92"/>
    <w:rsid w:val="00F00DBE"/>
    <w:rsid w:val="00F172C8"/>
    <w:rsid w:val="00F219D6"/>
    <w:rsid w:val="00F267D5"/>
    <w:rsid w:val="00F2688C"/>
    <w:rsid w:val="00F3096B"/>
    <w:rsid w:val="00F30CDB"/>
    <w:rsid w:val="00F337F3"/>
    <w:rsid w:val="00F3437E"/>
    <w:rsid w:val="00F500BC"/>
    <w:rsid w:val="00F55B62"/>
    <w:rsid w:val="00F56778"/>
    <w:rsid w:val="00F6136F"/>
    <w:rsid w:val="00F85737"/>
    <w:rsid w:val="00F85A9F"/>
    <w:rsid w:val="00F90679"/>
    <w:rsid w:val="00F911B3"/>
    <w:rsid w:val="00F9334A"/>
    <w:rsid w:val="00F951E1"/>
    <w:rsid w:val="00F974DD"/>
    <w:rsid w:val="00F97CF8"/>
    <w:rsid w:val="00FA0522"/>
    <w:rsid w:val="00FA7A08"/>
    <w:rsid w:val="00FC120D"/>
    <w:rsid w:val="00FC186F"/>
    <w:rsid w:val="00FC711F"/>
    <w:rsid w:val="00FD66BD"/>
    <w:rsid w:val="00FE2560"/>
    <w:rsid w:val="00FE25BF"/>
    <w:rsid w:val="00FE5227"/>
    <w:rsid w:val="00FE5350"/>
    <w:rsid w:val="00FF06DC"/>
    <w:rsid w:val="00FF1723"/>
    <w:rsid w:val="00FF239B"/>
    <w:rsid w:val="00FF6D2F"/>
    <w:rsid w:val="471B8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367D"/>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basedOn w:val="Normal"/>
    <w:uiPriority w:val="34"/>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uiPriority w:val="39"/>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B5E43"/>
  </w:style>
  <w:style w:type="character" w:customStyle="1" w:styleId="contextualspellingandgrammarerror">
    <w:name w:val="contextualspellingandgrammarerror"/>
    <w:basedOn w:val="DefaultParagraphFont"/>
    <w:rsid w:val="006B5E43"/>
  </w:style>
  <w:style w:type="character" w:customStyle="1" w:styleId="normaltextrun1">
    <w:name w:val="normaltextrun1"/>
    <w:basedOn w:val="DefaultParagraphFont"/>
    <w:rsid w:val="00BC368D"/>
  </w:style>
  <w:style w:type="character" w:customStyle="1" w:styleId="scxw199886944">
    <w:name w:val="scxw199886944"/>
    <w:basedOn w:val="DefaultParagraphFont"/>
    <w:rsid w:val="00BC3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45841168">
      <w:bodyDiv w:val="1"/>
      <w:marLeft w:val="0"/>
      <w:marRight w:val="0"/>
      <w:marTop w:val="0"/>
      <w:marBottom w:val="0"/>
      <w:divBdr>
        <w:top w:val="none" w:sz="0" w:space="0" w:color="auto"/>
        <w:left w:val="none" w:sz="0" w:space="0" w:color="auto"/>
        <w:bottom w:val="none" w:sz="0" w:space="0" w:color="auto"/>
        <w:right w:val="none" w:sz="0" w:space="0" w:color="auto"/>
      </w:divBdr>
    </w:div>
    <w:div w:id="71124112">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sChild>
        <w:div w:id="945235585">
          <w:marLeft w:val="0"/>
          <w:marRight w:val="0"/>
          <w:marTop w:val="0"/>
          <w:marBottom w:val="0"/>
          <w:divBdr>
            <w:top w:val="none" w:sz="0" w:space="0" w:color="auto"/>
            <w:left w:val="none" w:sz="0" w:space="0" w:color="auto"/>
            <w:bottom w:val="none" w:sz="0" w:space="0" w:color="auto"/>
            <w:right w:val="none" w:sz="0" w:space="0" w:color="auto"/>
          </w:divBdr>
        </w:div>
        <w:div w:id="1593587202">
          <w:marLeft w:val="0"/>
          <w:marRight w:val="0"/>
          <w:marTop w:val="0"/>
          <w:marBottom w:val="0"/>
          <w:divBdr>
            <w:top w:val="none" w:sz="0" w:space="0" w:color="auto"/>
            <w:left w:val="none" w:sz="0" w:space="0" w:color="auto"/>
            <w:bottom w:val="none" w:sz="0" w:space="0" w:color="auto"/>
            <w:right w:val="none" w:sz="0" w:space="0" w:color="auto"/>
          </w:divBdr>
        </w:div>
        <w:div w:id="1630276939">
          <w:marLeft w:val="0"/>
          <w:marRight w:val="0"/>
          <w:marTop w:val="0"/>
          <w:marBottom w:val="0"/>
          <w:divBdr>
            <w:top w:val="none" w:sz="0" w:space="0" w:color="auto"/>
            <w:left w:val="none" w:sz="0" w:space="0" w:color="auto"/>
            <w:bottom w:val="none" w:sz="0" w:space="0" w:color="auto"/>
            <w:right w:val="none" w:sz="0" w:space="0" w:color="auto"/>
          </w:divBdr>
        </w:div>
      </w:divsChild>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41166556">
      <w:bodyDiv w:val="1"/>
      <w:marLeft w:val="0"/>
      <w:marRight w:val="0"/>
      <w:marTop w:val="0"/>
      <w:marBottom w:val="0"/>
      <w:divBdr>
        <w:top w:val="none" w:sz="0" w:space="0" w:color="auto"/>
        <w:left w:val="none" w:sz="0" w:space="0" w:color="auto"/>
        <w:bottom w:val="none" w:sz="0" w:space="0" w:color="auto"/>
        <w:right w:val="none" w:sz="0" w:space="0" w:color="auto"/>
      </w:divBdr>
    </w:div>
    <w:div w:id="154541846">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58153385">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73343116">
      <w:bodyDiv w:val="1"/>
      <w:marLeft w:val="0"/>
      <w:marRight w:val="0"/>
      <w:marTop w:val="0"/>
      <w:marBottom w:val="0"/>
      <w:divBdr>
        <w:top w:val="none" w:sz="0" w:space="0" w:color="auto"/>
        <w:left w:val="none" w:sz="0" w:space="0" w:color="auto"/>
        <w:bottom w:val="none" w:sz="0" w:space="0" w:color="auto"/>
        <w:right w:val="none" w:sz="0" w:space="0" w:color="auto"/>
      </w:divBdr>
      <w:divsChild>
        <w:div w:id="2023242896">
          <w:marLeft w:val="0"/>
          <w:marRight w:val="0"/>
          <w:marTop w:val="0"/>
          <w:marBottom w:val="0"/>
          <w:divBdr>
            <w:top w:val="none" w:sz="0" w:space="0" w:color="auto"/>
            <w:left w:val="none" w:sz="0" w:space="0" w:color="auto"/>
            <w:bottom w:val="none" w:sz="0" w:space="0" w:color="auto"/>
            <w:right w:val="none" w:sz="0" w:space="0" w:color="auto"/>
          </w:divBdr>
          <w:divsChild>
            <w:div w:id="1185635614">
              <w:marLeft w:val="0"/>
              <w:marRight w:val="0"/>
              <w:marTop w:val="0"/>
              <w:marBottom w:val="0"/>
              <w:divBdr>
                <w:top w:val="none" w:sz="0" w:space="0" w:color="auto"/>
                <w:left w:val="none" w:sz="0" w:space="0" w:color="auto"/>
                <w:bottom w:val="none" w:sz="0" w:space="0" w:color="auto"/>
                <w:right w:val="none" w:sz="0" w:space="0" w:color="auto"/>
              </w:divBdr>
              <w:divsChild>
                <w:div w:id="279993369">
                  <w:marLeft w:val="0"/>
                  <w:marRight w:val="0"/>
                  <w:marTop w:val="0"/>
                  <w:marBottom w:val="0"/>
                  <w:divBdr>
                    <w:top w:val="none" w:sz="0" w:space="0" w:color="auto"/>
                    <w:left w:val="none" w:sz="0" w:space="0" w:color="auto"/>
                    <w:bottom w:val="none" w:sz="0" w:space="0" w:color="auto"/>
                    <w:right w:val="none" w:sz="0" w:space="0" w:color="auto"/>
                  </w:divBdr>
                  <w:divsChild>
                    <w:div w:id="1104030370">
                      <w:marLeft w:val="0"/>
                      <w:marRight w:val="0"/>
                      <w:marTop w:val="0"/>
                      <w:marBottom w:val="0"/>
                      <w:divBdr>
                        <w:top w:val="none" w:sz="0" w:space="0" w:color="auto"/>
                        <w:left w:val="none" w:sz="0" w:space="0" w:color="auto"/>
                        <w:bottom w:val="none" w:sz="0" w:space="0" w:color="auto"/>
                        <w:right w:val="none" w:sz="0" w:space="0" w:color="auto"/>
                      </w:divBdr>
                      <w:divsChild>
                        <w:div w:id="61952955">
                          <w:marLeft w:val="0"/>
                          <w:marRight w:val="0"/>
                          <w:marTop w:val="0"/>
                          <w:marBottom w:val="0"/>
                          <w:divBdr>
                            <w:top w:val="none" w:sz="0" w:space="0" w:color="auto"/>
                            <w:left w:val="none" w:sz="0" w:space="0" w:color="auto"/>
                            <w:bottom w:val="none" w:sz="0" w:space="0" w:color="auto"/>
                            <w:right w:val="none" w:sz="0" w:space="0" w:color="auto"/>
                          </w:divBdr>
                          <w:divsChild>
                            <w:div w:id="2018195894">
                              <w:marLeft w:val="0"/>
                              <w:marRight w:val="0"/>
                              <w:marTop w:val="0"/>
                              <w:marBottom w:val="0"/>
                              <w:divBdr>
                                <w:top w:val="none" w:sz="0" w:space="0" w:color="auto"/>
                                <w:left w:val="none" w:sz="0" w:space="0" w:color="auto"/>
                                <w:bottom w:val="none" w:sz="0" w:space="0" w:color="auto"/>
                                <w:right w:val="none" w:sz="0" w:space="0" w:color="auto"/>
                              </w:divBdr>
                              <w:divsChild>
                                <w:div w:id="463085486">
                                  <w:marLeft w:val="0"/>
                                  <w:marRight w:val="0"/>
                                  <w:marTop w:val="0"/>
                                  <w:marBottom w:val="0"/>
                                  <w:divBdr>
                                    <w:top w:val="none" w:sz="0" w:space="0" w:color="auto"/>
                                    <w:left w:val="none" w:sz="0" w:space="0" w:color="auto"/>
                                    <w:bottom w:val="none" w:sz="0" w:space="0" w:color="auto"/>
                                    <w:right w:val="none" w:sz="0" w:space="0" w:color="auto"/>
                                  </w:divBdr>
                                  <w:divsChild>
                                    <w:div w:id="365908815">
                                      <w:marLeft w:val="0"/>
                                      <w:marRight w:val="0"/>
                                      <w:marTop w:val="0"/>
                                      <w:marBottom w:val="0"/>
                                      <w:divBdr>
                                        <w:top w:val="none" w:sz="0" w:space="0" w:color="auto"/>
                                        <w:left w:val="none" w:sz="0" w:space="0" w:color="auto"/>
                                        <w:bottom w:val="none" w:sz="0" w:space="0" w:color="auto"/>
                                        <w:right w:val="none" w:sz="0" w:space="0" w:color="auto"/>
                                      </w:divBdr>
                                      <w:divsChild>
                                        <w:div w:id="2092237171">
                                          <w:marLeft w:val="0"/>
                                          <w:marRight w:val="0"/>
                                          <w:marTop w:val="0"/>
                                          <w:marBottom w:val="0"/>
                                          <w:divBdr>
                                            <w:top w:val="none" w:sz="0" w:space="0" w:color="auto"/>
                                            <w:left w:val="none" w:sz="0" w:space="0" w:color="auto"/>
                                            <w:bottom w:val="none" w:sz="0" w:space="0" w:color="auto"/>
                                            <w:right w:val="none" w:sz="0" w:space="0" w:color="auto"/>
                                          </w:divBdr>
                                          <w:divsChild>
                                            <w:div w:id="211313647">
                                              <w:marLeft w:val="0"/>
                                              <w:marRight w:val="0"/>
                                              <w:marTop w:val="0"/>
                                              <w:marBottom w:val="0"/>
                                              <w:divBdr>
                                                <w:top w:val="none" w:sz="0" w:space="0" w:color="auto"/>
                                                <w:left w:val="none" w:sz="0" w:space="0" w:color="auto"/>
                                                <w:bottom w:val="none" w:sz="0" w:space="0" w:color="auto"/>
                                                <w:right w:val="none" w:sz="0" w:space="0" w:color="auto"/>
                                              </w:divBdr>
                                              <w:divsChild>
                                                <w:div w:id="1994019856">
                                                  <w:marLeft w:val="0"/>
                                                  <w:marRight w:val="0"/>
                                                  <w:marTop w:val="0"/>
                                                  <w:marBottom w:val="0"/>
                                                  <w:divBdr>
                                                    <w:top w:val="none" w:sz="0" w:space="0" w:color="auto"/>
                                                    <w:left w:val="none" w:sz="0" w:space="0" w:color="auto"/>
                                                    <w:bottom w:val="none" w:sz="0" w:space="0" w:color="auto"/>
                                                    <w:right w:val="none" w:sz="0" w:space="0" w:color="auto"/>
                                                  </w:divBdr>
                                                  <w:divsChild>
                                                    <w:div w:id="105077429">
                                                      <w:marLeft w:val="0"/>
                                                      <w:marRight w:val="0"/>
                                                      <w:marTop w:val="0"/>
                                                      <w:marBottom w:val="0"/>
                                                      <w:divBdr>
                                                        <w:top w:val="single" w:sz="6" w:space="0" w:color="auto"/>
                                                        <w:left w:val="none" w:sz="0" w:space="0" w:color="auto"/>
                                                        <w:bottom w:val="none" w:sz="0" w:space="0" w:color="auto"/>
                                                        <w:right w:val="none" w:sz="0" w:space="0" w:color="auto"/>
                                                      </w:divBdr>
                                                      <w:divsChild>
                                                        <w:div w:id="1636447619">
                                                          <w:marLeft w:val="0"/>
                                                          <w:marRight w:val="0"/>
                                                          <w:marTop w:val="0"/>
                                                          <w:marBottom w:val="0"/>
                                                          <w:divBdr>
                                                            <w:top w:val="none" w:sz="0" w:space="0" w:color="auto"/>
                                                            <w:left w:val="none" w:sz="0" w:space="0" w:color="auto"/>
                                                            <w:bottom w:val="none" w:sz="0" w:space="0" w:color="auto"/>
                                                            <w:right w:val="none" w:sz="0" w:space="0" w:color="auto"/>
                                                          </w:divBdr>
                                                          <w:divsChild>
                                                            <w:div w:id="845628743">
                                                              <w:marLeft w:val="0"/>
                                                              <w:marRight w:val="0"/>
                                                              <w:marTop w:val="0"/>
                                                              <w:marBottom w:val="0"/>
                                                              <w:divBdr>
                                                                <w:top w:val="none" w:sz="0" w:space="0" w:color="auto"/>
                                                                <w:left w:val="none" w:sz="0" w:space="0" w:color="auto"/>
                                                                <w:bottom w:val="none" w:sz="0" w:space="0" w:color="auto"/>
                                                                <w:right w:val="none" w:sz="0" w:space="0" w:color="auto"/>
                                                              </w:divBdr>
                                                              <w:divsChild>
                                                                <w:div w:id="1181891930">
                                                                  <w:marLeft w:val="0"/>
                                                                  <w:marRight w:val="0"/>
                                                                  <w:marTop w:val="0"/>
                                                                  <w:marBottom w:val="0"/>
                                                                  <w:divBdr>
                                                                    <w:top w:val="none" w:sz="0" w:space="0" w:color="auto"/>
                                                                    <w:left w:val="none" w:sz="0" w:space="0" w:color="auto"/>
                                                                    <w:bottom w:val="none" w:sz="0" w:space="0" w:color="auto"/>
                                                                    <w:right w:val="none" w:sz="0" w:space="0" w:color="auto"/>
                                                                  </w:divBdr>
                                                                  <w:divsChild>
                                                                    <w:div w:id="1998069317">
                                                                      <w:marLeft w:val="0"/>
                                                                      <w:marRight w:val="0"/>
                                                                      <w:marTop w:val="0"/>
                                                                      <w:marBottom w:val="0"/>
                                                                      <w:divBdr>
                                                                        <w:top w:val="none" w:sz="0" w:space="0" w:color="auto"/>
                                                                        <w:left w:val="none" w:sz="0" w:space="0" w:color="auto"/>
                                                                        <w:bottom w:val="none" w:sz="0" w:space="0" w:color="auto"/>
                                                                        <w:right w:val="none" w:sz="0" w:space="0" w:color="auto"/>
                                                                      </w:divBdr>
                                                                      <w:divsChild>
                                                                        <w:div w:id="269750426">
                                                                          <w:marLeft w:val="0"/>
                                                                          <w:marRight w:val="0"/>
                                                                          <w:marTop w:val="0"/>
                                                                          <w:marBottom w:val="0"/>
                                                                          <w:divBdr>
                                                                            <w:top w:val="none" w:sz="0" w:space="0" w:color="auto"/>
                                                                            <w:left w:val="none" w:sz="0" w:space="0" w:color="auto"/>
                                                                            <w:bottom w:val="none" w:sz="0" w:space="0" w:color="auto"/>
                                                                            <w:right w:val="none" w:sz="0" w:space="0" w:color="auto"/>
                                                                          </w:divBdr>
                                                                          <w:divsChild>
                                                                            <w:div w:id="1609118424">
                                                                              <w:marLeft w:val="0"/>
                                                                              <w:marRight w:val="0"/>
                                                                              <w:marTop w:val="0"/>
                                                                              <w:marBottom w:val="0"/>
                                                                              <w:divBdr>
                                                                                <w:top w:val="none" w:sz="0" w:space="0" w:color="auto"/>
                                                                                <w:left w:val="none" w:sz="0" w:space="0" w:color="auto"/>
                                                                                <w:bottom w:val="none" w:sz="0" w:space="0" w:color="auto"/>
                                                                                <w:right w:val="none" w:sz="0" w:space="0" w:color="auto"/>
                                                                              </w:divBdr>
                                                                              <w:divsChild>
                                                                                <w:div w:id="1820345089">
                                                                                  <w:marLeft w:val="0"/>
                                                                                  <w:marRight w:val="0"/>
                                                                                  <w:marTop w:val="0"/>
                                                                                  <w:marBottom w:val="0"/>
                                                                                  <w:divBdr>
                                                                                    <w:top w:val="none" w:sz="0" w:space="0" w:color="auto"/>
                                                                                    <w:left w:val="none" w:sz="0" w:space="0" w:color="auto"/>
                                                                                    <w:bottom w:val="none" w:sz="0" w:space="0" w:color="auto"/>
                                                                                    <w:right w:val="none" w:sz="0" w:space="0" w:color="auto"/>
                                                                                  </w:divBdr>
                                                                                </w:div>
                                                                                <w:div w:id="522979156">
                                                                                  <w:marLeft w:val="0"/>
                                                                                  <w:marRight w:val="0"/>
                                                                                  <w:marTop w:val="0"/>
                                                                                  <w:marBottom w:val="0"/>
                                                                                  <w:divBdr>
                                                                                    <w:top w:val="none" w:sz="0" w:space="0" w:color="auto"/>
                                                                                    <w:left w:val="none" w:sz="0" w:space="0" w:color="auto"/>
                                                                                    <w:bottom w:val="none" w:sz="0" w:space="0" w:color="auto"/>
                                                                                    <w:right w:val="none" w:sz="0" w:space="0" w:color="auto"/>
                                                                                  </w:divBdr>
                                                                                </w:div>
                                                                                <w:div w:id="927956906">
                                                                                  <w:marLeft w:val="0"/>
                                                                                  <w:marRight w:val="0"/>
                                                                                  <w:marTop w:val="0"/>
                                                                                  <w:marBottom w:val="0"/>
                                                                                  <w:divBdr>
                                                                                    <w:top w:val="none" w:sz="0" w:space="0" w:color="auto"/>
                                                                                    <w:left w:val="none" w:sz="0" w:space="0" w:color="auto"/>
                                                                                    <w:bottom w:val="none" w:sz="0" w:space="0" w:color="auto"/>
                                                                                    <w:right w:val="none" w:sz="0" w:space="0" w:color="auto"/>
                                                                                  </w:divBdr>
                                                                                </w:div>
                                                                                <w:div w:id="1387727712">
                                                                                  <w:marLeft w:val="0"/>
                                                                                  <w:marRight w:val="0"/>
                                                                                  <w:marTop w:val="0"/>
                                                                                  <w:marBottom w:val="0"/>
                                                                                  <w:divBdr>
                                                                                    <w:top w:val="none" w:sz="0" w:space="0" w:color="auto"/>
                                                                                    <w:left w:val="none" w:sz="0" w:space="0" w:color="auto"/>
                                                                                    <w:bottom w:val="none" w:sz="0" w:space="0" w:color="auto"/>
                                                                                    <w:right w:val="none" w:sz="0" w:space="0" w:color="auto"/>
                                                                                  </w:divBdr>
                                                                                </w:div>
                                                                                <w:div w:id="2002539080">
                                                                                  <w:marLeft w:val="0"/>
                                                                                  <w:marRight w:val="0"/>
                                                                                  <w:marTop w:val="0"/>
                                                                                  <w:marBottom w:val="0"/>
                                                                                  <w:divBdr>
                                                                                    <w:top w:val="none" w:sz="0" w:space="0" w:color="auto"/>
                                                                                    <w:left w:val="none" w:sz="0" w:space="0" w:color="auto"/>
                                                                                    <w:bottom w:val="none" w:sz="0" w:space="0" w:color="auto"/>
                                                                                    <w:right w:val="none" w:sz="0" w:space="0" w:color="auto"/>
                                                                                  </w:divBdr>
                                                                                </w:div>
                                                                                <w:div w:id="1110667939">
                                                                                  <w:marLeft w:val="0"/>
                                                                                  <w:marRight w:val="0"/>
                                                                                  <w:marTop w:val="0"/>
                                                                                  <w:marBottom w:val="0"/>
                                                                                  <w:divBdr>
                                                                                    <w:top w:val="none" w:sz="0" w:space="0" w:color="auto"/>
                                                                                    <w:left w:val="none" w:sz="0" w:space="0" w:color="auto"/>
                                                                                    <w:bottom w:val="none" w:sz="0" w:space="0" w:color="auto"/>
                                                                                    <w:right w:val="none" w:sz="0" w:space="0" w:color="auto"/>
                                                                                  </w:divBdr>
                                                                                </w:div>
                                                                                <w:div w:id="95492281">
                                                                                  <w:marLeft w:val="0"/>
                                                                                  <w:marRight w:val="0"/>
                                                                                  <w:marTop w:val="0"/>
                                                                                  <w:marBottom w:val="0"/>
                                                                                  <w:divBdr>
                                                                                    <w:top w:val="none" w:sz="0" w:space="0" w:color="auto"/>
                                                                                    <w:left w:val="none" w:sz="0" w:space="0" w:color="auto"/>
                                                                                    <w:bottom w:val="none" w:sz="0" w:space="0" w:color="auto"/>
                                                                                    <w:right w:val="none" w:sz="0" w:space="0" w:color="auto"/>
                                                                                  </w:divBdr>
                                                                                </w:div>
                                                                                <w:div w:id="2039117782">
                                                                                  <w:marLeft w:val="0"/>
                                                                                  <w:marRight w:val="0"/>
                                                                                  <w:marTop w:val="0"/>
                                                                                  <w:marBottom w:val="0"/>
                                                                                  <w:divBdr>
                                                                                    <w:top w:val="none" w:sz="0" w:space="0" w:color="auto"/>
                                                                                    <w:left w:val="none" w:sz="0" w:space="0" w:color="auto"/>
                                                                                    <w:bottom w:val="none" w:sz="0" w:space="0" w:color="auto"/>
                                                                                    <w:right w:val="none" w:sz="0" w:space="0" w:color="auto"/>
                                                                                  </w:divBdr>
                                                                                </w:div>
                                                                                <w:div w:id="1814373324">
                                                                                  <w:marLeft w:val="0"/>
                                                                                  <w:marRight w:val="0"/>
                                                                                  <w:marTop w:val="0"/>
                                                                                  <w:marBottom w:val="0"/>
                                                                                  <w:divBdr>
                                                                                    <w:top w:val="none" w:sz="0" w:space="0" w:color="auto"/>
                                                                                    <w:left w:val="none" w:sz="0" w:space="0" w:color="auto"/>
                                                                                    <w:bottom w:val="none" w:sz="0" w:space="0" w:color="auto"/>
                                                                                    <w:right w:val="none" w:sz="0" w:space="0" w:color="auto"/>
                                                                                  </w:divBdr>
                                                                                </w:div>
                                                                                <w:div w:id="1465583882">
                                                                                  <w:marLeft w:val="0"/>
                                                                                  <w:marRight w:val="0"/>
                                                                                  <w:marTop w:val="0"/>
                                                                                  <w:marBottom w:val="0"/>
                                                                                  <w:divBdr>
                                                                                    <w:top w:val="none" w:sz="0" w:space="0" w:color="auto"/>
                                                                                    <w:left w:val="none" w:sz="0" w:space="0" w:color="auto"/>
                                                                                    <w:bottom w:val="none" w:sz="0" w:space="0" w:color="auto"/>
                                                                                    <w:right w:val="none" w:sz="0" w:space="0" w:color="auto"/>
                                                                                  </w:divBdr>
                                                                                </w:div>
                                                                                <w:div w:id="1617560481">
                                                                                  <w:marLeft w:val="0"/>
                                                                                  <w:marRight w:val="0"/>
                                                                                  <w:marTop w:val="0"/>
                                                                                  <w:marBottom w:val="0"/>
                                                                                  <w:divBdr>
                                                                                    <w:top w:val="none" w:sz="0" w:space="0" w:color="auto"/>
                                                                                    <w:left w:val="none" w:sz="0" w:space="0" w:color="auto"/>
                                                                                    <w:bottom w:val="none" w:sz="0" w:space="0" w:color="auto"/>
                                                                                    <w:right w:val="none" w:sz="0" w:space="0" w:color="auto"/>
                                                                                  </w:divBdr>
                                                                                </w:div>
                                                                                <w:div w:id="1152405014">
                                                                                  <w:marLeft w:val="0"/>
                                                                                  <w:marRight w:val="0"/>
                                                                                  <w:marTop w:val="0"/>
                                                                                  <w:marBottom w:val="0"/>
                                                                                  <w:divBdr>
                                                                                    <w:top w:val="none" w:sz="0" w:space="0" w:color="auto"/>
                                                                                    <w:left w:val="none" w:sz="0" w:space="0" w:color="auto"/>
                                                                                    <w:bottom w:val="none" w:sz="0" w:space="0" w:color="auto"/>
                                                                                    <w:right w:val="none" w:sz="0" w:space="0" w:color="auto"/>
                                                                                  </w:divBdr>
                                                                                </w:div>
                                                                                <w:div w:id="923150031">
                                                                                  <w:marLeft w:val="0"/>
                                                                                  <w:marRight w:val="0"/>
                                                                                  <w:marTop w:val="0"/>
                                                                                  <w:marBottom w:val="0"/>
                                                                                  <w:divBdr>
                                                                                    <w:top w:val="none" w:sz="0" w:space="0" w:color="auto"/>
                                                                                    <w:left w:val="none" w:sz="0" w:space="0" w:color="auto"/>
                                                                                    <w:bottom w:val="none" w:sz="0" w:space="0" w:color="auto"/>
                                                                                    <w:right w:val="none" w:sz="0" w:space="0" w:color="auto"/>
                                                                                  </w:divBdr>
                                                                                </w:div>
                                                                                <w:div w:id="1499610983">
                                                                                  <w:marLeft w:val="0"/>
                                                                                  <w:marRight w:val="0"/>
                                                                                  <w:marTop w:val="0"/>
                                                                                  <w:marBottom w:val="0"/>
                                                                                  <w:divBdr>
                                                                                    <w:top w:val="none" w:sz="0" w:space="0" w:color="auto"/>
                                                                                    <w:left w:val="none" w:sz="0" w:space="0" w:color="auto"/>
                                                                                    <w:bottom w:val="none" w:sz="0" w:space="0" w:color="auto"/>
                                                                                    <w:right w:val="none" w:sz="0" w:space="0" w:color="auto"/>
                                                                                  </w:divBdr>
                                                                                </w:div>
                                                                                <w:div w:id="1966084260">
                                                                                  <w:marLeft w:val="0"/>
                                                                                  <w:marRight w:val="0"/>
                                                                                  <w:marTop w:val="0"/>
                                                                                  <w:marBottom w:val="0"/>
                                                                                  <w:divBdr>
                                                                                    <w:top w:val="none" w:sz="0" w:space="0" w:color="auto"/>
                                                                                    <w:left w:val="none" w:sz="0" w:space="0" w:color="auto"/>
                                                                                    <w:bottom w:val="none" w:sz="0" w:space="0" w:color="auto"/>
                                                                                    <w:right w:val="none" w:sz="0" w:space="0" w:color="auto"/>
                                                                                  </w:divBdr>
                                                                                </w:div>
                                                                                <w:div w:id="1818717130">
                                                                                  <w:marLeft w:val="0"/>
                                                                                  <w:marRight w:val="0"/>
                                                                                  <w:marTop w:val="0"/>
                                                                                  <w:marBottom w:val="0"/>
                                                                                  <w:divBdr>
                                                                                    <w:top w:val="none" w:sz="0" w:space="0" w:color="auto"/>
                                                                                    <w:left w:val="none" w:sz="0" w:space="0" w:color="auto"/>
                                                                                    <w:bottom w:val="none" w:sz="0" w:space="0" w:color="auto"/>
                                                                                    <w:right w:val="none" w:sz="0" w:space="0" w:color="auto"/>
                                                                                  </w:divBdr>
                                                                                </w:div>
                                                                                <w:div w:id="1339580404">
                                                                                  <w:marLeft w:val="0"/>
                                                                                  <w:marRight w:val="0"/>
                                                                                  <w:marTop w:val="0"/>
                                                                                  <w:marBottom w:val="0"/>
                                                                                  <w:divBdr>
                                                                                    <w:top w:val="none" w:sz="0" w:space="0" w:color="auto"/>
                                                                                    <w:left w:val="none" w:sz="0" w:space="0" w:color="auto"/>
                                                                                    <w:bottom w:val="none" w:sz="0" w:space="0" w:color="auto"/>
                                                                                    <w:right w:val="none" w:sz="0" w:space="0" w:color="auto"/>
                                                                                  </w:divBdr>
                                                                                </w:div>
                                                                                <w:div w:id="714351234">
                                                                                  <w:marLeft w:val="0"/>
                                                                                  <w:marRight w:val="0"/>
                                                                                  <w:marTop w:val="0"/>
                                                                                  <w:marBottom w:val="0"/>
                                                                                  <w:divBdr>
                                                                                    <w:top w:val="none" w:sz="0" w:space="0" w:color="auto"/>
                                                                                    <w:left w:val="none" w:sz="0" w:space="0" w:color="auto"/>
                                                                                    <w:bottom w:val="none" w:sz="0" w:space="0" w:color="auto"/>
                                                                                    <w:right w:val="none" w:sz="0" w:space="0" w:color="auto"/>
                                                                                  </w:divBdr>
                                                                                </w:div>
                                                                                <w:div w:id="1655252907">
                                                                                  <w:marLeft w:val="0"/>
                                                                                  <w:marRight w:val="0"/>
                                                                                  <w:marTop w:val="0"/>
                                                                                  <w:marBottom w:val="0"/>
                                                                                  <w:divBdr>
                                                                                    <w:top w:val="none" w:sz="0" w:space="0" w:color="auto"/>
                                                                                    <w:left w:val="none" w:sz="0" w:space="0" w:color="auto"/>
                                                                                    <w:bottom w:val="none" w:sz="0" w:space="0" w:color="auto"/>
                                                                                    <w:right w:val="none" w:sz="0" w:space="0" w:color="auto"/>
                                                                                  </w:divBdr>
                                                                                </w:div>
                                                                                <w:div w:id="1329793239">
                                                                                  <w:marLeft w:val="0"/>
                                                                                  <w:marRight w:val="0"/>
                                                                                  <w:marTop w:val="0"/>
                                                                                  <w:marBottom w:val="0"/>
                                                                                  <w:divBdr>
                                                                                    <w:top w:val="none" w:sz="0" w:space="0" w:color="auto"/>
                                                                                    <w:left w:val="none" w:sz="0" w:space="0" w:color="auto"/>
                                                                                    <w:bottom w:val="none" w:sz="0" w:space="0" w:color="auto"/>
                                                                                    <w:right w:val="none" w:sz="0" w:space="0" w:color="auto"/>
                                                                                  </w:divBdr>
                                                                                </w:div>
                                                                                <w:div w:id="683945766">
                                                                                  <w:marLeft w:val="0"/>
                                                                                  <w:marRight w:val="0"/>
                                                                                  <w:marTop w:val="0"/>
                                                                                  <w:marBottom w:val="0"/>
                                                                                  <w:divBdr>
                                                                                    <w:top w:val="none" w:sz="0" w:space="0" w:color="auto"/>
                                                                                    <w:left w:val="none" w:sz="0" w:space="0" w:color="auto"/>
                                                                                    <w:bottom w:val="none" w:sz="0" w:space="0" w:color="auto"/>
                                                                                    <w:right w:val="none" w:sz="0" w:space="0" w:color="auto"/>
                                                                                  </w:divBdr>
                                                                                </w:div>
                                                                                <w:div w:id="1256784436">
                                                                                  <w:marLeft w:val="0"/>
                                                                                  <w:marRight w:val="0"/>
                                                                                  <w:marTop w:val="0"/>
                                                                                  <w:marBottom w:val="0"/>
                                                                                  <w:divBdr>
                                                                                    <w:top w:val="none" w:sz="0" w:space="0" w:color="auto"/>
                                                                                    <w:left w:val="none" w:sz="0" w:space="0" w:color="auto"/>
                                                                                    <w:bottom w:val="none" w:sz="0" w:space="0" w:color="auto"/>
                                                                                    <w:right w:val="none" w:sz="0" w:space="0" w:color="auto"/>
                                                                                  </w:divBdr>
                                                                                </w:div>
                                                                                <w:div w:id="427820741">
                                                                                  <w:marLeft w:val="0"/>
                                                                                  <w:marRight w:val="0"/>
                                                                                  <w:marTop w:val="0"/>
                                                                                  <w:marBottom w:val="0"/>
                                                                                  <w:divBdr>
                                                                                    <w:top w:val="none" w:sz="0" w:space="0" w:color="auto"/>
                                                                                    <w:left w:val="none" w:sz="0" w:space="0" w:color="auto"/>
                                                                                    <w:bottom w:val="none" w:sz="0" w:space="0" w:color="auto"/>
                                                                                    <w:right w:val="none" w:sz="0" w:space="0" w:color="auto"/>
                                                                                  </w:divBdr>
                                                                                </w:div>
                                                                                <w:div w:id="897277279">
                                                                                  <w:marLeft w:val="0"/>
                                                                                  <w:marRight w:val="0"/>
                                                                                  <w:marTop w:val="0"/>
                                                                                  <w:marBottom w:val="0"/>
                                                                                  <w:divBdr>
                                                                                    <w:top w:val="none" w:sz="0" w:space="0" w:color="auto"/>
                                                                                    <w:left w:val="none" w:sz="0" w:space="0" w:color="auto"/>
                                                                                    <w:bottom w:val="none" w:sz="0" w:space="0" w:color="auto"/>
                                                                                    <w:right w:val="none" w:sz="0" w:space="0" w:color="auto"/>
                                                                                  </w:divBdr>
                                                                                </w:div>
                                                                                <w:div w:id="742066904">
                                                                                  <w:marLeft w:val="0"/>
                                                                                  <w:marRight w:val="0"/>
                                                                                  <w:marTop w:val="0"/>
                                                                                  <w:marBottom w:val="0"/>
                                                                                  <w:divBdr>
                                                                                    <w:top w:val="none" w:sz="0" w:space="0" w:color="auto"/>
                                                                                    <w:left w:val="none" w:sz="0" w:space="0" w:color="auto"/>
                                                                                    <w:bottom w:val="none" w:sz="0" w:space="0" w:color="auto"/>
                                                                                    <w:right w:val="none" w:sz="0" w:space="0" w:color="auto"/>
                                                                                  </w:divBdr>
                                                                                </w:div>
                                                                                <w:div w:id="4134171">
                                                                                  <w:marLeft w:val="0"/>
                                                                                  <w:marRight w:val="0"/>
                                                                                  <w:marTop w:val="0"/>
                                                                                  <w:marBottom w:val="0"/>
                                                                                  <w:divBdr>
                                                                                    <w:top w:val="none" w:sz="0" w:space="0" w:color="auto"/>
                                                                                    <w:left w:val="none" w:sz="0" w:space="0" w:color="auto"/>
                                                                                    <w:bottom w:val="none" w:sz="0" w:space="0" w:color="auto"/>
                                                                                    <w:right w:val="none" w:sz="0" w:space="0" w:color="auto"/>
                                                                                  </w:divBdr>
                                                                                </w:div>
                                                                                <w:div w:id="787119328">
                                                                                  <w:marLeft w:val="0"/>
                                                                                  <w:marRight w:val="0"/>
                                                                                  <w:marTop w:val="0"/>
                                                                                  <w:marBottom w:val="0"/>
                                                                                  <w:divBdr>
                                                                                    <w:top w:val="none" w:sz="0" w:space="0" w:color="auto"/>
                                                                                    <w:left w:val="none" w:sz="0" w:space="0" w:color="auto"/>
                                                                                    <w:bottom w:val="none" w:sz="0" w:space="0" w:color="auto"/>
                                                                                    <w:right w:val="none" w:sz="0" w:space="0" w:color="auto"/>
                                                                                  </w:divBdr>
                                                                                </w:div>
                                                                                <w:div w:id="1376855866">
                                                                                  <w:marLeft w:val="0"/>
                                                                                  <w:marRight w:val="0"/>
                                                                                  <w:marTop w:val="0"/>
                                                                                  <w:marBottom w:val="0"/>
                                                                                  <w:divBdr>
                                                                                    <w:top w:val="none" w:sz="0" w:space="0" w:color="auto"/>
                                                                                    <w:left w:val="none" w:sz="0" w:space="0" w:color="auto"/>
                                                                                    <w:bottom w:val="none" w:sz="0" w:space="0" w:color="auto"/>
                                                                                    <w:right w:val="none" w:sz="0" w:space="0" w:color="auto"/>
                                                                                  </w:divBdr>
                                                                                </w:div>
                                                                                <w:div w:id="15967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194462007">
      <w:bodyDiv w:val="1"/>
      <w:marLeft w:val="0"/>
      <w:marRight w:val="0"/>
      <w:marTop w:val="0"/>
      <w:marBottom w:val="0"/>
      <w:divBdr>
        <w:top w:val="none" w:sz="0" w:space="0" w:color="auto"/>
        <w:left w:val="none" w:sz="0" w:space="0" w:color="auto"/>
        <w:bottom w:val="none" w:sz="0" w:space="0" w:color="auto"/>
        <w:right w:val="none" w:sz="0" w:space="0" w:color="auto"/>
      </w:divBdr>
    </w:div>
    <w:div w:id="195580801">
      <w:bodyDiv w:val="1"/>
      <w:marLeft w:val="0"/>
      <w:marRight w:val="0"/>
      <w:marTop w:val="0"/>
      <w:marBottom w:val="0"/>
      <w:divBdr>
        <w:top w:val="none" w:sz="0" w:space="0" w:color="auto"/>
        <w:left w:val="none" w:sz="0" w:space="0" w:color="auto"/>
        <w:bottom w:val="none" w:sz="0" w:space="0" w:color="auto"/>
        <w:right w:val="none" w:sz="0" w:space="0" w:color="auto"/>
      </w:divBdr>
    </w:div>
    <w:div w:id="208028714">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52207238">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289433823">
      <w:bodyDiv w:val="1"/>
      <w:marLeft w:val="0"/>
      <w:marRight w:val="0"/>
      <w:marTop w:val="0"/>
      <w:marBottom w:val="0"/>
      <w:divBdr>
        <w:top w:val="none" w:sz="0" w:space="0" w:color="auto"/>
        <w:left w:val="none" w:sz="0" w:space="0" w:color="auto"/>
        <w:bottom w:val="none" w:sz="0" w:space="0" w:color="auto"/>
        <w:right w:val="none" w:sz="0" w:space="0" w:color="auto"/>
      </w:divBdr>
    </w:div>
    <w:div w:id="295988480">
      <w:bodyDiv w:val="1"/>
      <w:marLeft w:val="0"/>
      <w:marRight w:val="0"/>
      <w:marTop w:val="0"/>
      <w:marBottom w:val="0"/>
      <w:divBdr>
        <w:top w:val="none" w:sz="0" w:space="0" w:color="auto"/>
        <w:left w:val="none" w:sz="0" w:space="0" w:color="auto"/>
        <w:bottom w:val="none" w:sz="0" w:space="0" w:color="auto"/>
        <w:right w:val="none" w:sz="0" w:space="0" w:color="auto"/>
      </w:divBdr>
    </w:div>
    <w:div w:id="301429514">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36425545">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46953954">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82095383">
      <w:bodyDiv w:val="1"/>
      <w:marLeft w:val="0"/>
      <w:marRight w:val="0"/>
      <w:marTop w:val="0"/>
      <w:marBottom w:val="0"/>
      <w:divBdr>
        <w:top w:val="none" w:sz="0" w:space="0" w:color="auto"/>
        <w:left w:val="none" w:sz="0" w:space="0" w:color="auto"/>
        <w:bottom w:val="none" w:sz="0" w:space="0" w:color="auto"/>
        <w:right w:val="none" w:sz="0" w:space="0" w:color="auto"/>
      </w:divBdr>
    </w:div>
    <w:div w:id="386346902">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395514135">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8119317">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47429409">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4687439">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77649932">
      <w:bodyDiv w:val="1"/>
      <w:marLeft w:val="0"/>
      <w:marRight w:val="0"/>
      <w:marTop w:val="0"/>
      <w:marBottom w:val="0"/>
      <w:divBdr>
        <w:top w:val="none" w:sz="0" w:space="0" w:color="auto"/>
        <w:left w:val="none" w:sz="0" w:space="0" w:color="auto"/>
        <w:bottom w:val="none" w:sz="0" w:space="0" w:color="auto"/>
        <w:right w:val="none" w:sz="0" w:space="0" w:color="auto"/>
      </w:divBdr>
    </w:div>
    <w:div w:id="479468488">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16432651">
      <w:bodyDiv w:val="1"/>
      <w:marLeft w:val="0"/>
      <w:marRight w:val="0"/>
      <w:marTop w:val="0"/>
      <w:marBottom w:val="0"/>
      <w:divBdr>
        <w:top w:val="none" w:sz="0" w:space="0" w:color="auto"/>
        <w:left w:val="none" w:sz="0" w:space="0" w:color="auto"/>
        <w:bottom w:val="none" w:sz="0" w:space="0" w:color="auto"/>
        <w:right w:val="none" w:sz="0" w:space="0" w:color="auto"/>
      </w:divBdr>
    </w:div>
    <w:div w:id="567687560">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06038152">
      <w:bodyDiv w:val="1"/>
      <w:marLeft w:val="0"/>
      <w:marRight w:val="0"/>
      <w:marTop w:val="0"/>
      <w:marBottom w:val="0"/>
      <w:divBdr>
        <w:top w:val="none" w:sz="0" w:space="0" w:color="auto"/>
        <w:left w:val="none" w:sz="0" w:space="0" w:color="auto"/>
        <w:bottom w:val="none" w:sz="0" w:space="0" w:color="auto"/>
        <w:right w:val="none" w:sz="0" w:space="0" w:color="auto"/>
      </w:divBdr>
    </w:div>
    <w:div w:id="610630035">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43506216">
      <w:bodyDiv w:val="1"/>
      <w:marLeft w:val="0"/>
      <w:marRight w:val="0"/>
      <w:marTop w:val="0"/>
      <w:marBottom w:val="0"/>
      <w:divBdr>
        <w:top w:val="none" w:sz="0" w:space="0" w:color="auto"/>
        <w:left w:val="none" w:sz="0" w:space="0" w:color="auto"/>
        <w:bottom w:val="none" w:sz="0" w:space="0" w:color="auto"/>
        <w:right w:val="none" w:sz="0" w:space="0" w:color="auto"/>
      </w:divBdr>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70180520">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21753236">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29232648">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57138155">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831334582">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57696775">
      <w:bodyDiv w:val="1"/>
      <w:marLeft w:val="0"/>
      <w:marRight w:val="0"/>
      <w:marTop w:val="0"/>
      <w:marBottom w:val="0"/>
      <w:divBdr>
        <w:top w:val="none" w:sz="0" w:space="0" w:color="auto"/>
        <w:left w:val="none" w:sz="0" w:space="0" w:color="auto"/>
        <w:bottom w:val="none" w:sz="0" w:space="0" w:color="auto"/>
        <w:right w:val="none" w:sz="0" w:space="0" w:color="auto"/>
      </w:divBdr>
    </w:div>
    <w:div w:id="860633716">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881867340">
      <w:bodyDiv w:val="1"/>
      <w:marLeft w:val="0"/>
      <w:marRight w:val="0"/>
      <w:marTop w:val="0"/>
      <w:marBottom w:val="0"/>
      <w:divBdr>
        <w:top w:val="none" w:sz="0" w:space="0" w:color="auto"/>
        <w:left w:val="none" w:sz="0" w:space="0" w:color="auto"/>
        <w:bottom w:val="none" w:sz="0" w:space="0" w:color="auto"/>
        <w:right w:val="none" w:sz="0" w:space="0" w:color="auto"/>
      </w:divBdr>
    </w:div>
    <w:div w:id="935287648">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43802043">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82346931">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18431702">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097796432">
      <w:bodyDiv w:val="1"/>
      <w:marLeft w:val="0"/>
      <w:marRight w:val="0"/>
      <w:marTop w:val="0"/>
      <w:marBottom w:val="0"/>
      <w:divBdr>
        <w:top w:val="none" w:sz="0" w:space="0" w:color="auto"/>
        <w:left w:val="none" w:sz="0" w:space="0" w:color="auto"/>
        <w:bottom w:val="none" w:sz="0" w:space="0" w:color="auto"/>
        <w:right w:val="none" w:sz="0" w:space="0" w:color="auto"/>
      </w:divBdr>
    </w:div>
    <w:div w:id="1100445766">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17985347">
      <w:bodyDiv w:val="1"/>
      <w:marLeft w:val="0"/>
      <w:marRight w:val="0"/>
      <w:marTop w:val="0"/>
      <w:marBottom w:val="0"/>
      <w:divBdr>
        <w:top w:val="none" w:sz="0" w:space="0" w:color="auto"/>
        <w:left w:val="none" w:sz="0" w:space="0" w:color="auto"/>
        <w:bottom w:val="none" w:sz="0" w:space="0" w:color="auto"/>
        <w:right w:val="none" w:sz="0" w:space="0" w:color="auto"/>
      </w:divBdr>
    </w:div>
    <w:div w:id="1118642077">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93499271">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18010914">
      <w:bodyDiv w:val="1"/>
      <w:marLeft w:val="0"/>
      <w:marRight w:val="0"/>
      <w:marTop w:val="0"/>
      <w:marBottom w:val="0"/>
      <w:divBdr>
        <w:top w:val="none" w:sz="0" w:space="0" w:color="auto"/>
        <w:left w:val="none" w:sz="0" w:space="0" w:color="auto"/>
        <w:bottom w:val="none" w:sz="0" w:space="0" w:color="auto"/>
        <w:right w:val="none" w:sz="0" w:space="0" w:color="auto"/>
      </w:divBdr>
    </w:div>
    <w:div w:id="1222597432">
      <w:bodyDiv w:val="1"/>
      <w:marLeft w:val="0"/>
      <w:marRight w:val="0"/>
      <w:marTop w:val="0"/>
      <w:marBottom w:val="0"/>
      <w:divBdr>
        <w:top w:val="none" w:sz="0" w:space="0" w:color="auto"/>
        <w:left w:val="none" w:sz="0" w:space="0" w:color="auto"/>
        <w:bottom w:val="none" w:sz="0" w:space="0" w:color="auto"/>
        <w:right w:val="none" w:sz="0" w:space="0" w:color="auto"/>
      </w:divBdr>
    </w:div>
    <w:div w:id="1224562467">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0334879">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04584326">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48817308">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70241933">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495101363">
      <w:bodyDiv w:val="1"/>
      <w:marLeft w:val="0"/>
      <w:marRight w:val="0"/>
      <w:marTop w:val="0"/>
      <w:marBottom w:val="0"/>
      <w:divBdr>
        <w:top w:val="none" w:sz="0" w:space="0" w:color="auto"/>
        <w:left w:val="none" w:sz="0" w:space="0" w:color="auto"/>
        <w:bottom w:val="none" w:sz="0" w:space="0" w:color="auto"/>
        <w:right w:val="none" w:sz="0" w:space="0" w:color="auto"/>
      </w:divBdr>
    </w:div>
    <w:div w:id="1510950967">
      <w:bodyDiv w:val="1"/>
      <w:marLeft w:val="0"/>
      <w:marRight w:val="0"/>
      <w:marTop w:val="0"/>
      <w:marBottom w:val="0"/>
      <w:divBdr>
        <w:top w:val="none" w:sz="0" w:space="0" w:color="auto"/>
        <w:left w:val="none" w:sz="0" w:space="0" w:color="auto"/>
        <w:bottom w:val="none" w:sz="0" w:space="0" w:color="auto"/>
        <w:right w:val="none" w:sz="0" w:space="0" w:color="auto"/>
      </w:divBdr>
    </w:div>
    <w:div w:id="1516268648">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56234452">
      <w:bodyDiv w:val="1"/>
      <w:marLeft w:val="0"/>
      <w:marRight w:val="0"/>
      <w:marTop w:val="0"/>
      <w:marBottom w:val="0"/>
      <w:divBdr>
        <w:top w:val="none" w:sz="0" w:space="0" w:color="auto"/>
        <w:left w:val="none" w:sz="0" w:space="0" w:color="auto"/>
        <w:bottom w:val="none" w:sz="0" w:space="0" w:color="auto"/>
        <w:right w:val="none" w:sz="0" w:space="0" w:color="auto"/>
      </w:divBdr>
    </w:div>
    <w:div w:id="1560633410">
      <w:bodyDiv w:val="1"/>
      <w:marLeft w:val="0"/>
      <w:marRight w:val="0"/>
      <w:marTop w:val="0"/>
      <w:marBottom w:val="0"/>
      <w:divBdr>
        <w:top w:val="none" w:sz="0" w:space="0" w:color="auto"/>
        <w:left w:val="none" w:sz="0" w:space="0" w:color="auto"/>
        <w:bottom w:val="none" w:sz="0" w:space="0" w:color="auto"/>
        <w:right w:val="none" w:sz="0" w:space="0" w:color="auto"/>
      </w:divBdr>
    </w:div>
    <w:div w:id="1560902507">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87037978">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12273394">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23880775">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703558189">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04674308">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2219169">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50440150">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93039588">
      <w:bodyDiv w:val="1"/>
      <w:marLeft w:val="0"/>
      <w:marRight w:val="0"/>
      <w:marTop w:val="0"/>
      <w:marBottom w:val="0"/>
      <w:divBdr>
        <w:top w:val="none" w:sz="0" w:space="0" w:color="auto"/>
        <w:left w:val="none" w:sz="0" w:space="0" w:color="auto"/>
        <w:bottom w:val="none" w:sz="0" w:space="0" w:color="auto"/>
        <w:right w:val="none" w:sz="0" w:space="0" w:color="auto"/>
      </w:divBdr>
    </w:div>
    <w:div w:id="1908609481">
      <w:bodyDiv w:val="1"/>
      <w:marLeft w:val="0"/>
      <w:marRight w:val="0"/>
      <w:marTop w:val="0"/>
      <w:marBottom w:val="0"/>
      <w:divBdr>
        <w:top w:val="none" w:sz="0" w:space="0" w:color="auto"/>
        <w:left w:val="none" w:sz="0" w:space="0" w:color="auto"/>
        <w:bottom w:val="none" w:sz="0" w:space="0" w:color="auto"/>
        <w:right w:val="none" w:sz="0" w:space="0" w:color="auto"/>
      </w:divBdr>
    </w:div>
    <w:div w:id="1912157678">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21060065">
      <w:bodyDiv w:val="1"/>
      <w:marLeft w:val="0"/>
      <w:marRight w:val="0"/>
      <w:marTop w:val="0"/>
      <w:marBottom w:val="0"/>
      <w:divBdr>
        <w:top w:val="none" w:sz="0" w:space="0" w:color="auto"/>
        <w:left w:val="none" w:sz="0" w:space="0" w:color="auto"/>
        <w:bottom w:val="none" w:sz="0" w:space="0" w:color="auto"/>
        <w:right w:val="none" w:sz="0" w:space="0" w:color="auto"/>
      </w:divBdr>
    </w:div>
    <w:div w:id="1931347285">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989966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36152443">
      <w:bodyDiv w:val="1"/>
      <w:marLeft w:val="0"/>
      <w:marRight w:val="0"/>
      <w:marTop w:val="0"/>
      <w:marBottom w:val="0"/>
      <w:divBdr>
        <w:top w:val="none" w:sz="0" w:space="0" w:color="auto"/>
        <w:left w:val="none" w:sz="0" w:space="0" w:color="auto"/>
        <w:bottom w:val="none" w:sz="0" w:space="0" w:color="auto"/>
        <w:right w:val="none" w:sz="0" w:space="0" w:color="auto"/>
      </w:divBdr>
    </w:div>
    <w:div w:id="2050063267">
      <w:bodyDiv w:val="1"/>
      <w:marLeft w:val="0"/>
      <w:marRight w:val="0"/>
      <w:marTop w:val="0"/>
      <w:marBottom w:val="0"/>
      <w:divBdr>
        <w:top w:val="none" w:sz="0" w:space="0" w:color="auto"/>
        <w:left w:val="none" w:sz="0" w:space="0" w:color="auto"/>
        <w:bottom w:val="none" w:sz="0" w:space="0" w:color="auto"/>
        <w:right w:val="none" w:sz="0" w:space="0" w:color="auto"/>
      </w:divBdr>
    </w:div>
    <w:div w:id="2050303243">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110932330">
      <w:bodyDiv w:val="1"/>
      <w:marLeft w:val="0"/>
      <w:marRight w:val="0"/>
      <w:marTop w:val="0"/>
      <w:marBottom w:val="0"/>
      <w:divBdr>
        <w:top w:val="none" w:sz="0" w:space="0" w:color="auto"/>
        <w:left w:val="none" w:sz="0" w:space="0" w:color="auto"/>
        <w:bottom w:val="none" w:sz="0" w:space="0" w:color="auto"/>
        <w:right w:val="none" w:sz="0" w:space="0" w:color="auto"/>
      </w:divBdr>
    </w:div>
    <w:div w:id="2123914667">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33748055f62ded5a2285346a4f660a41">
  <xsd:schema xmlns:xsd="http://www.w3.org/2001/XMLSchema" xmlns:xs="http://www.w3.org/2001/XMLSchema" xmlns:p="http://schemas.microsoft.com/office/2006/metadata/properties" xmlns:ns3="9b1d441b-bd87-401c-aa5f-88120e339b7a" targetNamespace="http://schemas.microsoft.com/office/2006/metadata/properties" ma:root="true" ma:fieldsID="985a541308e83fd61e9569ae71465e8c" ns3:_="">
    <xsd:import namespace="9b1d441b-bd87-401c-aa5f-88120e339b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Kum20</b:Tag>
    <b:SourceType>InternetSite</b:SourceType>
    <b:Guid>{8134F9DD-3CC4-4391-8610-067DF29A1151}</b:Guid>
    <b:Author>
      <b:Author>
        <b:NameList>
          <b:Person>
            <b:Last>Kumar</b:Last>
            <b:First>Aditya</b:First>
          </b:Person>
        </b:NameList>
      </b:Author>
    </b:Author>
    <b:Title>Taking String input with space in C (3 Different Methods)</b:Title>
    <b:ProductionCompany>GeeksforGeeks</b:ProductionCompany>
    <b:YearAccessed>2020</b:YearAccessed>
    <b:MonthAccessed>March</b:MonthAccessed>
    <b:DayAccessed>16</b:DayAccessed>
    <b:URL>https://www.geeksforgeeks.org/taking-string-input-space-c-3-different-methods/</b:URL>
    <b:InternetSiteTitle>GeeksforGeeks</b:InternetSiteTitle>
    <b:RefOrder>12</b:RefOrder>
  </b:Source>
  <b:Source>
    <b:Tag>Kan20</b:Tag>
    <b:SourceType>InternetSite</b:SourceType>
    <b:Guid>{7EFB2824-1E78-43F1-A5A3-EC1FD93AA34B}</b:Guid>
    <b:Author>
      <b:Author>
        <b:NameList>
          <b:Person>
            <b:Last>Kanralkar</b:Last>
            <b:First>Narendra</b:First>
          </b:Person>
        </b:NameList>
      </b:Author>
    </b:Author>
    <b:Title>Scansets in C</b:Title>
    <b:ProductionCompany>GeeksforGeeks</b:ProductionCompany>
    <b:YearAccessed>2020</b:YearAccessed>
    <b:MonthAccessed>March</b:MonthAccessed>
    <b:DayAccessed>16</b:DayAccessed>
    <b:URL>https://www.geeksforgeeks.org/scansets-in-c/</b:URL>
    <b:InternetSiteTitle>GeeksforGeeks</b:InternetSiteTitle>
    <b:RefOrder>13</b:RefOrder>
  </b:Source>
  <b:Source>
    <b:Tag>Uni22</b:Tag>
    <b:SourceType>InternetSite</b:SourceType>
    <b:Guid>{2E63EA7D-C8A8-4C3A-A9C5-AB083984CC52}</b:Guid>
    <b:Title>Mapping and Geographic Information Systems (GIS): What is GIS?</b:Title>
    <b:Year>2022</b:Year>
    <b:ProductionCompany>University of Wisconsin-Madison Libraries</b:ProductionCompany>
    <b:YearAccessed>2022</b:YearAccessed>
    <b:MonthAccessed>May</b:MonthAccessed>
    <b:DayAccessed>5</b:DayAccessed>
    <b:URL>https://researchguides.library.wisc.edu/GIS</b:URL>
    <b:Author>
      <b:Author>
        <b:Corporate>University of Wisconsin-Madison Libraries</b:Corporate>
      </b:Author>
    </b:Author>
    <b:RefOrder>1</b:RefOrder>
  </b:Source>
  <b:Source>
    <b:Tag>Wel20</b:Tag>
    <b:SourceType>InternetSite</b:SourceType>
    <b:Guid>{B369112C-720F-4326-89B3-84FBD349D14D}</b:Guid>
    <b:Title>Summary Statistics for Wales, by region: 2020</b:Title>
    <b:ProductionCompany>Welsh Government</b:ProductionCompany>
    <b:Year>2020</b:Year>
    <b:Month>May</b:Month>
    <b:Day>20</b:Day>
    <b:YearAccessed>2022</b:YearAccessed>
    <b:MonthAccessed>May</b:MonthAccessed>
    <b:DayAccessed>5</b:DayAccessed>
    <b:URL>https://gov.wales/sites/default/files/statistics-and-research/2020-05/summary-statistics-regions-wales-2020-629.pdf</b:URL>
    <b:Author>
      <b:Author>
        <b:Corporate>Welsh Government</b:Corporate>
      </b:Author>
    </b:Author>
    <b:RefOrder>2</b:RefOrder>
  </b:Source>
  <b:Source>
    <b:Tag>Tes21</b:Tag>
    <b:SourceType>JournalArticle</b:SourceType>
    <b:Guid>{39904E14-D291-4202-9544-2CA449C96567}</b:Guid>
    <b:Title>Characteristics associated with COVID-19 vaccine uptake among adults aged 50 years and above in England (8 December 2020-17 May 2021):a population-level observational study</b:Title>
    <b:Year>2021</b:Year>
    <b:YearAccessed>2022</b:YearAccessed>
    <b:MonthAccessed>May</b:MonthAccessed>
    <b:DayAccessed>5</b:DayAccessed>
    <b:URL>https://bmjopen.bmj.com/content/12/3/e055278</b:URL>
    <b:JournalName>BMJ Open</b:JournalName>
    <b:Volume>12</b:Volume>
    <b:Issue>3</b:Issue>
    <b:Author>
      <b:Author>
        <b:NameList>
          <b:Person>
            <b:Last>Tessier</b:Last>
            <b:First>Elise.</b:First>
            <b:Middle>et. al.</b:Middle>
          </b:Person>
        </b:NameList>
      </b:Author>
    </b:Author>
    <b:RefOrder>3</b:RefOrder>
  </b:Source>
  <b:Source>
    <b:Tag>Div22</b:Tag>
    <b:SourceType>InternetSite</b:SourceType>
    <b:Guid>{4F93139E-289F-458C-A856-FD4EE0A436E8}</b:Guid>
    <b:Title>Race</b:Title>
    <b:Year>2022</b:Year>
    <b:ProductionCompany>Diverse Cymru</b:ProductionCompany>
    <b:YearAccessed>2022</b:YearAccessed>
    <b:MonthAccessed>May</b:MonthAccessed>
    <b:DayAccessed>5</b:DayAccessed>
    <b:URL>https://diversecymru.org.uk/protected-characteristics/race/#:~:text=The%20Facts,%25)%20and%20Swansea%20(10.2%25).</b:URL>
    <b:Author>
      <b:Author>
        <b:Corporate>Diverse Cymru</b:Corporate>
      </b:Author>
    </b:Author>
    <b:RefOrder>4</b:RefOrder>
  </b:Source>
  <b:Source>
    <b:Tag>Sta22</b:Tag>
    <b:SourceType>InternetSite</b:SourceType>
    <b:Guid>{24D6399D-D05B-4E93-B477-8C4882340BA2}</b:Guid>
    <b:Title>Population estimates by local authority and ethnicity</b:Title>
    <b:ProductionCompany>StatsWales</b:ProductionCompany>
    <b:YearAccessed>2022</b:YearAccessed>
    <b:MonthAccessed>May</b:MonthAccessed>
    <b:DayAccessed>5</b:DayAccessed>
    <b:URL>https://statswales.gov.wales/Catalogue/Population-and-Migration/Population/Estimates/Ethnicity/PopulationEstimates-by-Localauthority-Ethnicity</b:URL>
    <b:Author>
      <b:Author>
        <b:Corporate>StatsWales</b:Corporate>
      </b:Author>
    </b:Author>
    <b:RefOrder>5</b:RefOrder>
  </b:Source>
  <b:Source>
    <b:Tag>Ont22</b:Tag>
    <b:SourceType>InternetSite</b:SourceType>
    <b:Guid>{7086A3FC-D614-44AD-9FA5-EF1ED4517C8A}</b:Guid>
    <b:Title>Townsend deprivation index</b:Title>
    <b:ProductionCompany>OLS</b:ProductionCompany>
    <b:Year>2022</b:Year>
    <b:YearAccessed>2022</b:YearAccessed>
    <b:MonthAccessed>May</b:MonthAccessed>
    <b:DayAccessed>5</b:DayAccessed>
    <b:URL>https://www.ebi.ac.uk/ols/ontologies/efo/terms?iri=http%3A%2F%2Fwww.ebi.ac.uk%2Fefo%2FEFO_0009711</b:URL>
    <b:Author>
      <b:Author>
        <b:Corporate>Ontology Search</b:Corporate>
      </b:Author>
    </b:Author>
    <b:RefOrder>7</b:RefOrder>
  </b:Source>
  <b:Source>
    <b:Tag>Ada04</b:Tag>
    <b:SourceType>JournalArticle</b:SourceType>
    <b:Guid>{82D8EB77-1589-4626-9AD1-164174723F4A}</b:Guid>
    <b:Title>How accurate are Townsend Deprivation Scores as predictors of self-reported health? A comparison with individual level data</b:Title>
    <b:Year>2004</b:Year>
    <b:Month>November</b:Month>
    <b:Day>25</b:Day>
    <b:YearAccessed>2022</b:YearAccessed>
    <b:MonthAccessed>May</b:MonthAccessed>
    <b:DayAccessed>5</b:DayAccessed>
    <b:URL>https://watermark.silverchair.com/fdh193.pdf?token=AQECAHi208BE49Ooan9kkhW_Ercy7Dm3ZL_9Cf3qfKAc485ysgAAAskwggLFBgkqhkiG9w0BBwagggK2MIICsgIBADCCAqsGCSqGSIb3DQEHATAeBglghkgBZQMEAS4wEQQMHPYzR7D--iyGGiqQAgEQgIICfLMXxrBhETyX8-isurOO1dNm4giL5O3DGnn5pJwU3EnyBduy</b:URL>
    <b:JournalName>Journal of Public Health</b:JournalName>
    <b:Pages>101-106</b:Pages>
    <b:Volume>27</b:Volume>
    <b:Issue>1</b:Issue>
    <b:Author>
      <b:Author>
        <b:NameList>
          <b:Person>
            <b:Last>Adams</b:Last>
            <b:First>J.</b:First>
            <b:Middle>et. al.</b:Middle>
          </b:Person>
        </b:NameList>
      </b:Author>
    </b:Author>
    <b:Publisher>Advance Access Publication</b:Publisher>
    <b:DOI>10.1093/pubmed/fdh193</b:DOI>
    <b:RefOrder>8</b:RefOrder>
  </b:Source>
  <b:Source>
    <b:Tag>plu19</b:Tag>
    <b:SourceType>InternetSite</b:SourceType>
    <b:Guid>{6ADA939A-9378-43E4-8CB2-27C80C19CEA6}</b:Guid>
    <b:Title>Swansea population density map</b:Title>
    <b:Year>2019</b:Year>
    <b:ProductionCompany>plumplot</b:ProductionCompany>
    <b:YearAccessed>2022</b:YearAccessed>
    <b:MonthAccessed>May</b:MonthAccessed>
    <b:DayAccessed>5</b:DayAccessed>
    <b:URL>https://www.plumplot.co.uk/Swansea-population.html</b:URL>
    <b:Author>
      <b:Author>
        <b:Corporate>plumplot</b:Corporate>
      </b:Author>
    </b:Author>
    <b:RefOrder>9</b:RefOrder>
  </b:Source>
  <b:Source>
    <b:Tag>Swa20</b:Tag>
    <b:SourceType>InternetSite</b:SourceType>
    <b:Guid>{33DD84EE-D374-4BE5-9E5F-D72A56CD33AB}</b:Guid>
    <b:Title>Population density</b:Title>
    <b:ProductionCompany>Swansea Council</b:ProductionCompany>
    <b:Year>2020</b:Year>
    <b:YearAccessed>2022</b:YearAccessed>
    <b:MonthAccessed>May</b:MonthAccessed>
    <b:DayAccessed>5</b:DayAccessed>
    <b:URL>https://www.swansea.gov.uk/population_density</b:URL>
    <b:Author>
      <b:Author>
        <b:Corporate>Swansea Council</b:Corporate>
      </b:Author>
    </b:Author>
    <b:RefOrder>6</b:RefOrder>
  </b:Source>
  <b:Source>
    <b:Tag>Uni21</b:Tag>
    <b:SourceType>InternetSite</b:SourceType>
    <b:Guid>{E0B14E54-C5D7-48C4-A09A-4F87FDBC5100}</b:Guid>
    <b:Title>The Top 6 Industries for GIS</b:Title>
    <b:ProductionCompany>University of Southern California</b:ProductionCompany>
    <b:Year>2021</b:Year>
    <b:Month>July</b:Month>
    <b:Day>13</b:Day>
    <b:YearAccessed>2022</b:YearAccessed>
    <b:MonthAccessed>May</b:MonthAccessed>
    <b:DayAccessed>5</b:DayAccessed>
    <b:URL>https://gis.usc.edu/blog/the-6-top-industries-for-gis/</b:URL>
    <b:Author>
      <b:Author>
        <b:Corporate>University of Southern California</b:Corporate>
      </b:Author>
    </b:Author>
    <b:RefOrder>10</b:RefOrder>
  </b:Source>
  <b:Source>
    <b:Tag>Fra14</b:Tag>
    <b:SourceType>JournalArticle</b:SourceType>
    <b:Guid>{D9918124-B4EE-4392-9598-8FC192EE1D74}</b:Guid>
    <b:Title>Health Based Geographic Information Systems (GIS) and their Applications</b:Title>
    <b:Year>2014</b:Year>
    <b:Month>Dec</b:Month>
    <b:Day>22</b:Day>
    <b:YearAccessed>2022</b:YearAccessed>
    <b:MonthAccessed>May</b:MonthAccessed>
    <b:DayAccessed>5</b:DayAccessed>
    <b:URL>https://www.ncbi.nlm.nih.gov/pmc/articles/PMC4315644/</b:URL>
    <b:JournalName>Acta Inform Med</b:JournalName>
    <b:Pages>402-405</b:Pages>
    <b:Volume>22</b:Volume>
    <b:Issue>6</b:Issue>
    <b:Author>
      <b:Author>
        <b:NameList>
          <b:Person>
            <b:Last>Fradelos</b:Last>
            <b:First>Evangelos</b:First>
            <b:Middle>C. et. al.</b:Middle>
          </b:Person>
        </b:NameList>
      </b:Author>
    </b:Author>
    <b:DOI>10.5455/aim.2014.22.402-405</b:DOI>
    <b:RefOrder>11</b:RefOrder>
  </b:Source>
</b:Sources>
</file>

<file path=customXml/itemProps1.xml><?xml version="1.0" encoding="utf-8"?>
<ds:datastoreItem xmlns:ds="http://schemas.openxmlformats.org/officeDocument/2006/customXml" ds:itemID="{2E2A1A8D-80F2-43D8-9466-667439E913E7}">
  <ds:schemaRefs>
    <ds:schemaRef ds:uri="http://schemas.microsoft.com/sharepoint/v3/contenttype/forms"/>
  </ds:schemaRefs>
</ds:datastoreItem>
</file>

<file path=customXml/itemProps2.xml><?xml version="1.0" encoding="utf-8"?>
<ds:datastoreItem xmlns:ds="http://schemas.openxmlformats.org/officeDocument/2006/customXml" ds:itemID="{352A82C7-A245-4633-B7DB-13C4C9551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8CF6A9-66F4-4974-BD03-BCACC0D8A7F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C012EE-856E-4570-B2C7-A973D119D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28</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21373</CharactersWithSpaces>
  <SharedDoc>false</SharedDoc>
  <HLinks>
    <vt:vector size="90" baseType="variant">
      <vt:variant>
        <vt:i4>7536717</vt:i4>
      </vt:variant>
      <vt:variant>
        <vt:i4>42</vt:i4>
      </vt:variant>
      <vt:variant>
        <vt:i4>0</vt:i4>
      </vt:variant>
      <vt:variant>
        <vt:i4>5</vt:i4>
      </vt:variant>
      <vt:variant>
        <vt:lpwstr/>
      </vt:variant>
      <vt:variant>
        <vt:lpwstr>_Appendices</vt:lpwstr>
      </vt:variant>
      <vt:variant>
        <vt:i4>7143513</vt:i4>
      </vt:variant>
      <vt:variant>
        <vt:i4>39</vt:i4>
      </vt:variant>
      <vt:variant>
        <vt:i4>0</vt:i4>
      </vt:variant>
      <vt:variant>
        <vt:i4>5</vt:i4>
      </vt:variant>
      <vt:variant>
        <vt:lpwstr/>
      </vt:variant>
      <vt:variant>
        <vt:lpwstr>_References</vt:lpwstr>
      </vt:variant>
      <vt:variant>
        <vt:i4>7274574</vt:i4>
      </vt:variant>
      <vt:variant>
        <vt:i4>36</vt:i4>
      </vt:variant>
      <vt:variant>
        <vt:i4>0</vt:i4>
      </vt:variant>
      <vt:variant>
        <vt:i4>5</vt:i4>
      </vt:variant>
      <vt:variant>
        <vt:lpwstr/>
      </vt:variant>
      <vt:variant>
        <vt:lpwstr>_Conclusion_and_Evaluation</vt:lpwstr>
      </vt:variant>
      <vt:variant>
        <vt:i4>5570625</vt:i4>
      </vt:variant>
      <vt:variant>
        <vt:i4>33</vt:i4>
      </vt:variant>
      <vt:variant>
        <vt:i4>0</vt:i4>
      </vt:variant>
      <vt:variant>
        <vt:i4>5</vt:i4>
      </vt:variant>
      <vt:variant>
        <vt:lpwstr/>
      </vt:variant>
      <vt:variant>
        <vt:lpwstr>_Skills_Evaluation</vt:lpwstr>
      </vt:variant>
      <vt:variant>
        <vt:i4>3014691</vt:i4>
      </vt:variant>
      <vt:variant>
        <vt:i4>30</vt:i4>
      </vt:variant>
      <vt:variant>
        <vt:i4>0</vt:i4>
      </vt:variant>
      <vt:variant>
        <vt:i4>5</vt:i4>
      </vt:variant>
      <vt:variant>
        <vt:lpwstr/>
      </vt:variant>
      <vt:variant>
        <vt:lpwstr>_3.3_Self-organisation</vt:lpwstr>
      </vt:variant>
      <vt:variant>
        <vt:i4>3342405</vt:i4>
      </vt:variant>
      <vt:variant>
        <vt:i4>27</vt:i4>
      </vt:variant>
      <vt:variant>
        <vt:i4>0</vt:i4>
      </vt:variant>
      <vt:variant>
        <vt:i4>5</vt:i4>
      </vt:variant>
      <vt:variant>
        <vt:lpwstr/>
      </vt:variant>
      <vt:variant>
        <vt:lpwstr>_3.2_Time_management</vt:lpwstr>
      </vt:variant>
      <vt:variant>
        <vt:i4>6815768</vt:i4>
      </vt:variant>
      <vt:variant>
        <vt:i4>24</vt:i4>
      </vt:variant>
      <vt:variant>
        <vt:i4>0</vt:i4>
      </vt:variant>
      <vt:variant>
        <vt:i4>5</vt:i4>
      </vt:variant>
      <vt:variant>
        <vt:lpwstr/>
      </vt:variant>
      <vt:variant>
        <vt:lpwstr>_3.1_Looking_after</vt:lpwstr>
      </vt:variant>
      <vt:variant>
        <vt:i4>1966139</vt:i4>
      </vt:variant>
      <vt:variant>
        <vt:i4>21</vt:i4>
      </vt:variant>
      <vt:variant>
        <vt:i4>0</vt:i4>
      </vt:variant>
      <vt:variant>
        <vt:i4>5</vt:i4>
      </vt:variant>
      <vt:variant>
        <vt:lpwstr/>
      </vt:variant>
      <vt:variant>
        <vt:lpwstr>_Application</vt:lpwstr>
      </vt:variant>
      <vt:variant>
        <vt:i4>7012357</vt:i4>
      </vt:variant>
      <vt:variant>
        <vt:i4>18</vt:i4>
      </vt:variant>
      <vt:variant>
        <vt:i4>0</vt:i4>
      </vt:variant>
      <vt:variant>
        <vt:i4>5</vt:i4>
      </vt:variant>
      <vt:variant>
        <vt:lpwstr/>
      </vt:variant>
      <vt:variant>
        <vt:lpwstr>_2.4_Short_and</vt:lpwstr>
      </vt:variant>
      <vt:variant>
        <vt:i4>5177415</vt:i4>
      </vt:variant>
      <vt:variant>
        <vt:i4>15</vt:i4>
      </vt:variant>
      <vt:variant>
        <vt:i4>0</vt:i4>
      </vt:variant>
      <vt:variant>
        <vt:i4>5</vt:i4>
      </vt:variant>
      <vt:variant>
        <vt:lpwstr/>
      </vt:variant>
      <vt:variant>
        <vt:lpwstr>_2.3_Self-evaluation</vt:lpwstr>
      </vt:variant>
      <vt:variant>
        <vt:i4>7864388</vt:i4>
      </vt:variant>
      <vt:variant>
        <vt:i4>12</vt:i4>
      </vt:variant>
      <vt:variant>
        <vt:i4>0</vt:i4>
      </vt:variant>
      <vt:variant>
        <vt:i4>5</vt:i4>
      </vt:variant>
      <vt:variant>
        <vt:lpwstr/>
      </vt:variant>
      <vt:variant>
        <vt:lpwstr>_Skills_employers_look</vt:lpwstr>
      </vt:variant>
      <vt:variant>
        <vt:i4>3866644</vt:i4>
      </vt:variant>
      <vt:variant>
        <vt:i4>9</vt:i4>
      </vt:variant>
      <vt:variant>
        <vt:i4>0</vt:i4>
      </vt:variant>
      <vt:variant>
        <vt:i4>5</vt:i4>
      </vt:variant>
      <vt:variant>
        <vt:lpwstr/>
      </vt:variant>
      <vt:variant>
        <vt:lpwstr>_Skills_required_for</vt:lpwstr>
      </vt:variant>
      <vt:variant>
        <vt:i4>5570625</vt:i4>
      </vt:variant>
      <vt:variant>
        <vt:i4>6</vt:i4>
      </vt:variant>
      <vt:variant>
        <vt:i4>0</vt:i4>
      </vt:variant>
      <vt:variant>
        <vt:i4>5</vt:i4>
      </vt:variant>
      <vt:variant>
        <vt:lpwstr/>
      </vt:variant>
      <vt:variant>
        <vt:lpwstr>_Skills_Evaluation</vt:lpwstr>
      </vt:variant>
      <vt:variant>
        <vt:i4>2293833</vt:i4>
      </vt:variant>
      <vt:variant>
        <vt:i4>3</vt:i4>
      </vt:variant>
      <vt:variant>
        <vt:i4>0</vt:i4>
      </vt:variant>
      <vt:variant>
        <vt:i4>5</vt:i4>
      </vt:variant>
      <vt:variant>
        <vt:lpwstr/>
      </vt:variant>
      <vt:variant>
        <vt:lpwstr>_1.4_Future_improvements</vt:lpwstr>
      </vt:variant>
      <vt:variant>
        <vt:i4>8192021</vt:i4>
      </vt:variant>
      <vt:variant>
        <vt:i4>0</vt:i4>
      </vt:variant>
      <vt:variant>
        <vt:i4>0</vt:i4>
      </vt:variant>
      <vt:variant>
        <vt:i4>5</vt:i4>
      </vt:variant>
      <vt:variant>
        <vt:lpwstr/>
      </vt:variant>
      <vt:variant>
        <vt:lpwstr>_1.3_Key_points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(NWIS - Clinical Informatics)</dc:creator>
  <cp:keywords/>
  <dc:description/>
  <cp:lastModifiedBy>John Dunkley-Williams (DHCW - Clinical Informatics)</cp:lastModifiedBy>
  <cp:revision>255</cp:revision>
  <dcterms:created xsi:type="dcterms:W3CDTF">2022-05-05T05:19:00Z</dcterms:created>
  <dcterms:modified xsi:type="dcterms:W3CDTF">2022-05-05T14:34:00Z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