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507608A" w14:textId="4F1B6E38" w:rsidR="002F04E9" w:rsidRDefault="002F04E9" w:rsidP="009F2670">
      <w:pPr>
        <w:spacing w:line="360" w:lineRule="auto"/>
        <w:jc w:val="both"/>
        <w:rPr>
          <w:b/>
          <w:bCs/>
        </w:rPr>
      </w:pPr>
      <w:r>
        <w:rPr>
          <w:b/>
          <w:bCs/>
        </w:rPr>
        <w:t xml:space="preserve">How Hamas uses </w:t>
      </w:r>
      <w:r w:rsidR="001722BE">
        <w:rPr>
          <w:b/>
          <w:bCs/>
        </w:rPr>
        <w:t>dawah</w:t>
      </w:r>
      <w:r>
        <w:rPr>
          <w:b/>
          <w:bCs/>
        </w:rPr>
        <w:t xml:space="preserve"> and Islam to radicalise and recruit members to commit acts of political terrorism.</w:t>
      </w:r>
    </w:p>
    <w:p w14:paraId="670F79E1" w14:textId="3BC750C0" w:rsidR="002F04E9" w:rsidRDefault="002F04E9" w:rsidP="009F2670">
      <w:pPr>
        <w:spacing w:line="360" w:lineRule="auto"/>
        <w:jc w:val="both"/>
      </w:pPr>
      <w:r>
        <w:t>Since</w:t>
      </w:r>
      <w:r w:rsidR="009F54CC">
        <w:t xml:space="preserve"> the militant group</w:t>
      </w:r>
      <w:r>
        <w:t xml:space="preserve"> Hamas claimed victory in the 2006 Palestinian elections over Yasser Arafat’s secular Fatah party, it continue</w:t>
      </w:r>
      <w:r w:rsidR="001A0E54">
        <w:t>d</w:t>
      </w:r>
      <w:r>
        <w:t xml:space="preserve"> to grow in power and popularity whilst radicalising and recruiting young Palestinians to carry out suicide attacks</w:t>
      </w:r>
      <w:r>
        <w:rPr>
          <w:rStyle w:val="FootnoteReference"/>
        </w:rPr>
        <w:footnoteReference w:id="1"/>
      </w:r>
      <w:r>
        <w:t>. It is the failure of secular ideologies to regain territory in Palestine that has led to Islamic fundamentalists groups such as Hamas in gaining acceptance especially amongst Palestinian youth</w:t>
      </w:r>
      <w:r>
        <w:rPr>
          <w:rStyle w:val="FootnoteReference"/>
        </w:rPr>
        <w:footnoteReference w:id="2"/>
      </w:r>
      <w:r>
        <w:t>. Hamas uses suicide bombings as a political tactic to reach the realistic goal that previous groups had failed to achieve. However, this view is contested by others who comment that suicide bombers are motivated by religion and not politics in order to create a caliphate in Palestine as opposed to liberating occupied territory</w:t>
      </w:r>
      <w:r>
        <w:rPr>
          <w:rStyle w:val="FootnoteReference"/>
        </w:rPr>
        <w:footnoteReference w:id="3"/>
      </w:r>
      <w:r>
        <w:t xml:space="preserve">. This essay will examine how Hamas uses </w:t>
      </w:r>
      <w:r>
        <w:rPr>
          <w:i/>
          <w:iCs/>
        </w:rPr>
        <w:t>dawa</w:t>
      </w:r>
      <w:r w:rsidR="00F37D39">
        <w:rPr>
          <w:i/>
          <w:iCs/>
        </w:rPr>
        <w:t>h</w:t>
      </w:r>
      <w:r>
        <w:rPr>
          <w:i/>
          <w:iCs/>
        </w:rPr>
        <w:t xml:space="preserve"> </w:t>
      </w:r>
      <w:r>
        <w:t>(the call to God) to radicalise and recruit its members to commit acts of terrorism and wield its political power.</w:t>
      </w:r>
    </w:p>
    <w:p w14:paraId="57C38E38" w14:textId="63FBB01B" w:rsidR="002F04E9" w:rsidRDefault="002F04E9" w:rsidP="009F2670">
      <w:pPr>
        <w:spacing w:line="360" w:lineRule="auto"/>
        <w:jc w:val="both"/>
        <w:rPr>
          <w:i/>
          <w:iCs/>
        </w:rPr>
      </w:pPr>
      <w:r>
        <w:t xml:space="preserve">The Hamas </w:t>
      </w:r>
      <w:r w:rsidR="00F37D39">
        <w:t>D</w:t>
      </w:r>
      <w:r>
        <w:t>awa</w:t>
      </w:r>
      <w:r w:rsidR="00F37D39">
        <w:t>h</w:t>
      </w:r>
      <w:r>
        <w:t xml:space="preserve"> is a social apparatus that uses mosques, schools, and charities to recruit terrorists and to teach radical Islamic ideology. The obligation that Muslims have to spread the word of Islam through social welfare and charitable activities is the ideal platform for Hamas to recruit new members</w:t>
      </w:r>
      <w:r>
        <w:rPr>
          <w:rStyle w:val="FootnoteReference"/>
        </w:rPr>
        <w:footnoteReference w:id="4"/>
      </w:r>
      <w:r>
        <w:t>. This process of systematic radicalisation where local residents are encouraged to embrace a radical political</w:t>
      </w:r>
      <w:r w:rsidR="00BC56BF">
        <w:t>-</w:t>
      </w:r>
      <w:r>
        <w:t>religious ideology hostile to the West</w:t>
      </w:r>
      <w:r>
        <w:rPr>
          <w:rStyle w:val="FootnoteReference"/>
        </w:rPr>
        <w:footnoteReference w:id="5"/>
      </w:r>
      <w:r>
        <w:t xml:space="preserve"> through the dawa</w:t>
      </w:r>
      <w:r w:rsidR="00BC56BF">
        <w:t>h</w:t>
      </w:r>
      <w:r>
        <w:t xml:space="preserve"> is key to Hamas’ terrorist campaigns</w:t>
      </w:r>
      <w:r>
        <w:rPr>
          <w:rStyle w:val="FootnoteReference"/>
        </w:rPr>
        <w:footnoteReference w:id="6"/>
      </w:r>
      <w:r>
        <w:t>. Hamas uses Islamic thoughts and teachings to underpin its political ideology in order to carry out terrorism</w:t>
      </w:r>
      <w:r>
        <w:rPr>
          <w:rStyle w:val="FootnoteReference"/>
        </w:rPr>
        <w:footnoteReference w:id="7"/>
      </w:r>
      <w:r>
        <w:t xml:space="preserve">, however, it is its reinterpretation of Islam that is used to legitimise its cause. For example, the polysemic term of </w:t>
      </w:r>
      <w:r>
        <w:rPr>
          <w:i/>
          <w:iCs/>
        </w:rPr>
        <w:t>Jihad</w:t>
      </w:r>
      <w:r>
        <w:t xml:space="preserve"> is rejected by Hamas as a term for a spiritual effort, instead instilling into its members that passages in the Qur’an referring to </w:t>
      </w:r>
      <w:r>
        <w:rPr>
          <w:i/>
          <w:iCs/>
        </w:rPr>
        <w:t>Jihad</w:t>
      </w:r>
      <w:r>
        <w:t xml:space="preserve"> in association with the words </w:t>
      </w:r>
      <w:r>
        <w:lastRenderedPageBreak/>
        <w:t>“</w:t>
      </w:r>
      <w:r>
        <w:rPr>
          <w:i/>
          <w:iCs/>
        </w:rPr>
        <w:t>uktulu</w:t>
      </w:r>
      <w:r>
        <w:t>” (kill) and “</w:t>
      </w:r>
      <w:r>
        <w:rPr>
          <w:i/>
          <w:iCs/>
        </w:rPr>
        <w:t>qatiluhum</w:t>
      </w:r>
      <w:r>
        <w:t>” (wage battle against them) can only be interpreted as actual warfare</w:t>
      </w:r>
      <w:r>
        <w:rPr>
          <w:rStyle w:val="FootnoteReference"/>
        </w:rPr>
        <w:footnoteReference w:id="8"/>
      </w:r>
      <w:r>
        <w:t xml:space="preserve">. The Hamas charter clearly states that “there is no solution for the Palestinian question except through </w:t>
      </w:r>
      <w:r>
        <w:rPr>
          <w:i/>
          <w:iCs/>
        </w:rPr>
        <w:t>Jihad</w:t>
      </w:r>
      <w:r>
        <w:rPr>
          <w:rStyle w:val="FootnoteReference"/>
        </w:rPr>
        <w:footnoteReference w:id="9"/>
      </w:r>
      <w:r>
        <w:rPr>
          <w:i/>
          <w:iCs/>
        </w:rPr>
        <w:t>”.</w:t>
      </w:r>
    </w:p>
    <w:p w14:paraId="0433E040" w14:textId="77777777" w:rsidR="002F04E9" w:rsidRDefault="002F04E9" w:rsidP="009F2670">
      <w:pPr>
        <w:spacing w:line="360" w:lineRule="auto"/>
        <w:jc w:val="both"/>
      </w:pPr>
      <w:r>
        <w:t>This Islamic rhetoric is crucial in recruiting its members. In a study by Post et al. (2003) of jailed terrorists, the social environment that was used to recruit members, was predominately undertaken via mosques, religious teachings, and religious organisations and almost 50 per cent of members of Islamist groups cited religious influence as central to their decision to join Hamas</w:t>
      </w:r>
      <w:r>
        <w:rPr>
          <w:rStyle w:val="FootnoteReference"/>
        </w:rPr>
        <w:footnoteReference w:id="10"/>
      </w:r>
      <w:r>
        <w:t xml:space="preserve">. Despite being a relatively modern group, Hamas goes to great effort to ensure that their image of </w:t>
      </w:r>
      <w:r>
        <w:rPr>
          <w:i/>
          <w:iCs/>
        </w:rPr>
        <w:t xml:space="preserve">Jihad </w:t>
      </w:r>
      <w:r>
        <w:t>is grounded by the great scholars of traditional Islam within these teachings giving it greater acceptability and integrity</w:t>
      </w:r>
      <w:r>
        <w:rPr>
          <w:rStyle w:val="FootnoteReference"/>
        </w:rPr>
        <w:footnoteReference w:id="11"/>
      </w:r>
      <w:r>
        <w:t>. Whilst some contend that Hamas is solely a political party, it is this religious rhetoric and the Islamic values that it professes that is the appeal that draws in new members within an Islamic framework, especially young Palestinian men</w:t>
      </w:r>
      <w:r>
        <w:rPr>
          <w:rStyle w:val="FootnoteReference"/>
        </w:rPr>
        <w:footnoteReference w:id="12"/>
      </w:r>
      <w:r>
        <w:t>.</w:t>
      </w:r>
    </w:p>
    <w:p w14:paraId="552EABEC" w14:textId="2D2BF3B9" w:rsidR="002F04E9" w:rsidRDefault="002F04E9" w:rsidP="009F2670">
      <w:pPr>
        <w:spacing w:line="360" w:lineRule="auto"/>
        <w:jc w:val="both"/>
      </w:pPr>
      <w:r>
        <w:t>The Hamas run Dawa</w:t>
      </w:r>
      <w:r w:rsidR="006A21A1">
        <w:t>h</w:t>
      </w:r>
      <w:r>
        <w:t>s within Palestine which can include organisations such as football clubs, summer camps, schools, mosques classes and charities are places where Palestinian youth can be recruited. These organisations are often overseen by Hamas members who are themselves dawa</w:t>
      </w:r>
      <w:r w:rsidR="006A21A1">
        <w:t>h</w:t>
      </w:r>
      <w:r>
        <w:t xml:space="preserve"> activists. Post et al. (2003) posit that the recruitment process begins in quite a casual and relaxed way and the recruiter is often known to the members that they conscript into Hamas</w:t>
      </w:r>
      <w:r>
        <w:rPr>
          <w:rStyle w:val="FootnoteReference"/>
        </w:rPr>
        <w:footnoteReference w:id="13"/>
      </w:r>
      <w:r>
        <w:t>. One of the members interviewed in the study stated that it was during prayers at the mosque that he was invited to join religious classes and it was these teachings that made him more politically aware and became the focal point in his social life</w:t>
      </w:r>
      <w:r>
        <w:rPr>
          <w:rStyle w:val="FootnoteReference"/>
        </w:rPr>
        <w:footnoteReference w:id="14"/>
      </w:r>
      <w:r>
        <w:t>. Imams often allow Ham</w:t>
      </w:r>
      <w:r w:rsidR="006A21A1">
        <w:t>a</w:t>
      </w:r>
      <w:r>
        <w:t>s to use their mosques to preach radical sermons glorifying the values of suicide and depicting all Jews and Israelis as the enemy</w:t>
      </w:r>
      <w:r>
        <w:rPr>
          <w:rStyle w:val="FootnoteReference"/>
        </w:rPr>
        <w:footnoteReference w:id="15"/>
      </w:r>
      <w:r>
        <w:t xml:space="preserve">.Hamas recruiters teach members about the afterlife and how if they die for the cause through suicide bombings, they and their family will be revered, and will be remembered as a </w:t>
      </w:r>
      <w:r>
        <w:rPr>
          <w:i/>
          <w:iCs/>
        </w:rPr>
        <w:t>shadhid</w:t>
      </w:r>
      <w:r>
        <w:t xml:space="preserve"> or martyr</w:t>
      </w:r>
      <w:r>
        <w:rPr>
          <w:rStyle w:val="FootnoteReference"/>
        </w:rPr>
        <w:footnoteReference w:id="16"/>
      </w:r>
      <w:r>
        <w:t>. This concept of martyrdom (</w:t>
      </w:r>
      <w:r>
        <w:rPr>
          <w:i/>
          <w:iCs/>
        </w:rPr>
        <w:t>istishhad</w:t>
      </w:r>
      <w:r>
        <w:t xml:space="preserve">) and the promise of paradise and heavenly rewards if they die </w:t>
      </w:r>
      <w:r>
        <w:lastRenderedPageBreak/>
        <w:t xml:space="preserve">is the driving force behind Hamas’ recruitment of suicide bombers and their embodiment of </w:t>
      </w:r>
      <w:r>
        <w:rPr>
          <w:i/>
          <w:iCs/>
        </w:rPr>
        <w:t>jihad</w:t>
      </w:r>
      <w:r>
        <w:rPr>
          <w:rStyle w:val="FootnoteReference"/>
        </w:rPr>
        <w:t xml:space="preserve"> </w:t>
      </w:r>
      <w:r>
        <w:rPr>
          <w:rStyle w:val="FootnoteReference"/>
        </w:rPr>
        <w:footnoteReference w:id="17"/>
      </w:r>
      <w:r>
        <w:rPr>
          <w:i/>
          <w:iCs/>
        </w:rPr>
        <w:t>.</w:t>
      </w:r>
      <w:r>
        <w:t xml:space="preserve"> They also reassure the potential suicide bomber that if he becomes a martyr that his family will be provided for after his death and their status will be raised within the community</w:t>
      </w:r>
      <w:r>
        <w:rPr>
          <w:rStyle w:val="FootnoteReference"/>
        </w:rPr>
        <w:footnoteReference w:id="18"/>
      </w:r>
      <w:r>
        <w:t>.</w:t>
      </w:r>
    </w:p>
    <w:p w14:paraId="7A86712B" w14:textId="29157EAA" w:rsidR="002F04E9" w:rsidRDefault="002F04E9" w:rsidP="009F2670">
      <w:pPr>
        <w:spacing w:line="360" w:lineRule="auto"/>
        <w:jc w:val="both"/>
      </w:pPr>
      <w:r>
        <w:t>Children are also targeted by Hamas recruiters and radicalized at an early age</w:t>
      </w:r>
      <w:r>
        <w:rPr>
          <w:rStyle w:val="FootnoteReference"/>
        </w:rPr>
        <w:footnoteReference w:id="19"/>
      </w:r>
      <w:r>
        <w:t>. By desensitizing them to violence and extolling the virtues of martyrdom Gaza psychologist Fadl Abu Hein has stated that “Martyrdom has become an ambition for our children”</w:t>
      </w:r>
      <w:r>
        <w:rPr>
          <w:rStyle w:val="FootnoteReference"/>
        </w:rPr>
        <w:footnoteReference w:id="20"/>
      </w:r>
      <w:r>
        <w:t>. From a young age, Palestinians who attend schools run by the Hamas dawa</w:t>
      </w:r>
      <w:r w:rsidR="00877CFA">
        <w:t>h</w:t>
      </w:r>
      <w:r>
        <w:t>, are taught about radical Islam and its virtues. As an example, photographs of a graduation ceremony for children of kindergarten age held by the Hamas Islamic Society in Gaza in 2001 showed the children dressed in uniforms and carrying fake guns. Other children were dressed as suicide bombers and one was portraying the Hamas founder Sheik Ahmed Yassin</w:t>
      </w:r>
      <w:r>
        <w:rPr>
          <w:rStyle w:val="FootnoteReference"/>
        </w:rPr>
        <w:footnoteReference w:id="21"/>
      </w:r>
      <w:r>
        <w:t>. Hamas also indoctrinate children through summer camps run by the dawa</w:t>
      </w:r>
      <w:r w:rsidR="00C66A48">
        <w:t>h</w:t>
      </w:r>
      <w:r>
        <w:t xml:space="preserve"> where they are taught Hamas propaganda and undertake a form of military training</w:t>
      </w:r>
      <w:r>
        <w:rPr>
          <w:rStyle w:val="FootnoteReference"/>
        </w:rPr>
        <w:footnoteReference w:id="22"/>
      </w:r>
      <w:r>
        <w:t>. This radicalizing of children is proving to be successful. In 2001 a survey carried out by the Islamic University in Gaza stated that 73 percent of children between the ages of nine and sixteen aspired to become martyrs</w:t>
      </w:r>
      <w:r>
        <w:rPr>
          <w:rStyle w:val="FootnoteReference"/>
        </w:rPr>
        <w:footnoteReference w:id="23"/>
      </w:r>
      <w:r>
        <w:t>.</w:t>
      </w:r>
    </w:p>
    <w:p w14:paraId="12B0892B" w14:textId="17E663DE" w:rsidR="002F04E9" w:rsidRDefault="002F04E9" w:rsidP="009F2670">
      <w:pPr>
        <w:spacing w:line="360" w:lineRule="auto"/>
        <w:jc w:val="both"/>
      </w:pPr>
      <w:r>
        <w:t>It is evident that Hamas uses the legitimacy and cover of the dawa</w:t>
      </w:r>
      <w:r w:rsidR="00C66A48">
        <w:t>h</w:t>
      </w:r>
      <w:r>
        <w:t xml:space="preserve"> to recruit members and front its terrorist activities. By focusing on dawa</w:t>
      </w:r>
      <w:r w:rsidR="00C66A48">
        <w:t>h</w:t>
      </w:r>
      <w:r>
        <w:t>, Hamas compromise</w:t>
      </w:r>
      <w:r w:rsidR="001722BE">
        <w:t>s</w:t>
      </w:r>
      <w:r>
        <w:t xml:space="preserve"> between religion and politics by controlling the centre of the Palestinian society they wish to use for political gain and via its charitable and social organisations throughout Palestine, they attract recruits whilst gaining sympathisers for their cause. There is no doubt that religion serves as the foundations by which Hamas calls for resistance in Palestine using political, religious</w:t>
      </w:r>
      <w:r w:rsidR="00041FF2">
        <w:t>,</w:t>
      </w:r>
      <w:r>
        <w:t xml:space="preserve"> or armed tactics for the greater good of jihad and the </w:t>
      </w:r>
      <w:r w:rsidR="00F44893">
        <w:t>fight</w:t>
      </w:r>
      <w:r>
        <w:t xml:space="preserve"> against Israel.</w:t>
      </w:r>
    </w:p>
    <w:p w14:paraId="54060D6D" w14:textId="073DE957" w:rsidR="00490415" w:rsidRDefault="00490415" w:rsidP="009F2670">
      <w:pPr>
        <w:spacing w:line="360" w:lineRule="auto"/>
        <w:jc w:val="both"/>
      </w:pPr>
    </w:p>
    <w:p w14:paraId="0248667C" w14:textId="77777777" w:rsidR="00041FF2" w:rsidRDefault="00041FF2" w:rsidP="00490415">
      <w:pPr>
        <w:pStyle w:val="NormalWeb"/>
        <w:shd w:val="clear" w:color="auto" w:fill="FFFFFF"/>
        <w:spacing w:before="0" w:beforeAutospacing="0" w:after="240" w:afterAutospacing="0" w:line="360" w:lineRule="atLeast"/>
        <w:rPr>
          <w:rFonts w:asciiTheme="minorHAnsi" w:hAnsiTheme="minorHAnsi" w:cstheme="minorHAnsi"/>
          <w:color w:val="000000"/>
          <w:sz w:val="22"/>
          <w:szCs w:val="22"/>
        </w:rPr>
      </w:pPr>
    </w:p>
    <w:p w14:paraId="6FDBC0CE" w14:textId="77777777" w:rsidR="00041FF2" w:rsidRDefault="00041FF2" w:rsidP="00490415">
      <w:pPr>
        <w:pStyle w:val="NormalWeb"/>
        <w:shd w:val="clear" w:color="auto" w:fill="FFFFFF"/>
        <w:spacing w:before="0" w:beforeAutospacing="0" w:after="240" w:afterAutospacing="0" w:line="360" w:lineRule="atLeast"/>
        <w:rPr>
          <w:rFonts w:asciiTheme="minorHAnsi" w:hAnsiTheme="minorHAnsi" w:cstheme="minorHAnsi"/>
          <w:color w:val="000000"/>
          <w:sz w:val="22"/>
          <w:szCs w:val="22"/>
        </w:rPr>
      </w:pPr>
    </w:p>
    <w:p w14:paraId="48E727E8" w14:textId="77777777" w:rsidR="00041FF2" w:rsidRDefault="00041FF2" w:rsidP="00490415">
      <w:pPr>
        <w:pStyle w:val="NormalWeb"/>
        <w:shd w:val="clear" w:color="auto" w:fill="FFFFFF"/>
        <w:spacing w:before="0" w:beforeAutospacing="0" w:after="240" w:afterAutospacing="0" w:line="360" w:lineRule="atLeast"/>
        <w:rPr>
          <w:rFonts w:asciiTheme="minorHAnsi" w:hAnsiTheme="minorHAnsi" w:cstheme="minorHAnsi"/>
          <w:color w:val="000000"/>
          <w:sz w:val="22"/>
          <w:szCs w:val="22"/>
        </w:rPr>
      </w:pPr>
    </w:p>
    <w:p w14:paraId="0A3D25E5" w14:textId="77777777" w:rsidR="00041FF2" w:rsidRDefault="00041FF2" w:rsidP="00490415">
      <w:pPr>
        <w:pStyle w:val="NormalWeb"/>
        <w:shd w:val="clear" w:color="auto" w:fill="FFFFFF"/>
        <w:spacing w:before="0" w:beforeAutospacing="0" w:after="240" w:afterAutospacing="0" w:line="360" w:lineRule="atLeast"/>
        <w:rPr>
          <w:rFonts w:asciiTheme="minorHAnsi" w:hAnsiTheme="minorHAnsi" w:cstheme="minorHAnsi"/>
          <w:color w:val="000000"/>
          <w:sz w:val="22"/>
          <w:szCs w:val="22"/>
        </w:rPr>
      </w:pPr>
    </w:p>
    <w:p w14:paraId="00E7B381" w14:textId="66F2C359" w:rsidR="00490415" w:rsidRPr="00490415" w:rsidRDefault="00490415" w:rsidP="00490415">
      <w:pPr>
        <w:pStyle w:val="NormalWeb"/>
        <w:shd w:val="clear" w:color="auto" w:fill="FFFFFF"/>
        <w:spacing w:before="0" w:beforeAutospacing="0" w:after="240" w:afterAutospacing="0" w:line="360" w:lineRule="atLeast"/>
        <w:rPr>
          <w:rFonts w:asciiTheme="minorHAnsi" w:hAnsiTheme="minorHAnsi" w:cstheme="minorHAnsi"/>
          <w:color w:val="000000"/>
          <w:sz w:val="22"/>
          <w:szCs w:val="22"/>
        </w:rPr>
      </w:pPr>
      <w:r w:rsidRPr="00490415">
        <w:rPr>
          <w:rFonts w:asciiTheme="minorHAnsi" w:hAnsiTheme="minorHAnsi" w:cstheme="minorHAnsi"/>
          <w:color w:val="000000"/>
          <w:sz w:val="22"/>
          <w:szCs w:val="22"/>
        </w:rPr>
        <w:lastRenderedPageBreak/>
        <w:t>References</w:t>
      </w:r>
    </w:p>
    <w:p w14:paraId="53DE084B" w14:textId="77777777" w:rsidR="00490415" w:rsidRDefault="00490415" w:rsidP="00041FF2">
      <w:pPr>
        <w:pStyle w:val="NormalWeb"/>
        <w:shd w:val="clear" w:color="auto" w:fill="FFFFFF"/>
        <w:spacing w:before="0" w:beforeAutospacing="0" w:after="240" w:afterAutospacing="0" w:line="360" w:lineRule="auto"/>
        <w:rPr>
          <w:rFonts w:asciiTheme="minorHAnsi" w:hAnsiTheme="minorHAnsi" w:cstheme="minorHAnsi"/>
          <w:sz w:val="22"/>
          <w:szCs w:val="22"/>
        </w:rPr>
      </w:pPr>
      <w:r w:rsidRPr="00C43268">
        <w:rPr>
          <w:rFonts w:asciiTheme="minorHAnsi" w:hAnsiTheme="minorHAnsi" w:cstheme="minorHAnsi"/>
          <w:sz w:val="22"/>
          <w:szCs w:val="22"/>
        </w:rPr>
        <w:t>Brym, Robert J. "Religion, Politics, and Suicide Bombing: An Interpretive Essay." Canadian Journal of Sociology 33, no. 1 (2008): 89-108</w:t>
      </w:r>
      <w:r>
        <w:rPr>
          <w:rFonts w:asciiTheme="minorHAnsi" w:hAnsiTheme="minorHAnsi" w:cstheme="minorHAnsi"/>
          <w:sz w:val="22"/>
          <w:szCs w:val="22"/>
        </w:rPr>
        <w:t>, available at</w:t>
      </w:r>
      <w:r w:rsidRPr="00C43268">
        <w:rPr>
          <w:rFonts w:asciiTheme="minorHAnsi" w:hAnsiTheme="minorHAnsi" w:cstheme="minorHAnsi"/>
          <w:sz w:val="22"/>
          <w:szCs w:val="22"/>
        </w:rPr>
        <w:t xml:space="preserve"> </w:t>
      </w:r>
      <w:hyperlink r:id="rId6" w:history="1">
        <w:r w:rsidRPr="00C43268">
          <w:rPr>
            <w:rStyle w:val="Hyperlink"/>
            <w:rFonts w:asciiTheme="minorHAnsi" w:hAnsiTheme="minorHAnsi" w:cstheme="minorHAnsi"/>
            <w:color w:val="auto"/>
            <w:sz w:val="22"/>
            <w:szCs w:val="22"/>
          </w:rPr>
          <w:t>https://whel-primo.hosted.exlibrisgroup.com/permalink/f/mqg008/TN_cdi_gale_infotraccpiq_185431339</w:t>
        </w:r>
      </w:hyperlink>
      <w:r w:rsidRPr="00C43268">
        <w:rPr>
          <w:rFonts w:asciiTheme="minorHAnsi" w:hAnsiTheme="minorHAnsi" w:cstheme="minorHAnsi"/>
          <w:sz w:val="22"/>
          <w:szCs w:val="22"/>
        </w:rPr>
        <w:t xml:space="preserve"> [last accessed 28 Sep. 2020].</w:t>
      </w:r>
    </w:p>
    <w:p w14:paraId="07F11A70" w14:textId="77777777" w:rsidR="00490415" w:rsidRDefault="00490415" w:rsidP="00041FF2">
      <w:pPr>
        <w:pStyle w:val="NormalWeb"/>
        <w:shd w:val="clear" w:color="auto" w:fill="FFFFFF"/>
        <w:spacing w:before="0" w:beforeAutospacing="0" w:after="240" w:afterAutospacing="0" w:line="360" w:lineRule="auto"/>
        <w:rPr>
          <w:rFonts w:asciiTheme="minorHAnsi" w:hAnsiTheme="minorHAnsi" w:cstheme="minorHAnsi"/>
          <w:sz w:val="22"/>
          <w:szCs w:val="22"/>
        </w:rPr>
      </w:pPr>
      <w:r w:rsidRPr="00C43268">
        <w:rPr>
          <w:rStyle w:val="authors"/>
          <w:rFonts w:asciiTheme="minorHAnsi" w:hAnsiTheme="minorHAnsi" w:cstheme="minorHAnsi"/>
          <w:sz w:val="22"/>
          <w:szCs w:val="22"/>
          <w:shd w:val="clear" w:color="auto" w:fill="FFFFFF"/>
        </w:rPr>
        <w:t>Dunning, T.,</w:t>
      </w:r>
      <w:r w:rsidRPr="00C43268">
        <w:rPr>
          <w:rFonts w:asciiTheme="minorHAnsi" w:hAnsiTheme="minorHAnsi" w:cstheme="minorHAnsi"/>
          <w:sz w:val="22"/>
          <w:szCs w:val="22"/>
          <w:shd w:val="clear" w:color="auto" w:fill="FFFFFF"/>
        </w:rPr>
        <w:t> </w:t>
      </w:r>
      <w:r w:rsidRPr="00C43268">
        <w:rPr>
          <w:rStyle w:val="date"/>
          <w:rFonts w:asciiTheme="minorHAnsi" w:hAnsiTheme="minorHAnsi" w:cstheme="minorHAnsi"/>
          <w:sz w:val="22"/>
          <w:szCs w:val="22"/>
          <w:shd w:val="clear" w:color="auto" w:fill="FFFFFF"/>
        </w:rPr>
        <w:t>(2015)</w:t>
      </w:r>
      <w:r w:rsidRPr="00C43268">
        <w:rPr>
          <w:rFonts w:asciiTheme="minorHAnsi" w:hAnsiTheme="minorHAnsi" w:cstheme="minorHAnsi"/>
          <w:sz w:val="22"/>
          <w:szCs w:val="22"/>
          <w:shd w:val="clear" w:color="auto" w:fill="FFFFFF"/>
        </w:rPr>
        <w:t> </w:t>
      </w:r>
      <w:r w:rsidRPr="00C43268">
        <w:rPr>
          <w:rStyle w:val="arttitle"/>
          <w:rFonts w:asciiTheme="minorHAnsi" w:hAnsiTheme="minorHAnsi" w:cstheme="minorHAnsi"/>
          <w:sz w:val="22"/>
          <w:szCs w:val="22"/>
          <w:shd w:val="clear" w:color="auto" w:fill="FFFFFF"/>
        </w:rPr>
        <w:t>Islam and resistance: Hamas, ideology and Islamic values in Palestine,</w:t>
      </w:r>
      <w:r w:rsidRPr="00C43268">
        <w:rPr>
          <w:rFonts w:asciiTheme="minorHAnsi" w:hAnsiTheme="minorHAnsi" w:cstheme="minorHAnsi"/>
          <w:sz w:val="22"/>
          <w:szCs w:val="22"/>
          <w:shd w:val="clear" w:color="auto" w:fill="FFFFFF"/>
        </w:rPr>
        <w:t> </w:t>
      </w:r>
      <w:r w:rsidRPr="00C43268">
        <w:rPr>
          <w:rStyle w:val="serialtitle"/>
          <w:rFonts w:asciiTheme="minorHAnsi" w:hAnsiTheme="minorHAnsi" w:cstheme="minorHAnsi"/>
          <w:sz w:val="22"/>
          <w:szCs w:val="22"/>
          <w:shd w:val="clear" w:color="auto" w:fill="FFFFFF"/>
        </w:rPr>
        <w:t>Critical Studies on Terrorism,</w:t>
      </w:r>
      <w:r w:rsidRPr="00C43268">
        <w:rPr>
          <w:rFonts w:asciiTheme="minorHAnsi" w:hAnsiTheme="minorHAnsi" w:cstheme="minorHAnsi"/>
          <w:sz w:val="22"/>
          <w:szCs w:val="22"/>
          <w:shd w:val="clear" w:color="auto" w:fill="FFFFFF"/>
        </w:rPr>
        <w:t> </w:t>
      </w:r>
      <w:r w:rsidRPr="00C43268">
        <w:rPr>
          <w:rStyle w:val="volumeissue"/>
          <w:rFonts w:asciiTheme="minorHAnsi" w:hAnsiTheme="minorHAnsi" w:cstheme="minorHAnsi"/>
          <w:sz w:val="22"/>
          <w:szCs w:val="22"/>
          <w:shd w:val="clear" w:color="auto" w:fill="FFFFFF"/>
        </w:rPr>
        <w:t>8:2,</w:t>
      </w:r>
      <w:r w:rsidRPr="00C43268">
        <w:rPr>
          <w:rFonts w:asciiTheme="minorHAnsi" w:hAnsiTheme="minorHAnsi" w:cstheme="minorHAnsi"/>
          <w:sz w:val="22"/>
          <w:szCs w:val="22"/>
          <w:shd w:val="clear" w:color="auto" w:fill="FFFFFF"/>
        </w:rPr>
        <w:t> </w:t>
      </w:r>
      <w:r w:rsidRPr="00C43268">
        <w:rPr>
          <w:rStyle w:val="pagerange"/>
          <w:rFonts w:asciiTheme="minorHAnsi" w:hAnsiTheme="minorHAnsi" w:cstheme="minorHAnsi"/>
          <w:sz w:val="22"/>
          <w:szCs w:val="22"/>
          <w:shd w:val="clear" w:color="auto" w:fill="FFFFFF"/>
        </w:rPr>
        <w:t>284-305,</w:t>
      </w:r>
      <w:r w:rsidRPr="00C43268">
        <w:rPr>
          <w:rFonts w:asciiTheme="minorHAnsi" w:hAnsiTheme="minorHAnsi" w:cstheme="minorHAnsi"/>
          <w:sz w:val="22"/>
          <w:szCs w:val="22"/>
          <w:shd w:val="clear" w:color="auto" w:fill="FFFFFF"/>
        </w:rPr>
        <w:t> </w:t>
      </w:r>
      <w:r>
        <w:rPr>
          <w:rFonts w:asciiTheme="minorHAnsi" w:hAnsiTheme="minorHAnsi" w:cstheme="minorHAnsi"/>
          <w:sz w:val="22"/>
          <w:szCs w:val="22"/>
        </w:rPr>
        <w:t>available at</w:t>
      </w:r>
      <w:r w:rsidRPr="00C43268">
        <w:rPr>
          <w:rFonts w:asciiTheme="minorHAnsi" w:hAnsiTheme="minorHAnsi" w:cstheme="minorHAnsi"/>
          <w:sz w:val="22"/>
          <w:szCs w:val="22"/>
        </w:rPr>
        <w:t xml:space="preserve"> </w:t>
      </w:r>
      <w:r w:rsidRPr="00C43268">
        <w:rPr>
          <w:rStyle w:val="doilink"/>
          <w:rFonts w:asciiTheme="minorHAnsi" w:hAnsiTheme="minorHAnsi" w:cstheme="minorHAnsi"/>
          <w:sz w:val="22"/>
          <w:szCs w:val="22"/>
          <w:shd w:val="clear" w:color="auto" w:fill="FFFFFF"/>
        </w:rPr>
        <w:t>DOI: </w:t>
      </w:r>
      <w:hyperlink r:id="rId7" w:history="1">
        <w:r w:rsidRPr="00C43268">
          <w:rPr>
            <w:rStyle w:val="Hyperlink"/>
            <w:rFonts w:asciiTheme="minorHAnsi" w:hAnsiTheme="minorHAnsi" w:cstheme="minorHAnsi"/>
            <w:color w:val="auto"/>
            <w:sz w:val="22"/>
            <w:szCs w:val="22"/>
          </w:rPr>
          <w:t>10.1080/17539153.2015.1042304</w:t>
        </w:r>
      </w:hyperlink>
      <w:r w:rsidRPr="00C43268">
        <w:rPr>
          <w:rStyle w:val="doilink"/>
          <w:rFonts w:asciiTheme="minorHAnsi" w:hAnsiTheme="minorHAnsi" w:cstheme="minorHAnsi"/>
          <w:sz w:val="22"/>
          <w:szCs w:val="22"/>
          <w:shd w:val="clear" w:color="auto" w:fill="FFFFFF"/>
        </w:rPr>
        <w:t xml:space="preserve"> </w:t>
      </w:r>
      <w:r w:rsidRPr="00C43268">
        <w:rPr>
          <w:rFonts w:asciiTheme="minorHAnsi" w:hAnsiTheme="minorHAnsi" w:cstheme="minorHAnsi"/>
          <w:sz w:val="22"/>
          <w:szCs w:val="22"/>
        </w:rPr>
        <w:t>[last accessed 28 Sep. 2020]</w:t>
      </w:r>
    </w:p>
    <w:p w14:paraId="478FFCED" w14:textId="77777777" w:rsidR="00490415" w:rsidRPr="00C43268" w:rsidRDefault="00490415" w:rsidP="00041FF2">
      <w:pPr>
        <w:pStyle w:val="NormalWeb"/>
        <w:shd w:val="clear" w:color="auto" w:fill="FFFFFF"/>
        <w:spacing w:before="0" w:beforeAutospacing="0" w:after="240" w:afterAutospacing="0" w:line="360" w:lineRule="auto"/>
        <w:rPr>
          <w:rFonts w:asciiTheme="minorHAnsi" w:hAnsiTheme="minorHAnsi" w:cstheme="minorHAnsi"/>
          <w:sz w:val="22"/>
          <w:szCs w:val="22"/>
        </w:rPr>
      </w:pPr>
      <w:r w:rsidRPr="00C43268">
        <w:rPr>
          <w:rFonts w:asciiTheme="minorHAnsi" w:hAnsiTheme="minorHAnsi" w:cstheme="minorHAnsi"/>
          <w:sz w:val="22"/>
          <w:szCs w:val="22"/>
        </w:rPr>
        <w:t>Levitt, M. and Washington Institute For Near East Policy (2006). </w:t>
      </w:r>
      <w:r w:rsidRPr="00C43268">
        <w:rPr>
          <w:rFonts w:asciiTheme="minorHAnsi" w:hAnsiTheme="minorHAnsi" w:cstheme="minorHAnsi"/>
          <w:i/>
          <w:iCs/>
          <w:sz w:val="22"/>
          <w:szCs w:val="22"/>
        </w:rPr>
        <w:t>Hamas: politics, charity, and terrorism in the service of jihad</w:t>
      </w:r>
      <w:r w:rsidRPr="00C43268">
        <w:rPr>
          <w:rFonts w:asciiTheme="minorHAnsi" w:hAnsiTheme="minorHAnsi" w:cstheme="minorHAnsi"/>
          <w:sz w:val="22"/>
          <w:szCs w:val="22"/>
        </w:rPr>
        <w:t>. New Haven: Yale University Press.</w:t>
      </w:r>
    </w:p>
    <w:p w14:paraId="79E6D973" w14:textId="77777777" w:rsidR="00490415" w:rsidRPr="00C43268" w:rsidRDefault="00490415" w:rsidP="00041FF2">
      <w:pPr>
        <w:pStyle w:val="NormalWeb"/>
        <w:shd w:val="clear" w:color="auto" w:fill="FFFFFF"/>
        <w:spacing w:before="0" w:beforeAutospacing="0" w:after="240" w:afterAutospacing="0" w:line="360" w:lineRule="auto"/>
        <w:rPr>
          <w:rFonts w:asciiTheme="minorHAnsi" w:hAnsiTheme="minorHAnsi" w:cstheme="minorHAnsi"/>
          <w:sz w:val="22"/>
          <w:szCs w:val="22"/>
        </w:rPr>
      </w:pPr>
      <w:r w:rsidRPr="00C43268">
        <w:rPr>
          <w:rStyle w:val="authors"/>
          <w:rFonts w:asciiTheme="minorHAnsi" w:hAnsiTheme="minorHAnsi" w:cstheme="minorHAnsi"/>
          <w:sz w:val="22"/>
          <w:szCs w:val="22"/>
          <w:shd w:val="clear" w:color="auto" w:fill="FFFFFF"/>
        </w:rPr>
        <w:t>Litvak, M.,</w:t>
      </w:r>
      <w:r w:rsidRPr="00C43268">
        <w:rPr>
          <w:rFonts w:asciiTheme="minorHAnsi" w:hAnsiTheme="minorHAnsi" w:cstheme="minorHAnsi"/>
          <w:sz w:val="22"/>
          <w:szCs w:val="22"/>
          <w:shd w:val="clear" w:color="auto" w:fill="FFFFFF"/>
        </w:rPr>
        <w:t> </w:t>
      </w:r>
      <w:r w:rsidRPr="00C43268">
        <w:rPr>
          <w:rStyle w:val="date"/>
          <w:rFonts w:asciiTheme="minorHAnsi" w:hAnsiTheme="minorHAnsi" w:cstheme="minorHAnsi"/>
          <w:sz w:val="22"/>
          <w:szCs w:val="22"/>
          <w:shd w:val="clear" w:color="auto" w:fill="FFFFFF"/>
        </w:rPr>
        <w:t>(2010)</w:t>
      </w:r>
      <w:r w:rsidRPr="00C43268">
        <w:rPr>
          <w:rFonts w:asciiTheme="minorHAnsi" w:hAnsiTheme="minorHAnsi" w:cstheme="minorHAnsi"/>
          <w:sz w:val="22"/>
          <w:szCs w:val="22"/>
          <w:shd w:val="clear" w:color="auto" w:fill="FFFFFF"/>
        </w:rPr>
        <w:t> </w:t>
      </w:r>
      <w:r w:rsidRPr="00C43268">
        <w:rPr>
          <w:rStyle w:val="arttitle"/>
          <w:rFonts w:asciiTheme="minorHAnsi" w:hAnsiTheme="minorHAnsi" w:cstheme="minorHAnsi"/>
          <w:sz w:val="22"/>
          <w:szCs w:val="22"/>
          <w:shd w:val="clear" w:color="auto" w:fill="FFFFFF"/>
        </w:rPr>
        <w:t>“Martyrdom is Life”: </w:t>
      </w:r>
      <w:r w:rsidRPr="00C43268">
        <w:rPr>
          <w:rStyle w:val="arttitle"/>
          <w:rFonts w:asciiTheme="minorHAnsi" w:hAnsiTheme="minorHAnsi" w:cstheme="minorHAnsi"/>
          <w:i/>
          <w:iCs/>
          <w:sz w:val="22"/>
          <w:szCs w:val="22"/>
          <w:shd w:val="clear" w:color="auto" w:fill="FFFFFF"/>
        </w:rPr>
        <w:t>Jihad</w:t>
      </w:r>
      <w:r w:rsidRPr="00C43268">
        <w:rPr>
          <w:rStyle w:val="arttitle"/>
          <w:rFonts w:asciiTheme="minorHAnsi" w:hAnsiTheme="minorHAnsi" w:cstheme="minorHAnsi"/>
          <w:sz w:val="22"/>
          <w:szCs w:val="22"/>
          <w:shd w:val="clear" w:color="auto" w:fill="FFFFFF"/>
        </w:rPr>
        <w:t> and Martyrdom in the Ideology of Hamas,</w:t>
      </w:r>
      <w:r w:rsidRPr="00C43268">
        <w:rPr>
          <w:rFonts w:asciiTheme="minorHAnsi" w:hAnsiTheme="minorHAnsi" w:cstheme="minorHAnsi"/>
          <w:sz w:val="22"/>
          <w:szCs w:val="22"/>
          <w:shd w:val="clear" w:color="auto" w:fill="FFFFFF"/>
        </w:rPr>
        <w:t> </w:t>
      </w:r>
      <w:r w:rsidRPr="00C43268">
        <w:rPr>
          <w:rStyle w:val="serialtitle"/>
          <w:rFonts w:asciiTheme="minorHAnsi" w:hAnsiTheme="minorHAnsi" w:cstheme="minorHAnsi"/>
          <w:sz w:val="22"/>
          <w:szCs w:val="22"/>
          <w:shd w:val="clear" w:color="auto" w:fill="FFFFFF"/>
        </w:rPr>
        <w:t>Studies in Conflict &amp; Terrorism,</w:t>
      </w:r>
      <w:r w:rsidRPr="00C43268">
        <w:rPr>
          <w:rFonts w:asciiTheme="minorHAnsi" w:hAnsiTheme="minorHAnsi" w:cstheme="minorHAnsi"/>
          <w:sz w:val="22"/>
          <w:szCs w:val="22"/>
          <w:shd w:val="clear" w:color="auto" w:fill="FFFFFF"/>
        </w:rPr>
        <w:t> </w:t>
      </w:r>
      <w:r w:rsidRPr="00C43268">
        <w:rPr>
          <w:rStyle w:val="volumeissue"/>
          <w:rFonts w:asciiTheme="minorHAnsi" w:hAnsiTheme="minorHAnsi" w:cstheme="minorHAnsi"/>
          <w:sz w:val="22"/>
          <w:szCs w:val="22"/>
          <w:shd w:val="clear" w:color="auto" w:fill="FFFFFF"/>
        </w:rPr>
        <w:t>33:8,</w:t>
      </w:r>
      <w:r w:rsidRPr="00C43268">
        <w:rPr>
          <w:rFonts w:asciiTheme="minorHAnsi" w:hAnsiTheme="minorHAnsi" w:cstheme="minorHAnsi"/>
          <w:sz w:val="22"/>
          <w:szCs w:val="22"/>
          <w:shd w:val="clear" w:color="auto" w:fill="FFFFFF"/>
        </w:rPr>
        <w:t> </w:t>
      </w:r>
      <w:r w:rsidRPr="00C43268">
        <w:rPr>
          <w:rStyle w:val="pagerange"/>
          <w:rFonts w:asciiTheme="minorHAnsi" w:hAnsiTheme="minorHAnsi" w:cstheme="minorHAnsi"/>
          <w:sz w:val="22"/>
          <w:szCs w:val="22"/>
          <w:shd w:val="clear" w:color="auto" w:fill="FFFFFF"/>
        </w:rPr>
        <w:t>716-734,</w:t>
      </w:r>
      <w:r>
        <w:rPr>
          <w:rStyle w:val="pagerange"/>
          <w:rFonts w:asciiTheme="minorHAnsi" w:hAnsiTheme="minorHAnsi" w:cstheme="minorHAnsi"/>
          <w:sz w:val="22"/>
          <w:szCs w:val="22"/>
          <w:shd w:val="clear" w:color="auto" w:fill="FFFFFF"/>
        </w:rPr>
        <w:t xml:space="preserve"> </w:t>
      </w:r>
      <w:r>
        <w:rPr>
          <w:rFonts w:asciiTheme="minorHAnsi" w:hAnsiTheme="minorHAnsi" w:cstheme="minorHAnsi"/>
          <w:sz w:val="22"/>
          <w:szCs w:val="22"/>
        </w:rPr>
        <w:t>available at</w:t>
      </w:r>
      <w:r w:rsidRPr="00C43268">
        <w:rPr>
          <w:rFonts w:asciiTheme="minorHAnsi" w:hAnsiTheme="minorHAnsi" w:cstheme="minorHAnsi"/>
          <w:sz w:val="22"/>
          <w:szCs w:val="22"/>
          <w:shd w:val="clear" w:color="auto" w:fill="FFFFFF"/>
        </w:rPr>
        <w:t> </w:t>
      </w:r>
      <w:r w:rsidRPr="00C43268">
        <w:rPr>
          <w:rStyle w:val="doilink"/>
          <w:rFonts w:asciiTheme="minorHAnsi" w:hAnsiTheme="minorHAnsi" w:cstheme="minorHAnsi"/>
          <w:sz w:val="22"/>
          <w:szCs w:val="22"/>
          <w:shd w:val="clear" w:color="auto" w:fill="FFFFFF"/>
        </w:rPr>
        <w:t>DOI: </w:t>
      </w:r>
      <w:hyperlink r:id="rId8" w:history="1">
        <w:r w:rsidRPr="00C43268">
          <w:rPr>
            <w:rStyle w:val="Hyperlink"/>
            <w:rFonts w:asciiTheme="minorHAnsi" w:hAnsiTheme="minorHAnsi" w:cstheme="minorHAnsi"/>
            <w:color w:val="auto"/>
            <w:sz w:val="22"/>
            <w:szCs w:val="22"/>
          </w:rPr>
          <w:t>10.1080/1057610X.2010.494170</w:t>
        </w:r>
      </w:hyperlink>
      <w:r w:rsidRPr="00C43268">
        <w:rPr>
          <w:rStyle w:val="doilink"/>
          <w:rFonts w:asciiTheme="minorHAnsi" w:hAnsiTheme="minorHAnsi" w:cstheme="minorHAnsi"/>
          <w:sz w:val="22"/>
          <w:szCs w:val="22"/>
          <w:shd w:val="clear" w:color="auto" w:fill="FFFFFF"/>
        </w:rPr>
        <w:t xml:space="preserve"> </w:t>
      </w:r>
      <w:r w:rsidRPr="00C43268">
        <w:rPr>
          <w:rFonts w:asciiTheme="minorHAnsi" w:hAnsiTheme="minorHAnsi" w:cstheme="minorHAnsi"/>
          <w:sz w:val="22"/>
          <w:szCs w:val="22"/>
        </w:rPr>
        <w:t>[last accessed 28 Sep. 2020].</w:t>
      </w:r>
    </w:p>
    <w:p w14:paraId="28310A50" w14:textId="77777777" w:rsidR="00490415" w:rsidRPr="00C43268" w:rsidRDefault="00490415" w:rsidP="00041FF2">
      <w:pPr>
        <w:pStyle w:val="NormalWeb"/>
        <w:shd w:val="clear" w:color="auto" w:fill="FFFFFF"/>
        <w:spacing w:before="0" w:beforeAutospacing="0" w:after="240" w:afterAutospacing="0" w:line="360" w:lineRule="auto"/>
        <w:rPr>
          <w:rFonts w:asciiTheme="minorHAnsi" w:hAnsiTheme="minorHAnsi" w:cstheme="minorHAnsi"/>
          <w:sz w:val="22"/>
          <w:szCs w:val="22"/>
        </w:rPr>
      </w:pPr>
      <w:r w:rsidRPr="00C43268">
        <w:rPr>
          <w:rFonts w:asciiTheme="minorHAnsi" w:hAnsiTheme="minorHAnsi" w:cstheme="minorHAnsi"/>
          <w:sz w:val="22"/>
          <w:szCs w:val="22"/>
          <w:shd w:val="clear" w:color="auto" w:fill="FFFFFF"/>
        </w:rPr>
        <w:t>Post, Jerrold, Sprinzak, Ehud, and Denny, Laurita. "The Terrorists in Their Own Words: Interviews with 35 Incarcerated Middle Eastern Terrorists</w:t>
      </w:r>
      <w:r w:rsidRPr="00C43268">
        <w:rPr>
          <w:rFonts w:ascii="Cambria Math" w:hAnsi="Cambria Math" w:cs="Cambria Math"/>
          <w:sz w:val="22"/>
          <w:szCs w:val="22"/>
          <w:shd w:val="clear" w:color="auto" w:fill="FFFFFF"/>
        </w:rPr>
        <w:t>∗∗</w:t>
      </w:r>
      <w:r w:rsidRPr="00C43268">
        <w:rPr>
          <w:rFonts w:asciiTheme="minorHAnsi" w:hAnsiTheme="minorHAnsi" w:cstheme="minorHAnsi"/>
          <w:sz w:val="22"/>
          <w:szCs w:val="22"/>
          <w:shd w:val="clear" w:color="auto" w:fill="FFFFFF"/>
        </w:rPr>
        <w:t>This Research Was Conducted with the Support of the Smith Richardson Foundation." </w:t>
      </w:r>
      <w:r w:rsidRPr="00C43268">
        <w:rPr>
          <w:rFonts w:asciiTheme="minorHAnsi" w:hAnsiTheme="minorHAnsi" w:cstheme="minorHAnsi"/>
          <w:i/>
          <w:iCs/>
          <w:sz w:val="22"/>
          <w:szCs w:val="22"/>
          <w:shd w:val="clear" w:color="auto" w:fill="FFFFFF"/>
        </w:rPr>
        <w:t>Terrorism and Political Violence</w:t>
      </w:r>
      <w:r w:rsidRPr="00C43268">
        <w:rPr>
          <w:rFonts w:asciiTheme="minorHAnsi" w:hAnsiTheme="minorHAnsi" w:cstheme="minorHAnsi"/>
          <w:sz w:val="22"/>
          <w:szCs w:val="22"/>
          <w:shd w:val="clear" w:color="auto" w:fill="FFFFFF"/>
        </w:rPr>
        <w:t> 15, no. 1 (2003): 171-84</w:t>
      </w:r>
      <w:r>
        <w:rPr>
          <w:rFonts w:asciiTheme="minorHAnsi" w:hAnsiTheme="minorHAnsi" w:cstheme="minorHAnsi"/>
          <w:sz w:val="22"/>
          <w:szCs w:val="22"/>
          <w:shd w:val="clear" w:color="auto" w:fill="FFFFFF"/>
        </w:rPr>
        <w:t xml:space="preserve">, </w:t>
      </w:r>
      <w:r>
        <w:rPr>
          <w:rFonts w:asciiTheme="minorHAnsi" w:hAnsiTheme="minorHAnsi" w:cstheme="minorHAnsi"/>
          <w:sz w:val="22"/>
          <w:szCs w:val="22"/>
        </w:rPr>
        <w:t>available at</w:t>
      </w:r>
      <w:r w:rsidRPr="00C43268">
        <w:rPr>
          <w:rFonts w:asciiTheme="minorHAnsi" w:hAnsiTheme="minorHAnsi" w:cstheme="minorHAnsi"/>
          <w:sz w:val="22"/>
          <w:szCs w:val="22"/>
          <w:shd w:val="clear" w:color="auto" w:fill="FFFFFF"/>
        </w:rPr>
        <w:t xml:space="preserve">  </w:t>
      </w:r>
      <w:hyperlink r:id="rId9" w:history="1">
        <w:r w:rsidRPr="00C43268">
          <w:rPr>
            <w:rStyle w:val="Hyperlink"/>
            <w:rFonts w:asciiTheme="minorHAnsi" w:hAnsiTheme="minorHAnsi" w:cstheme="minorHAnsi"/>
            <w:color w:val="auto"/>
            <w:sz w:val="22"/>
            <w:szCs w:val="22"/>
            <w:shd w:val="clear" w:color="auto" w:fill="FFFFFF"/>
          </w:rPr>
          <w:t>https://whel-primo.hosted.exlibrisgroup.com/permalink/f/mqg008/TN_cdi_crossref_primary_10_1080_09546550312331293007</w:t>
        </w:r>
      </w:hyperlink>
      <w:r w:rsidRPr="00C43268">
        <w:rPr>
          <w:rFonts w:asciiTheme="minorHAnsi" w:hAnsiTheme="minorHAnsi" w:cstheme="minorHAnsi"/>
          <w:sz w:val="22"/>
          <w:szCs w:val="22"/>
          <w:shd w:val="clear" w:color="auto" w:fill="FFFFFF"/>
        </w:rPr>
        <w:t xml:space="preserve"> </w:t>
      </w:r>
      <w:r w:rsidRPr="00C43268">
        <w:rPr>
          <w:rFonts w:asciiTheme="minorHAnsi" w:hAnsiTheme="minorHAnsi" w:cstheme="minorHAnsi"/>
          <w:sz w:val="22"/>
          <w:szCs w:val="22"/>
        </w:rPr>
        <w:t>[last accessed 28 Sep. 2020].</w:t>
      </w:r>
    </w:p>
    <w:p w14:paraId="7C656A83" w14:textId="77777777" w:rsidR="00490415" w:rsidRPr="00C43268" w:rsidRDefault="00490415" w:rsidP="00041FF2">
      <w:pPr>
        <w:pStyle w:val="NormalWeb"/>
        <w:shd w:val="clear" w:color="auto" w:fill="FFFFFF"/>
        <w:spacing w:before="0" w:beforeAutospacing="0" w:after="240" w:afterAutospacing="0" w:line="360" w:lineRule="auto"/>
        <w:rPr>
          <w:rFonts w:asciiTheme="minorHAnsi" w:hAnsiTheme="minorHAnsi" w:cstheme="minorHAnsi"/>
          <w:sz w:val="22"/>
          <w:szCs w:val="22"/>
        </w:rPr>
      </w:pPr>
      <w:r w:rsidRPr="00C43268">
        <w:rPr>
          <w:rFonts w:asciiTheme="minorHAnsi" w:hAnsiTheme="minorHAnsi" w:cstheme="minorHAnsi"/>
          <w:sz w:val="22"/>
          <w:szCs w:val="22"/>
        </w:rPr>
        <w:t>Romaniuk, S.N. (2013). Under the Banner of Violence: Hamas, Al-Gama’a Al-Islamiyya, and Radical Islamic Terrorism. In: </w:t>
      </w:r>
      <w:r w:rsidRPr="00C43268">
        <w:rPr>
          <w:rFonts w:asciiTheme="minorHAnsi" w:hAnsiTheme="minorHAnsi" w:cstheme="minorHAnsi"/>
          <w:i/>
          <w:iCs/>
          <w:sz w:val="22"/>
          <w:szCs w:val="22"/>
        </w:rPr>
        <w:t>Eurasian Multidisciplinary Forum, EMF 2013</w:t>
      </w:r>
      <w:r w:rsidRPr="00C43268">
        <w:rPr>
          <w:rFonts w:asciiTheme="minorHAnsi" w:hAnsiTheme="minorHAnsi" w:cstheme="minorHAnsi"/>
          <w:sz w:val="22"/>
          <w:szCs w:val="22"/>
        </w:rPr>
        <w:t>. [online] 1st Eurasian Multidisciplinary Forum. Republic Of Macedonia: European Scientific Institute, pp.126–136</w:t>
      </w:r>
      <w:r>
        <w:rPr>
          <w:rFonts w:asciiTheme="minorHAnsi" w:hAnsiTheme="minorHAnsi" w:cstheme="minorHAnsi"/>
          <w:sz w:val="22"/>
          <w:szCs w:val="22"/>
        </w:rPr>
        <w:t>, available at</w:t>
      </w:r>
      <w:r w:rsidRPr="00C43268">
        <w:rPr>
          <w:rFonts w:asciiTheme="minorHAnsi" w:hAnsiTheme="minorHAnsi" w:cstheme="minorHAnsi"/>
          <w:sz w:val="22"/>
          <w:szCs w:val="22"/>
          <w:shd w:val="clear" w:color="auto" w:fill="FFFFFF"/>
        </w:rPr>
        <w:t> </w:t>
      </w:r>
      <w:r w:rsidRPr="00C43268">
        <w:rPr>
          <w:rFonts w:asciiTheme="minorHAnsi" w:hAnsiTheme="minorHAnsi" w:cstheme="minorHAnsi"/>
          <w:sz w:val="22"/>
          <w:szCs w:val="22"/>
        </w:rPr>
        <w:t> </w:t>
      </w:r>
      <w:hyperlink r:id="rId10" w:anchor="page=136" w:tgtFrame="_blank" w:history="1">
        <w:r w:rsidRPr="00C43268">
          <w:rPr>
            <w:rStyle w:val="Hyperlink"/>
            <w:rFonts w:asciiTheme="minorHAnsi" w:hAnsiTheme="minorHAnsi" w:cstheme="minorHAnsi"/>
            <w:color w:val="auto"/>
            <w:sz w:val="22"/>
            <w:szCs w:val="22"/>
          </w:rPr>
          <w:t>http://gruni.edu.ge/uploads/files/kvleva/fondebi/emf_2013_vol_2.pdf#page=136</w:t>
        </w:r>
      </w:hyperlink>
      <w:r w:rsidRPr="00C43268">
        <w:rPr>
          <w:rFonts w:asciiTheme="minorHAnsi" w:hAnsiTheme="minorHAnsi" w:cstheme="minorHAnsi"/>
          <w:sz w:val="22"/>
          <w:szCs w:val="22"/>
        </w:rPr>
        <w:t> [last accessed 28 Sep. 2020].</w:t>
      </w:r>
    </w:p>
    <w:p w14:paraId="6D2D60CE" w14:textId="77777777" w:rsidR="00490415" w:rsidRDefault="00490415" w:rsidP="00041FF2">
      <w:pPr>
        <w:spacing w:line="360" w:lineRule="auto"/>
        <w:jc w:val="both"/>
      </w:pPr>
    </w:p>
    <w:p w14:paraId="198AE48E" w14:textId="77777777" w:rsidR="002F04E9" w:rsidRDefault="002F04E9" w:rsidP="00041FF2">
      <w:pPr>
        <w:spacing w:line="360" w:lineRule="auto"/>
      </w:pPr>
    </w:p>
    <w:p w14:paraId="006EDC54" w14:textId="77777777" w:rsidR="002F04E9" w:rsidRDefault="002F04E9" w:rsidP="00041FF2">
      <w:pPr>
        <w:spacing w:line="360" w:lineRule="auto"/>
      </w:pPr>
    </w:p>
    <w:p w14:paraId="38073398" w14:textId="77777777" w:rsidR="002F04E9" w:rsidRDefault="002F04E9" w:rsidP="00041FF2">
      <w:pPr>
        <w:spacing w:line="360" w:lineRule="auto"/>
      </w:pPr>
      <w:r>
        <w:t xml:space="preserve"> </w:t>
      </w:r>
    </w:p>
    <w:p w14:paraId="1FC25B53" w14:textId="77777777" w:rsidR="00C77272" w:rsidRDefault="00C77272"/>
    <w:sectPr w:rsidR="00C77272">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EB84D3A" w14:textId="77777777" w:rsidR="000E1A31" w:rsidRDefault="000E1A31" w:rsidP="002F04E9">
      <w:pPr>
        <w:spacing w:after="0" w:line="240" w:lineRule="auto"/>
      </w:pPr>
      <w:r>
        <w:separator/>
      </w:r>
    </w:p>
  </w:endnote>
  <w:endnote w:type="continuationSeparator" w:id="0">
    <w:p w14:paraId="2CAC7287" w14:textId="77777777" w:rsidR="000E1A31" w:rsidRDefault="000E1A31" w:rsidP="002F04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55878448"/>
      <w:docPartObj>
        <w:docPartGallery w:val="Page Numbers (Bottom of Page)"/>
        <w:docPartUnique/>
      </w:docPartObj>
    </w:sdtPr>
    <w:sdtEndPr>
      <w:rPr>
        <w:noProof/>
      </w:rPr>
    </w:sdtEndPr>
    <w:sdtContent>
      <w:p w14:paraId="2E91C441" w14:textId="348E0DB7" w:rsidR="00912BB0" w:rsidRDefault="00912BB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A8A502B" w14:textId="77777777" w:rsidR="009F2670" w:rsidRDefault="009F26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79CE09F" w14:textId="77777777" w:rsidR="000E1A31" w:rsidRDefault="000E1A31" w:rsidP="002F04E9">
      <w:pPr>
        <w:spacing w:after="0" w:line="240" w:lineRule="auto"/>
      </w:pPr>
      <w:r>
        <w:separator/>
      </w:r>
    </w:p>
  </w:footnote>
  <w:footnote w:type="continuationSeparator" w:id="0">
    <w:p w14:paraId="47376185" w14:textId="77777777" w:rsidR="000E1A31" w:rsidRDefault="000E1A31" w:rsidP="002F04E9">
      <w:pPr>
        <w:spacing w:after="0" w:line="240" w:lineRule="auto"/>
      </w:pPr>
      <w:r>
        <w:continuationSeparator/>
      </w:r>
    </w:p>
  </w:footnote>
  <w:footnote w:id="1">
    <w:p w14:paraId="07532717" w14:textId="16B49241" w:rsidR="002F04E9" w:rsidRPr="00907285" w:rsidRDefault="002F04E9" w:rsidP="00FD1511">
      <w:pPr>
        <w:pStyle w:val="NormalWeb"/>
        <w:shd w:val="clear" w:color="auto" w:fill="FFFFFF"/>
        <w:spacing w:before="0" w:beforeAutospacing="0" w:after="240" w:afterAutospacing="0"/>
        <w:rPr>
          <w:rFonts w:asciiTheme="minorHAnsi" w:hAnsiTheme="minorHAnsi" w:cstheme="minorHAnsi"/>
          <w:sz w:val="18"/>
          <w:szCs w:val="18"/>
        </w:rPr>
      </w:pPr>
      <w:r w:rsidRPr="00907285">
        <w:rPr>
          <w:rStyle w:val="FootnoteReference"/>
          <w:rFonts w:asciiTheme="minorHAnsi" w:hAnsiTheme="minorHAnsi" w:cstheme="minorHAnsi"/>
          <w:sz w:val="18"/>
          <w:szCs w:val="18"/>
        </w:rPr>
        <w:footnoteRef/>
      </w:r>
      <w:r w:rsidR="00B97063">
        <w:rPr>
          <w:rFonts w:asciiTheme="minorHAnsi" w:hAnsiTheme="minorHAnsi" w:cstheme="minorHAnsi"/>
          <w:sz w:val="18"/>
          <w:szCs w:val="18"/>
        </w:rPr>
        <w:t xml:space="preserve"> </w:t>
      </w:r>
      <w:r w:rsidR="00B97063" w:rsidRPr="00907285">
        <w:rPr>
          <w:rFonts w:asciiTheme="minorHAnsi" w:hAnsiTheme="minorHAnsi" w:cstheme="minorHAnsi"/>
          <w:sz w:val="18"/>
          <w:szCs w:val="18"/>
        </w:rPr>
        <w:t>Levitt, M. and Washington Institute For Near East Policy (2006). </w:t>
      </w:r>
      <w:r w:rsidR="00B97063" w:rsidRPr="00907285">
        <w:rPr>
          <w:rFonts w:asciiTheme="minorHAnsi" w:hAnsiTheme="minorHAnsi" w:cstheme="minorHAnsi"/>
          <w:i/>
          <w:iCs/>
          <w:sz w:val="18"/>
          <w:szCs w:val="18"/>
        </w:rPr>
        <w:t>Hamas: politics, charity, and terrorism in the service of jihad</w:t>
      </w:r>
      <w:r w:rsidR="00B97063" w:rsidRPr="00907285">
        <w:rPr>
          <w:rFonts w:asciiTheme="minorHAnsi" w:hAnsiTheme="minorHAnsi" w:cstheme="minorHAnsi"/>
          <w:sz w:val="18"/>
          <w:szCs w:val="18"/>
        </w:rPr>
        <w:t>. New Haven: Yale University Press, p.</w:t>
      </w:r>
      <w:r w:rsidR="00B97063">
        <w:rPr>
          <w:rFonts w:asciiTheme="minorHAnsi" w:hAnsiTheme="minorHAnsi" w:cstheme="minorHAnsi"/>
          <w:sz w:val="18"/>
          <w:szCs w:val="18"/>
        </w:rPr>
        <w:t>1</w:t>
      </w:r>
    </w:p>
  </w:footnote>
  <w:footnote w:id="2">
    <w:p w14:paraId="1C0F4645" w14:textId="12C18268" w:rsidR="002F04E9" w:rsidRPr="00907285" w:rsidRDefault="002F04E9" w:rsidP="00FD1511">
      <w:pPr>
        <w:pStyle w:val="NormalWeb"/>
        <w:shd w:val="clear" w:color="auto" w:fill="FFFFFF"/>
        <w:spacing w:before="0" w:beforeAutospacing="0" w:after="240" w:afterAutospacing="0"/>
        <w:rPr>
          <w:rFonts w:asciiTheme="minorHAnsi" w:hAnsiTheme="minorHAnsi" w:cstheme="minorHAnsi"/>
          <w:sz w:val="18"/>
          <w:szCs w:val="18"/>
        </w:rPr>
      </w:pPr>
      <w:r w:rsidRPr="00907285">
        <w:rPr>
          <w:rStyle w:val="FootnoteReference"/>
          <w:rFonts w:asciiTheme="minorHAnsi" w:hAnsiTheme="minorHAnsi" w:cstheme="minorHAnsi"/>
          <w:sz w:val="18"/>
          <w:szCs w:val="18"/>
        </w:rPr>
        <w:footnoteRef/>
      </w:r>
      <w:r w:rsidRPr="00907285">
        <w:rPr>
          <w:rFonts w:asciiTheme="minorHAnsi" w:hAnsiTheme="minorHAnsi" w:cstheme="minorHAnsi"/>
          <w:sz w:val="18"/>
          <w:szCs w:val="18"/>
        </w:rPr>
        <w:t xml:space="preserve"> </w:t>
      </w:r>
      <w:r w:rsidR="00FD1511" w:rsidRPr="00907285">
        <w:rPr>
          <w:rFonts w:asciiTheme="minorHAnsi" w:hAnsiTheme="minorHAnsi" w:cstheme="minorHAnsi"/>
          <w:sz w:val="18"/>
          <w:szCs w:val="18"/>
        </w:rPr>
        <w:t xml:space="preserve">Brym, Robert J. "Religion, Politics, and Suicide Bombing: An Interpretive Essay." Canadian Journal of Sociology 33, no. 1 (2008): 89-108, </w:t>
      </w:r>
      <w:r w:rsidR="00FD1511" w:rsidRPr="00907285">
        <w:rPr>
          <w:rFonts w:asciiTheme="minorHAnsi" w:hAnsiTheme="minorHAnsi" w:cstheme="minorHAnsi"/>
          <w:sz w:val="18"/>
          <w:szCs w:val="18"/>
        </w:rPr>
        <w:t xml:space="preserve">p.99, </w:t>
      </w:r>
      <w:r w:rsidR="00FD1511" w:rsidRPr="00907285">
        <w:rPr>
          <w:rFonts w:asciiTheme="minorHAnsi" w:hAnsiTheme="minorHAnsi" w:cstheme="minorHAnsi"/>
          <w:sz w:val="18"/>
          <w:szCs w:val="18"/>
        </w:rPr>
        <w:t xml:space="preserve">available at </w:t>
      </w:r>
      <w:hyperlink r:id="rId1" w:history="1">
        <w:r w:rsidR="00FD1511" w:rsidRPr="00907285">
          <w:rPr>
            <w:rStyle w:val="Hyperlink"/>
            <w:rFonts w:asciiTheme="minorHAnsi" w:hAnsiTheme="minorHAnsi" w:cstheme="minorHAnsi"/>
            <w:color w:val="auto"/>
            <w:sz w:val="18"/>
            <w:szCs w:val="18"/>
          </w:rPr>
          <w:t>https://whel-primo.hosted.exlibrisgroup.com/permalink/f/mqg008/TN_cdi_gale_infotraccpiq_185431339</w:t>
        </w:r>
      </w:hyperlink>
      <w:r w:rsidR="00FD1511" w:rsidRPr="00907285">
        <w:rPr>
          <w:rFonts w:asciiTheme="minorHAnsi" w:hAnsiTheme="minorHAnsi" w:cstheme="minorHAnsi"/>
          <w:sz w:val="18"/>
          <w:szCs w:val="18"/>
        </w:rPr>
        <w:t xml:space="preserve"> [last accessed 28 Sep. 2020].</w:t>
      </w:r>
    </w:p>
  </w:footnote>
  <w:footnote w:id="3">
    <w:p w14:paraId="11077F4A" w14:textId="62E6DD8F" w:rsidR="002F04E9" w:rsidRPr="00907285" w:rsidRDefault="002F04E9" w:rsidP="002F04E9">
      <w:pPr>
        <w:pStyle w:val="FootnoteText"/>
        <w:rPr>
          <w:rFonts w:cstheme="minorHAnsi"/>
          <w:sz w:val="18"/>
          <w:szCs w:val="18"/>
        </w:rPr>
      </w:pPr>
      <w:r w:rsidRPr="00907285">
        <w:rPr>
          <w:rStyle w:val="FootnoteReference"/>
          <w:rFonts w:cstheme="minorHAnsi"/>
          <w:sz w:val="18"/>
          <w:szCs w:val="18"/>
        </w:rPr>
        <w:footnoteRef/>
      </w:r>
      <w:r w:rsidRPr="00907285">
        <w:rPr>
          <w:rFonts w:cstheme="minorHAnsi"/>
          <w:sz w:val="18"/>
          <w:szCs w:val="18"/>
        </w:rPr>
        <w:t xml:space="preserve"> </w:t>
      </w:r>
      <w:r w:rsidR="009364A4" w:rsidRPr="00907285">
        <w:rPr>
          <w:rFonts w:cstheme="minorHAnsi"/>
          <w:sz w:val="18"/>
          <w:szCs w:val="18"/>
        </w:rPr>
        <w:t>i</w:t>
      </w:r>
      <w:r w:rsidR="00FD1511" w:rsidRPr="00907285">
        <w:rPr>
          <w:rFonts w:cstheme="minorHAnsi"/>
          <w:sz w:val="18"/>
          <w:szCs w:val="18"/>
        </w:rPr>
        <w:t>bid</w:t>
      </w:r>
      <w:r w:rsidR="009364A4" w:rsidRPr="00907285">
        <w:rPr>
          <w:rFonts w:cstheme="minorHAnsi"/>
          <w:sz w:val="18"/>
          <w:szCs w:val="18"/>
        </w:rPr>
        <w:t>,</w:t>
      </w:r>
      <w:r w:rsidRPr="00907285">
        <w:rPr>
          <w:rFonts w:cstheme="minorHAnsi"/>
          <w:sz w:val="18"/>
          <w:szCs w:val="18"/>
        </w:rPr>
        <w:t xml:space="preserve"> p90</w:t>
      </w:r>
    </w:p>
  </w:footnote>
  <w:footnote w:id="4">
    <w:p w14:paraId="67AAF287" w14:textId="4AB5EB5F" w:rsidR="002F04E9" w:rsidRPr="00907285" w:rsidRDefault="002F04E9" w:rsidP="002F04E9">
      <w:pPr>
        <w:pStyle w:val="FootnoteText"/>
        <w:rPr>
          <w:rFonts w:cstheme="minorHAnsi"/>
          <w:sz w:val="18"/>
          <w:szCs w:val="18"/>
        </w:rPr>
      </w:pPr>
      <w:r w:rsidRPr="00907285">
        <w:rPr>
          <w:rStyle w:val="FootnoteReference"/>
          <w:rFonts w:cstheme="minorHAnsi"/>
          <w:sz w:val="18"/>
          <w:szCs w:val="18"/>
        </w:rPr>
        <w:footnoteRef/>
      </w:r>
      <w:r w:rsidRPr="00907285">
        <w:rPr>
          <w:rFonts w:cstheme="minorHAnsi"/>
          <w:sz w:val="18"/>
          <w:szCs w:val="18"/>
        </w:rPr>
        <w:t xml:space="preserve"> Levitt</w:t>
      </w:r>
      <w:r w:rsidR="009364A4" w:rsidRPr="00907285">
        <w:rPr>
          <w:rFonts w:cstheme="minorHAnsi"/>
          <w:sz w:val="18"/>
          <w:szCs w:val="18"/>
        </w:rPr>
        <w:t xml:space="preserve">, </w:t>
      </w:r>
      <w:r w:rsidRPr="00907285">
        <w:rPr>
          <w:rFonts w:cstheme="minorHAnsi"/>
          <w:sz w:val="18"/>
          <w:szCs w:val="18"/>
        </w:rPr>
        <w:t>p17</w:t>
      </w:r>
    </w:p>
  </w:footnote>
  <w:footnote w:id="5">
    <w:p w14:paraId="24270B2C" w14:textId="7F7F69C3" w:rsidR="002F04E9" w:rsidRPr="00907285" w:rsidRDefault="002F04E9" w:rsidP="009364A4">
      <w:pPr>
        <w:pStyle w:val="NormalWeb"/>
        <w:shd w:val="clear" w:color="auto" w:fill="FFFFFF"/>
        <w:spacing w:before="0" w:beforeAutospacing="0" w:after="240" w:afterAutospacing="0"/>
        <w:rPr>
          <w:rFonts w:asciiTheme="minorHAnsi" w:hAnsiTheme="minorHAnsi" w:cstheme="minorHAnsi"/>
          <w:sz w:val="18"/>
          <w:szCs w:val="18"/>
        </w:rPr>
      </w:pPr>
      <w:r w:rsidRPr="00907285">
        <w:rPr>
          <w:rStyle w:val="FootnoteReference"/>
          <w:rFonts w:asciiTheme="minorHAnsi" w:hAnsiTheme="minorHAnsi" w:cstheme="minorHAnsi"/>
          <w:sz w:val="18"/>
          <w:szCs w:val="18"/>
        </w:rPr>
        <w:footnoteRef/>
      </w:r>
      <w:r w:rsidRPr="00907285">
        <w:rPr>
          <w:rFonts w:asciiTheme="minorHAnsi" w:hAnsiTheme="minorHAnsi" w:cstheme="minorHAnsi"/>
          <w:sz w:val="18"/>
          <w:szCs w:val="18"/>
        </w:rPr>
        <w:t xml:space="preserve"> </w:t>
      </w:r>
      <w:r w:rsidR="009364A4" w:rsidRPr="00907285">
        <w:rPr>
          <w:rFonts w:asciiTheme="minorHAnsi" w:hAnsiTheme="minorHAnsi" w:cstheme="minorHAnsi"/>
          <w:sz w:val="18"/>
          <w:szCs w:val="18"/>
        </w:rPr>
        <w:t>Romaniuk, S.N. (2013). Under the Banner of Violence: Hamas, Al-Gama’a Al-Islamiyya, and Radical Islamic Terrorism. In: </w:t>
      </w:r>
      <w:r w:rsidR="009364A4" w:rsidRPr="00907285">
        <w:rPr>
          <w:rFonts w:asciiTheme="minorHAnsi" w:hAnsiTheme="minorHAnsi" w:cstheme="minorHAnsi"/>
          <w:i/>
          <w:iCs/>
          <w:sz w:val="18"/>
          <w:szCs w:val="18"/>
        </w:rPr>
        <w:t>Eurasian Multidisciplinary Forum, EMF 2013</w:t>
      </w:r>
      <w:r w:rsidR="009364A4" w:rsidRPr="00907285">
        <w:rPr>
          <w:rFonts w:asciiTheme="minorHAnsi" w:hAnsiTheme="minorHAnsi" w:cstheme="minorHAnsi"/>
          <w:sz w:val="18"/>
          <w:szCs w:val="18"/>
        </w:rPr>
        <w:t>. [online] 1st Eurasian Multidisciplinary Forum. Republic Of Macedonia: European Scientific Institute, pp.126–136,</w:t>
      </w:r>
      <w:r w:rsidR="009364A4" w:rsidRPr="00907285">
        <w:rPr>
          <w:rFonts w:asciiTheme="minorHAnsi" w:hAnsiTheme="minorHAnsi" w:cstheme="minorHAnsi"/>
          <w:sz w:val="18"/>
          <w:szCs w:val="18"/>
        </w:rPr>
        <w:t xml:space="preserve"> p.127,</w:t>
      </w:r>
      <w:r w:rsidR="009364A4" w:rsidRPr="00907285">
        <w:rPr>
          <w:rFonts w:asciiTheme="minorHAnsi" w:hAnsiTheme="minorHAnsi" w:cstheme="minorHAnsi"/>
          <w:sz w:val="18"/>
          <w:szCs w:val="18"/>
        </w:rPr>
        <w:t xml:space="preserve"> available at</w:t>
      </w:r>
      <w:r w:rsidR="009364A4" w:rsidRPr="00907285">
        <w:rPr>
          <w:rFonts w:asciiTheme="minorHAnsi" w:hAnsiTheme="minorHAnsi" w:cstheme="minorHAnsi"/>
          <w:sz w:val="18"/>
          <w:szCs w:val="18"/>
          <w:shd w:val="clear" w:color="auto" w:fill="FFFFFF"/>
        </w:rPr>
        <w:t> </w:t>
      </w:r>
      <w:r w:rsidR="009364A4" w:rsidRPr="00907285">
        <w:rPr>
          <w:rFonts w:asciiTheme="minorHAnsi" w:hAnsiTheme="minorHAnsi" w:cstheme="minorHAnsi"/>
          <w:sz w:val="18"/>
          <w:szCs w:val="18"/>
        </w:rPr>
        <w:t> </w:t>
      </w:r>
      <w:hyperlink r:id="rId2" w:anchor="page=136" w:tgtFrame="_blank" w:history="1">
        <w:r w:rsidR="009364A4" w:rsidRPr="00907285">
          <w:rPr>
            <w:rStyle w:val="Hyperlink"/>
            <w:rFonts w:asciiTheme="minorHAnsi" w:hAnsiTheme="minorHAnsi" w:cstheme="minorHAnsi"/>
            <w:color w:val="auto"/>
            <w:sz w:val="18"/>
            <w:szCs w:val="18"/>
          </w:rPr>
          <w:t>http://gruni.edu.ge/uploads/files/kvleva/fondebi/emf_2013_vol_2.pdf#page=136</w:t>
        </w:r>
      </w:hyperlink>
      <w:r w:rsidR="009364A4" w:rsidRPr="00907285">
        <w:rPr>
          <w:rFonts w:asciiTheme="minorHAnsi" w:hAnsiTheme="minorHAnsi" w:cstheme="minorHAnsi"/>
          <w:sz w:val="18"/>
          <w:szCs w:val="18"/>
        </w:rPr>
        <w:t> [last accessed 28 Sep. 2020]</w:t>
      </w:r>
    </w:p>
  </w:footnote>
  <w:footnote w:id="6">
    <w:p w14:paraId="08E46091" w14:textId="5D87DC62" w:rsidR="002F04E9" w:rsidRPr="00907285" w:rsidRDefault="002F04E9" w:rsidP="002F04E9">
      <w:pPr>
        <w:pStyle w:val="FootnoteText"/>
        <w:rPr>
          <w:rFonts w:cstheme="minorHAnsi"/>
          <w:sz w:val="18"/>
          <w:szCs w:val="18"/>
        </w:rPr>
      </w:pPr>
      <w:r w:rsidRPr="00907285">
        <w:rPr>
          <w:rStyle w:val="FootnoteReference"/>
          <w:rFonts w:cstheme="minorHAnsi"/>
          <w:sz w:val="18"/>
          <w:szCs w:val="18"/>
        </w:rPr>
        <w:footnoteRef/>
      </w:r>
      <w:r w:rsidRPr="00907285">
        <w:rPr>
          <w:rFonts w:cstheme="minorHAnsi"/>
          <w:sz w:val="18"/>
          <w:szCs w:val="18"/>
        </w:rPr>
        <w:t xml:space="preserve"> Levitt</w:t>
      </w:r>
      <w:r w:rsidR="009364A4" w:rsidRPr="00907285">
        <w:rPr>
          <w:rFonts w:cstheme="minorHAnsi"/>
          <w:sz w:val="18"/>
          <w:szCs w:val="18"/>
        </w:rPr>
        <w:t xml:space="preserve">, </w:t>
      </w:r>
      <w:r w:rsidRPr="00907285">
        <w:rPr>
          <w:rFonts w:cstheme="minorHAnsi"/>
          <w:sz w:val="18"/>
          <w:szCs w:val="18"/>
        </w:rPr>
        <w:t>p23</w:t>
      </w:r>
    </w:p>
  </w:footnote>
  <w:footnote w:id="7">
    <w:p w14:paraId="0F72E21C" w14:textId="0275792A" w:rsidR="009364A4" w:rsidRPr="00907285" w:rsidRDefault="002F04E9" w:rsidP="009364A4">
      <w:pPr>
        <w:pStyle w:val="NormalWeb"/>
        <w:shd w:val="clear" w:color="auto" w:fill="FFFFFF"/>
        <w:spacing w:before="0" w:beforeAutospacing="0" w:after="240" w:afterAutospacing="0"/>
        <w:rPr>
          <w:rFonts w:asciiTheme="minorHAnsi" w:hAnsiTheme="minorHAnsi" w:cstheme="minorHAnsi"/>
          <w:sz w:val="18"/>
          <w:szCs w:val="18"/>
        </w:rPr>
      </w:pPr>
      <w:r w:rsidRPr="00907285">
        <w:rPr>
          <w:rStyle w:val="FootnoteReference"/>
          <w:rFonts w:asciiTheme="minorHAnsi" w:hAnsiTheme="minorHAnsi" w:cstheme="minorHAnsi"/>
          <w:sz w:val="18"/>
          <w:szCs w:val="18"/>
        </w:rPr>
        <w:footnoteRef/>
      </w:r>
      <w:r w:rsidRPr="00907285">
        <w:rPr>
          <w:rFonts w:asciiTheme="minorHAnsi" w:hAnsiTheme="minorHAnsi" w:cstheme="minorHAnsi"/>
          <w:sz w:val="18"/>
          <w:szCs w:val="18"/>
        </w:rPr>
        <w:t xml:space="preserve"> </w:t>
      </w:r>
      <w:r w:rsidR="009364A4" w:rsidRPr="00907285">
        <w:rPr>
          <w:rStyle w:val="authors"/>
          <w:rFonts w:asciiTheme="minorHAnsi" w:hAnsiTheme="minorHAnsi" w:cstheme="minorHAnsi"/>
          <w:sz w:val="18"/>
          <w:szCs w:val="18"/>
          <w:shd w:val="clear" w:color="auto" w:fill="FFFFFF"/>
        </w:rPr>
        <w:t>Dunning, T.,</w:t>
      </w:r>
      <w:r w:rsidR="009364A4" w:rsidRPr="00907285">
        <w:rPr>
          <w:rFonts w:asciiTheme="minorHAnsi" w:hAnsiTheme="minorHAnsi" w:cstheme="minorHAnsi"/>
          <w:sz w:val="18"/>
          <w:szCs w:val="18"/>
          <w:shd w:val="clear" w:color="auto" w:fill="FFFFFF"/>
        </w:rPr>
        <w:t> </w:t>
      </w:r>
      <w:r w:rsidR="009364A4" w:rsidRPr="00907285">
        <w:rPr>
          <w:rStyle w:val="date"/>
          <w:rFonts w:asciiTheme="minorHAnsi" w:hAnsiTheme="minorHAnsi" w:cstheme="minorHAnsi"/>
          <w:sz w:val="18"/>
          <w:szCs w:val="18"/>
          <w:shd w:val="clear" w:color="auto" w:fill="FFFFFF"/>
        </w:rPr>
        <w:t>(2015)</w:t>
      </w:r>
      <w:r w:rsidR="009364A4" w:rsidRPr="00907285">
        <w:rPr>
          <w:rFonts w:asciiTheme="minorHAnsi" w:hAnsiTheme="minorHAnsi" w:cstheme="minorHAnsi"/>
          <w:sz w:val="18"/>
          <w:szCs w:val="18"/>
          <w:shd w:val="clear" w:color="auto" w:fill="FFFFFF"/>
        </w:rPr>
        <w:t> </w:t>
      </w:r>
      <w:r w:rsidR="009364A4" w:rsidRPr="00907285">
        <w:rPr>
          <w:rStyle w:val="arttitle"/>
          <w:rFonts w:asciiTheme="minorHAnsi" w:hAnsiTheme="minorHAnsi" w:cstheme="minorHAnsi"/>
          <w:sz w:val="18"/>
          <w:szCs w:val="18"/>
          <w:shd w:val="clear" w:color="auto" w:fill="FFFFFF"/>
        </w:rPr>
        <w:t>Islam and resistance: Hamas, ideology and Islamic values in Palestine,</w:t>
      </w:r>
      <w:r w:rsidR="009364A4" w:rsidRPr="00907285">
        <w:rPr>
          <w:rFonts w:asciiTheme="minorHAnsi" w:hAnsiTheme="minorHAnsi" w:cstheme="minorHAnsi"/>
          <w:sz w:val="18"/>
          <w:szCs w:val="18"/>
          <w:shd w:val="clear" w:color="auto" w:fill="FFFFFF"/>
        </w:rPr>
        <w:t> </w:t>
      </w:r>
      <w:r w:rsidR="009364A4" w:rsidRPr="00907285">
        <w:rPr>
          <w:rStyle w:val="serialtitle"/>
          <w:rFonts w:asciiTheme="minorHAnsi" w:hAnsiTheme="minorHAnsi" w:cstheme="minorHAnsi"/>
          <w:sz w:val="18"/>
          <w:szCs w:val="18"/>
          <w:shd w:val="clear" w:color="auto" w:fill="FFFFFF"/>
        </w:rPr>
        <w:t>Critical Studies on Terrorism,</w:t>
      </w:r>
      <w:r w:rsidR="009364A4" w:rsidRPr="00907285">
        <w:rPr>
          <w:rFonts w:asciiTheme="minorHAnsi" w:hAnsiTheme="minorHAnsi" w:cstheme="minorHAnsi"/>
          <w:sz w:val="18"/>
          <w:szCs w:val="18"/>
          <w:shd w:val="clear" w:color="auto" w:fill="FFFFFF"/>
        </w:rPr>
        <w:t> </w:t>
      </w:r>
      <w:r w:rsidR="009364A4" w:rsidRPr="00907285">
        <w:rPr>
          <w:rStyle w:val="volumeissue"/>
          <w:rFonts w:asciiTheme="minorHAnsi" w:hAnsiTheme="minorHAnsi" w:cstheme="minorHAnsi"/>
          <w:sz w:val="18"/>
          <w:szCs w:val="18"/>
          <w:shd w:val="clear" w:color="auto" w:fill="FFFFFF"/>
        </w:rPr>
        <w:t>8:2,</w:t>
      </w:r>
      <w:r w:rsidR="009364A4" w:rsidRPr="00907285">
        <w:rPr>
          <w:rFonts w:asciiTheme="minorHAnsi" w:hAnsiTheme="minorHAnsi" w:cstheme="minorHAnsi"/>
          <w:sz w:val="18"/>
          <w:szCs w:val="18"/>
          <w:shd w:val="clear" w:color="auto" w:fill="FFFFFF"/>
        </w:rPr>
        <w:t> </w:t>
      </w:r>
      <w:r w:rsidR="009364A4" w:rsidRPr="00907285">
        <w:rPr>
          <w:rStyle w:val="pagerange"/>
          <w:rFonts w:asciiTheme="minorHAnsi" w:hAnsiTheme="minorHAnsi" w:cstheme="minorHAnsi"/>
          <w:sz w:val="18"/>
          <w:szCs w:val="18"/>
          <w:shd w:val="clear" w:color="auto" w:fill="FFFFFF"/>
        </w:rPr>
        <w:t>284-305,</w:t>
      </w:r>
      <w:r w:rsidR="009364A4" w:rsidRPr="00907285">
        <w:rPr>
          <w:rStyle w:val="pagerange"/>
          <w:rFonts w:asciiTheme="minorHAnsi" w:hAnsiTheme="minorHAnsi" w:cstheme="minorHAnsi"/>
          <w:sz w:val="18"/>
          <w:szCs w:val="18"/>
          <w:shd w:val="clear" w:color="auto" w:fill="FFFFFF"/>
        </w:rPr>
        <w:t xml:space="preserve"> p</w:t>
      </w:r>
      <w:r w:rsidR="00907285" w:rsidRPr="00907285">
        <w:rPr>
          <w:rStyle w:val="pagerange"/>
          <w:rFonts w:asciiTheme="minorHAnsi" w:hAnsiTheme="minorHAnsi" w:cstheme="minorHAnsi"/>
          <w:sz w:val="18"/>
          <w:szCs w:val="18"/>
          <w:shd w:val="clear" w:color="auto" w:fill="FFFFFF"/>
        </w:rPr>
        <w:t>.</w:t>
      </w:r>
      <w:r w:rsidR="009364A4" w:rsidRPr="00907285">
        <w:rPr>
          <w:rStyle w:val="pagerange"/>
          <w:rFonts w:asciiTheme="minorHAnsi" w:hAnsiTheme="minorHAnsi" w:cstheme="minorHAnsi"/>
          <w:sz w:val="18"/>
          <w:szCs w:val="18"/>
          <w:shd w:val="clear" w:color="auto" w:fill="FFFFFF"/>
        </w:rPr>
        <w:t xml:space="preserve"> 284</w:t>
      </w:r>
      <w:r w:rsidR="009364A4" w:rsidRPr="00907285">
        <w:rPr>
          <w:rFonts w:asciiTheme="minorHAnsi" w:hAnsiTheme="minorHAnsi" w:cstheme="minorHAnsi"/>
          <w:sz w:val="18"/>
          <w:szCs w:val="18"/>
          <w:shd w:val="clear" w:color="auto" w:fill="FFFFFF"/>
        </w:rPr>
        <w:t> </w:t>
      </w:r>
      <w:r w:rsidR="009364A4" w:rsidRPr="00907285">
        <w:rPr>
          <w:rFonts w:asciiTheme="minorHAnsi" w:hAnsiTheme="minorHAnsi" w:cstheme="minorHAnsi"/>
          <w:sz w:val="18"/>
          <w:szCs w:val="18"/>
        </w:rPr>
        <w:t xml:space="preserve">available at </w:t>
      </w:r>
      <w:r w:rsidR="009364A4" w:rsidRPr="00907285">
        <w:rPr>
          <w:rStyle w:val="doilink"/>
          <w:rFonts w:asciiTheme="minorHAnsi" w:hAnsiTheme="minorHAnsi" w:cstheme="minorHAnsi"/>
          <w:sz w:val="18"/>
          <w:szCs w:val="18"/>
          <w:shd w:val="clear" w:color="auto" w:fill="FFFFFF"/>
        </w:rPr>
        <w:t>DOI: </w:t>
      </w:r>
      <w:hyperlink r:id="rId3" w:history="1">
        <w:r w:rsidR="009364A4" w:rsidRPr="00907285">
          <w:rPr>
            <w:rStyle w:val="Hyperlink"/>
            <w:rFonts w:asciiTheme="minorHAnsi" w:hAnsiTheme="minorHAnsi" w:cstheme="minorHAnsi"/>
            <w:color w:val="auto"/>
            <w:sz w:val="18"/>
            <w:szCs w:val="18"/>
          </w:rPr>
          <w:t>10.1080/17539153.2015.1042304</w:t>
        </w:r>
      </w:hyperlink>
      <w:r w:rsidR="009364A4" w:rsidRPr="00907285">
        <w:rPr>
          <w:rStyle w:val="doilink"/>
          <w:rFonts w:asciiTheme="minorHAnsi" w:hAnsiTheme="minorHAnsi" w:cstheme="minorHAnsi"/>
          <w:sz w:val="18"/>
          <w:szCs w:val="18"/>
          <w:shd w:val="clear" w:color="auto" w:fill="FFFFFF"/>
        </w:rPr>
        <w:t xml:space="preserve"> </w:t>
      </w:r>
      <w:r w:rsidR="009364A4" w:rsidRPr="00907285">
        <w:rPr>
          <w:rFonts w:asciiTheme="minorHAnsi" w:hAnsiTheme="minorHAnsi" w:cstheme="minorHAnsi"/>
          <w:sz w:val="18"/>
          <w:szCs w:val="18"/>
        </w:rPr>
        <w:t>[last accessed 28 Sep. 2020]</w:t>
      </w:r>
    </w:p>
    <w:p w14:paraId="3C595C63" w14:textId="45590CD6" w:rsidR="002F04E9" w:rsidRDefault="002F04E9" w:rsidP="002F04E9">
      <w:pPr>
        <w:pStyle w:val="FootnoteText"/>
      </w:pPr>
    </w:p>
  </w:footnote>
  <w:footnote w:id="8">
    <w:p w14:paraId="4B3A2744" w14:textId="5A8D3888" w:rsidR="002F04E9" w:rsidRPr="00D83571" w:rsidRDefault="002F04E9" w:rsidP="002F04E9">
      <w:pPr>
        <w:pStyle w:val="FootnoteText"/>
        <w:rPr>
          <w:rFonts w:cstheme="minorHAnsi"/>
          <w:sz w:val="18"/>
          <w:szCs w:val="18"/>
        </w:rPr>
      </w:pPr>
      <w:r w:rsidRPr="00D83571">
        <w:rPr>
          <w:rStyle w:val="FootnoteReference"/>
          <w:rFonts w:cstheme="minorHAnsi"/>
          <w:sz w:val="18"/>
          <w:szCs w:val="18"/>
        </w:rPr>
        <w:footnoteRef/>
      </w:r>
      <w:r w:rsidRPr="00D83571">
        <w:rPr>
          <w:rFonts w:cstheme="minorHAnsi"/>
          <w:sz w:val="18"/>
          <w:szCs w:val="18"/>
        </w:rPr>
        <w:t xml:space="preserve"> </w:t>
      </w:r>
      <w:r w:rsidR="00A8422A" w:rsidRPr="00D83571">
        <w:rPr>
          <w:rStyle w:val="authors"/>
          <w:rFonts w:cstheme="minorHAnsi"/>
          <w:sz w:val="18"/>
          <w:szCs w:val="18"/>
          <w:shd w:val="clear" w:color="auto" w:fill="FFFFFF"/>
        </w:rPr>
        <w:t>Litvak, M.,</w:t>
      </w:r>
      <w:r w:rsidR="00A8422A" w:rsidRPr="00D83571">
        <w:rPr>
          <w:rFonts w:cstheme="minorHAnsi"/>
          <w:sz w:val="18"/>
          <w:szCs w:val="18"/>
          <w:shd w:val="clear" w:color="auto" w:fill="FFFFFF"/>
        </w:rPr>
        <w:t> </w:t>
      </w:r>
      <w:r w:rsidR="00A8422A" w:rsidRPr="00D83571">
        <w:rPr>
          <w:rStyle w:val="date"/>
          <w:rFonts w:cstheme="minorHAnsi"/>
          <w:sz w:val="18"/>
          <w:szCs w:val="18"/>
          <w:shd w:val="clear" w:color="auto" w:fill="FFFFFF"/>
        </w:rPr>
        <w:t>(2010)</w:t>
      </w:r>
      <w:r w:rsidR="00A8422A" w:rsidRPr="00D83571">
        <w:rPr>
          <w:rFonts w:cstheme="minorHAnsi"/>
          <w:sz w:val="18"/>
          <w:szCs w:val="18"/>
          <w:shd w:val="clear" w:color="auto" w:fill="FFFFFF"/>
        </w:rPr>
        <w:t> </w:t>
      </w:r>
      <w:r w:rsidR="00A8422A" w:rsidRPr="00D83571">
        <w:rPr>
          <w:rStyle w:val="arttitle"/>
          <w:rFonts w:cstheme="minorHAnsi"/>
          <w:sz w:val="18"/>
          <w:szCs w:val="18"/>
          <w:shd w:val="clear" w:color="auto" w:fill="FFFFFF"/>
        </w:rPr>
        <w:t>“Martyrdom is Life”: </w:t>
      </w:r>
      <w:r w:rsidR="00A8422A" w:rsidRPr="00D83571">
        <w:rPr>
          <w:rStyle w:val="arttitle"/>
          <w:rFonts w:cstheme="minorHAnsi"/>
          <w:i/>
          <w:iCs/>
          <w:sz w:val="18"/>
          <w:szCs w:val="18"/>
          <w:shd w:val="clear" w:color="auto" w:fill="FFFFFF"/>
        </w:rPr>
        <w:t>Jihad</w:t>
      </w:r>
      <w:r w:rsidR="00A8422A" w:rsidRPr="00D83571">
        <w:rPr>
          <w:rStyle w:val="arttitle"/>
          <w:rFonts w:cstheme="minorHAnsi"/>
          <w:sz w:val="18"/>
          <w:szCs w:val="18"/>
          <w:shd w:val="clear" w:color="auto" w:fill="FFFFFF"/>
        </w:rPr>
        <w:t> and Martyrdom in the Ideology of Hamas,</w:t>
      </w:r>
      <w:r w:rsidR="00A8422A" w:rsidRPr="00D83571">
        <w:rPr>
          <w:rFonts w:cstheme="minorHAnsi"/>
          <w:sz w:val="18"/>
          <w:szCs w:val="18"/>
          <w:shd w:val="clear" w:color="auto" w:fill="FFFFFF"/>
        </w:rPr>
        <w:t> </w:t>
      </w:r>
      <w:r w:rsidR="00A8422A" w:rsidRPr="00D83571">
        <w:rPr>
          <w:rStyle w:val="serialtitle"/>
          <w:rFonts w:cstheme="minorHAnsi"/>
          <w:sz w:val="18"/>
          <w:szCs w:val="18"/>
          <w:shd w:val="clear" w:color="auto" w:fill="FFFFFF"/>
        </w:rPr>
        <w:t>Studies in Conflict &amp; Terrorism,</w:t>
      </w:r>
      <w:r w:rsidR="00A8422A" w:rsidRPr="00D83571">
        <w:rPr>
          <w:rFonts w:cstheme="minorHAnsi"/>
          <w:sz w:val="18"/>
          <w:szCs w:val="18"/>
          <w:shd w:val="clear" w:color="auto" w:fill="FFFFFF"/>
        </w:rPr>
        <w:t> </w:t>
      </w:r>
      <w:r w:rsidR="00A8422A" w:rsidRPr="00D83571">
        <w:rPr>
          <w:rStyle w:val="volumeissue"/>
          <w:rFonts w:cstheme="minorHAnsi"/>
          <w:sz w:val="18"/>
          <w:szCs w:val="18"/>
          <w:shd w:val="clear" w:color="auto" w:fill="FFFFFF"/>
        </w:rPr>
        <w:t>33:8,</w:t>
      </w:r>
      <w:r w:rsidR="00A8422A" w:rsidRPr="00D83571">
        <w:rPr>
          <w:rFonts w:cstheme="minorHAnsi"/>
          <w:sz w:val="18"/>
          <w:szCs w:val="18"/>
          <w:shd w:val="clear" w:color="auto" w:fill="FFFFFF"/>
        </w:rPr>
        <w:t> </w:t>
      </w:r>
      <w:r w:rsidR="00A8422A" w:rsidRPr="00D83571">
        <w:rPr>
          <w:rStyle w:val="pagerange"/>
          <w:rFonts w:cstheme="minorHAnsi"/>
          <w:sz w:val="18"/>
          <w:szCs w:val="18"/>
          <w:shd w:val="clear" w:color="auto" w:fill="FFFFFF"/>
        </w:rPr>
        <w:t>716-734,</w:t>
      </w:r>
      <w:r w:rsidR="00C52565" w:rsidRPr="00D83571">
        <w:rPr>
          <w:rStyle w:val="pagerange"/>
          <w:rFonts w:cstheme="minorHAnsi"/>
          <w:sz w:val="18"/>
          <w:szCs w:val="18"/>
          <w:shd w:val="clear" w:color="auto" w:fill="FFFFFF"/>
        </w:rPr>
        <w:t xml:space="preserve"> p.718</w:t>
      </w:r>
      <w:r w:rsidR="00A8422A" w:rsidRPr="00D83571">
        <w:rPr>
          <w:rStyle w:val="pagerange"/>
          <w:rFonts w:cstheme="minorHAnsi"/>
          <w:sz w:val="18"/>
          <w:szCs w:val="18"/>
          <w:shd w:val="clear" w:color="auto" w:fill="FFFFFF"/>
        </w:rPr>
        <w:t xml:space="preserve"> </w:t>
      </w:r>
      <w:r w:rsidR="00A8422A" w:rsidRPr="00D83571">
        <w:rPr>
          <w:rFonts w:cstheme="minorHAnsi"/>
          <w:sz w:val="18"/>
          <w:szCs w:val="18"/>
        </w:rPr>
        <w:t>available at</w:t>
      </w:r>
      <w:r w:rsidR="00A8422A" w:rsidRPr="00D83571">
        <w:rPr>
          <w:rFonts w:cstheme="minorHAnsi"/>
          <w:sz w:val="18"/>
          <w:szCs w:val="18"/>
          <w:shd w:val="clear" w:color="auto" w:fill="FFFFFF"/>
        </w:rPr>
        <w:t> </w:t>
      </w:r>
      <w:r w:rsidR="00A8422A" w:rsidRPr="00D83571">
        <w:rPr>
          <w:rStyle w:val="doilink"/>
          <w:rFonts w:cstheme="minorHAnsi"/>
          <w:sz w:val="18"/>
          <w:szCs w:val="18"/>
          <w:shd w:val="clear" w:color="auto" w:fill="FFFFFF"/>
        </w:rPr>
        <w:t>DOI: </w:t>
      </w:r>
      <w:hyperlink r:id="rId4" w:history="1">
        <w:r w:rsidR="00A8422A" w:rsidRPr="00D83571">
          <w:rPr>
            <w:rStyle w:val="Hyperlink"/>
            <w:rFonts w:cstheme="minorHAnsi"/>
            <w:color w:val="auto"/>
            <w:sz w:val="18"/>
            <w:szCs w:val="18"/>
          </w:rPr>
          <w:t>10.1080/1057610X.2010.494170</w:t>
        </w:r>
      </w:hyperlink>
      <w:r w:rsidR="00A8422A" w:rsidRPr="00D83571">
        <w:rPr>
          <w:rStyle w:val="doilink"/>
          <w:rFonts w:cstheme="minorHAnsi"/>
          <w:sz w:val="18"/>
          <w:szCs w:val="18"/>
          <w:shd w:val="clear" w:color="auto" w:fill="FFFFFF"/>
        </w:rPr>
        <w:t xml:space="preserve"> </w:t>
      </w:r>
      <w:r w:rsidR="00A8422A" w:rsidRPr="00D83571">
        <w:rPr>
          <w:rFonts w:cstheme="minorHAnsi"/>
          <w:sz w:val="18"/>
          <w:szCs w:val="18"/>
        </w:rPr>
        <w:t>[last accessed 28 Sep. 2020</w:t>
      </w:r>
      <w:r w:rsidR="00C52565" w:rsidRPr="00D83571">
        <w:rPr>
          <w:rFonts w:cstheme="minorHAnsi"/>
          <w:sz w:val="18"/>
          <w:szCs w:val="18"/>
        </w:rPr>
        <w:t>].</w:t>
      </w:r>
    </w:p>
  </w:footnote>
  <w:footnote w:id="9">
    <w:p w14:paraId="11014BB9" w14:textId="1DFC7E27" w:rsidR="002F04E9" w:rsidRPr="00D83571" w:rsidRDefault="002F04E9" w:rsidP="002F04E9">
      <w:pPr>
        <w:pStyle w:val="FootnoteText"/>
        <w:rPr>
          <w:rFonts w:cstheme="minorHAnsi"/>
          <w:sz w:val="18"/>
          <w:szCs w:val="18"/>
        </w:rPr>
      </w:pPr>
      <w:r w:rsidRPr="00D83571">
        <w:rPr>
          <w:rStyle w:val="FootnoteReference"/>
          <w:rFonts w:cstheme="minorHAnsi"/>
          <w:sz w:val="18"/>
          <w:szCs w:val="18"/>
        </w:rPr>
        <w:footnoteRef/>
      </w:r>
      <w:r w:rsidRPr="00D83571">
        <w:rPr>
          <w:rFonts w:cstheme="minorHAnsi"/>
          <w:sz w:val="18"/>
          <w:szCs w:val="18"/>
        </w:rPr>
        <w:t xml:space="preserve"> Levitt</w:t>
      </w:r>
      <w:r w:rsidR="00C52565" w:rsidRPr="00D83571">
        <w:rPr>
          <w:rFonts w:cstheme="minorHAnsi"/>
          <w:sz w:val="18"/>
          <w:szCs w:val="18"/>
        </w:rPr>
        <w:t>,</w:t>
      </w:r>
      <w:r w:rsidRPr="00D83571">
        <w:rPr>
          <w:rFonts w:cstheme="minorHAnsi"/>
          <w:sz w:val="18"/>
          <w:szCs w:val="18"/>
        </w:rPr>
        <w:t xml:space="preserve"> p</w:t>
      </w:r>
      <w:r w:rsidR="00D83571" w:rsidRPr="00D83571">
        <w:rPr>
          <w:rFonts w:cstheme="minorHAnsi"/>
          <w:sz w:val="18"/>
          <w:szCs w:val="18"/>
        </w:rPr>
        <w:t>.</w:t>
      </w:r>
      <w:r w:rsidRPr="00D83571">
        <w:rPr>
          <w:rFonts w:cstheme="minorHAnsi"/>
          <w:sz w:val="18"/>
          <w:szCs w:val="18"/>
        </w:rPr>
        <w:t>31</w:t>
      </w:r>
    </w:p>
  </w:footnote>
  <w:footnote w:id="10">
    <w:p w14:paraId="79C2C0E2" w14:textId="7E30DA15" w:rsidR="002F04E9" w:rsidRPr="00D83571" w:rsidRDefault="002F04E9" w:rsidP="002F04E9">
      <w:pPr>
        <w:pStyle w:val="FootnoteText"/>
        <w:rPr>
          <w:rFonts w:cstheme="minorHAnsi"/>
          <w:sz w:val="18"/>
          <w:szCs w:val="18"/>
        </w:rPr>
      </w:pPr>
      <w:r w:rsidRPr="00D83571">
        <w:rPr>
          <w:rStyle w:val="FootnoteReference"/>
          <w:rFonts w:cstheme="minorHAnsi"/>
          <w:sz w:val="18"/>
          <w:szCs w:val="18"/>
        </w:rPr>
        <w:footnoteRef/>
      </w:r>
      <w:r w:rsidRPr="00D83571">
        <w:rPr>
          <w:rFonts w:cstheme="minorHAnsi"/>
          <w:sz w:val="18"/>
          <w:szCs w:val="18"/>
        </w:rPr>
        <w:t xml:space="preserve"> </w:t>
      </w:r>
      <w:r w:rsidR="00C52565" w:rsidRPr="00D83571">
        <w:rPr>
          <w:rFonts w:cstheme="minorHAnsi"/>
          <w:sz w:val="18"/>
          <w:szCs w:val="18"/>
          <w:shd w:val="clear" w:color="auto" w:fill="FFFFFF"/>
        </w:rPr>
        <w:t>Post, Jerrold, Sprinzak, Ehud, and Denny, Laurita. "The Terrorists in Their Own Words: Interviews with 35 Incarcerated Middle Eastern Terrorists</w:t>
      </w:r>
      <w:r w:rsidR="00C52565" w:rsidRPr="00D83571">
        <w:rPr>
          <w:rFonts w:ascii="Cambria Math" w:hAnsi="Cambria Math" w:cs="Cambria Math"/>
          <w:sz w:val="18"/>
          <w:szCs w:val="18"/>
          <w:shd w:val="clear" w:color="auto" w:fill="FFFFFF"/>
        </w:rPr>
        <w:t>∗∗</w:t>
      </w:r>
      <w:r w:rsidR="00C52565" w:rsidRPr="00D83571">
        <w:rPr>
          <w:rFonts w:cstheme="minorHAnsi"/>
          <w:sz w:val="18"/>
          <w:szCs w:val="18"/>
          <w:shd w:val="clear" w:color="auto" w:fill="FFFFFF"/>
        </w:rPr>
        <w:t>This Research Was Conducted with the Support of the Smith Richardson Foundation." </w:t>
      </w:r>
      <w:r w:rsidR="00C52565" w:rsidRPr="00D83571">
        <w:rPr>
          <w:rFonts w:cstheme="minorHAnsi"/>
          <w:i/>
          <w:iCs/>
          <w:sz w:val="18"/>
          <w:szCs w:val="18"/>
          <w:shd w:val="clear" w:color="auto" w:fill="FFFFFF"/>
        </w:rPr>
        <w:t>Terrorism and Political Violence</w:t>
      </w:r>
      <w:r w:rsidR="00C52565" w:rsidRPr="00D83571">
        <w:rPr>
          <w:rFonts w:cstheme="minorHAnsi"/>
          <w:sz w:val="18"/>
          <w:szCs w:val="18"/>
          <w:shd w:val="clear" w:color="auto" w:fill="FFFFFF"/>
        </w:rPr>
        <w:t xml:space="preserve"> 15, no. 1 (2003): 171-84, </w:t>
      </w:r>
      <w:r w:rsidR="00C52565" w:rsidRPr="00D83571">
        <w:rPr>
          <w:rFonts w:cstheme="minorHAnsi"/>
          <w:sz w:val="18"/>
          <w:szCs w:val="18"/>
          <w:shd w:val="clear" w:color="auto" w:fill="FFFFFF"/>
        </w:rPr>
        <w:t xml:space="preserve">p.173, </w:t>
      </w:r>
      <w:r w:rsidR="00C52565" w:rsidRPr="00D83571">
        <w:rPr>
          <w:rFonts w:cstheme="minorHAnsi"/>
          <w:sz w:val="18"/>
          <w:szCs w:val="18"/>
        </w:rPr>
        <w:t>available at</w:t>
      </w:r>
      <w:r w:rsidR="00C52565" w:rsidRPr="00D83571">
        <w:rPr>
          <w:rFonts w:cstheme="minorHAnsi"/>
          <w:sz w:val="18"/>
          <w:szCs w:val="18"/>
          <w:shd w:val="clear" w:color="auto" w:fill="FFFFFF"/>
        </w:rPr>
        <w:t xml:space="preserve">  </w:t>
      </w:r>
      <w:hyperlink r:id="rId5" w:history="1">
        <w:r w:rsidR="00C52565" w:rsidRPr="00D83571">
          <w:rPr>
            <w:rStyle w:val="Hyperlink"/>
            <w:rFonts w:cstheme="minorHAnsi"/>
            <w:color w:val="auto"/>
            <w:sz w:val="18"/>
            <w:szCs w:val="18"/>
            <w:shd w:val="clear" w:color="auto" w:fill="FFFFFF"/>
          </w:rPr>
          <w:t>https://whel-primo.hosted.exlibrisgroup.com/permalink/f/mqg008/TN_cdi_crossref_primary_10_1080_09546550312331293007</w:t>
        </w:r>
      </w:hyperlink>
      <w:r w:rsidR="00C52565" w:rsidRPr="00D83571">
        <w:rPr>
          <w:rFonts w:cstheme="minorHAnsi"/>
          <w:sz w:val="18"/>
          <w:szCs w:val="18"/>
          <w:shd w:val="clear" w:color="auto" w:fill="FFFFFF"/>
        </w:rPr>
        <w:t xml:space="preserve"> </w:t>
      </w:r>
      <w:r w:rsidR="00C52565" w:rsidRPr="00D83571">
        <w:rPr>
          <w:rFonts w:cstheme="minorHAnsi"/>
          <w:sz w:val="18"/>
          <w:szCs w:val="18"/>
        </w:rPr>
        <w:t>[last accessed 28 Sep. 2020</w:t>
      </w:r>
      <w:r w:rsidR="00C52565" w:rsidRPr="00D83571">
        <w:rPr>
          <w:rFonts w:cstheme="minorHAnsi"/>
          <w:sz w:val="18"/>
          <w:szCs w:val="18"/>
        </w:rPr>
        <w:t>].</w:t>
      </w:r>
    </w:p>
  </w:footnote>
  <w:footnote w:id="11">
    <w:p w14:paraId="3F6EA5A6" w14:textId="4A258F6F" w:rsidR="002F04E9" w:rsidRPr="00D83571" w:rsidRDefault="002F04E9" w:rsidP="002F04E9">
      <w:pPr>
        <w:pStyle w:val="FootnoteText"/>
        <w:rPr>
          <w:rFonts w:cstheme="minorHAnsi"/>
          <w:sz w:val="18"/>
          <w:szCs w:val="18"/>
        </w:rPr>
      </w:pPr>
      <w:r w:rsidRPr="00D83571">
        <w:rPr>
          <w:rStyle w:val="FootnoteReference"/>
          <w:rFonts w:cstheme="minorHAnsi"/>
          <w:sz w:val="18"/>
          <w:szCs w:val="18"/>
        </w:rPr>
        <w:footnoteRef/>
      </w:r>
      <w:r w:rsidRPr="00D83571">
        <w:rPr>
          <w:rFonts w:cstheme="minorHAnsi"/>
          <w:sz w:val="18"/>
          <w:szCs w:val="18"/>
        </w:rPr>
        <w:t xml:space="preserve"> Litvak</w:t>
      </w:r>
      <w:r w:rsidR="00D83571" w:rsidRPr="00D83571">
        <w:rPr>
          <w:rFonts w:cstheme="minorHAnsi"/>
          <w:sz w:val="18"/>
          <w:szCs w:val="18"/>
        </w:rPr>
        <w:t>,</w:t>
      </w:r>
      <w:r w:rsidRPr="00D83571">
        <w:rPr>
          <w:rFonts w:cstheme="minorHAnsi"/>
          <w:sz w:val="18"/>
          <w:szCs w:val="18"/>
        </w:rPr>
        <w:t xml:space="preserve"> p</w:t>
      </w:r>
      <w:r w:rsidR="00D83571" w:rsidRPr="00D83571">
        <w:rPr>
          <w:rFonts w:cstheme="minorHAnsi"/>
          <w:sz w:val="18"/>
          <w:szCs w:val="18"/>
        </w:rPr>
        <w:t>.</w:t>
      </w:r>
      <w:r w:rsidRPr="00D83571">
        <w:rPr>
          <w:rFonts w:cstheme="minorHAnsi"/>
          <w:sz w:val="18"/>
          <w:szCs w:val="18"/>
        </w:rPr>
        <w:t>718</w:t>
      </w:r>
    </w:p>
  </w:footnote>
  <w:footnote w:id="12">
    <w:p w14:paraId="12D59B69" w14:textId="287290FC" w:rsidR="002F04E9" w:rsidRPr="00D83571" w:rsidRDefault="002F04E9" w:rsidP="002F04E9">
      <w:pPr>
        <w:pStyle w:val="FootnoteText"/>
        <w:rPr>
          <w:rFonts w:cstheme="minorHAnsi"/>
          <w:sz w:val="18"/>
          <w:szCs w:val="18"/>
        </w:rPr>
      </w:pPr>
      <w:r w:rsidRPr="00D83571">
        <w:rPr>
          <w:rStyle w:val="FootnoteReference"/>
          <w:rFonts w:cstheme="minorHAnsi"/>
          <w:sz w:val="18"/>
          <w:szCs w:val="18"/>
        </w:rPr>
        <w:footnoteRef/>
      </w:r>
      <w:r w:rsidRPr="00D83571">
        <w:rPr>
          <w:rFonts w:cstheme="minorHAnsi"/>
          <w:sz w:val="18"/>
          <w:szCs w:val="18"/>
        </w:rPr>
        <w:t xml:space="preserve"> Dunning</w:t>
      </w:r>
      <w:r w:rsidR="00D83571" w:rsidRPr="00D83571">
        <w:rPr>
          <w:rFonts w:cstheme="minorHAnsi"/>
          <w:sz w:val="18"/>
          <w:szCs w:val="18"/>
        </w:rPr>
        <w:t>,</w:t>
      </w:r>
      <w:r w:rsidRPr="00D83571">
        <w:rPr>
          <w:rFonts w:cstheme="minorHAnsi"/>
          <w:sz w:val="18"/>
          <w:szCs w:val="18"/>
        </w:rPr>
        <w:t xml:space="preserve"> p</w:t>
      </w:r>
      <w:r w:rsidR="00D83571" w:rsidRPr="00D83571">
        <w:rPr>
          <w:rFonts w:cstheme="minorHAnsi"/>
          <w:sz w:val="18"/>
          <w:szCs w:val="18"/>
        </w:rPr>
        <w:t>.</w:t>
      </w:r>
      <w:r w:rsidRPr="00D83571">
        <w:rPr>
          <w:rFonts w:cstheme="minorHAnsi"/>
          <w:sz w:val="18"/>
          <w:szCs w:val="18"/>
        </w:rPr>
        <w:t>293</w:t>
      </w:r>
    </w:p>
  </w:footnote>
  <w:footnote w:id="13">
    <w:p w14:paraId="27B7D746" w14:textId="441017A8" w:rsidR="002F04E9" w:rsidRPr="00D83571" w:rsidRDefault="002F04E9" w:rsidP="002F04E9">
      <w:pPr>
        <w:pStyle w:val="FootnoteText"/>
        <w:rPr>
          <w:rFonts w:cstheme="minorHAnsi"/>
          <w:sz w:val="18"/>
          <w:szCs w:val="18"/>
        </w:rPr>
      </w:pPr>
      <w:r w:rsidRPr="00D83571">
        <w:rPr>
          <w:rStyle w:val="FootnoteReference"/>
          <w:rFonts w:cstheme="minorHAnsi"/>
          <w:sz w:val="18"/>
          <w:szCs w:val="18"/>
        </w:rPr>
        <w:footnoteRef/>
      </w:r>
      <w:r w:rsidRPr="00D83571">
        <w:rPr>
          <w:rFonts w:cstheme="minorHAnsi"/>
          <w:sz w:val="18"/>
          <w:szCs w:val="18"/>
        </w:rPr>
        <w:t xml:space="preserve"> Post et al.</w:t>
      </w:r>
      <w:r w:rsidR="00D83571" w:rsidRPr="00D83571">
        <w:rPr>
          <w:rFonts w:cstheme="minorHAnsi"/>
          <w:sz w:val="18"/>
          <w:szCs w:val="18"/>
        </w:rPr>
        <w:t>,</w:t>
      </w:r>
      <w:r w:rsidRPr="00D83571">
        <w:rPr>
          <w:rFonts w:cstheme="minorHAnsi"/>
          <w:sz w:val="18"/>
          <w:szCs w:val="18"/>
        </w:rPr>
        <w:t xml:space="preserve"> p</w:t>
      </w:r>
      <w:r w:rsidR="00D83571" w:rsidRPr="00D83571">
        <w:rPr>
          <w:rFonts w:cstheme="minorHAnsi"/>
          <w:sz w:val="18"/>
          <w:szCs w:val="18"/>
        </w:rPr>
        <w:t>.</w:t>
      </w:r>
      <w:r w:rsidRPr="00D83571">
        <w:rPr>
          <w:rFonts w:cstheme="minorHAnsi"/>
          <w:sz w:val="18"/>
          <w:szCs w:val="18"/>
        </w:rPr>
        <w:t>173</w:t>
      </w:r>
    </w:p>
  </w:footnote>
  <w:footnote w:id="14">
    <w:p w14:paraId="52CA60E2" w14:textId="18207272" w:rsidR="002F04E9" w:rsidRPr="00D83571" w:rsidRDefault="002F04E9" w:rsidP="002F04E9">
      <w:pPr>
        <w:pStyle w:val="FootnoteText"/>
        <w:rPr>
          <w:rFonts w:cstheme="minorHAnsi"/>
          <w:sz w:val="18"/>
          <w:szCs w:val="18"/>
        </w:rPr>
      </w:pPr>
      <w:r w:rsidRPr="00D83571">
        <w:rPr>
          <w:rStyle w:val="FootnoteReference"/>
          <w:rFonts w:cstheme="minorHAnsi"/>
          <w:sz w:val="18"/>
          <w:szCs w:val="18"/>
        </w:rPr>
        <w:footnoteRef/>
      </w:r>
      <w:r w:rsidRPr="00D83571">
        <w:rPr>
          <w:rFonts w:cstheme="minorHAnsi"/>
          <w:sz w:val="18"/>
          <w:szCs w:val="18"/>
        </w:rPr>
        <w:t xml:space="preserve"> Levitt</w:t>
      </w:r>
      <w:r w:rsidR="00D83571" w:rsidRPr="00D83571">
        <w:rPr>
          <w:rFonts w:cstheme="minorHAnsi"/>
          <w:sz w:val="18"/>
          <w:szCs w:val="18"/>
        </w:rPr>
        <w:t>,</w:t>
      </w:r>
      <w:r w:rsidRPr="00D83571">
        <w:rPr>
          <w:rFonts w:cstheme="minorHAnsi"/>
          <w:sz w:val="18"/>
          <w:szCs w:val="18"/>
        </w:rPr>
        <w:t xml:space="preserve"> p</w:t>
      </w:r>
      <w:r w:rsidR="00D83571" w:rsidRPr="00D83571">
        <w:rPr>
          <w:rFonts w:cstheme="minorHAnsi"/>
          <w:sz w:val="18"/>
          <w:szCs w:val="18"/>
        </w:rPr>
        <w:t>.</w:t>
      </w:r>
      <w:r w:rsidRPr="00D83571">
        <w:rPr>
          <w:rFonts w:cstheme="minorHAnsi"/>
          <w:sz w:val="18"/>
          <w:szCs w:val="18"/>
        </w:rPr>
        <w:t>83</w:t>
      </w:r>
    </w:p>
  </w:footnote>
  <w:footnote w:id="15">
    <w:p w14:paraId="38F3B0BE" w14:textId="542BE84F" w:rsidR="002F04E9" w:rsidRDefault="002F04E9" w:rsidP="002F04E9">
      <w:pPr>
        <w:pStyle w:val="FootnoteText"/>
      </w:pPr>
      <w:r w:rsidRPr="00D83571">
        <w:rPr>
          <w:rStyle w:val="FootnoteReference"/>
          <w:rFonts w:cstheme="minorHAnsi"/>
          <w:sz w:val="18"/>
          <w:szCs w:val="18"/>
        </w:rPr>
        <w:footnoteRef/>
      </w:r>
      <w:r w:rsidRPr="00D83571">
        <w:rPr>
          <w:rFonts w:cstheme="minorHAnsi"/>
          <w:sz w:val="18"/>
          <w:szCs w:val="18"/>
        </w:rPr>
        <w:t xml:space="preserve"> Levitt</w:t>
      </w:r>
      <w:r w:rsidR="00D83571" w:rsidRPr="00D83571">
        <w:rPr>
          <w:rFonts w:cstheme="minorHAnsi"/>
          <w:sz w:val="18"/>
          <w:szCs w:val="18"/>
        </w:rPr>
        <w:t>,</w:t>
      </w:r>
      <w:r w:rsidRPr="00D83571">
        <w:rPr>
          <w:rFonts w:cstheme="minorHAnsi"/>
          <w:sz w:val="18"/>
          <w:szCs w:val="18"/>
        </w:rPr>
        <w:t xml:space="preserve"> p</w:t>
      </w:r>
      <w:r w:rsidR="00D83571" w:rsidRPr="00D83571">
        <w:rPr>
          <w:rFonts w:cstheme="minorHAnsi"/>
          <w:sz w:val="18"/>
          <w:szCs w:val="18"/>
        </w:rPr>
        <w:t>.</w:t>
      </w:r>
      <w:r w:rsidRPr="00D83571">
        <w:rPr>
          <w:rFonts w:cstheme="minorHAnsi"/>
          <w:sz w:val="18"/>
          <w:szCs w:val="18"/>
        </w:rPr>
        <w:t>102</w:t>
      </w:r>
    </w:p>
  </w:footnote>
  <w:footnote w:id="16">
    <w:p w14:paraId="77D03F6A" w14:textId="115F9C5E" w:rsidR="002F04E9" w:rsidRDefault="002F04E9" w:rsidP="002F04E9">
      <w:pPr>
        <w:pStyle w:val="FootnoteText"/>
      </w:pPr>
      <w:r>
        <w:rPr>
          <w:rStyle w:val="FootnoteReference"/>
        </w:rPr>
        <w:footnoteRef/>
      </w:r>
      <w:r w:rsidRPr="00D83571">
        <w:rPr>
          <w:rFonts w:cstheme="minorHAnsi"/>
          <w:sz w:val="18"/>
          <w:szCs w:val="18"/>
        </w:rPr>
        <w:t>Levitt</w:t>
      </w:r>
      <w:r w:rsidR="00D83571">
        <w:rPr>
          <w:rFonts w:cstheme="minorHAnsi"/>
          <w:sz w:val="18"/>
          <w:szCs w:val="18"/>
        </w:rPr>
        <w:t>,</w:t>
      </w:r>
      <w:r w:rsidRPr="00D83571">
        <w:rPr>
          <w:rFonts w:cstheme="minorHAnsi"/>
          <w:sz w:val="18"/>
          <w:szCs w:val="18"/>
        </w:rPr>
        <w:t xml:space="preserve"> p</w:t>
      </w:r>
      <w:r w:rsidR="00D83571">
        <w:rPr>
          <w:rFonts w:cstheme="minorHAnsi"/>
          <w:sz w:val="18"/>
          <w:szCs w:val="18"/>
        </w:rPr>
        <w:t xml:space="preserve">. </w:t>
      </w:r>
      <w:r w:rsidRPr="00D83571">
        <w:rPr>
          <w:rFonts w:cstheme="minorHAnsi"/>
          <w:sz w:val="18"/>
          <w:szCs w:val="18"/>
        </w:rPr>
        <w:t>85</w:t>
      </w:r>
    </w:p>
  </w:footnote>
  <w:footnote w:id="17">
    <w:p w14:paraId="0B1DAFE9" w14:textId="02E56176" w:rsidR="002F04E9" w:rsidRDefault="002F04E9" w:rsidP="002F04E9">
      <w:pPr>
        <w:pStyle w:val="FootnoteText"/>
      </w:pPr>
      <w:r>
        <w:rPr>
          <w:rStyle w:val="FootnoteReference"/>
        </w:rPr>
        <w:footnoteRef/>
      </w:r>
      <w:r>
        <w:t xml:space="preserve"> Litvak</w:t>
      </w:r>
      <w:r w:rsidR="007A60E3">
        <w:t>,</w:t>
      </w:r>
      <w:r>
        <w:t xml:space="preserve"> p</w:t>
      </w:r>
      <w:r w:rsidR="007A60E3">
        <w:t>.</w:t>
      </w:r>
      <w:r>
        <w:t>723</w:t>
      </w:r>
    </w:p>
  </w:footnote>
  <w:footnote w:id="18">
    <w:p w14:paraId="0CF22E6D" w14:textId="4BC25798" w:rsidR="002F04E9" w:rsidRDefault="002F04E9" w:rsidP="002F04E9">
      <w:pPr>
        <w:pStyle w:val="FootnoteText"/>
      </w:pPr>
      <w:r>
        <w:rPr>
          <w:rStyle w:val="FootnoteReference"/>
        </w:rPr>
        <w:footnoteRef/>
      </w:r>
      <w:r>
        <w:t xml:space="preserve"> Levitt</w:t>
      </w:r>
      <w:r w:rsidR="007A60E3">
        <w:t>, p.85</w:t>
      </w:r>
    </w:p>
  </w:footnote>
  <w:footnote w:id="19">
    <w:p w14:paraId="41EBC897" w14:textId="48422754" w:rsidR="002F04E9" w:rsidRDefault="002F04E9" w:rsidP="002F04E9">
      <w:pPr>
        <w:pStyle w:val="FootnoteText"/>
      </w:pPr>
      <w:r>
        <w:rPr>
          <w:rStyle w:val="FootnoteReference"/>
        </w:rPr>
        <w:footnoteRef/>
      </w:r>
      <w:r>
        <w:t xml:space="preserve"> </w:t>
      </w:r>
      <w:r w:rsidR="007A60E3">
        <w:t>ibid,</w:t>
      </w:r>
      <w:r>
        <w:t xml:space="preserve"> p</w:t>
      </w:r>
      <w:r w:rsidR="007A60E3">
        <w:t>.</w:t>
      </w:r>
      <w:r>
        <w:t>111</w:t>
      </w:r>
    </w:p>
  </w:footnote>
  <w:footnote w:id="20">
    <w:p w14:paraId="0D7B1D27" w14:textId="31496E2F" w:rsidR="002F04E9" w:rsidRDefault="002F04E9" w:rsidP="002F04E9">
      <w:pPr>
        <w:pStyle w:val="FootnoteText"/>
      </w:pPr>
      <w:r>
        <w:rPr>
          <w:rStyle w:val="FootnoteReference"/>
        </w:rPr>
        <w:footnoteRef/>
      </w:r>
      <w:r>
        <w:t xml:space="preserve"> </w:t>
      </w:r>
      <w:r w:rsidR="007A60E3">
        <w:t xml:space="preserve">ibid, </w:t>
      </w:r>
      <w:r>
        <w:t>p</w:t>
      </w:r>
      <w:r w:rsidR="007A60E3">
        <w:t>.</w:t>
      </w:r>
      <w:r>
        <w:t>110</w:t>
      </w:r>
    </w:p>
  </w:footnote>
  <w:footnote w:id="21">
    <w:p w14:paraId="471A21E8" w14:textId="607550CC" w:rsidR="002F04E9" w:rsidRDefault="002F04E9" w:rsidP="002F04E9">
      <w:pPr>
        <w:pStyle w:val="FootnoteText"/>
      </w:pPr>
      <w:r>
        <w:rPr>
          <w:rStyle w:val="FootnoteReference"/>
        </w:rPr>
        <w:footnoteRef/>
      </w:r>
      <w:r>
        <w:t xml:space="preserve"> </w:t>
      </w:r>
      <w:r w:rsidR="007A60E3">
        <w:t xml:space="preserve">ibid, </w:t>
      </w:r>
      <w:r>
        <w:t>p</w:t>
      </w:r>
      <w:r w:rsidR="007A60E3">
        <w:t>.</w:t>
      </w:r>
      <w:r>
        <w:t>124</w:t>
      </w:r>
    </w:p>
  </w:footnote>
  <w:footnote w:id="22">
    <w:p w14:paraId="509398B9" w14:textId="6511202A" w:rsidR="002F04E9" w:rsidRDefault="002F04E9" w:rsidP="002F04E9">
      <w:pPr>
        <w:pStyle w:val="FootnoteText"/>
      </w:pPr>
      <w:r>
        <w:rPr>
          <w:rStyle w:val="FootnoteReference"/>
        </w:rPr>
        <w:footnoteRef/>
      </w:r>
      <w:r>
        <w:t xml:space="preserve"> </w:t>
      </w:r>
      <w:r w:rsidR="007A60E3">
        <w:t xml:space="preserve">ibid, </w:t>
      </w:r>
      <w:r>
        <w:t>p</w:t>
      </w:r>
      <w:r w:rsidR="007A60E3">
        <w:t>.</w:t>
      </w:r>
      <w:r>
        <w:t>125</w:t>
      </w:r>
    </w:p>
  </w:footnote>
  <w:footnote w:id="23">
    <w:p w14:paraId="4956CA12" w14:textId="287277CC" w:rsidR="002F04E9" w:rsidRDefault="002F04E9" w:rsidP="002F04E9">
      <w:pPr>
        <w:pStyle w:val="FootnoteText"/>
      </w:pPr>
      <w:r>
        <w:rPr>
          <w:rStyle w:val="FootnoteReference"/>
        </w:rPr>
        <w:footnoteRef/>
      </w:r>
      <w:r>
        <w:t xml:space="preserve"> </w:t>
      </w:r>
      <w:r w:rsidR="007A60E3">
        <w:t xml:space="preserve">ibid, </w:t>
      </w:r>
      <w:r>
        <w:t>p</w:t>
      </w:r>
      <w:r w:rsidR="007A60E3">
        <w:t>.</w:t>
      </w:r>
      <w:r>
        <w:t>127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39299E" w14:textId="65CAB6C2" w:rsidR="009F2670" w:rsidRDefault="00912BB0">
    <w:pPr>
      <w:pStyle w:val="Header"/>
    </w:pPr>
    <w:r>
      <w:t>Graham Lowe 1807689</w:t>
    </w:r>
    <w:r w:rsidR="009F2670">
      <w:ptab w:relativeTo="margin" w:alignment="center" w:leader="none"/>
    </w:r>
    <w:r>
      <w:t>TRDL7066 Assignment 5</w:t>
    </w:r>
    <w:r w:rsidR="009F2670">
      <w:ptab w:relativeTo="margin" w:alignment="right" w:leader="none"/>
    </w:r>
    <w:r>
      <w:t>28</w:t>
    </w:r>
    <w:r w:rsidRPr="00912BB0">
      <w:rPr>
        <w:vertAlign w:val="superscript"/>
      </w:rPr>
      <w:t>th</w:t>
    </w:r>
    <w:r>
      <w:t xml:space="preserve"> September 2020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04E9"/>
    <w:rsid w:val="00015E22"/>
    <w:rsid w:val="00041FF2"/>
    <w:rsid w:val="000D2AAD"/>
    <w:rsid w:val="000E1A31"/>
    <w:rsid w:val="000E38BC"/>
    <w:rsid w:val="001722BE"/>
    <w:rsid w:val="001A0E54"/>
    <w:rsid w:val="001A19F5"/>
    <w:rsid w:val="00241AC9"/>
    <w:rsid w:val="00251CC8"/>
    <w:rsid w:val="00273B40"/>
    <w:rsid w:val="0028730A"/>
    <w:rsid w:val="00297666"/>
    <w:rsid w:val="002F04E9"/>
    <w:rsid w:val="0032019F"/>
    <w:rsid w:val="00372607"/>
    <w:rsid w:val="004876B0"/>
    <w:rsid w:val="00490415"/>
    <w:rsid w:val="004E24FC"/>
    <w:rsid w:val="005042CE"/>
    <w:rsid w:val="0052214A"/>
    <w:rsid w:val="00541FFE"/>
    <w:rsid w:val="005A4D0E"/>
    <w:rsid w:val="005D7702"/>
    <w:rsid w:val="00622550"/>
    <w:rsid w:val="006401FB"/>
    <w:rsid w:val="006A21A1"/>
    <w:rsid w:val="006C7C51"/>
    <w:rsid w:val="0071145F"/>
    <w:rsid w:val="007A1F65"/>
    <w:rsid w:val="007A60E3"/>
    <w:rsid w:val="0083181D"/>
    <w:rsid w:val="00835CF9"/>
    <w:rsid w:val="00877CFA"/>
    <w:rsid w:val="008F65D6"/>
    <w:rsid w:val="00907285"/>
    <w:rsid w:val="00912BB0"/>
    <w:rsid w:val="00912C2E"/>
    <w:rsid w:val="009364A4"/>
    <w:rsid w:val="009F2670"/>
    <w:rsid w:val="009F54CC"/>
    <w:rsid w:val="00A33B72"/>
    <w:rsid w:val="00A8422A"/>
    <w:rsid w:val="00B001C2"/>
    <w:rsid w:val="00B97063"/>
    <w:rsid w:val="00BC56BF"/>
    <w:rsid w:val="00C40EA6"/>
    <w:rsid w:val="00C52565"/>
    <w:rsid w:val="00C66A48"/>
    <w:rsid w:val="00C77272"/>
    <w:rsid w:val="00CA1284"/>
    <w:rsid w:val="00CA76A0"/>
    <w:rsid w:val="00D03C32"/>
    <w:rsid w:val="00D341DE"/>
    <w:rsid w:val="00D3781D"/>
    <w:rsid w:val="00D83571"/>
    <w:rsid w:val="00DF4C6A"/>
    <w:rsid w:val="00E45B30"/>
    <w:rsid w:val="00EB51A8"/>
    <w:rsid w:val="00EC368C"/>
    <w:rsid w:val="00ED5F63"/>
    <w:rsid w:val="00ED70E2"/>
    <w:rsid w:val="00F34AFE"/>
    <w:rsid w:val="00F37D39"/>
    <w:rsid w:val="00F44893"/>
    <w:rsid w:val="00FD1511"/>
    <w:rsid w:val="00FE3F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490DBC"/>
  <w15:chartTrackingRefBased/>
  <w15:docId w15:val="{6D62F6F9-FC4D-4434-9642-52E1A9860B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04E9"/>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2F04E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F04E9"/>
    <w:rPr>
      <w:sz w:val="20"/>
      <w:szCs w:val="20"/>
    </w:rPr>
  </w:style>
  <w:style w:type="character" w:styleId="FootnoteReference">
    <w:name w:val="footnote reference"/>
    <w:basedOn w:val="DefaultParagraphFont"/>
    <w:uiPriority w:val="99"/>
    <w:semiHidden/>
    <w:unhideWhenUsed/>
    <w:rsid w:val="002F04E9"/>
    <w:rPr>
      <w:vertAlign w:val="superscript"/>
    </w:rPr>
  </w:style>
  <w:style w:type="paragraph" w:styleId="Header">
    <w:name w:val="header"/>
    <w:basedOn w:val="Normal"/>
    <w:link w:val="HeaderChar"/>
    <w:uiPriority w:val="99"/>
    <w:unhideWhenUsed/>
    <w:rsid w:val="009F26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2670"/>
  </w:style>
  <w:style w:type="paragraph" w:styleId="Footer">
    <w:name w:val="footer"/>
    <w:basedOn w:val="Normal"/>
    <w:link w:val="FooterChar"/>
    <w:uiPriority w:val="99"/>
    <w:unhideWhenUsed/>
    <w:rsid w:val="009F26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2670"/>
  </w:style>
  <w:style w:type="paragraph" w:styleId="NormalWeb">
    <w:name w:val="Normal (Web)"/>
    <w:basedOn w:val="Normal"/>
    <w:uiPriority w:val="99"/>
    <w:unhideWhenUsed/>
    <w:rsid w:val="0049041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490415"/>
    <w:rPr>
      <w:color w:val="0000FF"/>
      <w:u w:val="single"/>
    </w:rPr>
  </w:style>
  <w:style w:type="character" w:customStyle="1" w:styleId="authors">
    <w:name w:val="authors"/>
    <w:basedOn w:val="DefaultParagraphFont"/>
    <w:rsid w:val="00490415"/>
  </w:style>
  <w:style w:type="character" w:customStyle="1" w:styleId="date">
    <w:name w:val="date"/>
    <w:basedOn w:val="DefaultParagraphFont"/>
    <w:rsid w:val="00490415"/>
  </w:style>
  <w:style w:type="character" w:customStyle="1" w:styleId="arttitle">
    <w:name w:val="art_title"/>
    <w:basedOn w:val="DefaultParagraphFont"/>
    <w:rsid w:val="00490415"/>
  </w:style>
  <w:style w:type="character" w:customStyle="1" w:styleId="serialtitle">
    <w:name w:val="serial_title"/>
    <w:basedOn w:val="DefaultParagraphFont"/>
    <w:rsid w:val="00490415"/>
  </w:style>
  <w:style w:type="character" w:customStyle="1" w:styleId="volumeissue">
    <w:name w:val="volume_issue"/>
    <w:basedOn w:val="DefaultParagraphFont"/>
    <w:rsid w:val="00490415"/>
  </w:style>
  <w:style w:type="character" w:customStyle="1" w:styleId="pagerange">
    <w:name w:val="page_range"/>
    <w:basedOn w:val="DefaultParagraphFont"/>
    <w:rsid w:val="00490415"/>
  </w:style>
  <w:style w:type="character" w:customStyle="1" w:styleId="doilink">
    <w:name w:val="doi_link"/>
    <w:basedOn w:val="DefaultParagraphFont"/>
    <w:rsid w:val="004904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31400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1057610X.2010.494170"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doi.org/10.1080/17539153.2015.1042304" TargetMode="External"/><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hel-primo.hosted.exlibrisgroup.com/permalink/f/mqg008/TN_cdi_gale_infotraccpiq_185431339" TargetMode="External"/><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hyperlink" Target="http://gruni.edu.ge/uploads/files/kvleva/fondebi/emf_2013_vol_2.pdf" TargetMode="External"/><Relationship Id="rId4" Type="http://schemas.openxmlformats.org/officeDocument/2006/relationships/footnotes" Target="footnotes.xml"/><Relationship Id="rId9" Type="http://schemas.openxmlformats.org/officeDocument/2006/relationships/hyperlink" Target="https://whel-primo.hosted.exlibrisgroup.com/permalink/f/mqg008/TN_cdi_crossref_primary_10_1080_09546550312331293007"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doi.org/10.1080/17539153.2015.1042304" TargetMode="External"/><Relationship Id="rId2" Type="http://schemas.openxmlformats.org/officeDocument/2006/relationships/hyperlink" Target="http://gruni.edu.ge/uploads/files/kvleva/fondebi/emf_2013_vol_2.pdf" TargetMode="External"/><Relationship Id="rId1" Type="http://schemas.openxmlformats.org/officeDocument/2006/relationships/hyperlink" Target="https://whel-primo.hosted.exlibrisgroup.com/permalink/f/mqg008/TN_cdi_gale_infotraccpiq_185431339" TargetMode="External"/><Relationship Id="rId5" Type="http://schemas.openxmlformats.org/officeDocument/2006/relationships/hyperlink" Target="https://whel-primo.hosted.exlibrisgroup.com/permalink/f/mqg008/TN_cdi_crossref_primary_10_1080_09546550312331293007" TargetMode="External"/><Relationship Id="rId4" Type="http://schemas.openxmlformats.org/officeDocument/2006/relationships/hyperlink" Target="https://doi.org/10.1080/1057610X.2010.49417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985</Words>
  <Characters>7405</Characters>
  <Application>Microsoft Office Word</Application>
  <DocSecurity>0</DocSecurity>
  <Lines>123</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Graham Lowe</dc:creator>
  <cp:keywords/>
  <dc:description/>
  <cp:lastModifiedBy>Graham Lowe</cp:lastModifiedBy>
  <cp:revision>2</cp:revision>
  <dcterms:created xsi:type="dcterms:W3CDTF">2020-09-28T08:48:00Z</dcterms:created>
  <dcterms:modified xsi:type="dcterms:W3CDTF">2020-09-28T08:48:00Z</dcterms:modified>
</cp:coreProperties>
</file>