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280" w:afterAutospacing="0" w:after="280"/>
        <w:ind w:left="-180" w:right="-334" w:hanging="0"/>
        <w:rPr/>
      </w:pPr>
      <w:r>
        <w:rPr/>
        <w:drawing>
          <wp:inline distT="0" distB="0" distL="0" distR="0">
            <wp:extent cx="1908175" cy="63627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908175" cy="636270"/>
                    </a:xfrm>
                    <a:prstGeom prst="rect">
                      <a:avLst/>
                    </a:prstGeom>
                    <a:ln w="19050">
                      <a:solidFill>
                        <a:srgbClr val="000000"/>
                      </a:solidFill>
                    </a:ln>
                  </pic:spPr>
                </pic:pic>
              </a:graphicData>
            </a:graphic>
          </wp:inline>
        </w:drawing>
      </w:r>
    </w:p>
    <w:p>
      <w:pPr>
        <w:pStyle w:val="NormalWeb"/>
        <w:spacing w:before="280" w:after="280"/>
        <w:ind w:left="-180" w:right="-334" w:hanging="0"/>
        <w:rPr/>
      </w:pPr>
      <w:r>
        <w:rPr/>
      </w:r>
    </w:p>
    <w:p>
      <w:pPr>
        <w:pStyle w:val="NormalWeb"/>
        <w:spacing w:before="280" w:after="280"/>
        <w:ind w:left="-180" w:right="-334" w:hanging="0"/>
        <w:rPr/>
      </w:pPr>
      <w:r>
        <w:rPr/>
      </w:r>
    </w:p>
    <w:p>
      <w:pPr>
        <w:pStyle w:val="NormalWeb"/>
        <w:spacing w:before="280" w:after="280"/>
        <w:ind w:left="-180" w:right="-334" w:hanging="0"/>
        <w:jc w:val="center"/>
        <w:rPr>
          <w:rFonts w:ascii="Arial" w:hAnsi="Arial" w:cs="Arial"/>
          <w:b/>
          <w:b/>
          <w:sz w:val="28"/>
          <w:szCs w:val="28"/>
          <w:lang w:val="cy-GB"/>
        </w:rPr>
      </w:pPr>
      <w:r>
        <w:rPr>
          <w:rFonts w:cs="Arial" w:ascii="Arial" w:hAnsi="Arial"/>
          <w:b/>
          <w:sz w:val="28"/>
          <w:szCs w:val="28"/>
          <w:lang w:val="cy-GB"/>
        </w:rPr>
        <w:t xml:space="preserve">Postgraduate/Distance Learning </w:t>
      </w:r>
    </w:p>
    <w:p>
      <w:pPr>
        <w:pStyle w:val="NormalWeb"/>
        <w:spacing w:before="280" w:after="280"/>
        <w:ind w:left="-180" w:right="-334" w:hanging="0"/>
        <w:jc w:val="center"/>
        <w:rPr>
          <w:rFonts w:ascii="Arial" w:hAnsi="Arial" w:cs="Arial"/>
          <w:b/>
          <w:b/>
          <w:sz w:val="28"/>
          <w:szCs w:val="28"/>
        </w:rPr>
      </w:pPr>
      <w:r>
        <w:rPr>
          <w:rFonts w:cs="Arial" w:ascii="Arial" w:hAnsi="Arial"/>
          <w:b/>
          <w:sz w:val="28"/>
          <w:szCs w:val="28"/>
          <w:lang w:val="cy-GB"/>
        </w:rPr>
        <w:t>Assignment coversheet &amp; feedback form</w:t>
      </w:r>
    </w:p>
    <w:p>
      <w:pPr>
        <w:pStyle w:val="Normal"/>
        <w:rPr>
          <w:rFonts w:ascii="Arial" w:hAnsi="Arial" w:cs="Arial"/>
          <w:sz w:val="28"/>
          <w:szCs w:val="28"/>
          <w:lang w:val="cy-GB"/>
        </w:rPr>
      </w:pPr>
      <w:r>
        <w:rPr>
          <w:rFonts w:cs="Arial" w:ascii="Arial" w:hAnsi="Arial"/>
          <w:sz w:val="28"/>
          <w:szCs w:val="28"/>
          <w:lang w:val="cy-GB"/>
        </w:rPr>
      </w:r>
    </w:p>
    <w:p>
      <w:pPr>
        <w:pStyle w:val="Heading3"/>
        <w:jc w:val="center"/>
        <w:rPr>
          <w:lang w:val="cy-GB"/>
        </w:rPr>
      </w:pPr>
      <w:r>
        <w:rPr>
          <w:lang w:val="cy-GB"/>
        </w:rPr>
        <w:t>THIS SHEET MUST BE THE FIRST PAGE OF THE ASSIGNMENT YOU ARE SUBMITTING  (DO NOT SEND AS A SEPARATE FILE)</w:t>
      </w:r>
    </w:p>
    <w:p>
      <w:pPr>
        <w:pStyle w:val="Heading3"/>
        <w:jc w:val="center"/>
        <w:rPr>
          <w:rFonts w:ascii="Trebuchet MS" w:hAnsi="Trebuchet MS"/>
        </w:rPr>
      </w:pPr>
      <w:r>
        <w:rPr>
          <w:rFonts w:ascii="Trebuchet MS" w:hAnsi="Trebuchet MS"/>
        </w:rPr>
      </w:r>
    </w:p>
    <w:tbl>
      <w:tblPr>
        <w:tblW w:w="86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14"/>
        <w:gridCol w:w="423"/>
        <w:gridCol w:w="1515"/>
        <w:gridCol w:w="290"/>
        <w:gridCol w:w="1794"/>
      </w:tblGrid>
      <w:tr>
        <w:trPr>
          <w:trHeight w:val="614"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b/>
                <w:sz w:val="22"/>
                <w:szCs w:val="22"/>
              </w:rPr>
              <w:t>For completion by the student</w:t>
            </w:r>
            <w:r>
              <w:rPr>
                <w:rFonts w:cs="Arial" w:ascii="Arial" w:hAnsi="Arial"/>
                <w:sz w:val="22"/>
                <w:szCs w:val="22"/>
              </w:rPr>
              <w:t>:</w:t>
            </w:r>
          </w:p>
        </w:tc>
      </w:tr>
      <w:tr>
        <w:trPr>
          <w:trHeight w:val="718"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 xml:space="preserve">Student Name: Rebecca Booker </w:t>
            </w:r>
          </w:p>
          <w:p>
            <w:pPr>
              <w:pStyle w:val="NormalWeb"/>
              <w:widowControl w:val="false"/>
              <w:spacing w:before="280" w:after="28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 xml:space="preserve">Student </w:t>
            </w:r>
            <w:r>
              <w:rPr>
                <w:rFonts w:cs="Arial" w:ascii="Arial" w:hAnsi="Arial"/>
                <w:b/>
                <w:bCs/>
                <w:sz w:val="22"/>
                <w:szCs w:val="22"/>
                <w:u w:val="single"/>
              </w:rPr>
              <w:t>University</w:t>
            </w:r>
            <w:r>
              <w:rPr>
                <w:rFonts w:cs="Arial" w:ascii="Arial" w:hAnsi="Arial"/>
                <w:sz w:val="22"/>
                <w:szCs w:val="22"/>
                <w:u w:val="single"/>
              </w:rPr>
              <w:t xml:space="preserve"> </w:t>
            </w:r>
            <w:r>
              <w:rPr>
                <w:rFonts w:cs="Arial" w:ascii="Arial" w:hAnsi="Arial"/>
                <w:sz w:val="22"/>
                <w:szCs w:val="22"/>
              </w:rPr>
              <w:t>Email: 2218810@uwtsd.ac.uk</w:t>
            </w:r>
          </w:p>
        </w:tc>
      </w:tr>
      <w:tr>
        <w:trPr>
          <w:trHeight w:val="849" w:hRule="atLeast"/>
        </w:trPr>
        <w:tc>
          <w:tcPr>
            <w:tcW w:w="4614"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Module code: HPCA7014</w:t>
            </w:r>
          </w:p>
          <w:p>
            <w:pPr>
              <w:pStyle w:val="NormalWeb"/>
              <w:widowControl w:val="false"/>
              <w:spacing w:before="280" w:after="280"/>
              <w:ind w:right="34" w:hanging="0"/>
              <w:rPr>
                <w:rFonts w:ascii="Arial" w:hAnsi="Arial" w:cs="Arial"/>
                <w:sz w:val="22"/>
                <w:szCs w:val="22"/>
              </w:rPr>
            </w:pPr>
            <w:r>
              <w:rPr>
                <w:rFonts w:cs="Arial" w:ascii="Arial" w:hAnsi="Arial"/>
                <w:sz w:val="22"/>
                <w:szCs w:val="22"/>
              </w:rPr>
            </w:r>
          </w:p>
          <w:p>
            <w:pPr>
              <w:pStyle w:val="NormalWeb"/>
              <w:widowControl w:val="false"/>
              <w:spacing w:before="280" w:after="280"/>
              <w:ind w:right="34" w:hanging="0"/>
              <w:rPr>
                <w:rFonts w:ascii="Arial" w:hAnsi="Arial" w:cs="Arial"/>
                <w:sz w:val="22"/>
                <w:szCs w:val="22"/>
              </w:rPr>
            </w:pPr>
            <w:r>
              <w:rPr>
                <w:rFonts w:cs="Arial" w:ascii="Arial" w:hAnsi="Arial"/>
                <w:sz w:val="22"/>
                <w:szCs w:val="22"/>
              </w:rPr>
              <w:t>Module title:</w:t>
            </w:r>
          </w:p>
          <w:p>
            <w:pPr>
              <w:pStyle w:val="NormalWeb"/>
              <w:widowControl w:val="false"/>
              <w:spacing w:before="280" w:after="280"/>
              <w:ind w:right="34" w:hanging="0"/>
              <w:rPr>
                <w:rFonts w:ascii="Arial" w:hAnsi="Arial" w:cs="Arial"/>
                <w:sz w:val="22"/>
                <w:szCs w:val="22"/>
              </w:rPr>
            </w:pPr>
            <w:r>
              <w:rPr>
                <w:rFonts w:cs="Arial" w:ascii="Arial" w:hAnsi="Arial"/>
                <w:sz w:val="22"/>
                <w:szCs w:val="22"/>
              </w:rPr>
              <w:t xml:space="preserve">Sacred Geography </w:t>
            </w:r>
          </w:p>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r>
          </w:p>
        </w:tc>
        <w:tc>
          <w:tcPr>
            <w:tcW w:w="2228"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Student ID number:</w:t>
            </w:r>
          </w:p>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2218810</w:t>
            </w:r>
          </w:p>
        </w:tc>
        <w:tc>
          <w:tcPr>
            <w:tcW w:w="1794"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Educational support needs:</w:t>
            </w:r>
          </w:p>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No</w:t>
            </w:r>
          </w:p>
        </w:tc>
      </w:tr>
      <w:tr>
        <w:trPr>
          <w:trHeight w:val="1139"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 xml:space="preserve">Assignment title: Sacred Geography </w:t>
            </w:r>
          </w:p>
          <w:p>
            <w:pPr>
              <w:pStyle w:val="NormalWeb"/>
              <w:widowControl w:val="false"/>
              <w:spacing w:before="280" w:after="280"/>
              <w:ind w:right="34" w:hanging="0"/>
              <w:rPr>
                <w:rFonts w:ascii="Arial" w:hAnsi="Arial" w:cs="Arial"/>
                <w:sz w:val="22"/>
                <w:szCs w:val="22"/>
              </w:rPr>
            </w:pPr>
            <w:r>
              <w:rPr>
                <w:rFonts w:cs="Arial" w:ascii="Arial" w:hAnsi="Arial"/>
                <w:sz w:val="22"/>
                <w:szCs w:val="22"/>
              </w:rPr>
            </w:r>
          </w:p>
          <w:p>
            <w:pPr>
              <w:pStyle w:val="NormalWeb"/>
              <w:widowControl w:val="false"/>
              <w:spacing w:before="280" w:after="28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Assignment due date: 13.11.23</w:t>
            </w:r>
          </w:p>
        </w:tc>
      </w:tr>
      <w:tr>
        <w:trPr>
          <w:trHeight w:val="978"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This assignment is for the       1</w:t>
            </w:r>
            <w:r>
              <w:rPr>
                <w:rFonts w:cs="Arial" w:ascii="Arial" w:hAnsi="Arial"/>
                <w:sz w:val="22"/>
                <w:szCs w:val="22"/>
                <w:vertAlign w:val="superscript"/>
              </w:rPr>
              <w:t xml:space="preserve">st </w:t>
            </w:r>
            <w:r>
              <w:fldChar w:fldCharType="begin">
                <w:ffData>
                  <w:name w:val=""/>
                  <w:enabled/>
                  <w:calcOnExit w:val="0"/>
                  <w:checkBox>
                    <w:sizeAuto/>
                    <w:checked/>
                  </w:checkBox>
                </w:ffData>
              </w:fldChar>
            </w:r>
            <w:r>
              <w:rPr>
                <w:vertAlign w:val="superscript"/>
                <w:sz w:val="22"/>
                <w:szCs w:val="22"/>
                <w:rFonts w:cs="Arial" w:ascii="Arial" w:hAnsi="Arial"/>
              </w:rPr>
              <w:instrText> FORMCHECKBOX </w:instrText>
            </w:r>
            <w:r>
              <w:rPr>
                <w:vertAlign w:val="superscript"/>
                <w:sz w:val="22"/>
                <w:szCs w:val="22"/>
                <w:rFonts w:cs="Arial" w:ascii="Arial" w:hAnsi="Arial"/>
              </w:rPr>
              <w:fldChar w:fldCharType="separate"/>
            </w:r>
            <w:bookmarkStart w:id="0" w:name="__Fieldmark__23_1805312052"/>
            <w:bookmarkStart w:id="1" w:name="__Fieldmark__23_1805312052"/>
            <w:bookmarkEnd w:id="1"/>
            <w:r>
              <w:rPr>
                <w:rFonts w:cs="Arial" w:ascii="Arial" w:hAnsi="Arial"/>
                <w:sz w:val="22"/>
                <w:szCs w:val="22"/>
                <w:vertAlign w:val="superscript"/>
              </w:rPr>
            </w:r>
            <w:r>
              <w:rPr>
                <w:vertAlign w:val="superscript"/>
                <w:sz w:val="22"/>
                <w:szCs w:val="22"/>
                <w:rFonts w:cs="Arial" w:ascii="Arial" w:hAnsi="Arial"/>
              </w:rPr>
              <w:fldChar w:fldCharType="end"/>
            </w:r>
            <w:bookmarkStart w:id="2" w:name="__Fieldmark__23_3532816023"/>
            <w:bookmarkStart w:id="3" w:name="__Fieldmark__23_2466596599"/>
            <w:bookmarkStart w:id="4" w:name="__Fieldmark__23_1434447374"/>
            <w:bookmarkStart w:id="5" w:name="__Fieldmark__23_3592053639"/>
            <w:bookmarkStart w:id="6" w:name="__Fieldmark__23_4066352522"/>
            <w:bookmarkStart w:id="7" w:name="__Fieldmark__23_537937223"/>
            <w:bookmarkStart w:id="8" w:name="__Fieldmark__23_2614174510"/>
            <w:bookmarkStart w:id="9" w:name="__Fieldmark__22_2576500037"/>
            <w:bookmarkStart w:id="10" w:name="__Fieldmark__21_4032033379"/>
            <w:bookmarkStart w:id="11" w:name="__Fieldmark__21_2898849536"/>
            <w:bookmarkStart w:id="12" w:name="__Fieldmark__198_957734852"/>
            <w:bookmarkStart w:id="13" w:name="__Fieldmark__21_58692160"/>
            <w:bookmarkStart w:id="14" w:name="__Fieldmark__24_740167760"/>
            <w:bookmarkStart w:id="15" w:name="__Fieldmark__26_3832053622"/>
            <w:bookmarkStart w:id="16" w:name="__Fieldmark__23_2591118562"/>
            <w:bookmarkStart w:id="17" w:name="__Fieldmark__23_1727207029"/>
            <w:bookmarkStart w:id="18" w:name="__Fieldmark__23_3646315127"/>
            <w:bookmarkStart w:id="19" w:name="__Fieldmark__23_3898897760"/>
            <w:bookmarkStart w:id="20" w:name="__Fieldmark__23_2983770875"/>
            <w:bookmarkStart w:id="21" w:name="__Fieldmark__23_3025508438"/>
            <w:bookmarkStart w:id="22" w:name="__Fieldmark__23_3140773486"/>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Fonts w:cs="Arial" w:ascii="Arial" w:hAnsi="Arial"/>
                <w:sz w:val="22"/>
                <w:szCs w:val="22"/>
              </w:rPr>
              <w:t xml:space="preserve">    2</w:t>
            </w:r>
            <w:r>
              <w:rPr>
                <w:rFonts w:cs="Arial" w:ascii="Arial" w:hAnsi="Arial"/>
                <w:sz w:val="22"/>
                <w:szCs w:val="22"/>
                <w:vertAlign w:val="superscript"/>
              </w:rPr>
              <w:t>nd</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23" w:name="__Fieldmark__92_1805312052"/>
            <w:bookmarkStart w:id="24" w:name="__Fieldmark__92_1805312052"/>
            <w:bookmarkEnd w:id="24"/>
            <w:r>
              <w:rPr>
                <w:rFonts w:cs="Arial" w:ascii="Arial" w:hAnsi="Arial"/>
                <w:sz w:val="22"/>
                <w:szCs w:val="22"/>
              </w:rPr>
            </w:r>
            <w:r>
              <w:rPr>
                <w:sz w:val="22"/>
                <w:szCs w:val="22"/>
                <w:rFonts w:cs="Arial" w:ascii="Arial" w:hAnsi="Arial"/>
              </w:rPr>
              <w:fldChar w:fldCharType="end"/>
            </w:r>
            <w:bookmarkStart w:id="25" w:name="__Fieldmark__86_3532816023"/>
            <w:bookmarkStart w:id="26" w:name="__Fieldmark__80_2466596599"/>
            <w:bookmarkStart w:id="27" w:name="__Fieldmark__74_1434447374"/>
            <w:bookmarkStart w:id="28" w:name="__Fieldmark__68_3592053639"/>
            <w:bookmarkStart w:id="29" w:name="__Fieldmark__62_4066352522"/>
            <w:bookmarkStart w:id="30" w:name="__Fieldmark__56_537937223"/>
            <w:bookmarkStart w:id="31" w:name="__Fieldmark__50_2614174510"/>
            <w:bookmarkStart w:id="32" w:name="__Fieldmark__43_2576500037"/>
            <w:bookmarkStart w:id="33" w:name="__Fieldmark__36_4032033379"/>
            <w:bookmarkStart w:id="34" w:name="__Fieldmark__30_2898849536"/>
            <w:bookmarkStart w:id="35" w:name="__Fieldmark__205_957734852"/>
            <w:bookmarkStart w:id="36" w:name="__Fieldmark__33_58692160"/>
            <w:bookmarkStart w:id="37" w:name="__Fieldmark__42_740167760"/>
            <w:bookmarkStart w:id="38" w:name="__Fieldmark__50_3832053622"/>
            <w:bookmarkStart w:id="39" w:name="__Fieldmark__53_2591118562"/>
            <w:bookmarkStart w:id="40" w:name="__Fieldmark__59_1727207029"/>
            <w:bookmarkStart w:id="41" w:name="__Fieldmark__65_3646315127"/>
            <w:bookmarkStart w:id="42" w:name="__Fieldmark__71_3898897760"/>
            <w:bookmarkStart w:id="43" w:name="__Fieldmark__77_2983770875"/>
            <w:bookmarkStart w:id="44" w:name="__Fieldmark__83_3025508438"/>
            <w:bookmarkStart w:id="45" w:name="__Fieldmark__88_3140773486"/>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Fonts w:cs="Arial" w:ascii="Arial" w:hAnsi="Arial"/>
                <w:sz w:val="22"/>
                <w:szCs w:val="22"/>
              </w:rPr>
              <w:t xml:space="preserve">     3</w:t>
            </w:r>
            <w:r>
              <w:rPr>
                <w:rFonts w:cs="Arial" w:ascii="Arial" w:hAnsi="Arial"/>
                <w:sz w:val="22"/>
                <w:szCs w:val="22"/>
                <w:vertAlign w:val="superscript"/>
              </w:rPr>
              <w:t>rd</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46" w:name="__Fieldmark__161_1805312052"/>
            <w:bookmarkStart w:id="47" w:name="__Fieldmark__161_1805312052"/>
            <w:bookmarkEnd w:id="47"/>
            <w:r>
              <w:rPr>
                <w:rFonts w:cs="Arial" w:ascii="Arial" w:hAnsi="Arial"/>
                <w:sz w:val="22"/>
                <w:szCs w:val="22"/>
              </w:rPr>
            </w:r>
            <w:r>
              <w:rPr>
                <w:sz w:val="22"/>
                <w:szCs w:val="22"/>
                <w:rFonts w:cs="Arial" w:ascii="Arial" w:hAnsi="Arial"/>
              </w:rPr>
              <w:fldChar w:fldCharType="end"/>
            </w:r>
            <w:bookmarkStart w:id="48" w:name="__Fieldmark__149_3532816023"/>
            <w:bookmarkStart w:id="49" w:name="__Fieldmark__137_2466596599"/>
            <w:bookmarkStart w:id="50" w:name="__Fieldmark__125_1434447374"/>
            <w:bookmarkStart w:id="51" w:name="__Fieldmark__113_3592053639"/>
            <w:bookmarkStart w:id="52" w:name="__Fieldmark__101_4066352522"/>
            <w:bookmarkStart w:id="53" w:name="__Fieldmark__89_537937223"/>
            <w:bookmarkStart w:id="54" w:name="__Fieldmark__77_2614174510"/>
            <w:bookmarkStart w:id="55" w:name="__Fieldmark__64_2576500037"/>
            <w:bookmarkStart w:id="56" w:name="__Fieldmark__51_4032033379"/>
            <w:bookmarkStart w:id="57" w:name="__Fieldmark__39_2898849536"/>
            <w:bookmarkStart w:id="58" w:name="__Fieldmark__212_957734852"/>
            <w:bookmarkStart w:id="59" w:name="__Fieldmark__45_58692160"/>
            <w:bookmarkStart w:id="60" w:name="__Fieldmark__60_740167760"/>
            <w:bookmarkStart w:id="61" w:name="__Fieldmark__74_3832053622"/>
            <w:bookmarkStart w:id="62" w:name="__Fieldmark__83_2591118562"/>
            <w:bookmarkStart w:id="63" w:name="__Fieldmark__95_1727207029"/>
            <w:bookmarkStart w:id="64" w:name="__Fieldmark__107_3646315127"/>
            <w:bookmarkStart w:id="65" w:name="__Fieldmark__119_3898897760"/>
            <w:bookmarkStart w:id="66" w:name="__Fieldmark__131_2983770875"/>
            <w:bookmarkStart w:id="67" w:name="__Fieldmark__143_3025508438"/>
            <w:bookmarkStart w:id="68" w:name="__Fieldmark__153_3140773486"/>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cs="Arial" w:ascii="Arial" w:hAnsi="Arial"/>
                <w:sz w:val="22"/>
                <w:szCs w:val="22"/>
              </w:rPr>
              <w:t xml:space="preserve">      4</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69" w:name="__Fieldmark__230_1805312052"/>
            <w:bookmarkStart w:id="70" w:name="__Fieldmark__230_1805312052"/>
            <w:bookmarkEnd w:id="70"/>
            <w:r>
              <w:rPr>
                <w:rFonts w:cs="Arial" w:ascii="Arial" w:hAnsi="Arial"/>
                <w:sz w:val="22"/>
                <w:szCs w:val="22"/>
              </w:rPr>
            </w:r>
            <w:r>
              <w:rPr>
                <w:sz w:val="22"/>
                <w:szCs w:val="22"/>
                <w:rFonts w:cs="Arial" w:ascii="Arial" w:hAnsi="Arial"/>
              </w:rPr>
              <w:fldChar w:fldCharType="end"/>
            </w:r>
            <w:bookmarkStart w:id="71" w:name="__Fieldmark__212_3532816023"/>
            <w:bookmarkStart w:id="72" w:name="__Fieldmark__194_2466596599"/>
            <w:bookmarkStart w:id="73" w:name="__Fieldmark__176_1434447374"/>
            <w:bookmarkStart w:id="74" w:name="__Fieldmark__158_3592053639"/>
            <w:bookmarkStart w:id="75" w:name="__Fieldmark__140_4066352522"/>
            <w:bookmarkStart w:id="76" w:name="__Fieldmark__122_537937223"/>
            <w:bookmarkStart w:id="77" w:name="__Fieldmark__104_2614174510"/>
            <w:bookmarkStart w:id="78" w:name="__Fieldmark__85_2576500037"/>
            <w:bookmarkStart w:id="79" w:name="__Fieldmark__66_4032033379"/>
            <w:bookmarkStart w:id="80" w:name="__Fieldmark__48_2898849536"/>
            <w:bookmarkStart w:id="81" w:name="__Fieldmark__219_957734852"/>
            <w:bookmarkStart w:id="82" w:name="__Fieldmark__57_58692160"/>
            <w:bookmarkStart w:id="83" w:name="__Fieldmark__78_740167760"/>
            <w:bookmarkStart w:id="84" w:name="__Fieldmark__98_3832053622"/>
            <w:bookmarkStart w:id="85" w:name="__Fieldmark__113_2591118562"/>
            <w:bookmarkStart w:id="86" w:name="__Fieldmark__131_1727207029"/>
            <w:bookmarkStart w:id="87" w:name="__Fieldmark__149_3646315127"/>
            <w:bookmarkStart w:id="88" w:name="__Fieldmark__167_3898897760"/>
            <w:bookmarkStart w:id="89" w:name="__Fieldmark__185_2983770875"/>
            <w:bookmarkStart w:id="90" w:name="__Fieldmark__203_3025508438"/>
            <w:bookmarkStart w:id="91" w:name="__Fieldmark__218_3140773486"/>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cs="Arial" w:ascii="Arial" w:hAnsi="Arial"/>
                <w:sz w:val="22"/>
                <w:szCs w:val="22"/>
              </w:rPr>
              <w:t xml:space="preserve">      5</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92" w:name="__Fieldmark__299_1805312052"/>
            <w:bookmarkStart w:id="93" w:name="__Fieldmark__299_1805312052"/>
            <w:bookmarkEnd w:id="93"/>
            <w:r>
              <w:rPr>
                <w:rFonts w:cs="Arial" w:ascii="Arial" w:hAnsi="Arial"/>
                <w:sz w:val="22"/>
                <w:szCs w:val="22"/>
              </w:rPr>
            </w:r>
            <w:r>
              <w:rPr>
                <w:sz w:val="22"/>
                <w:szCs w:val="22"/>
                <w:rFonts w:cs="Arial" w:ascii="Arial" w:hAnsi="Arial"/>
              </w:rPr>
              <w:fldChar w:fldCharType="end"/>
            </w:r>
            <w:bookmarkStart w:id="94" w:name="__Fieldmark__275_3532816023"/>
            <w:bookmarkStart w:id="95" w:name="__Fieldmark__251_2466596599"/>
            <w:bookmarkStart w:id="96" w:name="__Fieldmark__227_1434447374"/>
            <w:bookmarkStart w:id="97" w:name="__Fieldmark__203_3592053639"/>
            <w:bookmarkStart w:id="98" w:name="__Fieldmark__179_4066352522"/>
            <w:bookmarkStart w:id="99" w:name="__Fieldmark__155_537937223"/>
            <w:bookmarkStart w:id="100" w:name="__Fieldmark__131_2614174510"/>
            <w:bookmarkStart w:id="101" w:name="__Fieldmark__106_2576500037"/>
            <w:bookmarkStart w:id="102" w:name="__Fieldmark__81_4032033379"/>
            <w:bookmarkStart w:id="103" w:name="__Fieldmark__57_2898849536"/>
            <w:bookmarkStart w:id="104" w:name="__Fieldmark__226_957734852"/>
            <w:bookmarkStart w:id="105" w:name="__Fieldmark__69_58692160"/>
            <w:bookmarkStart w:id="106" w:name="__Fieldmark__96_740167760"/>
            <w:bookmarkStart w:id="107" w:name="__Fieldmark__122_3832053622"/>
            <w:bookmarkStart w:id="108" w:name="__Fieldmark__143_2591118562"/>
            <w:bookmarkStart w:id="109" w:name="__Fieldmark__167_1727207029"/>
            <w:bookmarkStart w:id="110" w:name="__Fieldmark__191_3646315127"/>
            <w:bookmarkStart w:id="111" w:name="__Fieldmark__215_3898897760"/>
            <w:bookmarkStart w:id="112" w:name="__Fieldmark__239_2983770875"/>
            <w:bookmarkStart w:id="113" w:name="__Fieldmark__263_3025508438"/>
            <w:bookmarkStart w:id="114" w:name="__Fieldmark__283_314077348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cs="Arial" w:ascii="Arial" w:hAnsi="Arial"/>
                <w:sz w:val="22"/>
                <w:szCs w:val="22"/>
              </w:rPr>
              <w:t xml:space="preserve">      6</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115" w:name="__Fieldmark__368_1805312052"/>
            <w:bookmarkStart w:id="116" w:name="__Fieldmark__368_1805312052"/>
            <w:bookmarkEnd w:id="116"/>
            <w:r>
              <w:rPr>
                <w:rFonts w:cs="Arial" w:ascii="Arial" w:hAnsi="Arial"/>
                <w:sz w:val="22"/>
                <w:szCs w:val="22"/>
              </w:rPr>
            </w:r>
            <w:r>
              <w:rPr>
                <w:sz w:val="22"/>
                <w:szCs w:val="22"/>
                <w:rFonts w:cs="Arial" w:ascii="Arial" w:hAnsi="Arial"/>
              </w:rPr>
              <w:fldChar w:fldCharType="end"/>
            </w:r>
            <w:bookmarkStart w:id="117" w:name="__Fieldmark__338_3532816023"/>
            <w:bookmarkStart w:id="118" w:name="__Fieldmark__308_2466596599"/>
            <w:bookmarkStart w:id="119" w:name="__Fieldmark__278_1434447374"/>
            <w:bookmarkStart w:id="120" w:name="__Fieldmark__248_3592053639"/>
            <w:bookmarkStart w:id="121" w:name="__Fieldmark__218_4066352522"/>
            <w:bookmarkStart w:id="122" w:name="__Fieldmark__188_537937223"/>
            <w:bookmarkStart w:id="123" w:name="__Fieldmark__158_2614174510"/>
            <w:bookmarkStart w:id="124" w:name="__Fieldmark__127_2576500037"/>
            <w:bookmarkStart w:id="125" w:name="__Fieldmark__96_4032033379"/>
            <w:bookmarkStart w:id="126" w:name="__Fieldmark__66_2898849536"/>
            <w:bookmarkStart w:id="127" w:name="__Fieldmark__233_957734852"/>
            <w:bookmarkStart w:id="128" w:name="__Fieldmark__81_58692160"/>
            <w:bookmarkStart w:id="129" w:name="__Fieldmark__114_740167760"/>
            <w:bookmarkStart w:id="130" w:name="__Fieldmark__146_3832053622"/>
            <w:bookmarkStart w:id="131" w:name="__Fieldmark__173_2591118562"/>
            <w:bookmarkStart w:id="132" w:name="__Fieldmark__203_1727207029"/>
            <w:bookmarkStart w:id="133" w:name="__Fieldmark__233_3646315127"/>
            <w:bookmarkStart w:id="134" w:name="__Fieldmark__263_3898897760"/>
            <w:bookmarkStart w:id="135" w:name="__Fieldmark__293_2983770875"/>
            <w:bookmarkStart w:id="136" w:name="__Fieldmark__323_3025508438"/>
            <w:bookmarkStart w:id="137" w:name="__Fieldmark__348_314077348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cs="Arial" w:ascii="Arial" w:hAnsi="Arial"/>
                <w:b/>
                <w:sz w:val="22"/>
                <w:szCs w:val="22"/>
              </w:rPr>
              <w:t xml:space="preserve">   </w:t>
            </w:r>
            <w:r>
              <w:rPr>
                <w:rFonts w:cs="Arial" w:ascii="Arial" w:hAnsi="Arial"/>
                <w:sz w:val="22"/>
                <w:szCs w:val="22"/>
              </w:rPr>
              <w:t>module of the degree</w:t>
            </w:r>
          </w:p>
        </w:tc>
      </w:tr>
      <w:tr>
        <w:trPr>
          <w:trHeight w:val="978" w:hRule="atLeast"/>
        </w:trPr>
        <w:tc>
          <w:tcPr>
            <w:tcW w:w="8636" w:type="dxa"/>
            <w:gridSpan w:val="5"/>
            <w:tcBorders>
              <w:top w:val="single" w:sz="4" w:space="0" w:color="000000"/>
              <w:left w:val="single" w:sz="4" w:space="0" w:color="000000"/>
              <w:bottom w:val="single" w:sz="4" w:space="0" w:color="000000"/>
              <w:right w:val="single" w:sz="4" w:space="0" w:color="000000"/>
            </w:tcBorders>
            <w:shd w:color="auto" w:fill="D9D9D9" w:val="clear"/>
          </w:tcPr>
          <w:p>
            <w:pPr>
              <w:pStyle w:val="NormalWeb"/>
              <w:widowControl w:val="false"/>
              <w:spacing w:beforeAutospacing="0" w:before="280" w:afterAutospacing="0" w:after="280"/>
              <w:ind w:right="34" w:hanging="0"/>
              <w:rPr>
                <w:rFonts w:ascii="Arial" w:hAnsi="Arial" w:cs="Arial"/>
                <w:sz w:val="22"/>
                <w:szCs w:val="22"/>
              </w:rPr>
            </w:pPr>
            <w:r>
              <w:rPr>
                <w:rFonts w:cs="Arial" w:ascii="Arial" w:hAnsi="Arial"/>
                <w:sz w:val="22"/>
                <w:szCs w:val="22"/>
              </w:rPr>
              <w:t>I confirm that this is my original work and that I have adhered to the University policy on plagiarism.</w:t>
            </w:r>
          </w:p>
          <w:p>
            <w:pPr>
              <w:pStyle w:val="NormalWeb"/>
              <w:widowControl w:val="false"/>
              <w:spacing w:before="280" w:after="280"/>
              <w:ind w:right="34" w:hanging="0"/>
              <w:rPr>
                <w:rFonts w:ascii="Arial" w:hAnsi="Arial" w:cs="Arial"/>
                <w:sz w:val="22"/>
                <w:szCs w:val="22"/>
              </w:rPr>
            </w:pPr>
            <w:r>
              <w:rPr>
                <w:rFonts w:cs="Arial" w:ascii="Arial" w:hAnsi="Arial"/>
                <w:sz w:val="22"/>
                <w:szCs w:val="22"/>
              </w:rPr>
              <w:t>Signed ………R.P.Booker……………………………………………………</w:t>
            </w:r>
          </w:p>
          <w:p>
            <w:pPr>
              <w:pStyle w:val="NormalWeb"/>
              <w:widowControl w:val="false"/>
              <w:spacing w:before="280" w:after="280"/>
              <w:ind w:right="34" w:hanging="0"/>
              <w:rPr>
                <w:rFonts w:ascii="Calibri" w:hAnsi="Calibri" w:cs="Calibri"/>
                <w:b/>
                <w:b/>
                <w:sz w:val="44"/>
                <w:szCs w:val="44"/>
              </w:rPr>
            </w:pPr>
            <w:r>
              <w:rPr>
                <w:rFonts w:cs="Tahoma" w:ascii="Calibri" w:hAnsi="Calibri"/>
                <w:b/>
                <w:sz w:val="24"/>
                <w:szCs w:val="24"/>
              </w:rPr>
              <w:t xml:space="preserve">Email submission:if you are submitting this form via email, please tick this box </w:t>
            </w:r>
            <w:r>
              <w:rPr>
                <w:rFonts w:cs="Calibri" w:ascii="Calibri" w:hAnsi="Calibri"/>
                <w:b/>
                <w:sz w:val="44"/>
                <w:szCs w:val="44"/>
              </w:rPr>
              <w:t>□</w:t>
            </w:r>
          </w:p>
          <w:p>
            <w:pPr>
              <w:pStyle w:val="NormalWeb"/>
              <w:widowControl w:val="false"/>
              <w:spacing w:beforeAutospacing="0" w:before="280" w:afterAutospacing="0" w:after="280"/>
              <w:ind w:right="34" w:hanging="0"/>
              <w:rPr>
                <w:rFonts w:ascii="Arial" w:hAnsi="Arial" w:cs="Arial"/>
                <w:sz w:val="22"/>
                <w:szCs w:val="22"/>
              </w:rPr>
            </w:pPr>
            <w:r>
              <w:rPr>
                <w:rFonts w:cs="Tahoma" w:ascii="Calibri" w:hAnsi="Calibri"/>
                <w:b/>
                <w:sz w:val="24"/>
                <w:szCs w:val="24"/>
              </w:rPr>
              <w:t>(as a substitute for your signature) to confirm that you agree to the above declaration.</w:t>
            </w:r>
          </w:p>
        </w:tc>
      </w:tr>
      <w:tr>
        <w:trPr>
          <w:trHeight w:val="3972"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b/>
                <w:b/>
              </w:rPr>
            </w:pPr>
            <w:r>
              <w:rPr>
                <w:rFonts w:ascii="Arial" w:hAnsi="Arial"/>
                <w:b/>
              </w:rPr>
            </w:r>
          </w:p>
          <w:p>
            <w:pPr>
              <w:pStyle w:val="Normal"/>
              <w:widowControl w:val="false"/>
              <w:rPr>
                <w:rFonts w:ascii="Arial" w:hAnsi="Arial"/>
              </w:rPr>
            </w:pPr>
            <w:r>
              <w:rPr>
                <w:rFonts w:ascii="Arial" w:hAnsi="Arial"/>
                <w:b/>
              </w:rPr>
              <w:t>Assignment Mark</w:t>
            </w:r>
          </w:p>
          <w:tbl>
            <w:tblPr>
              <w:tblW w:w="8410"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6802"/>
              <w:gridCol w:w="1607"/>
            </w:tblGrid>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External Examiner’s mark (if relevant)</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b/>
                      <w:b/>
                      <w:sz w:val="20"/>
                      <w:szCs w:val="20"/>
                    </w:rPr>
                  </w:pPr>
                  <w:r>
                    <w:rPr>
                      <w:rFonts w:ascii="Arial" w:hAnsi="Arial"/>
                      <w:b/>
                      <w:sz w:val="20"/>
                      <w:szCs w:val="20"/>
                    </w:rPr>
                    <w:t>Final Mark</w:t>
                  </w:r>
                </w:p>
                <w:p>
                  <w:pPr>
                    <w:pStyle w:val="Normal"/>
                    <w:widowControl w:val="false"/>
                    <w:rPr>
                      <w:rFonts w:ascii="Arial" w:hAnsi="Arial"/>
                      <w:sz w:val="20"/>
                      <w:szCs w:val="20"/>
                    </w:rPr>
                  </w:pPr>
                  <w:r>
                    <w:rPr>
                      <w:rFonts w:ascii="Arial" w:hAnsi="Arial"/>
                      <w:sz w:val="20"/>
                      <w:szCs w:val="20"/>
                    </w:rPr>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bl>
          <w:p>
            <w:pPr>
              <w:pStyle w:val="NormalWeb"/>
              <w:widowControl w:val="false"/>
              <w:spacing w:before="0" w:after="280"/>
              <w:ind w:left="142" w:right="34" w:hanging="0"/>
              <w:rPr>
                <w:rFonts w:ascii="Arial" w:hAnsi="Arial" w:cs="Arial"/>
                <w:b/>
                <w:b/>
                <w:sz w:val="22"/>
                <w:szCs w:val="22"/>
              </w:rPr>
            </w:pPr>
            <w:r>
              <w:rPr>
                <w:rFonts w:cs="Arial" w:ascii="Arial" w:hAnsi="Arial"/>
                <w:b/>
                <w:sz w:val="22"/>
                <w:szCs w:val="22"/>
              </w:rPr>
            </w:r>
          </w:p>
          <w:p>
            <w:pPr>
              <w:pStyle w:val="NormalWeb"/>
              <w:widowControl w:val="false"/>
              <w:spacing w:before="280" w:after="280"/>
              <w:ind w:left="142" w:right="34" w:hanging="0"/>
              <w:rPr>
                <w:rFonts w:ascii="Arial" w:hAnsi="Arial" w:cs="Arial"/>
                <w:sz w:val="22"/>
                <w:szCs w:val="22"/>
              </w:rPr>
            </w:pPr>
            <w:r>
              <w:rPr>
                <w:rFonts w:cs="Arial" w:ascii="Arial" w:hAnsi="Arial"/>
                <w:b/>
                <w:sz w:val="22"/>
                <w:szCs w:val="22"/>
              </w:rPr>
              <w:t>NB.</w:t>
            </w:r>
            <w:r>
              <w:rPr>
                <w:rFonts w:cs="Arial" w:ascii="Arial" w:hAnsi="Arial"/>
                <w:sz w:val="22"/>
                <w:szCs w:val="22"/>
              </w:rPr>
              <w:t xml:space="preserve">  All marks are provisional until confirmed by the Final Examination Board.</w:t>
            </w:r>
          </w:p>
          <w:p>
            <w:pPr>
              <w:pStyle w:val="NormalWeb"/>
              <w:widowControl w:val="false"/>
              <w:spacing w:before="280" w:after="280"/>
              <w:rPr>
                <w:rFonts w:ascii="Arial" w:hAnsi="Arial" w:cs="Arial"/>
                <w:b/>
                <w:b/>
                <w:sz w:val="22"/>
                <w:szCs w:val="22"/>
              </w:rPr>
            </w:pPr>
            <w:r>
              <w:rPr>
                <w:rFonts w:cs="Arial" w:ascii="Arial" w:hAnsi="Arial"/>
                <w:b/>
                <w:sz w:val="22"/>
                <w:szCs w:val="22"/>
              </w:rPr>
            </w:r>
          </w:p>
          <w:p>
            <w:pPr>
              <w:pStyle w:val="NormalWeb"/>
              <w:widowControl w:val="false"/>
              <w:spacing w:before="280" w:after="280"/>
              <w:rPr>
                <w:rFonts w:ascii="Arial" w:hAnsi="Arial" w:cs="Arial"/>
                <w:b/>
                <w:b/>
                <w:sz w:val="22"/>
                <w:szCs w:val="22"/>
              </w:rPr>
            </w:pPr>
            <w:r>
              <w:rPr>
                <w:rFonts w:cs="Arial" w:ascii="Arial" w:hAnsi="Arial"/>
                <w:b/>
                <w:sz w:val="22"/>
                <w:szCs w:val="22"/>
              </w:rPr>
            </w:r>
          </w:p>
          <w:p>
            <w:pPr>
              <w:pStyle w:val="NormalWeb"/>
              <w:widowControl w:val="false"/>
              <w:spacing w:before="280" w:after="280"/>
              <w:rPr>
                <w:rFonts w:ascii="Arial" w:hAnsi="Arial" w:cs="Arial"/>
                <w:b/>
                <w:b/>
                <w:sz w:val="22"/>
                <w:szCs w:val="22"/>
              </w:rPr>
            </w:pPr>
            <w:r>
              <w:rPr>
                <w:rFonts w:cs="Arial" w:ascii="Arial" w:hAnsi="Arial"/>
                <w:b/>
                <w:sz w:val="22"/>
                <w:szCs w:val="22"/>
              </w:rPr>
            </w:r>
          </w:p>
          <w:p>
            <w:pPr>
              <w:pStyle w:val="NormalWeb"/>
              <w:widowControl w:val="false"/>
              <w:spacing w:before="280" w:after="280"/>
              <w:rPr>
                <w:rFonts w:ascii="Arial" w:hAnsi="Arial" w:cs="Arial"/>
                <w:b/>
                <w:b/>
                <w:sz w:val="22"/>
                <w:szCs w:val="22"/>
              </w:rPr>
            </w:pPr>
            <w:r>
              <w:rPr>
                <w:rFonts w:cs="Arial" w:ascii="Arial" w:hAnsi="Arial"/>
                <w:b/>
                <w:sz w:val="22"/>
                <w:szCs w:val="22"/>
              </w:rPr>
            </w:r>
          </w:p>
          <w:p>
            <w:pPr>
              <w:pStyle w:val="NormalWeb"/>
              <w:widowControl w:val="false"/>
              <w:spacing w:before="280" w:after="280"/>
              <w:rPr>
                <w:rFonts w:ascii="Arial" w:hAnsi="Arial" w:cs="Arial"/>
                <w:b/>
                <w:b/>
                <w:sz w:val="22"/>
                <w:szCs w:val="22"/>
              </w:rPr>
            </w:pPr>
            <w:r>
              <w:rPr>
                <w:rFonts w:cs="Arial" w:ascii="Arial" w:hAnsi="Arial"/>
                <w:b/>
                <w:sz w:val="22"/>
                <w:szCs w:val="22"/>
              </w:rPr>
            </w:r>
          </w:p>
          <w:p>
            <w:pPr>
              <w:pStyle w:val="NormalWeb"/>
              <w:widowControl w:val="false"/>
              <w:spacing w:before="280" w:after="280"/>
              <w:rPr>
                <w:rFonts w:ascii="Arial" w:hAnsi="Arial" w:cs="Arial"/>
                <w:b/>
                <w:b/>
                <w:sz w:val="22"/>
                <w:szCs w:val="22"/>
              </w:rPr>
            </w:pPr>
            <w:r>
              <w:rPr>
                <w:rFonts w:cs="Arial" w:ascii="Arial" w:hAnsi="Arial"/>
                <w:b/>
                <w:sz w:val="22"/>
                <w:szCs w:val="22"/>
              </w:rPr>
              <w:t>For completion by Marker 1 :</w:t>
            </w:r>
          </w:p>
          <w:p>
            <w:pPr>
              <w:pStyle w:val="NormalWeb"/>
              <w:widowControl w:val="false"/>
              <w:spacing w:beforeAutospacing="0" w:before="49" w:afterAutospacing="0" w:after="49"/>
              <w:rPr>
                <w:rFonts w:ascii="Arial" w:hAnsi="Arial" w:cs="Arial"/>
                <w:sz w:val="22"/>
                <w:szCs w:val="22"/>
              </w:rPr>
            </w:pPr>
            <w:r>
              <w:rPr>
                <w:rFonts w:cs="Arial" w:ascii="Arial" w:hAnsi="Arial"/>
                <w:sz w:val="22"/>
                <w:szCs w:val="22"/>
              </w:rPr>
              <w:t>Comments:</w:t>
            </w:r>
          </w:p>
          <w:p>
            <w:pPr>
              <w:pStyle w:val="NormalWeb"/>
              <w:widowControl w:val="false"/>
              <w:spacing w:before="49" w:after="0"/>
              <w:rPr>
                <w:rFonts w:ascii="Arial" w:hAnsi="Arial" w:cs="Arial"/>
                <w:sz w:val="22"/>
                <w:szCs w:val="22"/>
              </w:rPr>
            </w:pPr>
            <w:r>
              <w:rPr>
                <w:rFonts w:cs="Arial" w:ascii="Arial" w:hAnsi="Arial"/>
                <w:sz w:val="22"/>
                <w:szCs w:val="22"/>
              </w:rPr>
            </w:r>
          </w:p>
        </w:tc>
      </w:tr>
      <w:tr>
        <w:trPr>
          <w:trHeight w:val="492" w:hRule="atLeast"/>
        </w:trPr>
        <w:tc>
          <w:tcPr>
            <w:tcW w:w="6552"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left="142" w:right="34" w:hanging="0"/>
              <w:rPr>
                <w:rFonts w:ascii="Arial" w:hAnsi="Arial" w:cs="Arial"/>
                <w:sz w:val="22"/>
                <w:szCs w:val="22"/>
              </w:rPr>
            </w:pPr>
            <w:r>
              <w:rPr>
                <w:rFonts w:cs="Arial" w:ascii="Arial" w:hAnsi="Arial"/>
                <w:sz w:val="22"/>
                <w:szCs w:val="22"/>
              </w:rPr>
              <w:t>Marker’s signature:</w:t>
            </w:r>
          </w:p>
        </w:tc>
        <w:tc>
          <w:tcPr>
            <w:tcW w:w="2084"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left="142" w:right="34" w:hanging="0"/>
              <w:rPr>
                <w:rFonts w:ascii="Arial" w:hAnsi="Arial" w:cs="Arial"/>
                <w:sz w:val="22"/>
                <w:szCs w:val="22"/>
              </w:rPr>
            </w:pPr>
            <w:r>
              <w:rPr>
                <w:rFonts w:cs="Arial" w:ascii="Arial" w:hAnsi="Arial"/>
                <w:sz w:val="22"/>
                <w:szCs w:val="22"/>
              </w:rPr>
              <w:t>Date:</w:t>
            </w:r>
          </w:p>
        </w:tc>
      </w:tr>
      <w:tr>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34" w:hanging="0"/>
              <w:rPr>
                <w:rFonts w:ascii="Arial" w:hAnsi="Arial" w:cs="Arial"/>
                <w:bCs/>
                <w:i/>
                <w:i/>
                <w:sz w:val="22"/>
                <w:szCs w:val="22"/>
              </w:rPr>
            </w:pPr>
            <w:r>
              <w:rPr>
                <w:rFonts w:cs="Arial" w:ascii="Arial" w:hAnsi="Arial"/>
                <w:bCs/>
                <w:i/>
                <w:sz w:val="22"/>
                <w:szCs w:val="22"/>
              </w:rPr>
            </w:r>
          </w:p>
          <w:p>
            <w:pPr>
              <w:pStyle w:val="NormalWeb"/>
              <w:widowControl w:val="false"/>
              <w:spacing w:before="280" w:after="280"/>
              <w:ind w:right="-334" w:hanging="0"/>
              <w:rPr>
                <w:rFonts w:ascii="Arial" w:hAnsi="Arial" w:cs="Arial"/>
                <w:b/>
                <w:b/>
                <w:bCs/>
                <w:sz w:val="22"/>
                <w:szCs w:val="22"/>
              </w:rPr>
            </w:pPr>
            <w:r>
              <w:rPr>
                <w:rFonts w:cs="Arial" w:ascii="Arial" w:hAnsi="Arial"/>
                <w:b/>
                <w:bCs/>
                <w:sz w:val="22"/>
                <w:szCs w:val="22"/>
              </w:rPr>
              <w:t>For completion by Marker 2/Moderator:</w:t>
            </w:r>
          </w:p>
          <w:p>
            <w:pPr>
              <w:pStyle w:val="NormalWeb"/>
              <w:widowControl w:val="false"/>
              <w:spacing w:before="280" w:after="280"/>
              <w:ind w:right="-334" w:hanging="0"/>
              <w:rPr>
                <w:rFonts w:ascii="Arial" w:hAnsi="Arial" w:cs="Arial"/>
                <w:b/>
                <w:b/>
                <w:bCs/>
                <w:sz w:val="22"/>
                <w:szCs w:val="22"/>
              </w:rPr>
            </w:pPr>
            <w:r>
              <w:rPr>
                <w:rFonts w:cs="Arial" w:ascii="Arial" w:hAnsi="Arial"/>
                <w:b/>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t>Comments:</w:t>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280" w:afterAutospacing="0" w:after="280"/>
              <w:ind w:right="-334" w:hanging="0"/>
              <w:rPr>
                <w:rFonts w:ascii="Arial" w:hAnsi="Arial" w:cs="Arial"/>
                <w:bCs/>
                <w:sz w:val="22"/>
                <w:szCs w:val="22"/>
              </w:rPr>
            </w:pPr>
            <w:r>
              <w:rPr>
                <w:rFonts w:cs="Arial" w:ascii="Arial" w:hAnsi="Arial"/>
                <w:bCs/>
                <w:sz w:val="22"/>
                <w:szCs w:val="22"/>
              </w:rPr>
            </w:r>
          </w:p>
        </w:tc>
      </w:tr>
      <w:tr>
        <w:trPr>
          <w:trHeight w:val="720" w:hRule="atLeast"/>
        </w:trPr>
        <w:tc>
          <w:tcPr>
            <w:tcW w:w="5037"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34" w:hanging="0"/>
              <w:rPr>
                <w:rFonts w:ascii="Arial" w:hAnsi="Arial" w:cs="Arial"/>
                <w:bCs/>
                <w:sz w:val="22"/>
                <w:szCs w:val="22"/>
              </w:rPr>
            </w:pPr>
            <w:r>
              <w:rPr>
                <w:rFonts w:cs="Arial" w:ascii="Arial" w:hAnsi="Arial"/>
                <w:bCs/>
                <w:sz w:val="22"/>
                <w:szCs w:val="22"/>
              </w:rPr>
              <w:t>Marker’s Signature:</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280" w:afterAutospacing="0" w:after="280"/>
              <w:ind w:right="-334" w:hanging="0"/>
              <w:rPr>
                <w:rFonts w:ascii="Arial" w:hAnsi="Arial" w:cs="Arial"/>
                <w:bCs/>
                <w:sz w:val="22"/>
                <w:szCs w:val="22"/>
              </w:rPr>
            </w:pPr>
            <w:r>
              <w:rPr>
                <w:rFonts w:cs="Arial" w:ascii="Arial" w:hAnsi="Arial"/>
                <w:bCs/>
                <w:sz w:val="22"/>
                <w:szCs w:val="22"/>
              </w:rPr>
              <w:t>Date:</w:t>
            </w:r>
          </w:p>
        </w:tc>
      </w:tr>
      <w:tr>
        <w:trPr>
          <w:trHeight w:val="720"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b/>
                <w:b/>
                <w:sz w:val="22"/>
                <w:szCs w:val="22"/>
              </w:rPr>
            </w:pPr>
            <w:r>
              <w:rPr>
                <w:rFonts w:cs="Arial" w:ascii="Arial" w:hAnsi="Arial"/>
                <w:b/>
                <w:sz w:val="22"/>
                <w:szCs w:val="22"/>
              </w:rPr>
              <w:t>External Examiner’s comments (if relevant)</w:t>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280" w:after="28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280" w:afterAutospacing="0" w:after="280"/>
              <w:ind w:right="-334" w:hanging="0"/>
              <w:rPr>
                <w:rFonts w:ascii="Arial" w:hAnsi="Arial" w:cs="Arial"/>
                <w:bCs/>
                <w:sz w:val="22"/>
                <w:szCs w:val="22"/>
              </w:rPr>
            </w:pPr>
            <w:r>
              <w:rPr>
                <w:rFonts w:cs="Arial" w:ascii="Arial" w:hAnsi="Arial"/>
                <w:bCs/>
                <w:sz w:val="22"/>
                <w:szCs w:val="22"/>
              </w:rPr>
            </w:r>
          </w:p>
        </w:tc>
      </w:tr>
      <w:tr>
        <w:trPr>
          <w:trHeight w:val="720" w:hRule="atLeast"/>
        </w:trPr>
        <w:tc>
          <w:tcPr>
            <w:tcW w:w="503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External Examiner’s Signature:</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Date:</w:t>
            </w:r>
          </w:p>
        </w:tc>
      </w:tr>
    </w:tbl>
    <w:p>
      <w:pPr>
        <w:pStyle w:val="NormalWeb"/>
        <w:spacing w:before="280" w:after="280"/>
        <w:ind w:right="-334" w:hanging="0"/>
        <w:rPr>
          <w:rFonts w:ascii="Trebuchet MS" w:hAnsi="Trebuchet MS" w:cs="Tahoma"/>
          <w:bCs/>
          <w:sz w:val="24"/>
          <w:szCs w:val="24"/>
        </w:rPr>
      </w:pPr>
      <w:r>
        <w:rPr>
          <w:rFonts w:cs="Tahoma" w:ascii="Trebuchet MS" w:hAnsi="Trebuchet MS"/>
          <w:bCs/>
          <w:sz w:val="24"/>
          <w:szCs w:val="24"/>
        </w:rPr>
      </w:r>
    </w:p>
    <w:p>
      <w:pPr>
        <w:pStyle w:val="TextBody"/>
        <w:rPr>
          <w:rFonts w:ascii="Verdana Pro Cond Light" w:hAnsi="Verdana Pro Cond Light"/>
        </w:rPr>
      </w:pPr>
      <w:r>
        <w:rPr>
          <w:rFonts w:ascii="Verdana Pro Cond Light" w:hAnsi="Verdana Pro Cond Light"/>
        </w:rPr>
        <w:t xml:space="preserve">Compare and critically contrast Mircea Eliade and Emile Durkheim's view of sacred space? </w:t>
      </w:r>
    </w:p>
    <w:p>
      <w:pPr>
        <w:pStyle w:val="TextBody"/>
        <w:rPr>
          <w:rFonts w:ascii="Verdana Pro Cond Light" w:hAnsi="Verdana Pro Cond Light"/>
        </w:rPr>
      </w:pPr>
      <w:r>
        <w:rPr>
          <w:rFonts w:ascii="Verdana Pro Cond Light" w:hAnsi="Verdana Pro Cond Light"/>
        </w:rPr>
      </w:r>
    </w:p>
    <w:p>
      <w:pPr>
        <w:pStyle w:val="TextBody"/>
        <w:rPr>
          <w:rFonts w:ascii="Verdana Pro Cond Light" w:hAnsi="Verdana Pro Cond Light"/>
          <w:b/>
          <w:b/>
          <w:bCs/>
        </w:rPr>
      </w:pPr>
      <w:r>
        <w:rPr>
          <w:rFonts w:ascii="Verdana Pro Cond Light" w:hAnsi="Verdana Pro Cond Light"/>
          <w:b/>
          <w:bCs/>
        </w:rPr>
        <w:t xml:space="preserve">Introduction </w:t>
      </w:r>
    </w:p>
    <w:p>
      <w:pPr>
        <w:pStyle w:val="TextBody"/>
        <w:jc w:val="both"/>
        <w:rPr>
          <w:rFonts w:ascii="Verdana Pro Cond Light" w:hAnsi="Verdana Pro Cond Light"/>
        </w:rPr>
      </w:pPr>
      <w:r>
        <w:rPr>
          <w:rFonts w:ascii="Verdana Pro Cond Light" w:hAnsi="Verdana Pro Cond Light"/>
        </w:rPr>
        <w:tab/>
        <w:t xml:space="preserve">This essay will critically examine Mircea Eliade and Emile Durkheim’s view on sacred space. The essay will begin by introducing the two theorist’s that are essential to this piece of work. The main body of the assignment will compare and contrast the views on sacred space according to Eliade and Durkheim. It will critically identify any similarities and differences in their views. </w:t>
        <w:tab/>
        <w:tab/>
        <w:tab/>
        <w:tab/>
        <w:tab/>
        <w:tab/>
        <w:tab/>
        <w:t xml:space="preserve">Emile Durkheim and Mircea Eliade are both considered as significant theorists when it comes to the study of Religion and Sociology. Emile Durkheim is a </w:t>
      </w:r>
      <w:r>
        <w:rPr>
          <w:rFonts w:ascii="Verdana Pro Cond Light" w:hAnsi="Verdana Pro Cond Light"/>
          <w:color w:val="000000"/>
        </w:rPr>
        <w:t>fundamental</w:t>
      </w:r>
      <w:r>
        <w:rPr>
          <w:rFonts w:ascii="Verdana Pro Cond Light" w:hAnsi="Verdana Pro Cond Light"/>
        </w:rPr>
        <w:t xml:space="preserve"> figure in the school of Sociology, particularity French Sociology. Emile Durkheim was born as David Durkheim but later adopted his middle name Emile. He was the son of a Rabbi, and was raised in a Jewish household.</w:t>
      </w:r>
      <w:r>
        <w:rPr>
          <w:rStyle w:val="FootnoteAnchor"/>
          <w:rFonts w:ascii="Verdana Pro Cond Light" w:hAnsi="Verdana Pro Cond Light"/>
        </w:rPr>
        <w:footnoteReference w:id="2"/>
      </w:r>
      <w:r>
        <w:rPr>
          <w:rFonts w:ascii="Verdana Pro Cond Light" w:hAnsi="Verdana Pro Cond Light"/>
        </w:rPr>
        <w:t xml:space="preserve">  Durkheim’s writings are a collective part of classical sociology. His four major books include ‘The Division of Labour in Society,’ ‘The Rules of Sociological Method,’ ‘Suicide’ and ‘The Elementary Forms of Religious Life.’</w:t>
      </w:r>
      <w:r>
        <w:rPr>
          <w:rStyle w:val="FootnoteAnchor"/>
          <w:rFonts w:ascii="Verdana Pro Cond Light" w:hAnsi="Verdana Pro Cond Light"/>
        </w:rPr>
        <w:footnoteReference w:id="3"/>
      </w:r>
      <w:r>
        <w:rPr>
          <w:rFonts w:ascii="Verdana Pro Cond Light" w:hAnsi="Verdana Pro Cond Light"/>
        </w:rPr>
        <w:t xml:space="preserve"> The Elementary Forms of Religious Life are particularly important to this essay as it contains information on the ‘Sacred’ and ‘Sacred Space.’ </w:t>
        <w:tab/>
        <w:t>On the other hand, Mircea Eliade was a Romanian historian, philosopher, poet, and author. He gained his P.H.D at the University of Bucharest and spent many years teaching as a professor at the University of Chicago. Furthermore Eliade was a key figure in the study of Religious history and provided an inclusive and non-dogmatic approach to Religious Studies.</w:t>
      </w:r>
      <w:r>
        <w:rPr>
          <w:rStyle w:val="FootnoteAnchor"/>
          <w:rFonts w:ascii="Verdana Pro Cond Light" w:hAnsi="Verdana Pro Cond Light"/>
        </w:rPr>
        <w:footnoteReference w:id="4"/>
      </w:r>
      <w:r>
        <w:rPr>
          <w:rFonts w:ascii="Verdana Pro Cond Light" w:hAnsi="Verdana Pro Cond Light"/>
        </w:rPr>
        <w:t xml:space="preserve"> Romanian by birth, Eliade’s religious roots lies in Eastern Orthodoxy.</w:t>
      </w:r>
      <w:r>
        <w:rPr>
          <w:rStyle w:val="FootnoteAnchor"/>
          <w:rFonts w:ascii="Verdana Pro Cond Light" w:hAnsi="Verdana Pro Cond Light"/>
        </w:rPr>
        <w:footnoteReference w:id="5"/>
      </w:r>
      <w:r>
        <w:rPr>
          <w:rFonts w:ascii="Verdana Pro Cond Light" w:hAnsi="Verdana Pro Cond Light"/>
        </w:rPr>
        <w:t xml:space="preserve"> Eliade published many writing however the one source that is particularly important to this essay which will provide essential information on sacred space is Eliade’s book: ‘The Sacred and The Profane: The Nature of Religion’. Extracts on sacred space from this source will be compared to the views of Durkheim. </w:t>
        <w:tab/>
        <w:tab/>
        <w:tab/>
        <w:t xml:space="preserve"> Both Durkheim and Eliade have religious roots, with Durkheim growing up in a Jewish household and Eliade in a Christian Orthodox home. Here we have two scholars potentially providing an emic perspective on sacred space. One of the limitations of providing an emic viewpoint is that it could potentially cause ‘emic bias’.</w:t>
      </w:r>
      <w:r>
        <w:rPr>
          <w:rStyle w:val="FootnoteAnchor"/>
          <w:rFonts w:ascii="Verdana Pro Cond Light" w:hAnsi="Verdana Pro Cond Light"/>
        </w:rPr>
        <w:footnoteReference w:id="6"/>
      </w:r>
      <w:r>
        <w:rPr>
          <w:rFonts w:ascii="Verdana Pro Cond Light" w:hAnsi="Verdana Pro Cond Light"/>
        </w:rPr>
        <w:t xml:space="preserve">  Particularly when defining such words like religion, religious or sacred. </w:t>
      </w:r>
    </w:p>
    <w:p>
      <w:pPr>
        <w:pStyle w:val="TextBody"/>
        <w:jc w:val="both"/>
        <w:rPr>
          <w:rFonts w:ascii="Verdana Pro Cond Light" w:hAnsi="Verdana Pro Cond Light"/>
        </w:rPr>
      </w:pPr>
      <w:r>
        <w:rPr>
          <w:rFonts w:ascii="Verdana Pro Cond Light" w:hAnsi="Verdana Pro Cond Light"/>
          <w:b/>
          <w:bCs/>
        </w:rPr>
        <w:t xml:space="preserve">Defining Religion </w:t>
      </w:r>
    </w:p>
    <w:p>
      <w:pPr>
        <w:pStyle w:val="TextBody"/>
        <w:jc w:val="both"/>
        <w:rPr>
          <w:rFonts w:ascii="Verdana Pro Cond Light" w:hAnsi="Verdana Pro Cond Light"/>
        </w:rPr>
      </w:pPr>
      <w:r>
        <w:rPr>
          <w:rFonts w:ascii="Verdana Pro Cond Light" w:hAnsi="Verdana Pro Cond Light"/>
          <w:b/>
          <w:bCs/>
        </w:rPr>
        <w:tab/>
      </w:r>
      <w:r>
        <w:rPr>
          <w:rFonts w:ascii="Verdana Pro Cond Light" w:hAnsi="Verdana Pro Cond Light"/>
        </w:rPr>
        <w:t>Durkheim begins ‘The Elementary Forms of Religious Life’ (1912), by attempting to define religion, and it is here that Durkheim introduces the words ‘sacred’ and ‘profane’. These two words will be examined in the next section. For now we shall examine Durkheim and Eliade’s view on what religion means as this is important in understanding what the word sacred means, particularly in Durkheim’s theory. Durkheim provides a functional view of religion defining it a social phenomenon.</w:t>
      </w:r>
      <w:r>
        <w:rPr>
          <w:rStyle w:val="FootnoteAnchor"/>
          <w:rFonts w:ascii="Verdana Pro Cond Light" w:hAnsi="Verdana Pro Cond Light"/>
        </w:rPr>
        <w:footnoteReference w:id="7"/>
      </w:r>
      <w:r>
        <w:rPr>
          <w:rFonts w:ascii="Verdana Pro Cond Light" w:hAnsi="Verdana Pro Cond Light"/>
        </w:rPr>
        <w:t xml:space="preserve"> </w:t>
      </w:r>
    </w:p>
    <w:p>
      <w:pPr>
        <w:pStyle w:val="TextBody"/>
        <w:jc w:val="both"/>
        <w:rPr>
          <w:rFonts w:ascii="Verdana Pro Cond Light" w:hAnsi="Verdana Pro Cond Light"/>
        </w:rPr>
      </w:pPr>
      <w:r>
        <w:rPr>
          <w:rFonts w:ascii="Verdana Pro Cond Light" w:hAnsi="Verdana Pro Cond Light"/>
        </w:rPr>
        <w:t>"A religion is a unified system of beliefs and practices relative to sacred things, that is to say, things set apart and forbidden beliefs and practices which unite into one single moral community called a Church, all those who adhere to them”.</w:t>
      </w:r>
      <w:r>
        <w:rPr>
          <w:rStyle w:val="FootnoteAnchor"/>
          <w:rFonts w:ascii="Verdana Pro Cond Light" w:hAnsi="Verdana Pro Cond Light"/>
        </w:rPr>
        <w:footnoteReference w:id="8"/>
      </w:r>
      <w:r>
        <w:rPr>
          <w:rFonts w:ascii="Verdana Pro Cond Light" w:hAnsi="Verdana Pro Cond Light"/>
        </w:rPr>
        <w:t xml:space="preserve"> </w:t>
      </w:r>
    </w:p>
    <w:p>
      <w:pPr>
        <w:pStyle w:val="TextBody"/>
        <w:jc w:val="both"/>
        <w:rPr>
          <w:rFonts w:ascii="Verdana Pro Cond Light" w:hAnsi="Verdana Pro Cond Light"/>
        </w:rPr>
      </w:pPr>
      <w:r>
        <w:rPr>
          <w:rFonts w:ascii="Verdana Pro Cond Light" w:hAnsi="Verdana Pro Cond Light"/>
        </w:rPr>
        <w:t>Here this definition was no longer based on the ideas of God, a supernatural being or life and death but was more of a moral community where people come collectively together to respect and follow the same rules.</w:t>
      </w:r>
      <w:r>
        <w:rPr>
          <w:rStyle w:val="FootnoteAnchor"/>
          <w:rFonts w:ascii="Verdana Pro Cond Light" w:hAnsi="Verdana Pro Cond Light"/>
        </w:rPr>
        <w:footnoteReference w:id="9"/>
      </w:r>
      <w:r>
        <w:rPr>
          <w:rFonts w:ascii="Verdana Pro Cond Light" w:hAnsi="Verdana Pro Cond Light"/>
        </w:rPr>
        <w:t xml:space="preserve"> Hans Geir Aasmundsen argues that this became a convenient way to explain religion to the non-believer who could then use this to favour a power balance. Also, it then ignores what religion is, particularly for those who believe. Take for instance: what about the creation? What about God? Eliade on the other hand accepted that religion had limitations for</w:t>
      </w:r>
      <w:r>
        <w:rPr>
          <w:rStyle w:val="FootnoteAnchor"/>
          <w:rFonts w:ascii="Verdana Pro Cond Light" w:hAnsi="Verdana Pro Cond Light"/>
        </w:rPr>
        <w:footnoteReference w:id="10"/>
      </w:r>
      <w:r>
        <w:rPr>
          <w:rFonts w:ascii="Verdana Pro Cond Light" w:hAnsi="Verdana Pro Cond Light"/>
        </w:rPr>
        <w:t xml:space="preserve"> "the social man, the economic man and forth so"</w:t>
      </w:r>
      <w:r>
        <w:rPr>
          <w:rStyle w:val="FootnoteAnchor"/>
          <w:rFonts w:ascii="Verdana Pro Cond Light" w:hAnsi="Verdana Pro Cond Light"/>
        </w:rPr>
        <w:footnoteReference w:id="11"/>
      </w:r>
      <w:r>
        <w:rPr>
          <w:rFonts w:ascii="Verdana Pro Cond Light" w:hAnsi="Verdana Pro Cond Light"/>
        </w:rPr>
        <w:t>. Aasmundsen went on to add that this was not a good explanation of religion quoting Eliade “All these conditioning factors together do not, of themselves, add up to the life of the spirit”.</w:t>
      </w:r>
      <w:r>
        <w:rPr>
          <w:rStyle w:val="FootnoteAnchor"/>
          <w:rFonts w:ascii="Verdana Pro Cond Light" w:hAnsi="Verdana Pro Cond Light"/>
        </w:rPr>
        <w:footnoteReference w:id="12"/>
      </w:r>
      <w:r>
        <w:rPr>
          <w:rFonts w:ascii="Verdana Pro Cond Light" w:hAnsi="Verdana Pro Cond Light"/>
        </w:rPr>
        <w:t xml:space="preserve"> </w:t>
      </w:r>
      <w:r>
        <w:rPr>
          <w:rFonts w:ascii="Verdana Pro Cond Light" w:hAnsi="Verdana Pro Cond Light"/>
        </w:rPr>
        <w:t>Moreover</w:t>
      </w:r>
      <w:r>
        <w:rPr>
          <w:rFonts w:ascii="Verdana Pro Cond Light" w:hAnsi="Verdana Pro Cond Light"/>
        </w:rPr>
        <w:t xml:space="preserve"> Eliade aimed to portray religion as a unique phenomenon.</w:t>
      </w:r>
      <w:r>
        <w:rPr>
          <w:rStyle w:val="FootnoteAnchor"/>
          <w:rFonts w:ascii="Verdana Pro Cond Light" w:hAnsi="Verdana Pro Cond Light"/>
        </w:rPr>
        <w:footnoteReference w:id="13"/>
      </w:r>
      <w:r>
        <w:rPr>
          <w:rFonts w:ascii="Verdana Pro Cond Light" w:hAnsi="Verdana Pro Cond Light"/>
        </w:rPr>
        <w:t xml:space="preserve"> However that said, it is believed that Eliade uses the ideas of both Rudolph Otto and Emile Durkheim. He takes Otto’s conception of the essentially numinous experience of ‘the other’ alongside Durkheim's terminology of the sacred which he links to religion, and profane which is the complete opposite.</w:t>
      </w:r>
      <w:r>
        <w:rPr>
          <w:rStyle w:val="FootnoteAnchor"/>
          <w:rFonts w:ascii="Verdana Pro Cond Light" w:hAnsi="Verdana Pro Cond Light"/>
        </w:rPr>
        <w:footnoteReference w:id="14"/>
      </w:r>
      <w:r>
        <w:rPr>
          <w:rFonts w:ascii="Verdana Pro Cond Light" w:hAnsi="Verdana Pro Cond Light"/>
        </w:rPr>
        <w:t>In regards to Eliade’s use of the terms: sacred and profane, Bryan Rennie also claims that Eliade was more influenced by Durkheim than Otto. but John Dadosky the author of ‘</w:t>
      </w:r>
      <w:r>
        <w:rPr>
          <w:rFonts w:ascii="Verdana Pro Cond Light" w:hAnsi="Verdana Pro Cond Light"/>
          <w:i/>
          <w:iCs/>
        </w:rPr>
        <w:t>The Structure of Religious Knowing: Encountering the Sacred in Eliade and Lonergan,</w:t>
      </w:r>
      <w:r>
        <w:rPr>
          <w:rFonts w:ascii="Verdana Pro Cond Light" w:hAnsi="Verdana Pro Cond Light"/>
        </w:rPr>
        <w:t xml:space="preserve">' disagrees stating that it is impossible to know how much impact these thinkers had on Eliade’s work but what we do know is that Otto’s idea of the holy was a huge influence on Eliade's idea of the sacred. </w:t>
      </w:r>
      <w:r>
        <w:rPr>
          <w:rStyle w:val="FootnoteAnchor"/>
          <w:rFonts w:ascii="Verdana Pro Cond Light" w:hAnsi="Verdana Pro Cond Light"/>
        </w:rPr>
        <w:footnoteReference w:id="15"/>
      </w:r>
      <w:r>
        <w:rPr>
          <w:rFonts w:ascii="Verdana Pro Cond Light" w:hAnsi="Verdana Pro Cond Light"/>
        </w:rPr>
        <w:t xml:space="preserve"> </w:t>
        <w:tab/>
      </w:r>
    </w:p>
    <w:p>
      <w:pPr>
        <w:pStyle w:val="TextBody"/>
        <w:jc w:val="both"/>
        <w:rPr>
          <w:rFonts w:ascii="Verdana Pro Cond Light" w:hAnsi="Verdana Pro Cond Light"/>
        </w:rPr>
      </w:pPr>
      <w:r>
        <w:rPr>
          <w:rFonts w:ascii="Verdana Pro Cond Light" w:hAnsi="Verdana Pro Cond Light"/>
          <w:b/>
          <w:bCs/>
        </w:rPr>
        <w:t>Sacred and Profane</w:t>
      </w:r>
    </w:p>
    <w:p>
      <w:pPr>
        <w:pStyle w:val="TextBody"/>
        <w:jc w:val="both"/>
        <w:rPr>
          <w:rFonts w:ascii="Verdana Pro Cond Light" w:hAnsi="Verdana Pro Cond Light"/>
          <w:b/>
          <w:b/>
          <w:bCs/>
        </w:rPr>
      </w:pPr>
      <w:r>
        <w:rPr>
          <w:rFonts w:ascii="Verdana Pro Cond Light" w:hAnsi="Verdana Pro Cond Light"/>
          <w:b/>
          <w:bCs/>
        </w:rPr>
        <w:tab/>
      </w:r>
      <w:r>
        <w:rPr>
          <w:rFonts w:ascii="Verdana Pro Cond Light" w:hAnsi="Verdana Pro Cond Light"/>
        </w:rPr>
        <w:t xml:space="preserve"> In Eliade’s </w:t>
      </w:r>
      <w:r>
        <w:rPr>
          <w:rStyle w:val="FootnoteAnchor"/>
          <w:rFonts w:ascii="Verdana Pro Cond Light" w:hAnsi="Verdana Pro Cond Light"/>
        </w:rPr>
        <w:footnoteReference w:id="16"/>
      </w:r>
      <w:r>
        <w:rPr>
          <w:rFonts w:ascii="Verdana Pro Cond Light" w:hAnsi="Verdana Pro Cond Light"/>
        </w:rPr>
        <w:t xml:space="preserve"> ‘The sacred and The Profane’ Eliade describes the sacred as "man becomes aware of the sacred because it manifests itself, shows itself, as something wholly different from the profane" and uses the term hierophany to </w:t>
      </w:r>
      <w:r>
        <w:rPr>
          <w:rFonts w:ascii="Verdana Pro Cond Light" w:hAnsi="Verdana Pro Cond Light"/>
          <w:color w:val="000000"/>
        </w:rPr>
        <w:t>appoint</w:t>
      </w:r>
      <w:r>
        <w:rPr>
          <w:rFonts w:ascii="Verdana Pro Cond Light" w:hAnsi="Verdana Pro Cond Light"/>
        </w:rPr>
        <w:t xml:space="preserve"> the role of manifestation of the sacred.</w:t>
      </w:r>
      <w:r>
        <w:rPr>
          <w:rStyle w:val="FootnoteAnchor"/>
          <w:rFonts w:ascii="Verdana Pro Cond Light" w:hAnsi="Verdana Pro Cond Light"/>
        </w:rPr>
        <w:footnoteReference w:id="17"/>
      </w:r>
      <w:r>
        <w:rPr>
          <w:rFonts w:ascii="Verdana Pro Cond Light" w:hAnsi="Verdana Pro Cond Light"/>
        </w:rPr>
        <w:t>. However according to</w:t>
      </w:r>
      <w:r>
        <w:rPr>
          <w:rFonts w:ascii="Verdana Pro Cond Light" w:hAnsi="Verdana Pro Cond Light"/>
          <w:color w:val="000000"/>
        </w:rPr>
        <w:t xml:space="preserve"> Jacob, K</w:t>
      </w:r>
      <w:r>
        <w:rPr>
          <w:rFonts w:ascii="Verdana Pro Cond Light" w:hAnsi="Verdana Pro Cond Light"/>
        </w:rPr>
        <w:t xml:space="preserve"> Olupora this definition of sacred is problematic as it is inconsistent with certain cultural traditions and societies such as Yoruba, The Mapri and other Native American Traditions. This is because they do not distinctively separate the sacred from the profane but instead see them as ‘dialectical’.</w:t>
      </w:r>
      <w:r>
        <w:rPr>
          <w:rStyle w:val="FootnoteAnchor"/>
          <w:rFonts w:ascii="Verdana Pro Cond Light" w:hAnsi="Verdana Pro Cond Light"/>
        </w:rPr>
        <w:footnoteReference w:id="18"/>
      </w:r>
      <w:r>
        <w:rPr>
          <w:rFonts w:ascii="Verdana Pro Cond Light" w:hAnsi="Verdana Pro Cond Light"/>
        </w:rPr>
        <w:t xml:space="preserve"> Eliade identifies that the sacred and the profane are two ways of looking at the world, ultimately meaning that the same object or act can be identified as either sacred or profane, it comes down to the perspective of the individual. For example, a rock or a tree. If a person associates this to be sacred to them then this is no longer a profane object</w:t>
      </w:r>
      <w:r>
        <w:rPr>
          <w:rStyle w:val="FootnoteAnchor"/>
          <w:rFonts w:ascii="Verdana Pro Cond Light" w:hAnsi="Verdana Pro Cond Light"/>
        </w:rPr>
        <w:footnoteReference w:id="19"/>
      </w:r>
      <w:r>
        <w:rPr>
          <w:rFonts w:ascii="Verdana Pro Cond Light" w:hAnsi="Verdana Pro Cond Light"/>
        </w:rPr>
        <w:t>. An example which could be applied here are, crystals. Crystals can be viewed as both profane and sacred. It depends on who is observing the stone. For some, crystals are pretty to look at and make nice decorations, to others they are purely what they see, stones, and to others their perspective on crystals may just be a spiritual one and a crystal may hold a certain meaning for them. Stones and crystals are known to project energies and vibrations that are known to help people to heal or connect them to the spiritual world.</w:t>
      </w:r>
      <w:r>
        <w:rPr>
          <w:rStyle w:val="FootnoteAnchor"/>
          <w:rFonts w:ascii="Verdana Pro Cond Light" w:hAnsi="Verdana Pro Cond Light"/>
        </w:rPr>
        <w:footnoteReference w:id="20"/>
      </w:r>
      <w:r>
        <w:rPr>
          <w:rFonts w:ascii="Verdana Pro Cond Light" w:hAnsi="Verdana Pro Cond Light"/>
        </w:rPr>
        <w:t xml:space="preserve"> Therefore the crystal can either be a sacred or a profane object depending on the individuals perspective. Crystals however could also be identified as sacred object in the perspective of Durkheim as they too are used within a large group. Yulia Van Doren</w:t>
      </w:r>
      <w:r>
        <w:rPr>
          <w:rStyle w:val="FootnoteAnchor"/>
          <w:rFonts w:ascii="Verdana Pro Cond Light" w:hAnsi="Verdana Pro Cond Light"/>
        </w:rPr>
        <w:footnoteReference w:id="21"/>
      </w:r>
      <w:r>
        <w:rPr>
          <w:rFonts w:ascii="Verdana Pro Cond Light" w:hAnsi="Verdana Pro Cond Light"/>
        </w:rPr>
        <w:t xml:space="preserve"> claims that, </w:t>
      </w:r>
    </w:p>
    <w:p>
      <w:pPr>
        <w:pStyle w:val="TextBody"/>
        <w:jc w:val="both"/>
        <w:rPr>
          <w:rFonts w:ascii="Verdana Pro Cond Light" w:hAnsi="Verdana Pro Cond Light"/>
          <w:b/>
          <w:b/>
          <w:bCs/>
        </w:rPr>
      </w:pPr>
      <w:r>
        <w:rPr>
          <w:rFonts w:ascii="Verdana Pro Cond Light" w:hAnsi="Verdana Pro Cond Light"/>
        </w:rPr>
        <w:t>“</w:t>
      </w:r>
      <w:r>
        <w:rPr>
          <w:rFonts w:ascii="Verdana Pro Cond Light" w:hAnsi="Verdana Pro Cond Light"/>
        </w:rPr>
        <w:t xml:space="preserve">Crystals are enjoying a very bright moment in our Collective Consciousness. The glittering magic contained within Mother Earth’s gem is beginning to resonate with a rapidly expanding tribe of people, who are exploring ways to experience them within our daily lives….” </w:t>
      </w:r>
    </w:p>
    <w:p>
      <w:pPr>
        <w:pStyle w:val="TextBody"/>
        <w:jc w:val="both"/>
        <w:rPr>
          <w:rFonts w:ascii="Verdana Pro Cond Light" w:hAnsi="Verdana Pro Cond Light"/>
          <w:b/>
          <w:b/>
          <w:bCs/>
        </w:rPr>
      </w:pPr>
      <w:r>
        <w:rPr>
          <w:rFonts w:ascii="Verdana Pro Cond Light" w:hAnsi="Verdana Pro Cond Light"/>
        </w:rPr>
        <w:t>There is a crystal community seeking to discover the power of crystals and minerals.</w:t>
      </w:r>
      <w:r>
        <w:rPr>
          <w:rStyle w:val="FootnoteAnchor"/>
          <w:rFonts w:ascii="Verdana Pro Cond Light" w:hAnsi="Verdana Pro Cond Light"/>
        </w:rPr>
        <w:footnoteReference w:id="22"/>
      </w:r>
      <w:r>
        <w:rPr>
          <w:rFonts w:ascii="Verdana Pro Cond Light" w:hAnsi="Verdana Pro Cond Light"/>
        </w:rPr>
        <w:t xml:space="preserve"> This here is a pure example of Durkheim's collective consciousness for it is forming a society amongst people who share the same ideas.</w:t>
      </w:r>
      <w:r>
        <w:rPr>
          <w:rStyle w:val="FootnoteAnchor"/>
          <w:rFonts w:ascii="Verdana Pro Cond Light" w:hAnsi="Verdana Pro Cond Light"/>
        </w:rPr>
        <w:footnoteReference w:id="23"/>
      </w:r>
      <w:r>
        <w:rPr>
          <w:rFonts w:ascii="Verdana Pro Cond Light" w:hAnsi="Verdana Pro Cond Light"/>
        </w:rPr>
        <w:t xml:space="preserve">  </w:t>
      </w:r>
      <w:r>
        <w:rPr>
          <w:rFonts w:ascii="Verdana Pro Cond Light" w:hAnsi="Verdana Pro Cond Light"/>
        </w:rPr>
        <w:t xml:space="preserve">Eliade's theory of individual views could then be linked to space </w:t>
      </w:r>
      <w:r>
        <w:rPr>
          <w:rFonts w:ascii="Verdana Pro Cond Light" w:hAnsi="Verdana Pro Cond Light"/>
        </w:rPr>
        <w:t>because whilst</w:t>
      </w:r>
      <w:r>
        <w:rPr>
          <w:rFonts w:ascii="Verdana Pro Cond Light" w:hAnsi="Verdana Pro Cond Light"/>
        </w:rPr>
        <w:t xml:space="preserve"> one person may believe their home to be a sacred place </w:t>
      </w:r>
      <w:r>
        <w:rPr>
          <w:rFonts w:ascii="Verdana Pro Cond Light" w:hAnsi="Verdana Pro Cond Light"/>
        </w:rPr>
        <w:t>to others</w:t>
      </w:r>
      <w:r>
        <w:rPr>
          <w:rFonts w:ascii="Verdana Pro Cond Light" w:hAnsi="Verdana Pro Cond Light"/>
        </w:rPr>
        <w:t xml:space="preserve"> it is a house. </w:t>
        <w:tab/>
        <w:tab/>
      </w:r>
      <w:r>
        <w:rPr>
          <w:rFonts w:ascii="Verdana Pro Cond Light" w:hAnsi="Verdana Pro Cond Light"/>
        </w:rPr>
        <w:tab/>
        <w:tab/>
        <w:tab/>
        <w:tab/>
        <w:t xml:space="preserve">In </w:t>
      </w:r>
      <w:r>
        <w:rPr>
          <w:rFonts w:ascii="Verdana Pro Cond Light" w:hAnsi="Verdana Pro Cond Light"/>
        </w:rPr>
        <w:t>comparison</w:t>
      </w:r>
      <w:r>
        <w:rPr>
          <w:rFonts w:ascii="Verdana Pro Cond Light" w:hAnsi="Verdana Pro Cond Light"/>
        </w:rPr>
        <w:t xml:space="preserve"> with Eliade, Durkheim argues that the sacred and the profane represent two separate worlds, with sacred being linked to what he defines as religion. </w:t>
      </w:r>
      <w:r>
        <w:rPr>
          <w:rFonts w:ascii="Verdana Pro Cond Light" w:hAnsi="Verdana Pro Cond Light"/>
        </w:rPr>
        <w:t xml:space="preserve">There is </w:t>
      </w:r>
      <w:r>
        <w:rPr>
          <w:rFonts w:ascii="Verdana Pro Cond Light" w:hAnsi="Verdana Pro Cond Light"/>
        </w:rPr>
        <w:t xml:space="preserve">one world that contains everything that is sacred and the </w:t>
      </w:r>
      <w:r>
        <w:rPr>
          <w:rFonts w:ascii="Verdana Pro Cond Light" w:hAnsi="Verdana Pro Cond Light"/>
        </w:rPr>
        <w:t>another</w:t>
      </w:r>
      <w:r>
        <w:rPr>
          <w:rFonts w:ascii="Verdana Pro Cond Light" w:hAnsi="Verdana Pro Cond Light"/>
        </w:rPr>
        <w:t xml:space="preserve"> that contains everything profane. Religious thought is what separates the two. This includes Beliefs, myths, dogmas, and legends. Anything can be sacred, not just God, Gods, trees, rocks, or homes, even a rite can be sacred, because a rite can only be performed by religious person.</w:t>
      </w:r>
      <w:r>
        <w:rPr>
          <w:rStyle w:val="FootnoteAnchor"/>
          <w:rFonts w:ascii="Verdana Pro Cond Light" w:hAnsi="Verdana Pro Cond Light"/>
        </w:rPr>
        <w:footnoteReference w:id="24"/>
      </w:r>
      <w:r>
        <w:rPr>
          <w:rFonts w:ascii="Verdana Pro Cond Light" w:hAnsi="Verdana Pro Cond Light"/>
        </w:rPr>
        <w:t xml:space="preserve"> In addition to this Durkheim believes that sacredness exist in the individual mind claiming “Nonphysical reality is available to the individual mind only as it participates in mind both inside and outside itself” </w:t>
      </w:r>
      <w:r>
        <w:rPr>
          <w:rStyle w:val="FootnoteAnchor"/>
          <w:rFonts w:ascii="Verdana Pro Cond Light" w:hAnsi="Verdana Pro Cond Light"/>
        </w:rPr>
        <w:footnoteReference w:id="25"/>
      </w:r>
      <w:r>
        <w:rPr>
          <w:rFonts w:ascii="Verdana Pro Cond Light" w:hAnsi="Verdana Pro Cond Light"/>
        </w:rPr>
        <w:t>.This then implies that people make places sacred. To some extent Eliade</w:t>
      </w:r>
      <w:r>
        <w:rPr>
          <w:rStyle w:val="FootnoteAnchor"/>
          <w:rFonts w:ascii="Verdana Pro Cond Light" w:hAnsi="Verdana Pro Cond Light"/>
        </w:rPr>
        <w:footnoteReference w:id="26"/>
      </w:r>
      <w:r>
        <w:rPr>
          <w:rFonts w:ascii="Verdana Pro Cond Light" w:hAnsi="Verdana Pro Cond Light"/>
        </w:rPr>
        <w:t xml:space="preserve"> backs up this idea because he also makes sacred space a personal experience. He argues that people have their own space which they identify as sacred such as birth places and first relationship spots. </w:t>
        <w:tab/>
        <w:tab/>
        <w:tab/>
        <w:tab/>
        <w:tab/>
        <w:tab/>
        <w:tab/>
        <w:tab/>
        <w:tab/>
        <w:tab/>
        <w:tab/>
        <w:t>Durkheim believes that sacred and profane cannot coexist in space or time stating: “Religious and profane life cannot coexist in the same place”</w:t>
      </w:r>
      <w:r>
        <w:rPr>
          <w:rStyle w:val="FootnoteAnchor"/>
          <w:rFonts w:ascii="Verdana Pro Cond Light" w:hAnsi="Verdana Pro Cond Light"/>
        </w:rPr>
        <w:footnoteReference w:id="27"/>
      </w:r>
      <w:r>
        <w:rPr>
          <w:rFonts w:ascii="Verdana Pro Cond Light" w:hAnsi="Verdana Pro Cond Light"/>
        </w:rPr>
        <w:t xml:space="preserve"> In agreement, Kenneth Allan</w:t>
      </w:r>
      <w:r>
        <w:rPr>
          <w:rStyle w:val="FootnoteAnchor"/>
          <w:rFonts w:ascii="Verdana Pro Cond Light" w:hAnsi="Verdana Pro Cond Light"/>
        </w:rPr>
        <w:footnoteReference w:id="28"/>
      </w:r>
      <w:r>
        <w:rPr>
          <w:rFonts w:ascii="Verdana Pro Cond Light" w:hAnsi="Verdana Pro Cond Light"/>
        </w:rPr>
        <w:t>, author of ‘Contemporary social and sociological Theory states that one always destroys the other and provides an example from the Bible, Where the children of Israel were moving the ark of the covenant which was carrying the stone that the 10 commandments were engraved on. To move the ark two poles were placed either side and this meant that no other person would need to touch it. When the ark was moved the people lost their balance. To stop the ark from hitting the floor a priest intervened. With that God knocked him dead. Therefore the profane had to be dismissed so that the ark could remain sacred. Furthermore Durkheim continued to say that sacredness requires special places where rituals can be carried out. A model of a sacred place is where sacred items can be stored when not in use and which are also forbidden to profane people.</w:t>
      </w:r>
      <w:r>
        <w:rPr>
          <w:rStyle w:val="FootnoteAnchor"/>
          <w:rFonts w:ascii="Verdana Pro Cond Light" w:hAnsi="Verdana Pro Cond Light"/>
        </w:rPr>
        <w:footnoteReference w:id="29"/>
      </w:r>
      <w:r>
        <w:rPr>
          <w:rFonts w:ascii="Verdana Pro Cond Light" w:hAnsi="Verdana Pro Cond Light"/>
        </w:rPr>
        <w:t xml:space="preserve"> Nishkam Nursery is a private establishment that provides education for children 0-5 and belongs to the Sikh organisation of GNNSJ. Nishkam Nursery runs on a Sikh ethos. Sikh values are embedded in the children's learning daily.</w:t>
      </w:r>
      <w:r>
        <w:rPr>
          <w:rStyle w:val="FootnoteAnchor"/>
          <w:rFonts w:ascii="Verdana Pro Cond Light" w:hAnsi="Verdana Pro Cond Light"/>
        </w:rPr>
        <w:footnoteReference w:id="30"/>
      </w:r>
      <w:r>
        <w:rPr>
          <w:rFonts w:ascii="Verdana Pro Cond Light" w:hAnsi="Verdana Pro Cond Light"/>
        </w:rPr>
        <w:t xml:space="preserve"> Every day the children take part in morning prayers in one of the classrooms. During assembly, the children sing Shabbats which are taken from something called the Amrit Kirtan. “</w:t>
      </w:r>
      <w:r>
        <w:rPr>
          <w:rStyle w:val="StrongEmphasis"/>
          <w:rFonts w:ascii="Verdana Pro Cond Light" w:hAnsi="Verdana Pro Cond Light"/>
          <w:b w:val="false"/>
          <w:bCs w:val="false"/>
          <w:color w:val="000000"/>
        </w:rPr>
        <w:t>Am</w:t>
      </w:r>
      <w:r>
        <w:rPr>
          <w:rStyle w:val="StrongEmphasis"/>
          <w:rFonts w:ascii="Verdana Pro Cond Light" w:hAnsi="Verdana Pro Cond Light"/>
          <w:b w:val="false"/>
          <w:color w:val="000000"/>
        </w:rPr>
        <w:t>rit Kirtan</w:t>
      </w:r>
      <w:r>
        <w:rPr>
          <w:rFonts w:ascii="Verdana Pro Cond Light" w:hAnsi="Verdana Pro Cond Light"/>
          <w:b/>
          <w:bCs/>
          <w:color w:val="000000"/>
        </w:rPr>
        <w:t> </w:t>
      </w:r>
      <w:r>
        <w:rPr>
          <w:rFonts w:ascii="Verdana Pro Cond Light" w:hAnsi="Verdana Pro Cond Light"/>
          <w:bCs/>
          <w:color w:val="000000"/>
        </w:rPr>
        <w:t>is a collection of verses from Sri Guru Granth Sahib traditionally sung in the Sikh congregations. The poetry of the Sri Guru Granth Sahib is worthy of the highest consideration in singing the hymns”</w:t>
      </w:r>
      <w:r>
        <w:rPr>
          <w:rFonts w:ascii="Verdana Pro Cond Light" w:hAnsi="Verdana Pro Cond Light"/>
          <w:b/>
          <w:bCs/>
        </w:rPr>
        <w:t xml:space="preserve"> </w:t>
      </w:r>
      <w:r>
        <w:rPr>
          <w:rStyle w:val="FootnoteAnchor"/>
          <w:rFonts w:ascii="Verdana Pro Cond Light" w:hAnsi="Verdana Pro Cond Light"/>
        </w:rPr>
        <w:footnoteReference w:id="31"/>
      </w:r>
      <w:r>
        <w:rPr>
          <w:rFonts w:ascii="Verdana Pro Cond Light" w:hAnsi="Verdana Pro Cond Light"/>
        </w:rPr>
        <w:t xml:space="preserve"> Guru Granth Sahib Ji, is the living guru for Sikhs and is a collection of Sikh teachings</w:t>
      </w:r>
      <w:r>
        <w:rPr>
          <w:rStyle w:val="FootnoteAnchor"/>
          <w:rFonts w:ascii="Verdana Pro Cond Light" w:hAnsi="Verdana Pro Cond Light"/>
        </w:rPr>
        <w:footnoteReference w:id="32"/>
      </w:r>
      <w:r>
        <w:rPr>
          <w:rFonts w:ascii="Verdana Pro Cond Light" w:hAnsi="Verdana Pro Cond Light"/>
        </w:rPr>
        <w:t xml:space="preserve"> As well as taking part in religious singing the children also take part in a religious prayer at lunch time. This prayer is delivered through the headteacher who can read Gurbani. He uses a Gutka Sahib. A Gutka Sahib should be stored in a high up place and should not be placed in a cupboard with any other items. A special cloth called a rumala should be used to wrap around the Gutka sahib to prevent it from collecting dust. This is only to be read by people w</w:t>
      </w:r>
      <w:r>
        <w:rPr>
          <w:rFonts w:ascii="Verdana Pro Cond Light" w:hAnsi="Verdana Pro Cond Light"/>
        </w:rPr>
        <w:t xml:space="preserve">ho have carried out </w:t>
      </w:r>
      <w:r>
        <w:rPr>
          <w:rFonts w:ascii="Verdana Pro Cond Light" w:hAnsi="Verdana Pro Cond Light"/>
        </w:rPr>
        <w:t>certain practises before, during and after use.</w:t>
      </w:r>
      <w:r>
        <w:rPr>
          <w:rStyle w:val="FootnoteAnchor"/>
          <w:rFonts w:ascii="Verdana Pro Cond Light" w:hAnsi="Verdana Pro Cond Light"/>
        </w:rPr>
        <w:footnoteReference w:id="33"/>
      </w:r>
      <w:r>
        <w:rPr>
          <w:rFonts w:ascii="Verdana Pro Cond Light" w:hAnsi="Verdana Pro Cond Light"/>
        </w:rPr>
        <w:t xml:space="preserve"> </w:t>
      </w:r>
      <w:r>
        <w:rPr>
          <w:rFonts w:ascii="Verdana Pro Cond Light" w:hAnsi="Verdana Pro Cond Light"/>
        </w:rPr>
        <w:t>Particularity in Nishkam Nursery establishment.</w:t>
      </w:r>
      <w:r>
        <w:rPr>
          <w:rFonts w:ascii="Verdana Pro Cond Light" w:hAnsi="Verdana Pro Cond Light"/>
        </w:rPr>
        <w:t xml:space="preserve"> Reflecting back on Durkheim's theory that a sacred place requires a place to store sacred items. Nishkam nursery stores sacred items that are forbidden to the profane, and only comes out during certain times of the day, this would then be considered as a sacred place according to Durkheim. Which then coincides to Durkheim theory of time. Durkheim</w:t>
      </w:r>
      <w:r>
        <w:rPr>
          <w:rStyle w:val="FootnoteAnchor"/>
          <w:rFonts w:ascii="Verdana Pro Cond Light" w:hAnsi="Verdana Pro Cond Light"/>
        </w:rPr>
        <w:footnoteReference w:id="34"/>
      </w:r>
      <w:r>
        <w:rPr>
          <w:rFonts w:ascii="Verdana Pro Cond Light" w:hAnsi="Verdana Pro Cond Light"/>
        </w:rPr>
        <w:t xml:space="preserve"> exclaims that “religious life and profane life cannot coexist at the same unit of time” meaning that sacredness requires an allocated time whereby rituals can be performed, and everyday activities should therefore be put on hold. </w:t>
        <w:tab/>
        <w:tab/>
        <w:tab/>
        <w:tab/>
        <w:tab/>
        <w:tab/>
        <w:tab/>
        <w:tab/>
        <w:t>In comparison with Durkheim, Eliade argues that religious experience depends on the experience of time and space. Crucial to his work are the concepts of sacred space and sacred time which he believes is universal and can be applied to everyone.</w:t>
      </w:r>
      <w:r>
        <w:rPr>
          <w:rStyle w:val="FootnoteAnchor"/>
          <w:rFonts w:ascii="Verdana Pro Cond Light" w:hAnsi="Verdana Pro Cond Light"/>
        </w:rPr>
        <w:footnoteReference w:id="35"/>
      </w:r>
      <w:r>
        <w:rPr>
          <w:rFonts w:ascii="Verdana Pro Cond Light" w:hAnsi="Verdana Pro Cond Light"/>
        </w:rPr>
        <w:t xml:space="preserve"> Eliade talks about how sacred space is constituted and how it is different from the profane space.</w:t>
      </w:r>
      <w:r>
        <w:rPr>
          <w:rStyle w:val="FootnoteAnchor"/>
          <w:rFonts w:ascii="Verdana Pro Cond Light" w:hAnsi="Verdana Pro Cond Light"/>
        </w:rPr>
        <w:footnoteReference w:id="36"/>
      </w:r>
      <w:r>
        <w:rPr>
          <w:rFonts w:ascii="Verdana Pro Cond Light" w:hAnsi="Verdana Pro Cond Light"/>
        </w:rPr>
        <w:t xml:space="preserve"> Eliade identified that human cultures have special places that are central to the cosmos. Coinciding with Eliade the ecological anthropologist Roy, A, Rappaport explains that the special places are sacred places that help people to connect to a higher entity:</w:t>
      </w:r>
      <w:r>
        <w:rPr>
          <w:rStyle w:val="FootnoteAnchor"/>
          <w:rFonts w:ascii="Verdana Pro Cond Light" w:hAnsi="Verdana Pro Cond Light"/>
        </w:rPr>
        <w:footnoteReference w:id="37"/>
      </w:r>
      <w:r>
        <w:rPr>
          <w:rFonts w:ascii="Verdana Pro Cond Light" w:hAnsi="Verdana Pro Cond Light"/>
        </w:rPr>
        <w:t xml:space="preserve"> “through which the divine enters the material world, and from which that world is oriented”</w:t>
      </w:r>
      <w:r>
        <w:rPr>
          <w:rStyle w:val="FootnoteAnchor"/>
          <w:rFonts w:ascii="Verdana Pro Cond Light" w:hAnsi="Verdana Pro Cond Light"/>
        </w:rPr>
        <w:footnoteReference w:id="38"/>
      </w:r>
      <w:r>
        <w:rPr>
          <w:rFonts w:ascii="Verdana Pro Cond Light" w:hAnsi="Verdana Pro Cond Light"/>
        </w:rPr>
        <w:t xml:space="preserve"> According to Eliade the universe has a centre point. </w:t>
      </w:r>
    </w:p>
    <w:p>
      <w:pPr>
        <w:pStyle w:val="TextBody"/>
        <w:jc w:val="both"/>
        <w:rPr>
          <w:rFonts w:ascii="Verdana Pro Cond Light" w:hAnsi="Verdana Pro Cond Light"/>
          <w:b/>
          <w:b/>
          <w:bCs/>
        </w:rPr>
      </w:pPr>
      <w:r>
        <w:rPr>
          <w:rFonts w:ascii="Verdana Pro Cond Light" w:hAnsi="Verdana Pro Cond Light"/>
        </w:rPr>
        <w:t>“</w:t>
      </w:r>
      <w:r>
        <w:rPr>
          <w:rFonts w:ascii="Verdana Pro Cond Light" w:hAnsi="Verdana Pro Cond Light"/>
        </w:rPr>
        <w:t>If the world is to be lived in, it must be founded- and no world can come to birth in the chaos of the homogeneity and relativity of profane space. The discovery or projection of a fixed point- the centre- is equivalent to the creation of the world.”</w:t>
      </w:r>
      <w:r>
        <w:rPr>
          <w:rStyle w:val="FootnoteAnchor"/>
          <w:rFonts w:ascii="Verdana Pro Cond Light" w:hAnsi="Verdana Pro Cond Light"/>
        </w:rPr>
        <w:footnoteReference w:id="39"/>
      </w:r>
    </w:p>
    <w:p>
      <w:pPr>
        <w:pStyle w:val="TextBody"/>
        <w:jc w:val="both"/>
        <w:rPr>
          <w:rFonts w:ascii="Verdana Pro Cond Light" w:hAnsi="Verdana Pro Cond Light"/>
          <w:b/>
          <w:b/>
          <w:bCs/>
        </w:rPr>
      </w:pPr>
      <w:r>
        <w:rPr>
          <w:rFonts w:ascii="Verdana Pro Cond Light" w:hAnsi="Verdana Pro Cond Light"/>
        </w:rPr>
        <w:t>The idea of this theory being able to be applied to all cultures has again been questioned by Jonathan Z, Smith who critiques both Eliade and Rappaport by stating that Eliade over exaggerates centres and, Rappaport for observing Eliade who "Seriously overvalued the case for the priority of space in the religious experience.”</w:t>
      </w:r>
      <w:r>
        <w:rPr>
          <w:rStyle w:val="FootnoteAnchor"/>
          <w:rFonts w:ascii="Verdana Pro Cond Light" w:hAnsi="Verdana Pro Cond Light"/>
        </w:rPr>
        <w:footnoteReference w:id="40"/>
      </w:r>
      <w:r>
        <w:rPr>
          <w:rFonts w:ascii="Verdana Pro Cond Light" w:hAnsi="Verdana Pro Cond Light"/>
        </w:rPr>
        <w:t xml:space="preserve"> Furthermore Eliade describes profane experience as space that is “homogeneous and neutral; no break qualitatively differentiates the various parts of mass”</w:t>
      </w:r>
      <w:r>
        <w:rPr>
          <w:rStyle w:val="FootnoteAnchor"/>
          <w:rFonts w:ascii="Verdana Pro Cond Light" w:hAnsi="Verdana Pro Cond Light"/>
        </w:rPr>
        <w:footnoteReference w:id="41"/>
      </w:r>
      <w:r>
        <w:rPr>
          <w:rFonts w:ascii="Verdana Pro Cond Light" w:hAnsi="Verdana Pro Cond Light"/>
        </w:rPr>
        <w:t xml:space="preserve"> Nishkam Nursery could potentiality provide that centre point during times of the day when the children are singing from Amit Sahib or when they listen to the prayer from the Gutka Sahib. As it is through this that the children can connect to God.</w:t>
        <w:tab/>
        <w:tab/>
        <w:tab/>
        <w:t>According to Eliade</w:t>
      </w:r>
      <w:r>
        <w:rPr>
          <w:rStyle w:val="FootnoteAnchor"/>
          <w:rFonts w:ascii="Verdana Pro Cond Light" w:hAnsi="Verdana Pro Cond Light"/>
        </w:rPr>
        <w:footnoteReference w:id="42"/>
      </w:r>
      <w:r>
        <w:rPr>
          <w:rFonts w:ascii="Verdana Pro Cond Light" w:hAnsi="Verdana Pro Cond Light"/>
        </w:rPr>
        <w:t xml:space="preserve"> the idea of Sacred time is experienced through religious events, meaning taking time out of everyday life otherwise known as profane life. Religious events have developed from religious mythical history and by celebrating these festivals a person is leaving a profane time and entering a sacred time. As religious festivals happen on a regular basis. It makes sacred time circular in nature. This is different to that of Durkheim’s idea of sacred time </w:t>
      </w:r>
      <w:r>
        <w:rPr>
          <w:rFonts w:ascii="Verdana Pro Cond Light" w:hAnsi="Verdana Pro Cond Light"/>
        </w:rPr>
        <w:t>as he as states that it cannot co exist and people should stop all other profane activities.</w:t>
      </w:r>
      <w:r>
        <w:rPr>
          <w:rStyle w:val="FootnoteAnchor"/>
          <w:rFonts w:ascii="Verdana Pro Cond Light" w:hAnsi="Verdana Pro Cond Light"/>
        </w:rPr>
        <w:footnoteReference w:id="43"/>
      </w:r>
      <w:r>
        <w:rPr>
          <w:rFonts w:ascii="Verdana Pro Cond Light" w:hAnsi="Verdana Pro Cond Light"/>
        </w:rPr>
        <w:t xml:space="preserve"> It may not be possible to stop everyday life activities to take part in sacred events. For example Christians celebrate Christmas but not every Christian can take time off from work to celebrate this festival, </w:t>
      </w:r>
      <w:r>
        <w:rPr>
          <w:rFonts w:ascii="Verdana Pro Cond Light" w:hAnsi="Verdana Pro Cond Light"/>
        </w:rPr>
        <w:t xml:space="preserve">For example carers at residential care homes. </w:t>
      </w:r>
      <w:r>
        <w:rPr>
          <w:rFonts w:ascii="Verdana Pro Cond Light" w:hAnsi="Verdana Pro Cond Light"/>
        </w:rPr>
        <w:t>Therefore</w:t>
      </w:r>
      <w:r>
        <w:rPr>
          <w:rFonts w:ascii="Verdana Pro Cond Light" w:hAnsi="Verdana Pro Cond Light"/>
        </w:rPr>
        <w:t xml:space="preserve"> </w:t>
      </w:r>
      <w:r>
        <w:rPr>
          <w:rFonts w:ascii="Verdana Pro Cond Light" w:hAnsi="Verdana Pro Cond Light"/>
        </w:rPr>
        <w:t>i</w:t>
      </w:r>
      <w:r>
        <w:rPr>
          <w:rFonts w:ascii="Verdana Pro Cond Light" w:hAnsi="Verdana Pro Cond Light"/>
        </w:rPr>
        <w:t xml:space="preserve">t may mean that they celebrate Christmas at work which would then mean that the profane life has come together with that of the sacred </w:t>
      </w:r>
      <w:r>
        <w:rPr>
          <w:rFonts w:ascii="Verdana Pro Cond Light" w:hAnsi="Verdana Pro Cond Light"/>
        </w:rPr>
        <w:t xml:space="preserve">at the same time. </w:t>
      </w:r>
      <w:r>
        <w:rPr>
          <w:rFonts w:ascii="Verdana Pro Cond Light" w:hAnsi="Verdana Pro Cond Light"/>
        </w:rPr>
        <w:t xml:space="preserve"> </w:t>
      </w:r>
    </w:p>
    <w:p>
      <w:pPr>
        <w:pStyle w:val="TextBody"/>
        <w:jc w:val="both"/>
        <w:rPr>
          <w:rFonts w:ascii="Verdana Pro Cond Light" w:hAnsi="Verdana Pro Cond Light"/>
        </w:rPr>
      </w:pPr>
      <w:r>
        <w:rPr>
          <w:rFonts w:ascii="Verdana Pro Cond Light" w:hAnsi="Verdana Pro Cond Light"/>
          <w:b/>
          <w:bCs/>
        </w:rPr>
        <w:t xml:space="preserve">Conclusion </w:t>
      </w:r>
    </w:p>
    <w:p>
      <w:pPr>
        <w:pStyle w:val="TextBody"/>
        <w:jc w:val="both"/>
        <w:rPr>
          <w:rFonts w:ascii="Verdana Pro Cond Light" w:hAnsi="Verdana Pro Cond Light"/>
        </w:rPr>
      </w:pPr>
      <w:r>
        <w:rPr>
          <w:rFonts w:ascii="Verdana Pro Cond Light" w:hAnsi="Verdana Pro Cond Light"/>
        </w:rPr>
        <w:tab/>
      </w:r>
      <w:r>
        <w:rPr>
          <w:rFonts w:ascii="Verdana Pro Cond Light" w:hAnsi="Verdana Pro Cond Light"/>
        </w:rPr>
        <w:t>In conclusion there are</w:t>
      </w:r>
      <w:r>
        <w:rPr>
          <w:rFonts w:ascii="Verdana Pro Cond Light" w:hAnsi="Verdana Pro Cond Light"/>
        </w:rPr>
        <w:t xml:space="preserve"> two different approaches to religion, Eliade who offers a structural approach, and Durkheim who offers a functionalist view, yet they both use the terms sacred and profane when it comes to defining religion and sacred space. Durkheim developed ideas of sacred and profane space as well as sacred and profane time. Which Eliade also </w:t>
      </w:r>
      <w:r>
        <w:rPr>
          <w:rFonts w:ascii="Verdana Pro Cond Light" w:hAnsi="Verdana Pro Cond Light"/>
        </w:rPr>
        <w:t>uses in his theory.</w:t>
      </w:r>
      <w:r>
        <w:rPr>
          <w:rFonts w:ascii="Verdana Pro Cond Light" w:hAnsi="Verdana Pro Cond Light"/>
        </w:rPr>
        <w:t xml:space="preserve"> </w:t>
      </w:r>
      <w:r>
        <w:rPr>
          <w:rFonts w:ascii="Verdana Pro Cond Light" w:hAnsi="Verdana Pro Cond Light"/>
        </w:rPr>
        <w:t>However</w:t>
      </w:r>
      <w:r>
        <w:rPr>
          <w:rFonts w:ascii="Verdana Pro Cond Light" w:hAnsi="Verdana Pro Cond Light"/>
        </w:rPr>
        <w:t xml:space="preserve"> </w:t>
      </w:r>
      <w:r>
        <w:rPr>
          <w:rFonts w:ascii="Verdana Pro Cond Light" w:hAnsi="Verdana Pro Cond Light"/>
        </w:rPr>
        <w:t xml:space="preserve">whilst the two theorist </w:t>
      </w:r>
      <w:r>
        <w:rPr>
          <w:rFonts w:ascii="Verdana Pro Cond Light" w:hAnsi="Verdana Pro Cond Light"/>
        </w:rPr>
        <w:t xml:space="preserve">have their own ideas </w:t>
      </w:r>
      <w:r>
        <w:rPr>
          <w:rFonts w:ascii="Verdana Pro Cond Light" w:hAnsi="Verdana Pro Cond Light"/>
        </w:rPr>
        <w:t>to some extent they differ</w:t>
      </w:r>
      <w:r>
        <w:rPr>
          <w:rFonts w:ascii="Verdana Pro Cond Light" w:hAnsi="Verdana Pro Cond Light"/>
        </w:rPr>
        <w:t xml:space="preserve">. It is easy to fit some sacred places into both of their definitions of the sacred and </w:t>
      </w:r>
      <w:r>
        <w:rPr>
          <w:rFonts w:ascii="Verdana Pro Cond Light" w:hAnsi="Verdana Pro Cond Light"/>
        </w:rPr>
        <w:t>the</w:t>
      </w:r>
      <w:r>
        <w:rPr>
          <w:rFonts w:ascii="Verdana Pro Cond Light" w:hAnsi="Verdana Pro Cond Light"/>
        </w:rPr>
        <w:t xml:space="preserve"> profane. </w:t>
      </w:r>
    </w:p>
    <w:p>
      <w:pPr>
        <w:pStyle w:val="TextBody"/>
        <w:rPr>
          <w:rFonts w:ascii="Verdana Pro Cond Light" w:hAnsi="Verdana Pro Cond Light"/>
          <w:b/>
          <w:b/>
          <w:bCs/>
        </w:rPr>
      </w:pPr>
      <w:r>
        <w:rPr>
          <w:rFonts w:ascii="Verdana Pro Cond Light" w:hAnsi="Verdana Pro Cond Light"/>
          <w:b/>
          <w:bCs/>
        </w:rPr>
      </w:r>
    </w:p>
    <w:p>
      <w:pPr>
        <w:pStyle w:val="NormalWeb"/>
        <w:spacing w:before="280" w:after="280"/>
        <w:ind w:right="-334" w:hanging="0"/>
        <w:jc w:val="both"/>
        <w:rPr>
          <w:b/>
          <w:b/>
          <w:bCs/>
        </w:rPr>
      </w:pPr>
      <w:r>
        <w:rPr>
          <w:rFonts w:ascii="Verdana Pro Cond Light" w:hAnsi="Verdana Pro Cond Light"/>
          <w:b/>
          <w:bCs/>
          <w:sz w:val="24"/>
          <w:szCs w:val="24"/>
        </w:rPr>
        <w:t xml:space="preserve">Bibliography </w:t>
      </w:r>
    </w:p>
    <w:p>
      <w:pPr>
        <w:pStyle w:val="NormalWeb"/>
        <w:spacing w:before="280" w:after="280"/>
        <w:ind w:right="-334" w:hanging="0"/>
        <w:rPr>
          <w:rFonts w:ascii="Verdana Pro Cond Light" w:hAnsi="Verdana Pro Cond Light"/>
          <w:sz w:val="24"/>
          <w:szCs w:val="24"/>
        </w:rPr>
      </w:pPr>
      <w:r>
        <w:rPr>
          <w:rFonts w:ascii="Verdana Pro Cond Light" w:hAnsi="Verdana Pro Cond Light"/>
          <w:sz w:val="24"/>
          <w:szCs w:val="24"/>
        </w:rPr>
      </w:r>
    </w:p>
    <w:p>
      <w:pPr>
        <w:pStyle w:val="TextBody"/>
        <w:spacing w:beforeAutospacing="0" w:before="0" w:afterAutospacing="0" w:after="0"/>
        <w:ind w:right="-334" w:hanging="0"/>
        <w:jc w:val="both"/>
        <w:rPr/>
      </w:pPr>
      <w:r>
        <w:rPr>
          <w:rFonts w:ascii="Verdana Pro Cond Light" w:hAnsi="Verdana Pro Cond Light"/>
        </w:rPr>
        <w:t xml:space="preserve">Aasmundsen, Hans Geir, </w:t>
      </w:r>
      <w:r>
        <w:rPr>
          <w:rFonts w:ascii="Verdana Pro Cond Light" w:hAnsi="Verdana Pro Cond Light"/>
          <w:i/>
          <w:iCs/>
        </w:rPr>
        <w:t xml:space="preserve">Pentecostals, Politics, and Religious Equality in Argentina., </w:t>
      </w:r>
      <w:r>
        <w:rPr>
          <w:rFonts w:ascii="Verdana Pro Cond Light" w:hAnsi="Verdana Pro Cond Light"/>
        </w:rPr>
        <w:t>(The Netherlands:   Brill, 2017)</w:t>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right="-334" w:hanging="0"/>
        <w:jc w:val="both"/>
        <w:rPr/>
      </w:pPr>
      <w:r>
        <w:rPr>
          <w:rFonts w:ascii="Verdana Pro Cond Light" w:hAnsi="Verdana Pro Cond Light"/>
          <w:sz w:val="24"/>
          <w:szCs w:val="24"/>
        </w:rPr>
        <w:t xml:space="preserve">Allen, Kenneth, </w:t>
      </w:r>
      <w:r>
        <w:rPr>
          <w:rFonts w:ascii="Verdana Pro Cond Light" w:hAnsi="Verdana Pro Cond Light"/>
          <w:i/>
          <w:iCs/>
          <w:sz w:val="24"/>
          <w:szCs w:val="24"/>
        </w:rPr>
        <w:t xml:space="preserve">Contemporary Social and Sociological Theory, </w:t>
      </w:r>
      <w:r>
        <w:rPr>
          <w:rFonts w:ascii="Verdana Pro Cond Light" w:hAnsi="Verdana Pro Cond Light"/>
          <w:sz w:val="24"/>
          <w:szCs w:val="24"/>
        </w:rPr>
        <w:t>3</w:t>
      </w:r>
      <w:r>
        <w:rPr>
          <w:rFonts w:ascii="Verdana Pro Cond Light" w:hAnsi="Verdana Pro Cond Light"/>
          <w:sz w:val="24"/>
          <w:szCs w:val="24"/>
          <w:vertAlign w:val="superscript"/>
        </w:rPr>
        <w:t>rd</w:t>
      </w:r>
      <w:r>
        <w:rPr>
          <w:rFonts w:ascii="Verdana Pro Cond Light" w:hAnsi="Verdana Pro Cond Light"/>
          <w:sz w:val="24"/>
          <w:szCs w:val="24"/>
        </w:rPr>
        <w:t xml:space="preserve"> edn. (California: Sage Publications, 2013)</w:t>
      </w:r>
    </w:p>
    <w:p>
      <w:pPr>
        <w:pStyle w:val="Normal"/>
        <w:ind w:right="-334" w:hanging="0"/>
        <w:jc w:val="both"/>
        <w:rPr>
          <w:rFonts w:ascii="Verdana Pro Cond Light" w:hAnsi="Verdana Pro Cond Light"/>
        </w:rPr>
      </w:pPr>
      <w:r>
        <w:rPr>
          <w:rFonts w:ascii="Verdana Pro Cond Light" w:hAnsi="Verdana Pro Cond Light"/>
        </w:rPr>
      </w:r>
    </w:p>
    <w:p>
      <w:pPr>
        <w:pStyle w:val="Normal"/>
        <w:ind w:right="-334" w:hanging="0"/>
        <w:jc w:val="both"/>
        <w:rPr/>
      </w:pPr>
      <w:r>
        <w:rPr>
          <w:rFonts w:ascii="Verdana Pro Cond Light" w:hAnsi="Verdana Pro Cond Light"/>
        </w:rPr>
        <w:t xml:space="preserve">Altizer, Thomas J. J. ‘Mircea Eliade and the Recovery of the Sacred’, </w:t>
      </w:r>
      <w:r>
        <w:rPr>
          <w:rFonts w:ascii="Verdana Pro Cond Light" w:hAnsi="Verdana Pro Cond Light"/>
          <w:i/>
          <w:iCs/>
        </w:rPr>
        <w:t>The Christian Scholar,</w:t>
      </w:r>
      <w:r>
        <w:rPr>
          <w:rFonts w:ascii="Verdana Pro Cond Light" w:hAnsi="Verdana Pro Cond Light"/>
        </w:rPr>
        <w:t xml:space="preserve"> 45. 4, (1962), 267–289. &lt; </w:t>
      </w:r>
      <w:hyperlink r:id="rId3">
        <w:r>
          <w:rPr>
            <w:rStyle w:val="InternetLink"/>
            <w:rFonts w:ascii="Verdana Pro Cond Light" w:hAnsi="Verdana Pro Cond Light"/>
          </w:rPr>
          <w:t>http://www.jstor.org/stable/41177305</w:t>
        </w:r>
      </w:hyperlink>
      <w:r>
        <w:rPr>
          <w:rFonts w:ascii="Verdana Pro Cond Light" w:hAnsi="Verdana Pro Cond Light"/>
        </w:rPr>
        <w:t>.&gt;</w:t>
      </w:r>
    </w:p>
    <w:p>
      <w:pPr>
        <w:pStyle w:val="Normal"/>
        <w:ind w:right="-334" w:hanging="0"/>
        <w:jc w:val="both"/>
        <w:rPr>
          <w:rFonts w:ascii="Verdana Pro Cond Light" w:hAnsi="Verdana Pro Cond Light"/>
        </w:rPr>
      </w:pPr>
      <w:r>
        <w:rPr>
          <w:rFonts w:ascii="Verdana Pro Cond Light" w:hAnsi="Verdana Pro Cond Light"/>
        </w:rPr>
      </w:r>
    </w:p>
    <w:p>
      <w:pPr>
        <w:pStyle w:val="Footnote"/>
        <w:ind w:left="0" w:right="-334" w:hanging="0"/>
        <w:jc w:val="both"/>
        <w:rPr/>
      </w:pPr>
      <w:r>
        <w:rPr>
          <w:rFonts w:ascii="Verdana Pro Cond Light" w:hAnsi="Verdana Pro Cond Light"/>
          <w:sz w:val="24"/>
          <w:szCs w:val="24"/>
        </w:rPr>
        <w:t xml:space="preserve">Dadosky, John, D, </w:t>
      </w:r>
      <w:r>
        <w:rPr>
          <w:rFonts w:ascii="Verdana Pro Cond Light" w:hAnsi="Verdana Pro Cond Light"/>
          <w:i/>
          <w:iCs/>
          <w:sz w:val="24"/>
          <w:szCs w:val="24"/>
        </w:rPr>
        <w:t xml:space="preserve">The Structure of Religious Knowing: Encountering the Sacred in Eliade and Lonergan, </w:t>
      </w:r>
      <w:r>
        <w:rPr>
          <w:rFonts w:ascii="Verdana Pro Cond Light" w:hAnsi="Verdana Pro Cond Light"/>
          <w:sz w:val="24"/>
          <w:szCs w:val="24"/>
        </w:rPr>
        <w:t>(Albany: state University of New York Press, 2004)</w:t>
      </w:r>
    </w:p>
    <w:p>
      <w:pPr>
        <w:pStyle w:val="Footnote"/>
        <w:ind w:left="0" w:hanging="0"/>
        <w:jc w:val="both"/>
        <w:rPr>
          <w:rFonts w:ascii="Verdana Pro Cond Light" w:hAnsi="Verdana Pro Cond Light"/>
          <w:sz w:val="24"/>
          <w:szCs w:val="24"/>
        </w:rPr>
      </w:pPr>
      <w:r>
        <w:rPr/>
      </w:r>
    </w:p>
    <w:p>
      <w:pPr>
        <w:pStyle w:val="Footnote"/>
        <w:ind w:left="0" w:hanging="0"/>
        <w:jc w:val="both"/>
        <w:rPr/>
      </w:pPr>
      <w:r>
        <w:rPr>
          <w:rFonts w:ascii="Verdana Pro Cond Light" w:hAnsi="Verdana Pro Cond Light"/>
          <w:sz w:val="24"/>
          <w:szCs w:val="24"/>
        </w:rPr>
        <w:t xml:space="preserve">Doren, Yulia Van, </w:t>
      </w:r>
      <w:r>
        <w:rPr>
          <w:rFonts w:ascii="Verdana Pro Cond Light" w:hAnsi="Verdana Pro Cond Light"/>
          <w:i/>
          <w:iCs/>
          <w:sz w:val="24"/>
          <w:szCs w:val="24"/>
        </w:rPr>
        <w:t xml:space="preserve">Crystals: The Modern Guide To Crystal Healing, </w:t>
      </w:r>
      <w:r>
        <w:rPr>
          <w:rFonts w:ascii="Verdana Pro Cond Light" w:hAnsi="Verdana Pro Cond Light"/>
          <w:sz w:val="24"/>
          <w:szCs w:val="24"/>
        </w:rPr>
        <w:t xml:space="preserve">(London: </w:t>
      </w:r>
      <w:r>
        <w:rPr>
          <w:rFonts w:ascii="Verdana Pro Cond Light" w:hAnsi="Verdana Pro Cond Light"/>
          <w:color w:val="0F1111"/>
          <w:sz w:val="24"/>
          <w:szCs w:val="24"/>
        </w:rPr>
        <w:t>Quadrille Publishing Ltd, 2017)</w:t>
      </w:r>
    </w:p>
    <w:p>
      <w:pPr>
        <w:pStyle w:val="NormalWeb"/>
        <w:spacing w:before="280" w:after="280"/>
        <w:ind w:right="-334" w:hanging="0"/>
        <w:jc w:val="both"/>
        <w:rPr/>
      </w:pPr>
      <w:r>
        <w:rPr>
          <w:rFonts w:ascii="Verdana Pro Cond Light" w:hAnsi="Verdana Pro Cond Light"/>
          <w:sz w:val="24"/>
          <w:szCs w:val="24"/>
        </w:rPr>
        <w:t xml:space="preserve">Durkheim, Emile, </w:t>
      </w:r>
      <w:r>
        <w:rPr>
          <w:rFonts w:ascii="Verdana Pro Cond Light" w:hAnsi="Verdana Pro Cond Light"/>
          <w:i/>
          <w:iCs/>
          <w:sz w:val="24"/>
          <w:szCs w:val="24"/>
        </w:rPr>
        <w:t>The Elementary Forms of Religious Life (</w:t>
      </w:r>
      <w:r>
        <w:rPr>
          <w:rFonts w:ascii="Verdana Pro Cond Light" w:hAnsi="Verdana Pro Cond Light"/>
          <w:sz w:val="24"/>
          <w:szCs w:val="24"/>
        </w:rPr>
        <w:t>New York: The Free Press, 1995)</w:t>
      </w:r>
    </w:p>
    <w:p>
      <w:pPr>
        <w:pStyle w:val="TextBody"/>
        <w:spacing w:before="0" w:after="0"/>
        <w:ind w:right="-334" w:hanging="0"/>
        <w:jc w:val="both"/>
        <w:rPr/>
      </w:pPr>
      <w:r>
        <w:rPr>
          <w:rFonts w:ascii="Verdana Pro Cond Light" w:hAnsi="Verdana Pro Cond Light"/>
        </w:rPr>
        <w:t xml:space="preserve">Eliade, Mircea </w:t>
      </w:r>
      <w:r>
        <w:rPr>
          <w:rFonts w:ascii="Verdana Pro Cond Light" w:hAnsi="Verdana Pro Cond Light"/>
          <w:i/>
          <w:iCs/>
        </w:rPr>
        <w:t xml:space="preserve">Images And Symbols </w:t>
      </w:r>
      <w:r>
        <w:rPr>
          <w:rFonts w:ascii="Verdana Pro Cond Light" w:hAnsi="Verdana Pro Cond Light"/>
        </w:rPr>
        <w:t>(Princeton: Princeton University Press, 1991)</w:t>
      </w:r>
    </w:p>
    <w:p>
      <w:pPr>
        <w:pStyle w:val="TextBody"/>
        <w:spacing w:before="0" w:after="0"/>
        <w:ind w:right="-334" w:hanging="0"/>
        <w:jc w:val="both"/>
        <w:rPr/>
      </w:pPr>
      <w:r>
        <w:rPr/>
      </w:r>
    </w:p>
    <w:p>
      <w:pPr>
        <w:pStyle w:val="Footnote"/>
        <w:ind w:left="0" w:right="-334" w:hanging="0"/>
        <w:jc w:val="both"/>
        <w:rPr/>
      </w:pPr>
      <w:r>
        <w:rPr>
          <w:rFonts w:ascii="Verdana Pro Cond Light" w:hAnsi="Verdana Pro Cond Light"/>
          <w:sz w:val="24"/>
          <w:szCs w:val="24"/>
        </w:rPr>
        <w:t xml:space="preserve">Eliade, Mircea, </w:t>
      </w:r>
      <w:r>
        <w:rPr>
          <w:rFonts w:ascii="Verdana Pro Cond Light" w:hAnsi="Verdana Pro Cond Light"/>
          <w:i/>
          <w:iCs/>
          <w:sz w:val="24"/>
          <w:szCs w:val="24"/>
        </w:rPr>
        <w:t xml:space="preserve">The Sacred And The Profane: The Nature of Religion, </w:t>
      </w:r>
      <w:r>
        <w:rPr>
          <w:rFonts w:ascii="Verdana Pro Cond Light" w:hAnsi="Verdana Pro Cond Light"/>
          <w:sz w:val="24"/>
          <w:szCs w:val="24"/>
        </w:rPr>
        <w:t>(England: Harcourt, 1959)</w:t>
      </w:r>
    </w:p>
    <w:p>
      <w:pPr>
        <w:pStyle w:val="Footnote"/>
        <w:ind w:left="0" w:right="-334" w:hanging="0"/>
        <w:jc w:val="both"/>
        <w:rPr>
          <w:rFonts w:ascii="Verdana Pro Cond Light" w:hAnsi="Verdana Pro Cond Light"/>
        </w:rPr>
      </w:pPr>
      <w:r>
        <w:rPr>
          <w:rFonts w:ascii="Verdana Pro Cond Light" w:hAnsi="Verdana Pro Cond Light"/>
        </w:rPr>
      </w:r>
    </w:p>
    <w:p>
      <w:pPr>
        <w:pStyle w:val="Footnote"/>
        <w:ind w:left="0" w:right="-334" w:hanging="0"/>
        <w:jc w:val="both"/>
        <w:rPr/>
      </w:pPr>
      <w:r>
        <w:rPr>
          <w:rFonts w:ascii="Verdana Pro Cond Light" w:hAnsi="Verdana Pro Cond Light"/>
          <w:sz w:val="24"/>
          <w:szCs w:val="24"/>
        </w:rPr>
        <w:t xml:space="preserve">Fishbame, Simcha and Goldscheider, Calvin, and Lightstone, Jack N, </w:t>
      </w:r>
      <w:r>
        <w:rPr>
          <w:rFonts w:ascii="Verdana Pro Cond Light" w:hAnsi="Verdana Pro Cond Light"/>
          <w:i/>
          <w:iCs/>
          <w:sz w:val="24"/>
          <w:szCs w:val="24"/>
        </w:rPr>
        <w:t xml:space="preserve">Exploring Mishnah’s World (s) Social Scientific Approaches, </w:t>
      </w:r>
      <w:r>
        <w:rPr>
          <w:rFonts w:ascii="Verdana Pro Cond Light" w:hAnsi="Verdana Pro Cond Light"/>
          <w:sz w:val="24"/>
          <w:szCs w:val="24"/>
        </w:rPr>
        <w:t>(Switzerland: Springer International Publishing, 2020)</w:t>
      </w:r>
    </w:p>
    <w:p>
      <w:pPr>
        <w:pStyle w:val="Footnote"/>
        <w:ind w:left="0" w:right="-334" w:hanging="0"/>
        <w:jc w:val="both"/>
        <w:rPr>
          <w:rFonts w:ascii="Verdana Pro Cond Light" w:hAnsi="Verdana Pro Cond Light"/>
        </w:rPr>
      </w:pPr>
      <w:r>
        <w:rPr>
          <w:rFonts w:ascii="Verdana Pro Cond Light" w:hAnsi="Verdana Pro Cond Light"/>
        </w:rPr>
      </w:r>
    </w:p>
    <w:p>
      <w:pPr>
        <w:pStyle w:val="Normal"/>
        <w:ind w:right="-334" w:hanging="0"/>
        <w:jc w:val="both"/>
        <w:rPr/>
      </w:pPr>
      <w:r>
        <w:rPr>
          <w:rFonts w:ascii="Verdana Pro Cond Light" w:hAnsi="Verdana Pro Cond Light"/>
        </w:rPr>
        <w:t xml:space="preserve">Greenwood, Susan F. ‘Émile Durkheim and C. G. Jung: Structuring a Transpersonal Sociology of     Religion’ </w:t>
      </w:r>
      <w:r>
        <w:rPr>
          <w:rFonts w:ascii="Verdana Pro Cond Light" w:hAnsi="Verdana Pro Cond Light"/>
          <w:i/>
        </w:rPr>
        <w:t>Journal for the Scientific Study of Religion</w:t>
      </w:r>
      <w:r>
        <w:rPr>
          <w:rFonts w:ascii="Verdana Pro Cond Light" w:hAnsi="Verdana Pro Cond Light"/>
        </w:rPr>
        <w:t xml:space="preserve">, 29. 4, (1990), 482–495. (p.482) &lt; </w:t>
      </w:r>
      <w:hyperlink r:id="rId4">
        <w:r>
          <w:rPr>
            <w:rStyle w:val="InternetLink"/>
            <w:rFonts w:ascii="Verdana Pro Cond Light" w:hAnsi="Verdana Pro Cond Light"/>
          </w:rPr>
          <w:t>https://doi.org/10.2307/1387313</w:t>
        </w:r>
      </w:hyperlink>
      <w:r>
        <w:rPr>
          <w:rFonts w:ascii="Verdana Pro Cond Light" w:hAnsi="Verdana Pro Cond Light"/>
        </w:rPr>
        <w:t xml:space="preserve">&gt; </w:t>
      </w:r>
    </w:p>
    <w:p>
      <w:pPr>
        <w:pStyle w:val="Footnote"/>
        <w:ind w:left="0" w:right="-334" w:hanging="0"/>
        <w:jc w:val="both"/>
        <w:rPr>
          <w:sz w:val="24"/>
          <w:szCs w:val="24"/>
        </w:rPr>
      </w:pPr>
      <w:r>
        <w:rPr>
          <w:sz w:val="24"/>
          <w:szCs w:val="24"/>
        </w:rPr>
      </w:r>
    </w:p>
    <w:p>
      <w:pPr>
        <w:pStyle w:val="Footnote"/>
        <w:ind w:left="0" w:hanging="0"/>
        <w:jc w:val="both"/>
        <w:rPr/>
      </w:pPr>
      <w:r>
        <w:rPr>
          <w:rFonts w:ascii="Verdana Pro Cond Light" w:hAnsi="Verdana Pro Cond Light"/>
          <w:color w:val="000000"/>
          <w:sz w:val="24"/>
          <w:szCs w:val="24"/>
        </w:rPr>
        <w:t xml:space="preserve">Jhutti-Johal, Jagbir, </w:t>
      </w:r>
      <w:r>
        <w:rPr>
          <w:rFonts w:ascii="Verdana Pro Cond Light" w:hAnsi="Verdana Pro Cond Light"/>
          <w:i/>
          <w:iCs/>
          <w:color w:val="000000"/>
          <w:sz w:val="24"/>
          <w:szCs w:val="24"/>
        </w:rPr>
        <w:t xml:space="preserve">Sikhism Today, </w:t>
      </w:r>
      <w:r>
        <w:rPr>
          <w:rFonts w:ascii="Verdana Pro Cond Light" w:hAnsi="Verdana Pro Cond Light"/>
          <w:color w:val="000000"/>
          <w:sz w:val="24"/>
          <w:szCs w:val="24"/>
        </w:rPr>
        <w:t>(London: Continuum International Publishing Group, 2011)</w:t>
      </w:r>
    </w:p>
    <w:p>
      <w:pPr>
        <w:pStyle w:val="Footnote"/>
        <w:ind w:left="0" w:right="-334" w:hanging="0"/>
        <w:jc w:val="both"/>
        <w:rPr/>
      </w:pPr>
      <w:r>
        <w:rPr/>
      </w:r>
    </w:p>
    <w:p>
      <w:pPr>
        <w:pStyle w:val="Footnote"/>
        <w:ind w:left="0" w:right="-334" w:hanging="0"/>
        <w:jc w:val="both"/>
        <w:rPr/>
      </w:pPr>
      <w:r>
        <w:rPr/>
      </w:r>
    </w:p>
    <w:p>
      <w:pPr>
        <w:pStyle w:val="Footnote"/>
        <w:ind w:left="0" w:right="-334" w:hanging="0"/>
        <w:jc w:val="both"/>
        <w:rPr/>
      </w:pPr>
      <w:r>
        <w:rPr>
          <w:rFonts w:ascii="Verdana Pro Cond Light" w:hAnsi="Verdana Pro Cond Light"/>
          <w:sz w:val="24"/>
          <w:szCs w:val="24"/>
        </w:rPr>
        <w:t xml:space="preserve">Johnson, Connie, </w:t>
      </w:r>
      <w:r>
        <w:rPr>
          <w:rFonts w:ascii="Verdana Pro Cond Light" w:hAnsi="Verdana Pro Cond Light"/>
          <w:i/>
          <w:iCs/>
          <w:sz w:val="24"/>
          <w:szCs w:val="24"/>
        </w:rPr>
        <w:t xml:space="preserve">Spiritual Concepts for a new age, </w:t>
      </w:r>
      <w:r>
        <w:rPr>
          <w:rFonts w:ascii="Verdana Pro Cond Light" w:hAnsi="Verdana Pro Cond Light"/>
          <w:sz w:val="24"/>
          <w:szCs w:val="24"/>
        </w:rPr>
        <w:t>(Bloomington: Balboa Press, 2012)</w:t>
      </w:r>
    </w:p>
    <w:p>
      <w:pPr>
        <w:pStyle w:val="TextBody"/>
        <w:spacing w:before="0" w:after="0"/>
        <w:ind w:right="-334" w:hanging="0"/>
        <w:jc w:val="both"/>
        <w:rPr/>
      </w:pPr>
      <w:r>
        <w:rPr/>
      </w:r>
    </w:p>
    <w:p>
      <w:pPr>
        <w:pStyle w:val="Normal"/>
        <w:jc w:val="both"/>
        <w:rPr/>
      </w:pPr>
      <w:r>
        <w:rPr>
          <w:rFonts w:ascii="Verdana Pro Cond Light" w:hAnsi="Verdana Pro Cond Light"/>
          <w:color w:val="000000"/>
        </w:rPr>
        <w:t xml:space="preserve">Kieran Allen and Brian O’Boyle, ‘Durkheim Declassified’, in  </w:t>
      </w:r>
      <w:r>
        <w:rPr>
          <w:rFonts w:ascii="Verdana Pro Cond Light" w:hAnsi="Verdana Pro Cond Light"/>
          <w:i/>
          <w:iCs/>
          <w:color w:val="000000"/>
        </w:rPr>
        <w:t xml:space="preserve">Durkheim: A Critical Introduction,  </w:t>
      </w:r>
      <w:r>
        <w:rPr>
          <w:rFonts w:ascii="Verdana Pro Cond Light" w:hAnsi="Verdana Pro Cond Light"/>
          <w:color w:val="000000"/>
        </w:rPr>
        <w:t xml:space="preserve">(London: Pluto Press, 2017), pp 1-11 &lt; </w:t>
      </w:r>
      <w:hyperlink r:id="rId5">
        <w:bookmarkStart w:id="138" w:name="link-element1"/>
        <w:bookmarkEnd w:id="138"/>
        <w:r>
          <w:rPr>
            <w:rStyle w:val="InternetLink"/>
            <w:rFonts w:ascii="Verdana Pro Cond Light" w:hAnsi="Verdana Pro Cond Light"/>
            <w:color w:val="000000"/>
            <w:u w:val="none"/>
          </w:rPr>
          <w:t>https://doi.org/10.2307/j.ctt1v2xvw6.4</w:t>
        </w:r>
      </w:hyperlink>
      <w:r>
        <w:rPr>
          <w:rFonts w:ascii="Verdana Pro Cond Light" w:hAnsi="Verdana Pro Cond Light"/>
          <w:color w:val="343332"/>
        </w:rPr>
        <w:t xml:space="preserve"> </w:t>
      </w:r>
      <w:r>
        <w:rPr>
          <w:rFonts w:ascii="Verdana Pro Cond Light" w:hAnsi="Verdana Pro Cond Light"/>
          <w:color w:val="000000"/>
        </w:rPr>
        <w:t xml:space="preserve">&gt; </w:t>
      </w:r>
    </w:p>
    <w:p>
      <w:pPr>
        <w:pStyle w:val="Footnote"/>
        <w:ind w:left="0" w:right="-334" w:hanging="0"/>
        <w:jc w:val="both"/>
        <w:rPr>
          <w:b/>
          <w:b/>
          <w:bCs/>
        </w:rPr>
      </w:pPr>
      <w:r>
        <w:rPr>
          <w:b/>
          <w:bCs/>
        </w:rPr>
      </w:r>
    </w:p>
    <w:p>
      <w:pPr>
        <w:pStyle w:val="Footnote"/>
        <w:ind w:left="0" w:right="-334" w:hanging="0"/>
        <w:jc w:val="both"/>
        <w:rPr/>
      </w:pPr>
      <w:r>
        <w:rPr>
          <w:rFonts w:ascii="Verdana Pro Cond Light" w:hAnsi="Verdana Pro Cond Light"/>
          <w:sz w:val="24"/>
          <w:szCs w:val="24"/>
        </w:rPr>
        <w:t xml:space="preserve">Mostowlansky, Till and Rota, Andrea, ‘A Matter of Perspective? Disentangling the Emic-Etic Debate in the Scientific Study of Religion/s’, </w:t>
      </w:r>
      <w:r>
        <w:rPr>
          <w:rFonts w:ascii="Verdana Pro Cond Light" w:hAnsi="Verdana Pro Cond Light"/>
          <w:i/>
          <w:iCs/>
          <w:sz w:val="24"/>
          <w:szCs w:val="24"/>
        </w:rPr>
        <w:t>Method &amp; Theory in the Study of Religion</w:t>
      </w:r>
      <w:r>
        <w:rPr>
          <w:rFonts w:ascii="Verdana Pro Cond Light" w:hAnsi="Verdana Pro Cond Light"/>
          <w:sz w:val="24"/>
          <w:szCs w:val="24"/>
        </w:rPr>
        <w:t xml:space="preserve">, 28.4,5 (2016), 317-336  &lt; </w:t>
      </w:r>
      <w:hyperlink r:id="rId6">
        <w:r>
          <w:rPr>
            <w:rStyle w:val="InternetLink"/>
            <w:rFonts w:ascii="Verdana Pro Cond Light" w:hAnsi="Verdana Pro Cond Light"/>
            <w:sz w:val="24"/>
            <w:szCs w:val="24"/>
          </w:rPr>
          <w:t>https://www.jstor.org/stable/44645818</w:t>
        </w:r>
      </w:hyperlink>
      <w:r>
        <w:rPr>
          <w:rFonts w:ascii="Verdana Pro Cond Light" w:hAnsi="Verdana Pro Cond Light"/>
          <w:sz w:val="24"/>
          <w:szCs w:val="24"/>
        </w:rPr>
        <w:t xml:space="preserve">&gt; </w:t>
      </w:r>
    </w:p>
    <w:p>
      <w:pPr>
        <w:pStyle w:val="Footnote"/>
        <w:ind w:left="0" w:right="-334" w:hanging="0"/>
        <w:jc w:val="both"/>
        <w:rPr>
          <w:b/>
          <w:b/>
          <w:bCs/>
        </w:rPr>
      </w:pPr>
      <w:r>
        <w:rPr>
          <w:b/>
          <w:bCs/>
        </w:rPr>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right="-334" w:hanging="0"/>
        <w:jc w:val="both"/>
        <w:rPr/>
      </w:pPr>
      <w:r>
        <w:rPr>
          <w:rFonts w:ascii="Verdana Pro Cond Light" w:hAnsi="Verdana Pro Cond Light"/>
          <w:sz w:val="24"/>
          <w:szCs w:val="24"/>
        </w:rPr>
        <w:t xml:space="preserve">Lal, Bhai Harbans, </w:t>
      </w:r>
      <w:r>
        <w:rPr>
          <w:rFonts w:ascii="Verdana Pro Cond Light" w:hAnsi="Verdana Pro Cond Light"/>
          <w:i/>
          <w:iCs/>
          <w:sz w:val="24"/>
          <w:szCs w:val="24"/>
        </w:rPr>
        <w:t xml:space="preserve">Search Gurbani </w:t>
      </w:r>
      <w:r>
        <w:rPr>
          <w:rFonts w:ascii="Verdana Pro Cond Light" w:hAnsi="Verdana Pro Cond Light"/>
          <w:sz w:val="24"/>
          <w:szCs w:val="24"/>
        </w:rPr>
        <w:t>(2023) &lt;</w:t>
      </w:r>
      <w:hyperlink r:id="rId7">
        <w:r>
          <w:rPr>
            <w:rStyle w:val="InternetLink"/>
            <w:rFonts w:ascii="Verdana Pro Cond Light" w:hAnsi="Verdana Pro Cond Light"/>
            <w:sz w:val="24"/>
            <w:szCs w:val="24"/>
          </w:rPr>
          <w:t>https://www.searchgurbani.com/amrit-keertan/introduction</w:t>
        </w:r>
      </w:hyperlink>
      <w:r>
        <w:rPr>
          <w:rFonts w:ascii="Verdana Pro Cond Light" w:hAnsi="Verdana Pro Cond Light"/>
          <w:sz w:val="24"/>
          <w:szCs w:val="24"/>
        </w:rPr>
        <w:t xml:space="preserve"> &gt; [Accessed 14</w:t>
      </w:r>
      <w:r>
        <w:rPr>
          <w:rFonts w:ascii="Verdana Pro Cond Light" w:hAnsi="Verdana Pro Cond Light"/>
          <w:sz w:val="24"/>
          <w:szCs w:val="24"/>
          <w:vertAlign w:val="superscript"/>
        </w:rPr>
        <w:t xml:space="preserve">th </w:t>
      </w:r>
      <w:r>
        <w:rPr>
          <w:rFonts w:ascii="Verdana Pro Cond Light" w:hAnsi="Verdana Pro Cond Light"/>
          <w:sz w:val="24"/>
          <w:szCs w:val="24"/>
        </w:rPr>
        <w:t xml:space="preserve">October] </w:t>
      </w:r>
    </w:p>
    <w:p>
      <w:pPr>
        <w:pStyle w:val="Footnote"/>
        <w:ind w:left="0" w:right="-334" w:hanging="0"/>
        <w:jc w:val="both"/>
        <w:rPr>
          <w:b/>
          <w:b/>
          <w:bCs/>
        </w:rPr>
      </w:pPr>
      <w:r>
        <w:rPr>
          <w:b/>
          <w:bCs/>
        </w:rPr>
      </w:r>
    </w:p>
    <w:p>
      <w:pPr>
        <w:pStyle w:val="Footnote"/>
        <w:ind w:left="0" w:right="-334" w:hanging="0"/>
        <w:jc w:val="both"/>
        <w:rPr/>
      </w:pPr>
      <w:r>
        <w:rPr>
          <w:rFonts w:ascii="Verdana Pro Cond Light" w:hAnsi="Verdana Pro Cond Light"/>
          <w:sz w:val="24"/>
          <w:szCs w:val="24"/>
        </w:rPr>
        <w:t xml:space="preserve">Moore, Deborah Dash ‘David Emile Durkheim and the Jewish Response to Modernity’, </w:t>
      </w:r>
      <w:r>
        <w:rPr>
          <w:rFonts w:ascii="Verdana Pro Cond Light" w:hAnsi="Verdana Pro Cond Light"/>
          <w:i/>
          <w:iCs/>
          <w:sz w:val="24"/>
          <w:szCs w:val="24"/>
        </w:rPr>
        <w:t>Modern Judaism,</w:t>
      </w:r>
      <w:r>
        <w:rPr>
          <w:rFonts w:ascii="Verdana Pro Cond Light" w:hAnsi="Verdana Pro Cond Light"/>
          <w:sz w:val="24"/>
          <w:szCs w:val="24"/>
        </w:rPr>
        <w:t xml:space="preserve"> 6. 3 (1986), 287-300 &lt;</w:t>
      </w:r>
      <w:hyperlink r:id="rId8">
        <w:r>
          <w:rPr>
            <w:rStyle w:val="InternetLink"/>
            <w:rFonts w:ascii="Verdana Pro Cond Light" w:hAnsi="Verdana Pro Cond Light"/>
            <w:sz w:val="24"/>
            <w:szCs w:val="24"/>
          </w:rPr>
          <w:t>https://www-jstor-org.ezproxy.uwtsd.ac.uk/stable/1396218</w:t>
        </w:r>
      </w:hyperlink>
      <w:r>
        <w:rPr>
          <w:rFonts w:ascii="Verdana Pro Cond Light" w:hAnsi="Verdana Pro Cond Light"/>
          <w:sz w:val="24"/>
          <w:szCs w:val="24"/>
        </w:rPr>
        <w:t xml:space="preserve"> &gt;  </w:t>
      </w:r>
      <w:r>
        <w:rPr>
          <w:rFonts w:ascii="Verdana Pro Cond Light" w:hAnsi="Verdana Pro Cond Light"/>
          <w:b/>
          <w:bCs/>
          <w:sz w:val="24"/>
          <w:szCs w:val="24"/>
        </w:rPr>
        <w:t xml:space="preserve"> </w:t>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right="-334" w:hanging="0"/>
        <w:jc w:val="both"/>
        <w:rPr/>
      </w:pPr>
      <w:r>
        <w:rPr>
          <w:rFonts w:ascii="Verdana Pro Cond Light" w:hAnsi="Verdana Pro Cond Light"/>
          <w:sz w:val="24"/>
          <w:szCs w:val="24"/>
        </w:rPr>
        <w:t xml:space="preserve">Morris, Brian, </w:t>
      </w:r>
      <w:r>
        <w:rPr>
          <w:rFonts w:ascii="Verdana Pro Cond Light" w:hAnsi="Verdana Pro Cond Light"/>
          <w:i/>
          <w:iCs/>
          <w:sz w:val="24"/>
          <w:szCs w:val="24"/>
        </w:rPr>
        <w:t xml:space="preserve">Anthropological Studies of religion, </w:t>
      </w:r>
      <w:r>
        <w:rPr>
          <w:rFonts w:ascii="Verdana Pro Cond Light" w:hAnsi="Verdana Pro Cond Light"/>
          <w:sz w:val="24"/>
          <w:szCs w:val="24"/>
        </w:rPr>
        <w:t>(Cambridge: Cambridge University Press, 1987)</w:t>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right="-334" w:hanging="0"/>
        <w:jc w:val="both"/>
        <w:rPr/>
      </w:pPr>
      <w:r>
        <w:rPr>
          <w:rFonts w:ascii="Verdana Pro Cond Light" w:hAnsi="Verdana Pro Cond Light"/>
          <w:sz w:val="24"/>
          <w:szCs w:val="24"/>
        </w:rPr>
        <w:t>Nishkam Nursery (2023) &lt;</w:t>
      </w:r>
      <w:hyperlink r:id="rId9">
        <w:r>
          <w:rPr>
            <w:rStyle w:val="InternetLink"/>
            <w:rFonts w:ascii="Verdana Pro Cond Light" w:hAnsi="Verdana Pro Cond Light"/>
            <w:sz w:val="24"/>
            <w:szCs w:val="24"/>
          </w:rPr>
          <w:t>https://www.nishkamnursery.org.uk/2023/</w:t>
        </w:r>
      </w:hyperlink>
      <w:r>
        <w:rPr>
          <w:rFonts w:ascii="Verdana Pro Cond Light" w:hAnsi="Verdana Pro Cond Light"/>
          <w:sz w:val="24"/>
          <w:szCs w:val="24"/>
        </w:rPr>
        <w:t>&gt; [accessed 14</w:t>
      </w:r>
      <w:r>
        <w:rPr>
          <w:rFonts w:ascii="Verdana Pro Cond Light" w:hAnsi="Verdana Pro Cond Light"/>
          <w:sz w:val="24"/>
          <w:szCs w:val="24"/>
          <w:vertAlign w:val="superscript"/>
        </w:rPr>
        <w:t>th</w:t>
      </w:r>
      <w:r>
        <w:rPr>
          <w:rFonts w:ascii="Verdana Pro Cond Light" w:hAnsi="Verdana Pro Cond Light"/>
          <w:sz w:val="24"/>
          <w:szCs w:val="24"/>
        </w:rPr>
        <w:t xml:space="preserve"> October 2023]</w:t>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hanging="0"/>
        <w:jc w:val="both"/>
        <w:rPr/>
      </w:pPr>
      <w:r>
        <w:rPr>
          <w:rFonts w:ascii="Verdana Pro Cond Light" w:hAnsi="Verdana Pro Cond Light"/>
          <w:color w:val="000000"/>
          <w:sz w:val="24"/>
          <w:szCs w:val="24"/>
        </w:rPr>
        <w:t>Olupona, Jacob, K, C</w:t>
      </w:r>
      <w:r>
        <w:rPr>
          <w:rFonts w:ascii="Verdana Pro Cond Light" w:hAnsi="Verdana Pro Cond Light"/>
          <w:i/>
          <w:iCs/>
          <w:color w:val="000000"/>
          <w:sz w:val="24"/>
          <w:szCs w:val="24"/>
        </w:rPr>
        <w:t>ity of 201 Gods.</w:t>
      </w:r>
      <w:r>
        <w:rPr>
          <w:rFonts w:ascii="Verdana Pro Cond Light" w:hAnsi="Verdana Pro Cond Light"/>
          <w:color w:val="000000"/>
          <w:sz w:val="24"/>
          <w:szCs w:val="24"/>
        </w:rPr>
        <w:t xml:space="preserve"> (London: University of California press, 2011)</w:t>
      </w:r>
    </w:p>
    <w:p>
      <w:pPr>
        <w:pStyle w:val="Footnote"/>
        <w:ind w:left="0" w:hanging="0"/>
        <w:jc w:val="both"/>
        <w:rPr/>
      </w:pPr>
      <w:r>
        <w:rPr/>
      </w:r>
    </w:p>
    <w:p>
      <w:pPr>
        <w:pStyle w:val="Footnote"/>
        <w:ind w:left="0" w:right="-334" w:hanging="0"/>
        <w:jc w:val="both"/>
        <w:rPr/>
      </w:pPr>
      <w:r>
        <w:rPr>
          <w:rFonts w:ascii="Verdana Pro Cond Light" w:hAnsi="Verdana Pro Cond Light"/>
          <w:sz w:val="24"/>
          <w:szCs w:val="24"/>
        </w:rPr>
        <w:t xml:space="preserve">Quinn Jr, William W. ‘Mircea Eliade and the Sacred Tradtition (A Personal Account)’, </w:t>
      </w:r>
      <w:r>
        <w:rPr>
          <w:rFonts w:ascii="Verdana Pro Cond Light" w:hAnsi="Verdana Pro Cond Light"/>
          <w:i/>
          <w:iCs/>
          <w:sz w:val="24"/>
          <w:szCs w:val="24"/>
        </w:rPr>
        <w:t xml:space="preserve">Novo Religio: The Journal of Alternative and Emergent Religions, </w:t>
      </w:r>
      <w:r>
        <w:rPr>
          <w:rFonts w:ascii="Verdana Pro Cond Light" w:hAnsi="Verdana Pro Cond Light"/>
          <w:sz w:val="24"/>
          <w:szCs w:val="24"/>
        </w:rPr>
        <w:t xml:space="preserve">3.1 (1999), 147-153 &lt; </w:t>
      </w:r>
      <w:hyperlink r:id="rId10">
        <w:r>
          <w:rPr>
            <w:rStyle w:val="InternetLink"/>
            <w:rFonts w:ascii="Verdana Pro Cond Light" w:hAnsi="Verdana Pro Cond Light"/>
            <w:sz w:val="24"/>
            <w:szCs w:val="24"/>
          </w:rPr>
          <w:t>https://dpi.org/10.1525/nr.1999.3.1.147</w:t>
        </w:r>
      </w:hyperlink>
      <w:r>
        <w:rPr>
          <w:rFonts w:ascii="Verdana Pro Cond Light" w:hAnsi="Verdana Pro Cond Light"/>
          <w:sz w:val="24"/>
          <w:szCs w:val="24"/>
        </w:rPr>
        <w:t xml:space="preserve">&gt; </w:t>
      </w:r>
    </w:p>
    <w:p>
      <w:pPr>
        <w:pStyle w:val="Footnote"/>
        <w:ind w:left="0" w:right="-334" w:hanging="0"/>
        <w:jc w:val="both"/>
        <w:rPr>
          <w:rFonts w:ascii="Verdana Pro Cond Light" w:hAnsi="Verdana Pro Cond Light"/>
          <w:sz w:val="24"/>
          <w:szCs w:val="24"/>
        </w:rPr>
      </w:pPr>
      <w:r>
        <w:rPr/>
      </w:r>
    </w:p>
    <w:p>
      <w:pPr>
        <w:pStyle w:val="Footnote"/>
        <w:ind w:left="0" w:right="-334" w:hanging="0"/>
        <w:jc w:val="both"/>
        <w:rPr/>
      </w:pPr>
      <w:r>
        <w:rPr>
          <w:rFonts w:ascii="Verdana Pro Cond Light" w:hAnsi="Verdana Pro Cond Light"/>
          <w:sz w:val="24"/>
          <w:szCs w:val="24"/>
        </w:rPr>
        <w:t>Rappaport, Roy, A,</w:t>
      </w:r>
      <w:r>
        <w:rPr>
          <w:rFonts w:ascii="Verdana Pro Cond Light" w:hAnsi="Verdana Pro Cond Light"/>
          <w:i/>
          <w:iCs/>
          <w:sz w:val="24"/>
          <w:szCs w:val="24"/>
        </w:rPr>
        <w:t xml:space="preserve"> Ritual And Religion in the making of humanity.</w:t>
      </w:r>
      <w:r>
        <w:rPr>
          <w:rFonts w:ascii="Verdana Pro Cond Light" w:hAnsi="Verdana Pro Cond Light"/>
          <w:sz w:val="24"/>
          <w:szCs w:val="24"/>
        </w:rPr>
        <w:t xml:space="preserve"> (Cambridge: Cambridge University Press, 1999). </w:t>
      </w:r>
    </w:p>
    <w:p>
      <w:pPr>
        <w:pStyle w:val="Footnote"/>
        <w:ind w:left="0" w:right="-334" w:hanging="0"/>
        <w:jc w:val="both"/>
        <w:rPr>
          <w:rFonts w:ascii="Verdana Pro Cond Light" w:hAnsi="Verdana Pro Cond Light"/>
          <w:sz w:val="24"/>
          <w:szCs w:val="24"/>
        </w:rPr>
      </w:pPr>
      <w:r>
        <w:rPr>
          <w:rFonts w:ascii="Verdana Pro Cond Light" w:hAnsi="Verdana Pro Cond Light"/>
          <w:sz w:val="24"/>
          <w:szCs w:val="24"/>
        </w:rPr>
      </w:r>
    </w:p>
    <w:p>
      <w:pPr>
        <w:pStyle w:val="Footnote"/>
        <w:ind w:left="0" w:right="-334" w:hanging="0"/>
        <w:jc w:val="both"/>
        <w:rPr/>
      </w:pPr>
      <w:r>
        <w:rPr>
          <w:rFonts w:ascii="Verdana Pro Cond Light" w:hAnsi="Verdana Pro Cond Light"/>
          <w:sz w:val="24"/>
          <w:szCs w:val="24"/>
        </w:rPr>
        <w:t xml:space="preserve">Singh, Harjinder, Singh, Sukha, and Singh, Jaskeerth, </w:t>
      </w:r>
      <w:r>
        <w:rPr>
          <w:rFonts w:ascii="Verdana Pro Cond Light" w:hAnsi="Verdana Pro Cond Light"/>
          <w:i/>
          <w:iCs/>
          <w:sz w:val="24"/>
          <w:szCs w:val="24"/>
        </w:rPr>
        <w:t xml:space="preserve">Sikh Code of </w:t>
      </w:r>
      <w:r>
        <w:rPr>
          <w:rFonts w:ascii="Verdana Pro Cond Light" w:hAnsi="Verdana Pro Cond Light"/>
          <w:sz w:val="24"/>
          <w:szCs w:val="24"/>
        </w:rPr>
        <w:t>Conduct:</w:t>
      </w:r>
      <w:r>
        <w:rPr>
          <w:rFonts w:ascii="Verdana Pro Cond Light" w:hAnsi="Verdana Pro Cond Light"/>
          <w:i/>
          <w:iCs/>
          <w:sz w:val="24"/>
          <w:szCs w:val="24"/>
        </w:rPr>
        <w:t xml:space="preserve"> Summarised Version,</w:t>
      </w:r>
      <w:r>
        <w:rPr>
          <w:rFonts w:ascii="Verdana Pro Cond Light" w:hAnsi="Verdana Pro Cond Light"/>
          <w:sz w:val="24"/>
          <w:szCs w:val="24"/>
        </w:rPr>
        <w:t xml:space="preserve"> 6</w:t>
      </w:r>
      <w:r>
        <w:rPr>
          <w:rFonts w:ascii="Verdana Pro Cond Light" w:hAnsi="Verdana Pro Cond Light"/>
          <w:sz w:val="24"/>
          <w:szCs w:val="24"/>
          <w:vertAlign w:val="superscript"/>
        </w:rPr>
        <w:t>th</w:t>
      </w:r>
      <w:r>
        <w:rPr>
          <w:rFonts w:ascii="Verdana Pro Cond Light" w:hAnsi="Verdana Pro Cond Light"/>
          <w:sz w:val="24"/>
          <w:szCs w:val="24"/>
        </w:rPr>
        <w:t xml:space="preserve"> edn. (Akaal Publishers, 2020). p.121</w:t>
      </w:r>
    </w:p>
    <w:p>
      <w:pPr>
        <w:pStyle w:val="Footnote"/>
        <w:ind w:left="0" w:right="-334" w:hanging="0"/>
        <w:jc w:val="both"/>
        <w:rPr>
          <w:rFonts w:ascii="Verdana Pro Cond Light" w:hAnsi="Verdana Pro Cond Light" w:cs="Tahoma"/>
          <w:bCs/>
          <w:sz w:val="24"/>
          <w:szCs w:val="24"/>
        </w:rPr>
      </w:pPr>
      <w:r>
        <w:rPr/>
      </w:r>
    </w:p>
    <w:p>
      <w:pPr>
        <w:pStyle w:val="Footnote"/>
        <w:ind w:left="0" w:right="-334" w:hanging="0"/>
        <w:jc w:val="both"/>
        <w:rPr/>
      </w:pPr>
      <w:r>
        <w:rPr>
          <w:rFonts w:cs="Tahoma" w:ascii="Verdana Pro Cond Light" w:hAnsi="Verdana Pro Cond Light"/>
          <w:bCs/>
          <w:sz w:val="24"/>
          <w:szCs w:val="24"/>
        </w:rPr>
        <w:t xml:space="preserve">Strenski, Ivan, </w:t>
      </w:r>
      <w:r>
        <w:rPr>
          <w:rFonts w:cs="Tahoma" w:ascii="Verdana Pro Cond Light" w:hAnsi="Verdana Pro Cond Light"/>
          <w:bCs/>
          <w:i/>
          <w:iCs/>
          <w:sz w:val="24"/>
          <w:szCs w:val="24"/>
        </w:rPr>
        <w:t xml:space="preserve">Understanding Theories of Religion: An Introduction, </w:t>
      </w:r>
      <w:r>
        <w:rPr>
          <w:rFonts w:cs="Tahoma" w:ascii="Verdana Pro Cond Light" w:hAnsi="Verdana Pro Cond Light"/>
          <w:bCs/>
          <w:sz w:val="24"/>
          <w:szCs w:val="24"/>
        </w:rPr>
        <w:t>2</w:t>
      </w:r>
      <w:r>
        <w:rPr>
          <w:rFonts w:cs="Tahoma" w:ascii="Verdana Pro Cond Light" w:hAnsi="Verdana Pro Cond Light"/>
          <w:bCs/>
          <w:sz w:val="24"/>
          <w:szCs w:val="24"/>
          <w:vertAlign w:val="superscript"/>
        </w:rPr>
        <w:t>nd</w:t>
      </w:r>
      <w:r>
        <w:rPr>
          <w:rFonts w:cs="Tahoma" w:ascii="Verdana Pro Cond Light" w:hAnsi="Verdana Pro Cond Light"/>
          <w:bCs/>
          <w:sz w:val="24"/>
          <w:szCs w:val="24"/>
        </w:rPr>
        <w:t xml:space="preserve"> edn.</w:t>
      </w:r>
      <w:r>
        <w:rPr>
          <w:rFonts w:cs="Tahoma" w:ascii="Verdana Pro Cond Light" w:hAnsi="Verdana Pro Cond Light"/>
          <w:bCs/>
          <w:i/>
          <w:iCs/>
          <w:sz w:val="24"/>
          <w:szCs w:val="24"/>
        </w:rPr>
        <w:t xml:space="preserve"> </w:t>
      </w:r>
      <w:r>
        <w:rPr>
          <w:rFonts w:cs="Tahoma" w:ascii="Verdana Pro Cond Light" w:hAnsi="Verdana Pro Cond Light"/>
          <w:bCs/>
          <w:sz w:val="24"/>
          <w:szCs w:val="24"/>
        </w:rPr>
        <w:t>(West Sussex; Blackwell Publishing, 2015)</w:t>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jc w:val="both"/>
        <w:rPr>
          <w:rFonts w:ascii="Verdana Pro Cond Light" w:hAnsi="Verdana Pro Cond Light" w:cs="Tahoma"/>
          <w:bCs/>
          <w:sz w:val="24"/>
          <w:szCs w:val="24"/>
          <w:shd w:fill="FFFF00" w:val="clear"/>
        </w:rPr>
      </w:pPr>
      <w:r>
        <w:rPr>
          <w:rFonts w:cs="Tahoma" w:ascii="Verdana Pro Cond Light" w:hAnsi="Verdana Pro Cond Light"/>
          <w:bCs/>
          <w:sz w:val="24"/>
          <w:szCs w:val="24"/>
          <w:shd w:fill="FFFF00" w:val="clear"/>
        </w:rPr>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ind w:right="-334" w:hanging="0"/>
        <w:jc w:val="both"/>
        <w:rPr>
          <w:rFonts w:ascii="Verdana Pro Cond Light" w:hAnsi="Verdana Pro Cond Light" w:cs="Tahoma"/>
          <w:bCs/>
          <w:sz w:val="24"/>
          <w:szCs w:val="24"/>
        </w:rPr>
      </w:pPr>
      <w:r>
        <w:rPr>
          <w:rFonts w:cs="Tahoma" w:ascii="Verdana Pro Cond Light" w:hAnsi="Verdana Pro Cond Light"/>
          <w:bCs/>
          <w:sz w:val="24"/>
          <w:szCs w:val="24"/>
        </w:rPr>
      </w:r>
    </w:p>
    <w:p>
      <w:pPr>
        <w:pStyle w:val="NormalWeb"/>
        <w:spacing w:before="280" w:after="28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280" w:afterAutospacing="0" w:after="280"/>
        <w:ind w:right="-334" w:hanging="0"/>
        <w:rPr>
          <w:rFonts w:ascii="Trebuchet MS" w:hAnsi="Trebuchet MS" w:cs="Tahoma"/>
          <w:bCs/>
          <w:sz w:val="24"/>
          <w:szCs w:val="24"/>
        </w:rPr>
      </w:pPr>
      <w:r>
        <w:rPr/>
      </w:r>
    </w:p>
    <w:sectPr>
      <w:footerReference w:type="default" r:id="rId11"/>
      <w:footnotePr>
        <w:numFmt w:val="decimal"/>
      </w:footnotePr>
      <w:type w:val="nextPage"/>
      <w:pgSz w:w="12240" w:h="15840"/>
      <w:pgMar w:left="1797" w:right="1797" w:header="0" w:top="567" w:footer="720" w:bottom="777"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Trebuchet M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Verdana Pro Cond Light">
    <w:charset w:val="00"/>
    <w:family w:val="roman"/>
    <w:pitch w:val="variable"/>
  </w:font>
  <w:font w:name="GT America Standard">
    <w:altName w:val="Helvet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rFonts w:ascii="Trebuchet MS" w:hAnsi="Trebuchet MS"/>
        <w:sz w:val="18"/>
        <w:szCs w:val="18"/>
      </w:rPr>
    </w:pPr>
    <w:r>
      <w:rPr>
        <w:rFonts w:ascii="Trebuchet MS" w:hAnsi="Trebuchet MS"/>
        <w:sz w:val="18"/>
        <w:szCs w:val="18"/>
      </w:rPr>
      <w:t xml:space="preserve">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rPr/>
      </w:pPr>
      <w:r>
        <w:rPr>
          <w:rStyle w:val="FootnoteCharacters"/>
        </w:rPr>
        <w:footnoteRef/>
      </w:r>
      <w:r>
        <w:rPr/>
        <w:tab/>
        <w:t xml:space="preserve">Deborah Dash Moore, ‘David Emile Durkheim and the Jewish Response to Modernity’, </w:t>
      </w:r>
      <w:r>
        <w:rPr>
          <w:i/>
          <w:iCs/>
        </w:rPr>
        <w:t>Modern Judaism,</w:t>
      </w:r>
      <w:r>
        <w:rPr/>
        <w:t xml:space="preserve"> 6. 3 (1986), 287-300 (p. 287-288). &lt;</w:t>
      </w:r>
      <w:hyperlink r:id="rId1">
        <w:r>
          <w:rPr>
            <w:rStyle w:val="InternetLink"/>
          </w:rPr>
          <w:t>https://www-jstor-org.ezproxy.uwtsd.ac.uk/stable/1396218</w:t>
        </w:r>
      </w:hyperlink>
      <w:r>
        <w:rPr/>
        <w:t xml:space="preserve"> &gt;.</w:t>
      </w:r>
    </w:p>
  </w:footnote>
  <w:footnote w:id="3">
    <w:p>
      <w:pPr>
        <w:pStyle w:val="Normal"/>
        <w:jc w:val="both"/>
        <w:rPr/>
      </w:pPr>
      <w:r>
        <w:rPr>
          <w:rStyle w:val="FootnoteCharacters"/>
        </w:rPr>
        <w:footnoteRef/>
      </w:r>
      <w:r>
        <w:rPr>
          <w:rFonts w:ascii="GT America Standard;Helvetica;H" w:hAnsi="GT America Standard;Helvetica;H"/>
          <w:color w:val="343332"/>
        </w:rPr>
        <w:t xml:space="preserve">   </w:t>
      </w:r>
      <w:r>
        <w:rPr>
          <w:color w:val="343332"/>
          <w:sz w:val="20"/>
          <w:szCs w:val="20"/>
        </w:rPr>
        <w:t>Kieran Allen and Brian O’Boyle, ‘Durkheim Declassified’, in Durkheim</w:t>
      </w:r>
      <w:r>
        <w:rPr>
          <w:i/>
          <w:iCs/>
          <w:color w:val="000000"/>
          <w:sz w:val="20"/>
          <w:szCs w:val="20"/>
        </w:rPr>
        <w:t xml:space="preserve">: A Critical Introduction,       </w:t>
      </w:r>
    </w:p>
    <w:p>
      <w:pPr>
        <w:pStyle w:val="Normal"/>
        <w:jc w:val="both"/>
        <w:rPr/>
      </w:pPr>
      <w:r>
        <w:rPr>
          <w:i/>
          <w:iCs/>
          <w:color w:val="000000"/>
          <w:sz w:val="20"/>
          <w:szCs w:val="20"/>
        </w:rPr>
        <w:t xml:space="preserve">      </w:t>
      </w:r>
      <w:r>
        <w:rPr>
          <w:color w:val="000000"/>
          <w:sz w:val="20"/>
          <w:szCs w:val="20"/>
        </w:rPr>
        <w:t xml:space="preserve">(London: Pluto Press, 2017), pp. 1-11 (p. 1) &lt; </w:t>
      </w:r>
      <w:hyperlink r:id="rId2">
        <w:bookmarkStart w:id="139" w:name="link-element"/>
        <w:bookmarkEnd w:id="139"/>
        <w:r>
          <w:rPr>
            <w:rStyle w:val="InternetLink"/>
            <w:color w:val="000000"/>
            <w:sz w:val="20"/>
            <w:szCs w:val="20"/>
            <w:u w:val="none"/>
          </w:rPr>
          <w:t>https://doi.org/10.2307/j.ctt1v2xvw6.4</w:t>
        </w:r>
      </w:hyperlink>
      <w:r>
        <w:rPr>
          <w:color w:val="000000"/>
          <w:sz w:val="20"/>
          <w:szCs w:val="20"/>
        </w:rPr>
        <w:t xml:space="preserve">&gt;. </w:t>
      </w:r>
    </w:p>
    <w:p>
      <w:pPr>
        <w:pStyle w:val="Footnote"/>
        <w:rPr/>
      </w:pPr>
      <w:r>
        <w:rPr/>
      </w:r>
    </w:p>
  </w:footnote>
  <w:footnote w:id="4">
    <w:p>
      <w:pPr>
        <w:pStyle w:val="Footnote"/>
        <w:rPr/>
      </w:pPr>
      <w:r>
        <w:rPr>
          <w:rStyle w:val="FootnoteCharacters"/>
        </w:rPr>
        <w:footnoteRef/>
      </w:r>
      <w:r>
        <w:rPr/>
        <w:tab/>
        <w:t xml:space="preserve">William W. Quinn Jr, ‘Mircea Eliade and the Sacred Tradtition (A Personal Account)’, </w:t>
      </w:r>
      <w:r>
        <w:rPr>
          <w:i/>
          <w:iCs/>
        </w:rPr>
        <w:t xml:space="preserve">Novo Religio: The Journal of Alternative and Emergent Religions, </w:t>
      </w:r>
      <w:r>
        <w:rPr/>
        <w:t xml:space="preserve">3.1 (1999), 147-153 (p.147) &lt; </w:t>
      </w:r>
      <w:hyperlink r:id="rId3">
        <w:r>
          <w:rPr>
            <w:rStyle w:val="InternetLink"/>
          </w:rPr>
          <w:t>https://dpi.org/10.1525/nr.1999.3.1.147</w:t>
        </w:r>
      </w:hyperlink>
      <w:r>
        <w:rPr/>
        <w:t>&gt;.</w:t>
      </w:r>
    </w:p>
  </w:footnote>
  <w:footnote w:id="5">
    <w:p>
      <w:pPr>
        <w:pStyle w:val="Normal"/>
        <w:rPr/>
      </w:pPr>
      <w:r>
        <w:rPr>
          <w:rStyle w:val="FootnoteCharacters"/>
        </w:rPr>
        <w:footnoteRef/>
      </w:r>
      <w:r>
        <w:rPr/>
        <w:t xml:space="preserve">   </w:t>
      </w:r>
      <w:r>
        <w:rPr>
          <w:sz w:val="20"/>
          <w:szCs w:val="20"/>
        </w:rPr>
        <w:t xml:space="preserve">Thomas J. J. Altizer, ‘Mircea Eliade and the Recovery of the Sacred’, </w:t>
      </w:r>
      <w:r>
        <w:rPr>
          <w:i/>
          <w:iCs/>
          <w:sz w:val="20"/>
          <w:szCs w:val="20"/>
        </w:rPr>
        <w:t>The Christian Scholar,</w:t>
      </w:r>
      <w:r>
        <w:rPr>
          <w:sz w:val="20"/>
          <w:szCs w:val="20"/>
        </w:rPr>
        <w:t xml:space="preserve"> 45. 4                                       (1962),  267–289. (p.267) &lt; </w:t>
      </w:r>
      <w:hyperlink r:id="rId4">
        <w:r>
          <w:rPr>
            <w:rStyle w:val="InternetLink"/>
            <w:sz w:val="20"/>
            <w:szCs w:val="20"/>
          </w:rPr>
          <w:t>http://www.jstor.org/stable/41177305</w:t>
        </w:r>
      </w:hyperlink>
      <w:r>
        <w:rPr>
          <w:sz w:val="20"/>
          <w:szCs w:val="20"/>
        </w:rPr>
        <w:t>.&gt; Accessed 5 Oct. 2023.</w:t>
      </w:r>
    </w:p>
    <w:p>
      <w:pPr>
        <w:pStyle w:val="Footnote"/>
        <w:rPr/>
      </w:pPr>
      <w:r>
        <w:rPr/>
      </w:r>
    </w:p>
  </w:footnote>
  <w:footnote w:id="6">
    <w:p>
      <w:pPr>
        <w:pStyle w:val="Footnote"/>
        <w:rPr/>
      </w:pPr>
      <w:r>
        <w:rPr>
          <w:rStyle w:val="FootnoteCharacters"/>
        </w:rPr>
        <w:footnoteRef/>
      </w:r>
      <w:r>
        <w:rPr/>
        <w:tab/>
        <w:t xml:space="preserve"> </w:t>
      </w:r>
      <w:r>
        <w:rPr/>
        <w:t xml:space="preserve">Till Mostowlansky and Andrea Rota, ‘A Matter of Perspective? Disentangling the Emic-Etic Debate in the Scientific Study of Religion/s’, </w:t>
      </w:r>
      <w:r>
        <w:rPr>
          <w:i/>
          <w:iCs/>
        </w:rPr>
        <w:t>Method &amp; Theory in the Study of Religion</w:t>
      </w:r>
      <w:r>
        <w:rPr/>
        <w:t xml:space="preserve">, 28.4,5 (2016), 317-336 (p.323) &lt; </w:t>
      </w:r>
      <w:hyperlink r:id="rId5">
        <w:r>
          <w:rPr>
            <w:rStyle w:val="InternetLink"/>
          </w:rPr>
          <w:t>https://www.jstor.org/stable/44645818</w:t>
        </w:r>
      </w:hyperlink>
      <w:r>
        <w:rPr/>
        <w:t>&gt; .</w:t>
      </w:r>
    </w:p>
  </w:footnote>
  <w:footnote w:id="7">
    <w:p>
      <w:pPr>
        <w:pStyle w:val="TextBody"/>
        <w:spacing w:lineRule="auto" w:line="276" w:before="0" w:after="140"/>
        <w:rPr/>
      </w:pPr>
      <w:r>
        <w:rPr>
          <w:rStyle w:val="FootnoteCharacters"/>
        </w:rPr>
        <w:footnoteRef/>
      </w:r>
      <w:r>
        <w:rPr/>
        <w:t xml:space="preserve"> </w:t>
      </w:r>
      <w:r>
        <w:rPr>
          <w:sz w:val="20"/>
          <w:szCs w:val="20"/>
        </w:rPr>
        <w:t xml:space="preserve">Hans Geir Aasmundsen, </w:t>
      </w:r>
      <w:r>
        <w:rPr>
          <w:i/>
          <w:iCs/>
          <w:sz w:val="20"/>
          <w:szCs w:val="20"/>
        </w:rPr>
        <w:t xml:space="preserve">Pentecostals, Politics, And Religious Equality In Argentina., </w:t>
      </w:r>
      <w:r>
        <w:rPr>
          <w:sz w:val="20"/>
          <w:szCs w:val="20"/>
        </w:rPr>
        <w:t>(The Netherlands:   Brill, 2017), p,.80.</w:t>
      </w:r>
    </w:p>
  </w:footnote>
  <w:footnote w:id="8">
    <w:p>
      <w:pPr>
        <w:pStyle w:val="NormalWeb"/>
        <w:spacing w:beforeAutospacing="0" w:before="280" w:afterAutospacing="0" w:after="280"/>
        <w:ind w:left="339" w:right="-334" w:hanging="339"/>
        <w:rPr/>
      </w:pPr>
      <w:r>
        <w:rPr>
          <w:rStyle w:val="FootnoteCharacters"/>
        </w:rPr>
        <w:footnoteRef/>
      </w:r>
      <w:r>
        <w:rPr>
          <w:rFonts w:ascii="Times New Roman" w:hAnsi="Times New Roman"/>
          <w:sz w:val="20"/>
          <w:szCs w:val="20"/>
        </w:rPr>
        <w:tab/>
        <w:t xml:space="preserve">  </w:t>
      </w:r>
      <w:r>
        <w:rPr>
          <w:rFonts w:ascii="Times New Roman" w:hAnsi="Times New Roman"/>
          <w:sz w:val="20"/>
          <w:szCs w:val="20"/>
        </w:rPr>
        <w:t xml:space="preserve">Emile Durkheim, </w:t>
      </w:r>
      <w:r>
        <w:rPr>
          <w:rFonts w:ascii="Times New Roman" w:hAnsi="Times New Roman"/>
          <w:i/>
          <w:iCs/>
          <w:sz w:val="20"/>
          <w:szCs w:val="20"/>
        </w:rPr>
        <w:t>The Elementary Forms of Religious Life (</w:t>
      </w:r>
      <w:r>
        <w:rPr>
          <w:rFonts w:ascii="Times New Roman" w:hAnsi="Times New Roman"/>
          <w:sz w:val="20"/>
          <w:szCs w:val="20"/>
        </w:rPr>
        <w:t>New York: The free Press, 1995), p.44.</w:t>
      </w:r>
    </w:p>
  </w:footnote>
  <w:footnote w:id="9">
    <w:p>
      <w:pPr>
        <w:pStyle w:val="TextBody"/>
        <w:spacing w:lineRule="auto" w:line="276" w:before="0" w:after="140"/>
        <w:rPr/>
      </w:pPr>
      <w:r>
        <w:rPr>
          <w:rStyle w:val="FootnoteCharacters"/>
        </w:rPr>
        <w:footnoteRef/>
      </w:r>
      <w:r>
        <w:rPr>
          <w:sz w:val="20"/>
          <w:szCs w:val="20"/>
        </w:rPr>
        <w:t xml:space="preserve">  </w:t>
      </w:r>
      <w:r>
        <w:rPr>
          <w:sz w:val="20"/>
          <w:szCs w:val="20"/>
        </w:rPr>
        <w:t xml:space="preserve">Aasmundsen, </w:t>
      </w:r>
      <w:r>
        <w:rPr>
          <w:i/>
          <w:iCs/>
          <w:sz w:val="20"/>
          <w:szCs w:val="20"/>
        </w:rPr>
        <w:t xml:space="preserve">Pentecostals, Politics, and Religious Equality in Argentina., </w:t>
      </w:r>
      <w:r>
        <w:rPr>
          <w:sz w:val="20"/>
          <w:szCs w:val="20"/>
        </w:rPr>
        <w:t>p,.80.</w:t>
      </w:r>
    </w:p>
  </w:footnote>
  <w:footnote w:id="10">
    <w:p>
      <w:pPr>
        <w:pStyle w:val="TextBody"/>
        <w:spacing w:lineRule="auto" w:line="276" w:before="0" w:after="140"/>
        <w:rPr/>
      </w:pPr>
      <w:r>
        <w:rPr>
          <w:rStyle w:val="FootnoteCharacters"/>
        </w:rPr>
        <w:footnoteRef/>
      </w:r>
      <w:r>
        <w:rPr>
          <w:sz w:val="20"/>
          <w:szCs w:val="20"/>
        </w:rPr>
        <w:t xml:space="preserve"> </w:t>
      </w:r>
      <w:r>
        <w:rPr>
          <w:sz w:val="20"/>
          <w:szCs w:val="20"/>
        </w:rPr>
        <w:t xml:space="preserve">Aasmundsen, </w:t>
      </w:r>
      <w:r>
        <w:rPr>
          <w:i/>
          <w:iCs/>
          <w:sz w:val="20"/>
          <w:szCs w:val="20"/>
        </w:rPr>
        <w:t xml:space="preserve">Pentecostals, Politics, and Religious Equality in Argentina., </w:t>
      </w:r>
      <w:r>
        <w:rPr>
          <w:sz w:val="20"/>
          <w:szCs w:val="20"/>
        </w:rPr>
        <w:t>p,.80.</w:t>
      </w:r>
    </w:p>
  </w:footnote>
  <w:footnote w:id="11">
    <w:p>
      <w:pPr>
        <w:pStyle w:val="TextBody"/>
        <w:spacing w:before="0" w:after="0"/>
        <w:ind w:left="339" w:right="-334" w:hanging="339"/>
        <w:rPr>
          <w:rFonts w:ascii="Verdana Pro Cond Light" w:hAnsi="Verdana Pro Cond Light"/>
        </w:rPr>
      </w:pPr>
      <w:r>
        <w:rPr>
          <w:rStyle w:val="FootnoteCharacters"/>
        </w:rPr>
        <w:footnoteRef/>
      </w:r>
      <w:r>
        <w:rPr>
          <w:rFonts w:ascii="Verdana Pro Cond Light" w:hAnsi="Verdana Pro Cond Light"/>
          <w:sz w:val="20"/>
          <w:szCs w:val="20"/>
        </w:rPr>
        <w:tab/>
        <w:t xml:space="preserve"> </w:t>
      </w:r>
      <w:r>
        <w:rPr>
          <w:sz w:val="20"/>
          <w:szCs w:val="20"/>
        </w:rPr>
        <w:t xml:space="preserve">Mircea Eliade, </w:t>
      </w:r>
      <w:r>
        <w:rPr>
          <w:i/>
          <w:iCs/>
          <w:sz w:val="20"/>
          <w:szCs w:val="20"/>
        </w:rPr>
        <w:t xml:space="preserve">Images And Symbols </w:t>
      </w:r>
      <w:r>
        <w:rPr>
          <w:sz w:val="20"/>
          <w:szCs w:val="20"/>
        </w:rPr>
        <w:t>(Princeton: Princeton University Press, 1991), p.32</w:t>
      </w:r>
    </w:p>
  </w:footnote>
  <w:footnote w:id="12">
    <w:p>
      <w:pPr>
        <w:pStyle w:val="TextBody"/>
        <w:spacing w:before="0" w:after="0"/>
        <w:ind w:left="339" w:right="-334" w:hanging="339"/>
        <w:rPr/>
      </w:pPr>
      <w:r>
        <w:rPr>
          <w:rStyle w:val="FootnoteCharacters"/>
        </w:rPr>
        <w:footnoteRef/>
      </w:r>
      <w:r>
        <w:rPr>
          <w:sz w:val="20"/>
          <w:szCs w:val="20"/>
        </w:rPr>
        <w:tab/>
        <w:t xml:space="preserve"> </w:t>
      </w:r>
      <w:r>
        <w:rPr>
          <w:sz w:val="20"/>
          <w:szCs w:val="20"/>
        </w:rPr>
        <w:t xml:space="preserve">Eliade, </w:t>
      </w:r>
      <w:r>
        <w:rPr>
          <w:i/>
          <w:iCs/>
          <w:sz w:val="20"/>
          <w:szCs w:val="20"/>
        </w:rPr>
        <w:t xml:space="preserve">Images And Symbols, </w:t>
      </w:r>
      <w:r>
        <w:rPr>
          <w:sz w:val="20"/>
          <w:szCs w:val="20"/>
        </w:rPr>
        <w:t>p.32.</w:t>
      </w:r>
    </w:p>
  </w:footnote>
  <w:footnote w:id="13">
    <w:p>
      <w:pPr>
        <w:pStyle w:val="TextBody"/>
        <w:spacing w:lineRule="auto" w:line="276" w:before="0" w:after="140"/>
        <w:rPr/>
      </w:pPr>
      <w:r>
        <w:rPr>
          <w:rStyle w:val="FootnoteCharacters"/>
        </w:rPr>
        <w:footnoteRef/>
      </w:r>
      <w:r>
        <w:rPr>
          <w:sz w:val="20"/>
          <w:szCs w:val="20"/>
        </w:rPr>
        <w:t xml:space="preserve">Aasmundsen, </w:t>
      </w:r>
      <w:r>
        <w:rPr>
          <w:i/>
          <w:iCs/>
          <w:sz w:val="20"/>
          <w:szCs w:val="20"/>
        </w:rPr>
        <w:t xml:space="preserve">Pentecostals, Politics, And Religious Equality in Argentina., </w:t>
      </w:r>
      <w:r>
        <w:rPr>
          <w:sz w:val="20"/>
          <w:szCs w:val="20"/>
        </w:rPr>
        <w:t>p,.80.</w:t>
      </w:r>
    </w:p>
  </w:footnote>
  <w:footnote w:id="14">
    <w:p>
      <w:pPr>
        <w:pStyle w:val="Footnote"/>
        <w:rPr/>
      </w:pPr>
      <w:r>
        <w:rPr>
          <w:rStyle w:val="FootnoteCharacters"/>
        </w:rPr>
        <w:footnoteRef/>
      </w:r>
      <w:r>
        <w:rPr/>
        <w:tab/>
        <w:t xml:space="preserve">Brian Morris, </w:t>
      </w:r>
      <w:r>
        <w:rPr>
          <w:i/>
          <w:iCs/>
        </w:rPr>
        <w:t xml:space="preserve">Anthropological Studies Of Religion, </w:t>
      </w:r>
      <w:r>
        <w:rPr/>
        <w:t>(Cambridge: Cambridge University Press, 1987), p.177.</w:t>
      </w:r>
    </w:p>
  </w:footnote>
  <w:footnote w:id="15">
    <w:p>
      <w:pPr>
        <w:pStyle w:val="Footnote"/>
        <w:rPr/>
      </w:pPr>
      <w:r>
        <w:rPr>
          <w:rStyle w:val="FootnoteCharacters"/>
        </w:rPr>
        <w:footnoteRef/>
      </w:r>
      <w:r>
        <w:rPr/>
        <w:tab/>
        <w:t xml:space="preserve">John D, Dadosky, </w:t>
      </w:r>
      <w:r>
        <w:rPr>
          <w:i/>
          <w:iCs/>
        </w:rPr>
        <w:t xml:space="preserve">The Structure Of Religious Knowing: Encountering The Sacred In Eliade And Lonergan, </w:t>
      </w:r>
      <w:r>
        <w:rPr/>
        <w:t>(Albany: state University of New York Press, 2004), p.22.</w:t>
      </w:r>
    </w:p>
  </w:footnote>
  <w:footnote w:id="16">
    <w:p>
      <w:pPr>
        <w:pStyle w:val="Footnote"/>
        <w:rPr/>
      </w:pPr>
      <w:r>
        <w:rPr>
          <w:rStyle w:val="FootnoteCharacters"/>
        </w:rPr>
        <w:footnoteRef/>
      </w:r>
      <w:r>
        <w:rPr/>
        <w:tab/>
        <w:t xml:space="preserve">Eliade, </w:t>
      </w:r>
      <w:r>
        <w:rPr>
          <w:i/>
          <w:iCs/>
        </w:rPr>
        <w:t xml:space="preserve">The Sacred And The Profane: The Nature of Religion, </w:t>
      </w:r>
      <w:r>
        <w:rPr/>
        <w:t>(England: Harcourt, 1959),</w:t>
      </w:r>
      <w:r>
        <w:rPr>
          <w:i/>
          <w:iCs/>
        </w:rPr>
        <w:t xml:space="preserve"> </w:t>
      </w:r>
      <w:r>
        <w:rPr/>
        <w:t>p.11.</w:t>
      </w:r>
    </w:p>
  </w:footnote>
  <w:footnote w:id="17">
    <w:p>
      <w:pPr>
        <w:pStyle w:val="Footnote"/>
        <w:rPr/>
      </w:pPr>
      <w:r>
        <w:rPr>
          <w:rStyle w:val="FootnoteCharacters"/>
        </w:rPr>
        <w:footnoteRef/>
      </w:r>
      <w:r>
        <w:rPr/>
        <w:tab/>
        <w:t xml:space="preserve">Eliade, </w:t>
      </w:r>
      <w:r>
        <w:rPr>
          <w:i/>
          <w:iCs/>
        </w:rPr>
        <w:t xml:space="preserve">The Sacred And The Profane: The Nature of Religion, </w:t>
      </w:r>
      <w:r>
        <w:rPr/>
        <w:t>p.11.</w:t>
      </w:r>
    </w:p>
  </w:footnote>
  <w:footnote w:id="18">
    <w:p>
      <w:pPr>
        <w:pStyle w:val="Footnote"/>
        <w:rPr/>
      </w:pPr>
      <w:r>
        <w:rPr>
          <w:rStyle w:val="FootnoteCharacters"/>
        </w:rPr>
        <w:footnoteRef/>
      </w:r>
      <w:r>
        <w:rPr/>
        <w:tab/>
        <w:t>Olupona, C</w:t>
      </w:r>
      <w:r>
        <w:rPr>
          <w:i/>
          <w:iCs/>
        </w:rPr>
        <w:t>ity Of 201 Gods.</w:t>
      </w:r>
      <w:r>
        <w:rPr/>
        <w:t xml:space="preserve"> p.23.</w:t>
      </w:r>
    </w:p>
  </w:footnote>
  <w:footnote w:id="19">
    <w:p>
      <w:pPr>
        <w:pStyle w:val="Footnote"/>
        <w:rPr/>
      </w:pPr>
      <w:r>
        <w:rPr>
          <w:rStyle w:val="FootnoteCharacters"/>
        </w:rPr>
        <w:footnoteRef/>
      </w:r>
      <w:r>
        <w:rPr/>
        <w:tab/>
        <w:t xml:space="preserve">Eliade, </w:t>
      </w:r>
      <w:r>
        <w:rPr>
          <w:i/>
          <w:iCs/>
        </w:rPr>
        <w:t xml:space="preserve">The Sacred And The Profane: The Nature of Religion, </w:t>
      </w:r>
      <w:r>
        <w:rPr/>
        <w:t>p.11-15.</w:t>
      </w:r>
    </w:p>
  </w:footnote>
  <w:footnote w:id="20">
    <w:p>
      <w:pPr>
        <w:pStyle w:val="Footnote"/>
        <w:rPr/>
      </w:pPr>
      <w:r>
        <w:rPr>
          <w:rStyle w:val="FootnoteCharacters"/>
        </w:rPr>
        <w:footnoteRef/>
      </w:r>
      <w:r>
        <w:rPr/>
        <w:tab/>
        <w:t xml:space="preserve">Connie Johnson, </w:t>
      </w:r>
      <w:r>
        <w:rPr>
          <w:i/>
          <w:iCs/>
        </w:rPr>
        <w:t xml:space="preserve">Spiritual Concepts for a new age, </w:t>
      </w:r>
      <w:r>
        <w:rPr/>
        <w:t>(Bloomington: Balboa Press, 2012), p.208.</w:t>
      </w:r>
    </w:p>
  </w:footnote>
  <w:footnote w:id="21">
    <w:p>
      <w:pPr>
        <w:pStyle w:val="Footnote"/>
        <w:ind w:left="339" w:hanging="0"/>
        <w:rPr/>
      </w:pPr>
      <w:r>
        <w:rPr>
          <w:rStyle w:val="FootnoteCharacters"/>
        </w:rPr>
        <w:footnoteRef/>
      </w:r>
      <w:r>
        <w:rPr/>
        <w:t xml:space="preserve"> </w:t>
      </w:r>
      <w:r>
        <w:rPr/>
        <w:t xml:space="preserve">Yulia Van Doren, </w:t>
      </w:r>
      <w:r>
        <w:rPr>
          <w:i/>
          <w:iCs/>
        </w:rPr>
        <w:t xml:space="preserve">Crystals: The Modern Guide To Crystal Healing, </w:t>
      </w:r>
      <w:r>
        <w:rPr/>
        <w:t xml:space="preserve">(London: </w:t>
      </w:r>
      <w:r>
        <w:rPr>
          <w:color w:val="0F1111"/>
        </w:rPr>
        <w:t>Quadrille Publishing Ltd, 2017) p. unknown.</w:t>
      </w:r>
    </w:p>
  </w:footnote>
  <w:footnote w:id="22">
    <w:p>
      <w:pPr>
        <w:pStyle w:val="Footnote"/>
        <w:ind w:left="339" w:hanging="0"/>
        <w:rPr/>
      </w:pPr>
      <w:r>
        <w:rPr>
          <w:rStyle w:val="FootnoteCharacters"/>
        </w:rPr>
        <w:footnoteRef/>
      </w:r>
      <w:r>
        <w:rPr/>
        <w:t xml:space="preserve"> </w:t>
      </w:r>
      <w:r>
        <w:rPr/>
        <w:t xml:space="preserve">Doren, </w:t>
      </w:r>
      <w:r>
        <w:rPr>
          <w:i/>
          <w:iCs/>
        </w:rPr>
        <w:t>Crystals: The Modern Guide To Crystal Healing,</w:t>
      </w:r>
      <w:r>
        <w:rPr/>
        <w:t xml:space="preserve"> p.</w:t>
      </w:r>
      <w:r>
        <w:rPr>
          <w:color w:val="0F1111"/>
        </w:rPr>
        <w:t xml:space="preserve"> Unknown.</w:t>
      </w:r>
    </w:p>
  </w:footnote>
  <w:footnote w:id="23">
    <w:p>
      <w:pPr>
        <w:pStyle w:val="Normal"/>
        <w:rPr/>
      </w:pPr>
      <w:r>
        <w:rPr>
          <w:rStyle w:val="FootnoteCharacters"/>
        </w:rPr>
        <w:footnoteRef/>
      </w:r>
      <w:r>
        <w:rPr>
          <w:sz w:val="20"/>
          <w:szCs w:val="20"/>
        </w:rPr>
        <w:t xml:space="preserve">  </w:t>
      </w:r>
      <w:r>
        <w:rPr>
          <w:sz w:val="20"/>
          <w:szCs w:val="20"/>
        </w:rPr>
        <w:t xml:space="preserve">Susan F. Greenwood, ‘Émile Durkheim and C. G. Jung: Structuring a Transpersonal Sociology of     Religion’ </w:t>
      </w:r>
      <w:r>
        <w:rPr>
          <w:i/>
          <w:sz w:val="20"/>
          <w:szCs w:val="20"/>
        </w:rPr>
        <w:t>Journal for the Scientific Study of Religion</w:t>
      </w:r>
      <w:r>
        <w:rPr>
          <w:sz w:val="20"/>
          <w:szCs w:val="20"/>
        </w:rPr>
        <w:t xml:space="preserve">, 29. 4, (1990), 482–495. (p.482) &lt; </w:t>
      </w:r>
      <w:hyperlink r:id="rId6">
        <w:r>
          <w:rPr>
            <w:rStyle w:val="InternetLink"/>
            <w:sz w:val="20"/>
            <w:szCs w:val="20"/>
          </w:rPr>
          <w:t>https://doi.org/10.2307/1387313</w:t>
        </w:r>
      </w:hyperlink>
      <w:r>
        <w:rPr>
          <w:sz w:val="20"/>
          <w:szCs w:val="20"/>
        </w:rPr>
        <w:t xml:space="preserve">&gt; </w:t>
      </w:r>
    </w:p>
  </w:footnote>
  <w:footnote w:id="24">
    <w:p>
      <w:pPr>
        <w:pStyle w:val="NormalWeb"/>
        <w:spacing w:beforeAutospacing="0" w:before="280" w:afterAutospacing="0" w:after="280"/>
        <w:ind w:left="339" w:right="-334" w:hanging="339"/>
        <w:rPr/>
      </w:pPr>
      <w:r>
        <w:rPr>
          <w:rStyle w:val="FootnoteCharacters"/>
        </w:rPr>
        <w:footnoteRef/>
      </w:r>
      <w:r>
        <w:rPr>
          <w:rFonts w:ascii="Times New Roman" w:hAnsi="Times New Roman"/>
          <w:sz w:val="20"/>
          <w:szCs w:val="20"/>
        </w:rPr>
        <w:tab/>
        <w:t xml:space="preserve">Durkheim, </w:t>
      </w:r>
      <w:r>
        <w:rPr>
          <w:rFonts w:ascii="Times New Roman" w:hAnsi="Times New Roman"/>
          <w:i/>
          <w:iCs/>
          <w:sz w:val="20"/>
          <w:szCs w:val="20"/>
        </w:rPr>
        <w:t xml:space="preserve">The Elementary Forms of Religious Life, </w:t>
      </w:r>
      <w:r>
        <w:rPr>
          <w:rFonts w:ascii="Times New Roman" w:hAnsi="Times New Roman"/>
          <w:sz w:val="20"/>
          <w:szCs w:val="20"/>
        </w:rPr>
        <w:t>p.34-35.</w:t>
      </w:r>
    </w:p>
  </w:footnote>
  <w:footnote w:id="25">
    <w:p>
      <w:pPr>
        <w:pStyle w:val="Footnote"/>
        <w:rPr/>
      </w:pPr>
      <w:r>
        <w:rPr>
          <w:rStyle w:val="FootnoteCharacters"/>
        </w:rPr>
        <w:footnoteRef/>
      </w:r>
      <w:r>
        <w:rPr/>
        <w:tab/>
        <w:t>Durkheim, The Elementary Forms of Religious Life, p. xliv.</w:t>
      </w:r>
    </w:p>
  </w:footnote>
  <w:footnote w:id="26">
    <w:p>
      <w:pPr>
        <w:pStyle w:val="Footnote"/>
        <w:rPr/>
      </w:pPr>
      <w:r>
        <w:rPr>
          <w:rStyle w:val="FootnoteCharacters"/>
        </w:rPr>
        <w:footnoteRef/>
      </w:r>
      <w:r>
        <w:rPr/>
        <w:tab/>
        <w:t>Eliade, The Sacred And The Profane: The Nature of Religion, p.24.</w:t>
      </w:r>
    </w:p>
  </w:footnote>
  <w:footnote w:id="27">
    <w:p>
      <w:pPr>
        <w:pStyle w:val="NormalWeb"/>
        <w:spacing w:beforeAutospacing="0" w:before="280" w:afterAutospacing="0" w:after="280"/>
        <w:ind w:left="339" w:right="-334" w:hanging="339"/>
        <w:rPr/>
      </w:pPr>
      <w:r>
        <w:rPr>
          <w:rStyle w:val="FootnoteCharacters"/>
        </w:rPr>
        <w:footnoteRef/>
      </w:r>
      <w:r>
        <w:rPr>
          <w:rFonts w:ascii="Times New Roman" w:hAnsi="Times New Roman"/>
          <w:sz w:val="20"/>
          <w:szCs w:val="20"/>
        </w:rPr>
        <w:tab/>
        <w:t xml:space="preserve">Durkheim, </w:t>
      </w:r>
      <w:r>
        <w:rPr>
          <w:rFonts w:ascii="Times New Roman" w:hAnsi="Times New Roman"/>
          <w:i/>
          <w:iCs/>
          <w:sz w:val="20"/>
          <w:szCs w:val="20"/>
        </w:rPr>
        <w:t xml:space="preserve">The Elementary Forms of Religious Life, </w:t>
      </w:r>
      <w:r>
        <w:rPr>
          <w:rFonts w:ascii="Times New Roman" w:hAnsi="Times New Roman"/>
          <w:sz w:val="20"/>
          <w:szCs w:val="20"/>
        </w:rPr>
        <w:t>p.312.</w:t>
      </w:r>
    </w:p>
  </w:footnote>
  <w:footnote w:id="28">
    <w:p>
      <w:pPr>
        <w:pStyle w:val="Footnote"/>
        <w:rPr/>
      </w:pPr>
      <w:r>
        <w:rPr>
          <w:rStyle w:val="FootnoteCharacters"/>
        </w:rPr>
        <w:footnoteRef/>
      </w:r>
      <w:r>
        <w:rPr/>
        <w:tab/>
        <w:t>Kenneth Allen, Contemporary</w:t>
      </w:r>
      <w:r>
        <w:rPr>
          <w:i/>
          <w:iCs/>
        </w:rPr>
        <w:t xml:space="preserve"> Social and Sociological Theory, </w:t>
      </w:r>
      <w:r>
        <w:rPr/>
        <w:t>3</w:t>
      </w:r>
      <w:r>
        <w:rPr>
          <w:vertAlign w:val="superscript"/>
        </w:rPr>
        <w:t>rd</w:t>
      </w:r>
      <w:r>
        <w:rPr/>
        <w:t xml:space="preserve"> edn. (California: Sage Publications, 2013), p.292.</w:t>
      </w:r>
    </w:p>
  </w:footnote>
  <w:footnote w:id="29">
    <w:p>
      <w:pPr>
        <w:pStyle w:val="NormalWeb"/>
        <w:spacing w:beforeAutospacing="0" w:before="280" w:afterAutospacing="0" w:after="280"/>
        <w:ind w:left="339" w:right="-334" w:hanging="339"/>
        <w:rPr/>
      </w:pPr>
      <w:r>
        <w:rPr>
          <w:rStyle w:val="FootnoteCharacters"/>
        </w:rPr>
        <w:footnoteRef/>
      </w:r>
      <w:r>
        <w:rPr>
          <w:rFonts w:ascii="Times New Roman" w:hAnsi="Times New Roman"/>
          <w:sz w:val="20"/>
          <w:szCs w:val="20"/>
        </w:rPr>
        <w:tab/>
        <w:t xml:space="preserve">  </w:t>
      </w:r>
      <w:r>
        <w:rPr>
          <w:rFonts w:ascii="Times New Roman" w:hAnsi="Times New Roman"/>
          <w:sz w:val="20"/>
          <w:szCs w:val="20"/>
        </w:rPr>
        <w:t xml:space="preserve">Durkheim, </w:t>
      </w:r>
      <w:r>
        <w:rPr>
          <w:rFonts w:ascii="Times New Roman" w:hAnsi="Times New Roman"/>
          <w:i/>
          <w:iCs/>
          <w:sz w:val="20"/>
          <w:szCs w:val="20"/>
        </w:rPr>
        <w:t xml:space="preserve">The Elementary Forms of Religious Life, </w:t>
      </w:r>
      <w:r>
        <w:rPr>
          <w:rFonts w:ascii="Times New Roman" w:hAnsi="Times New Roman"/>
          <w:sz w:val="20"/>
          <w:szCs w:val="20"/>
        </w:rPr>
        <w:t>p.312.</w:t>
      </w:r>
    </w:p>
  </w:footnote>
  <w:footnote w:id="30">
    <w:p>
      <w:pPr>
        <w:pStyle w:val="Footnote"/>
        <w:rPr/>
      </w:pPr>
      <w:r>
        <w:rPr>
          <w:rStyle w:val="FootnoteCharacters"/>
        </w:rPr>
        <w:footnoteRef/>
      </w:r>
      <w:r>
        <w:rPr/>
        <w:tab/>
        <w:t>Nishkam Nursery (2023) &lt;</w:t>
      </w:r>
      <w:hyperlink r:id="rId7">
        <w:r>
          <w:rPr>
            <w:rStyle w:val="InternetLink"/>
          </w:rPr>
          <w:t>https://www.nishkamnursery.org.uk/2023/</w:t>
        </w:r>
      </w:hyperlink>
      <w:r>
        <w:rPr/>
        <w:t>&gt; [Accessed 14</w:t>
      </w:r>
      <w:r>
        <w:rPr>
          <w:vertAlign w:val="superscript"/>
        </w:rPr>
        <w:t>th</w:t>
      </w:r>
      <w:r>
        <w:rPr/>
        <w:t xml:space="preserve"> October 2023].</w:t>
      </w:r>
    </w:p>
  </w:footnote>
  <w:footnote w:id="31">
    <w:p>
      <w:pPr>
        <w:pStyle w:val="Footnote"/>
        <w:rPr/>
      </w:pPr>
      <w:r>
        <w:rPr>
          <w:rStyle w:val="FootnoteCharacters"/>
        </w:rPr>
        <w:footnoteRef/>
      </w:r>
      <w:r>
        <w:rPr/>
        <w:tab/>
        <w:t xml:space="preserve">Bhai Harbans Lal, </w:t>
      </w:r>
      <w:r>
        <w:rPr>
          <w:i/>
          <w:iCs/>
        </w:rPr>
        <w:t xml:space="preserve">Search Gurbani </w:t>
      </w:r>
      <w:r>
        <w:rPr/>
        <w:t>(2023) &lt;</w:t>
      </w:r>
      <w:hyperlink r:id="rId8">
        <w:r>
          <w:rPr>
            <w:rStyle w:val="InternetLink"/>
          </w:rPr>
          <w:t>https://www.searchgurbani.com/amrit-keertan/introduction</w:t>
        </w:r>
      </w:hyperlink>
      <w:r>
        <w:rPr/>
        <w:t xml:space="preserve"> &gt; [Accessed 14</w:t>
      </w:r>
      <w:r>
        <w:rPr>
          <w:vertAlign w:val="superscript"/>
        </w:rPr>
        <w:t xml:space="preserve">th </w:t>
      </w:r>
      <w:r>
        <w:rPr/>
        <w:t xml:space="preserve">October]. </w:t>
      </w:r>
    </w:p>
  </w:footnote>
  <w:footnote w:id="32">
    <w:p>
      <w:pPr>
        <w:pStyle w:val="Footnote"/>
        <w:ind w:left="0" w:hanging="0"/>
        <w:rPr/>
      </w:pPr>
      <w:r>
        <w:rPr>
          <w:rStyle w:val="FootnoteCharacters"/>
        </w:rPr>
        <w:footnoteRef/>
      </w:r>
      <w:r>
        <w:rPr>
          <w:color w:val="000000"/>
        </w:rPr>
        <w:t xml:space="preserve">  </w:t>
      </w:r>
      <w:r>
        <w:rPr>
          <w:color w:val="000000"/>
        </w:rPr>
        <w:t xml:space="preserve">Jagbir Jhutti-Johal, </w:t>
      </w:r>
      <w:r>
        <w:rPr>
          <w:i/>
          <w:iCs/>
          <w:color w:val="000000"/>
        </w:rPr>
        <w:t>Sikhism Today,</w:t>
      </w:r>
      <w:r>
        <w:rPr>
          <w:color w:val="000000"/>
        </w:rPr>
        <w:t xml:space="preserve"> (London: Continuum International Publishing Group, 2011), p.X.</w:t>
      </w:r>
    </w:p>
  </w:footnote>
  <w:footnote w:id="33">
    <w:p>
      <w:pPr>
        <w:pStyle w:val="Footnote"/>
        <w:rPr/>
      </w:pPr>
      <w:r>
        <w:rPr>
          <w:rStyle w:val="FootnoteCharacters"/>
        </w:rPr>
        <w:footnoteRef/>
      </w:r>
      <w:r>
        <w:rPr/>
        <w:tab/>
        <w:t xml:space="preserve">Harjinder Singh, Sukha Singh and Jaskeerth Singh, </w:t>
      </w:r>
      <w:r>
        <w:rPr>
          <w:i/>
          <w:iCs/>
        </w:rPr>
        <w:t xml:space="preserve">Sikh Code Of </w:t>
      </w:r>
      <w:r>
        <w:rPr/>
        <w:t>Conduct:</w:t>
      </w:r>
      <w:r>
        <w:rPr>
          <w:i/>
          <w:iCs/>
        </w:rPr>
        <w:t xml:space="preserve"> Summarised Version,</w:t>
      </w:r>
      <w:r>
        <w:rPr/>
        <w:t xml:space="preserve"> 6</w:t>
      </w:r>
      <w:r>
        <w:rPr>
          <w:vertAlign w:val="superscript"/>
        </w:rPr>
        <w:t>th</w:t>
      </w:r>
      <w:r>
        <w:rPr/>
        <w:t xml:space="preserve"> edn. (Akaal Publishers, 2020). p.121.</w:t>
      </w:r>
    </w:p>
  </w:footnote>
  <w:footnote w:id="34">
    <w:p>
      <w:pPr>
        <w:pStyle w:val="Footnote"/>
        <w:rPr/>
      </w:pPr>
      <w:r>
        <w:rPr>
          <w:rStyle w:val="FootnoteCharacters"/>
        </w:rPr>
        <w:footnoteRef/>
      </w:r>
      <w:r>
        <w:rPr/>
        <w:tab/>
        <w:t xml:space="preserve">Durkheim, </w:t>
      </w:r>
      <w:r>
        <w:rPr>
          <w:i/>
          <w:iCs/>
        </w:rPr>
        <w:t xml:space="preserve">The Elementary Forms of Religious Life, </w:t>
      </w:r>
      <w:r>
        <w:rPr/>
        <w:t>p.313.</w:t>
      </w:r>
    </w:p>
  </w:footnote>
  <w:footnote w:id="35">
    <w:p>
      <w:pPr>
        <w:pStyle w:val="Footnote"/>
        <w:rPr/>
      </w:pPr>
      <w:r>
        <w:rPr>
          <w:rStyle w:val="FootnoteCharacters"/>
        </w:rPr>
        <w:footnoteRef/>
      </w:r>
      <w:r>
        <w:rPr/>
        <w:tab/>
        <w:t xml:space="preserve">Ivan Strenski, </w:t>
      </w:r>
      <w:r>
        <w:rPr>
          <w:i/>
          <w:iCs/>
        </w:rPr>
        <w:t xml:space="preserve">Understanding Theories Of Religion: An Introduction, </w:t>
      </w:r>
      <w:r>
        <w:rPr/>
        <w:t>2</w:t>
      </w:r>
      <w:r>
        <w:rPr>
          <w:vertAlign w:val="superscript"/>
        </w:rPr>
        <w:t>nd</w:t>
      </w:r>
      <w:r>
        <w:rPr/>
        <w:t xml:space="preserve"> edn.</w:t>
      </w:r>
      <w:r>
        <w:rPr>
          <w:i/>
          <w:iCs/>
        </w:rPr>
        <w:t xml:space="preserve"> </w:t>
      </w:r>
      <w:r>
        <w:rPr/>
        <w:t>(West Sussex; Blackwell Publishing, 2015), p.145.</w:t>
      </w:r>
    </w:p>
  </w:footnote>
  <w:footnote w:id="36">
    <w:p>
      <w:pPr>
        <w:pStyle w:val="Footnote"/>
        <w:rPr/>
      </w:pPr>
      <w:r>
        <w:rPr>
          <w:rStyle w:val="FootnoteCharacters"/>
        </w:rPr>
        <w:footnoteRef/>
      </w:r>
      <w:r>
        <w:rPr/>
        <w:tab/>
        <w:t xml:space="preserve">Simcha Fishbame and Calvin Goldscheider and Jack N. Lightstone, </w:t>
      </w:r>
      <w:r>
        <w:rPr>
          <w:i/>
          <w:iCs/>
        </w:rPr>
        <w:t xml:space="preserve">Exploring Mishnah’s World (s) Social Scientific Approaches, </w:t>
      </w:r>
      <w:r>
        <w:rPr/>
        <w:t>(Switzerland: Springer International Publishing, 2020), p.67.</w:t>
      </w:r>
    </w:p>
  </w:footnote>
  <w:footnote w:id="37">
    <w:p>
      <w:pPr>
        <w:pStyle w:val="Footnote"/>
        <w:rPr/>
      </w:pPr>
      <w:r>
        <w:rPr>
          <w:rStyle w:val="FootnoteCharacters"/>
        </w:rPr>
        <w:footnoteRef/>
      </w:r>
      <w:r>
        <w:rPr/>
        <w:tab/>
        <w:t>Jacob. K. Olupona, C</w:t>
      </w:r>
      <w:r>
        <w:rPr>
          <w:i/>
          <w:iCs/>
        </w:rPr>
        <w:t>ity Of 201 Gods.</w:t>
      </w:r>
      <w:r>
        <w:rPr/>
        <w:t xml:space="preserve"> (London: University of California press, 2011), p.22-23.</w:t>
      </w:r>
    </w:p>
  </w:footnote>
  <w:footnote w:id="38">
    <w:p>
      <w:pPr>
        <w:pStyle w:val="Footnote"/>
        <w:rPr/>
      </w:pPr>
      <w:r>
        <w:rPr>
          <w:rStyle w:val="FootnoteCharacters"/>
        </w:rPr>
        <w:footnoteRef/>
      </w:r>
      <w:r>
        <w:rPr/>
        <w:tab/>
        <w:t>Roy A. Rappaport,</w:t>
      </w:r>
      <w:r>
        <w:rPr>
          <w:i/>
          <w:iCs/>
        </w:rPr>
        <w:t xml:space="preserve"> Ritual And Religion In The Making Of Humanity.</w:t>
      </w:r>
      <w:r>
        <w:rPr/>
        <w:t xml:space="preserve"> (Cambridge: Cambridge University Press, 1999). p.209.</w:t>
      </w:r>
    </w:p>
  </w:footnote>
  <w:footnote w:id="39">
    <w:p>
      <w:pPr>
        <w:pStyle w:val="Footnote"/>
        <w:rPr/>
      </w:pPr>
      <w:r>
        <w:rPr>
          <w:rStyle w:val="FootnoteCharacters"/>
        </w:rPr>
        <w:footnoteRef/>
      </w:r>
      <w:r>
        <w:rPr/>
        <w:tab/>
        <w:t xml:space="preserve">Mircea Eliade, </w:t>
      </w:r>
      <w:r>
        <w:rPr>
          <w:i/>
          <w:iCs/>
        </w:rPr>
        <w:t>The Sacred And The Profane: The Nature of Religion,</w:t>
      </w:r>
      <w:r>
        <w:rPr/>
        <w:t xml:space="preserve"> p.22.</w:t>
      </w:r>
    </w:p>
  </w:footnote>
  <w:footnote w:id="40">
    <w:p>
      <w:pPr>
        <w:pStyle w:val="Footnote"/>
        <w:rPr/>
      </w:pPr>
      <w:r>
        <w:rPr>
          <w:rStyle w:val="FootnoteCharacters"/>
        </w:rPr>
        <w:footnoteRef/>
      </w:r>
      <w:r>
        <w:rPr/>
        <w:tab/>
        <w:t>Olupona, C</w:t>
      </w:r>
      <w:r>
        <w:rPr>
          <w:i/>
          <w:iCs/>
        </w:rPr>
        <w:t>ity Of 201 Gods.</w:t>
      </w:r>
      <w:r>
        <w:rPr/>
        <w:t xml:space="preserve"> p.22.</w:t>
      </w:r>
    </w:p>
  </w:footnote>
  <w:footnote w:id="41">
    <w:p>
      <w:pPr>
        <w:pStyle w:val="Footnote"/>
        <w:rPr/>
      </w:pPr>
      <w:r>
        <w:rPr>
          <w:rStyle w:val="FootnoteCharacters"/>
        </w:rPr>
        <w:footnoteRef/>
      </w:r>
      <w:r>
        <w:rPr/>
        <w:tab/>
        <w:t xml:space="preserve">Eliade, </w:t>
      </w:r>
      <w:r>
        <w:rPr>
          <w:i/>
          <w:iCs/>
        </w:rPr>
        <w:t xml:space="preserve">The Sacred And The Profane: The Nature of Religion, </w:t>
      </w:r>
      <w:r>
        <w:rPr/>
        <w:t>p.22.</w:t>
      </w:r>
    </w:p>
  </w:footnote>
  <w:footnote w:id="42">
    <w:p>
      <w:pPr>
        <w:pStyle w:val="Footnote"/>
        <w:rPr/>
      </w:pPr>
      <w:r>
        <w:rPr>
          <w:rStyle w:val="FootnoteCharacters"/>
        </w:rPr>
        <w:footnoteRef/>
      </w:r>
      <w:r>
        <w:rPr/>
        <w:tab/>
        <w:t>Eliade,</w:t>
      </w:r>
      <w:r>
        <w:rPr>
          <w:i/>
          <w:iCs/>
        </w:rPr>
        <w:t xml:space="preserve"> The Sacred And The Profane: The Nature of Religion</w:t>
      </w:r>
      <w:r>
        <w:rPr/>
        <w:t>, p.68.</w:t>
      </w:r>
    </w:p>
  </w:footnote>
  <w:footnote w:id="43">
    <w:p>
      <w:pPr>
        <w:pStyle w:val="Footnote"/>
        <w:rPr/>
      </w:pPr>
      <w:r>
        <w:rPr>
          <w:rStyle w:val="FootnoteCharacters"/>
        </w:rPr>
        <w:footnoteRef/>
      </w:r>
      <w:r>
        <w:rPr/>
        <w:tab/>
        <w:t xml:space="preserve">Durkheim, </w:t>
      </w:r>
      <w:r>
        <w:rPr>
          <w:i/>
          <w:iCs/>
        </w:rPr>
        <w:t xml:space="preserve">The Elementary Forms of Religious Life, </w:t>
      </w:r>
      <w:r>
        <w:rPr/>
        <w:t>p.313.</w:t>
      </w:r>
    </w:p>
  </w:footnote>
</w:footnotes>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b185f"/>
    <w:pPr>
      <w:widowControl/>
      <w:suppressAutoHyphens w:val="true"/>
      <w:bidi w:val="0"/>
      <w:spacing w:before="0" w:after="0"/>
      <w:jc w:val="left"/>
    </w:pPr>
    <w:rPr>
      <w:rFonts w:ascii="Times New Roman" w:hAnsi="Times New Roman" w:eastAsia="SimSun" w:cs="Times New Roman"/>
      <w:color w:val="auto"/>
      <w:kern w:val="0"/>
      <w:sz w:val="24"/>
      <w:szCs w:val="24"/>
      <w:lang w:val="en-GB" w:eastAsia="zh-CN" w:bidi="ar-SA"/>
    </w:rPr>
  </w:style>
  <w:style w:type="paragraph" w:styleId="Heading1">
    <w:name w:val="Heading 1"/>
    <w:basedOn w:val="Normal"/>
    <w:next w:val="Normal"/>
    <w:qFormat/>
    <w:rsid w:val="002e67ce"/>
    <w:pPr>
      <w:keepNext w:val="true"/>
      <w:spacing w:before="240" w:after="60"/>
      <w:outlineLvl w:val="0"/>
    </w:pPr>
    <w:rPr>
      <w:rFonts w:ascii="Arial" w:hAnsi="Arial" w:cs="Arial"/>
      <w:b/>
      <w:bCs/>
      <w:kern w:val="2"/>
      <w:sz w:val="32"/>
      <w:szCs w:val="32"/>
    </w:rPr>
  </w:style>
  <w:style w:type="paragraph" w:styleId="Heading2">
    <w:name w:val="Heading 2"/>
    <w:basedOn w:val="Normal"/>
    <w:next w:val="Normal"/>
    <w:qFormat/>
    <w:rsid w:val="002e67ce"/>
    <w:pPr>
      <w:keepNext w:val="true"/>
      <w:spacing w:before="240" w:after="60"/>
      <w:outlineLvl w:val="1"/>
    </w:pPr>
    <w:rPr>
      <w:rFonts w:ascii="Arial" w:hAnsi="Arial" w:cs="Arial"/>
      <w:b/>
      <w:bCs/>
      <w:i/>
      <w:iCs/>
      <w:sz w:val="28"/>
      <w:szCs w:val="28"/>
    </w:rPr>
  </w:style>
  <w:style w:type="paragraph" w:styleId="Heading3">
    <w:name w:val="Heading 3"/>
    <w:basedOn w:val="Normal"/>
    <w:qFormat/>
    <w:rsid w:val="00db185f"/>
    <w:pPr>
      <w:keepNext w:val="true"/>
      <w:ind w:left="720" w:hanging="0"/>
      <w:jc w:val="both"/>
      <w:outlineLvl w:val="2"/>
    </w:pPr>
    <w:rPr>
      <w:rFonts w:ascii="Tahoma" w:hAnsi="Tahoma" w:cs="Tahoma"/>
      <w:b/>
      <w:bCs/>
      <w:sz w:val="20"/>
      <w:szCs w:val="20"/>
    </w:rPr>
  </w:style>
  <w:style w:type="character" w:styleId="DefaultParagraphFont" w:default="1">
    <w:name w:val="Default Paragraph Font"/>
    <w:uiPriority w:val="1"/>
    <w:semiHidden/>
    <w:unhideWhenUsed/>
    <w:qFormat/>
    <w:rPr/>
  </w:style>
  <w:style w:type="character" w:styleId="Annotationreference">
    <w:name w:val="annotation reference"/>
    <w:qFormat/>
    <w:rsid w:val="00840b95"/>
    <w:rPr>
      <w:sz w:val="16"/>
      <w:szCs w:val="16"/>
    </w:rPr>
  </w:style>
  <w:style w:type="character" w:styleId="CommentTextChar" w:customStyle="1">
    <w:name w:val="Comment Text Char"/>
    <w:link w:val="CommentText"/>
    <w:qFormat/>
    <w:rsid w:val="00840b95"/>
    <w:rPr>
      <w:lang w:eastAsia="zh-CN"/>
    </w:rPr>
  </w:style>
  <w:style w:type="character" w:styleId="CommentSubjectChar" w:customStyle="1">
    <w:name w:val="Comment Subject Char"/>
    <w:link w:val="CommentSubject"/>
    <w:qFormat/>
    <w:rsid w:val="00840b95"/>
    <w:rPr>
      <w:b/>
      <w:bCs/>
      <w:lang w:eastAsia="zh-CN"/>
    </w:rPr>
  </w:style>
  <w:style w:type="character" w:styleId="BalloonTextChar" w:customStyle="1">
    <w:name w:val="Balloon Text Char"/>
    <w:link w:val="BalloonText"/>
    <w:qFormat/>
    <w:rsid w:val="00840b95"/>
    <w:rPr>
      <w:rFonts w:ascii="Tahoma" w:hAnsi="Tahoma" w:cs="Tahoma"/>
      <w:sz w:val="16"/>
      <w:szCs w:val="16"/>
      <w:lang w:eastAsia="zh-CN"/>
    </w:rPr>
  </w:style>
  <w:style w:type="character" w:styleId="HeaderChar" w:customStyle="1">
    <w:name w:val="Header Char"/>
    <w:link w:val="Header"/>
    <w:uiPriority w:val="99"/>
    <w:qFormat/>
    <w:rsid w:val="008a4dcc"/>
    <w:rPr>
      <w:rFonts w:ascii="Trebuchet MS" w:hAnsi="Trebuchet MS" w:eastAsia="Calibri" w:cs="Tahoma"/>
      <w:sz w:val="22"/>
      <w:lang w:eastAsia="en-US"/>
    </w:rPr>
  </w:style>
  <w:style w:type="character" w:styleId="FooterChar" w:customStyle="1">
    <w:name w:val="Footer Char"/>
    <w:link w:val="Footer"/>
    <w:uiPriority w:val="99"/>
    <w:qFormat/>
    <w:rsid w:val="00ad5d5a"/>
    <w:rPr>
      <w:sz w:val="24"/>
      <w:szCs w:val="24"/>
      <w:lang w:eastAsia="zh-CN"/>
    </w:rPr>
  </w:style>
  <w:style w:type="character" w:styleId="Bullets" w:customStyle="1">
    <w:name w:val="Bullets"/>
    <w:qFormat/>
    <w:rPr>
      <w:rFonts w:ascii="OpenSymbol" w:hAnsi="OpenSymbol" w:eastAsia="OpenSymbol" w:cs="OpenSymbol"/>
    </w:rPr>
  </w:style>
  <w:style w:type="character" w:styleId="FootnoteCharacters" w:customStyle="1">
    <w:name w:val="Footnote Characters"/>
    <w:qFormat/>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InternetLink">
    <w:name w:val="Hyperlink"/>
    <w:rPr>
      <w:color w:val="000080"/>
      <w:u w:val="single"/>
    </w:rPr>
  </w:style>
  <w:style w:type="character" w:styleId="StrongEmphasis" w:customStyle="1">
    <w:name w:val="Strong Emphasis"/>
    <w:qFormat/>
    <w:rPr>
      <w:b/>
      <w:bCs/>
    </w:rPr>
  </w:style>
  <w:style w:type="paragraph" w:styleId="Heading" w:customStyle="1">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Caption1">
    <w:name w:val="caption"/>
    <w:basedOn w:val="Normal"/>
    <w:qFormat/>
    <w:pPr>
      <w:suppressLineNumbers/>
      <w:spacing w:before="120" w:after="120"/>
    </w:pPr>
    <w:rPr>
      <w:rFonts w:cs="Lucida Sans"/>
      <w:i/>
      <w:iCs/>
    </w:rPr>
  </w:style>
  <w:style w:type="paragraph" w:styleId="NormalWeb">
    <w:name w:val="Normal (Web)"/>
    <w:basedOn w:val="Normal"/>
    <w:qFormat/>
    <w:rsid w:val="00db185f"/>
    <w:pPr>
      <w:spacing w:beforeAutospacing="1" w:afterAutospacing="1"/>
    </w:pPr>
    <w:rPr>
      <w:rFonts w:ascii="Georgia" w:hAnsi="Georgia"/>
      <w:color w:val="000000"/>
      <w:sz w:val="21"/>
      <w:szCs w:val="21"/>
    </w:rPr>
  </w:style>
  <w:style w:type="paragraph" w:styleId="Annotationtext">
    <w:name w:val="annotation text"/>
    <w:basedOn w:val="Normal"/>
    <w:link w:val="CommentTextChar"/>
    <w:qFormat/>
    <w:rsid w:val="00840b95"/>
    <w:pPr/>
    <w:rPr>
      <w:sz w:val="20"/>
      <w:szCs w:val="20"/>
      <w:lang w:val="x-none"/>
    </w:rPr>
  </w:style>
  <w:style w:type="paragraph" w:styleId="Annotationsubject">
    <w:name w:val="annotation subject"/>
    <w:basedOn w:val="Annotationtext"/>
    <w:next w:val="Annotationtext"/>
    <w:link w:val="CommentSubjectChar"/>
    <w:qFormat/>
    <w:rsid w:val="00840b95"/>
    <w:pPr/>
    <w:rPr>
      <w:b/>
      <w:bCs/>
    </w:rPr>
  </w:style>
  <w:style w:type="paragraph" w:styleId="BalloonText">
    <w:name w:val="Balloon Text"/>
    <w:basedOn w:val="Normal"/>
    <w:link w:val="BalloonTextChar"/>
    <w:qFormat/>
    <w:rsid w:val="00840b95"/>
    <w:pPr/>
    <w:rPr>
      <w:rFonts w:ascii="Tahoma" w:hAnsi="Tahoma"/>
      <w:sz w:val="16"/>
      <w:szCs w:val="16"/>
      <w:lang w:val="x-none"/>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8a4dcc"/>
    <w:pPr>
      <w:tabs>
        <w:tab w:val="clear" w:pos="720"/>
        <w:tab w:val="center" w:pos="4513" w:leader="none"/>
        <w:tab w:val="right" w:pos="9026" w:leader="none"/>
      </w:tabs>
    </w:pPr>
    <w:rPr>
      <w:rFonts w:ascii="Trebuchet MS" w:hAnsi="Trebuchet MS" w:eastAsia="Calibri"/>
      <w:sz w:val="22"/>
      <w:szCs w:val="20"/>
      <w:lang w:val="x-none" w:eastAsia="en-US"/>
    </w:rPr>
  </w:style>
  <w:style w:type="paragraph" w:styleId="Footer">
    <w:name w:val="Footer"/>
    <w:basedOn w:val="Normal"/>
    <w:link w:val="FooterChar"/>
    <w:uiPriority w:val="99"/>
    <w:rsid w:val="00ad5d5a"/>
    <w:pPr>
      <w:tabs>
        <w:tab w:val="clear" w:pos="720"/>
        <w:tab w:val="center" w:pos="4513" w:leader="none"/>
        <w:tab w:val="right" w:pos="9026" w:leader="none"/>
      </w:tabs>
    </w:pPr>
    <w:rPr>
      <w:lang w:val="x-none"/>
    </w:rPr>
  </w:style>
  <w:style w:type="paragraph" w:styleId="Footnote">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d67bf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jstor.org/stable/41177305" TargetMode="External"/><Relationship Id="rId4" Type="http://schemas.openxmlformats.org/officeDocument/2006/relationships/hyperlink" Target="https://doi.org/10.2307/1387313" TargetMode="External"/><Relationship Id="rId5" Type="http://schemas.openxmlformats.org/officeDocument/2006/relationships/hyperlink" Target="https://doi.org/10.2307/j.ctt1v2xvw6.4" TargetMode="External"/><Relationship Id="rId6" Type="http://schemas.openxmlformats.org/officeDocument/2006/relationships/hyperlink" Target="https://www.jstor.org/stable/44645818" TargetMode="External"/><Relationship Id="rId7" Type="http://schemas.openxmlformats.org/officeDocument/2006/relationships/hyperlink" Target="https://www.searchgurbani.com/amrit-keertan/introduction" TargetMode="External"/><Relationship Id="rId8" Type="http://schemas.openxmlformats.org/officeDocument/2006/relationships/hyperlink" Target="https://www-jstor-org.ezproxy.uwtsd.ac.uk/stable/1396218" TargetMode="External"/><Relationship Id="rId9" Type="http://schemas.openxmlformats.org/officeDocument/2006/relationships/hyperlink" Target="https://www.nishkamnursery.org.uk/2023/" TargetMode="External"/><Relationship Id="rId10" Type="http://schemas.openxmlformats.org/officeDocument/2006/relationships/hyperlink" Target="https://dpi.org/10.1525/nr.1999.3.1.147" TargetMode="External"/><Relationship Id="rId11" Type="http://schemas.openxmlformats.org/officeDocument/2006/relationships/footer" Target="footer1.xml"/><Relationship Id="rId12" Type="http://schemas.openxmlformats.org/officeDocument/2006/relationships/footnotes" Target="footnotes.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s://www-jstor-org.ezproxy.uwtsd.ac.uk/stable/1396218" TargetMode="External"/><Relationship Id="rId2" Type="http://schemas.openxmlformats.org/officeDocument/2006/relationships/hyperlink" Target="https://doi.org/10.2307/j.ctt1v2xvw6.4" TargetMode="External"/><Relationship Id="rId3" Type="http://schemas.openxmlformats.org/officeDocument/2006/relationships/hyperlink" Target="https://dpi.org/10.1525/nr.1999.3.1.147" TargetMode="External"/><Relationship Id="rId4" Type="http://schemas.openxmlformats.org/officeDocument/2006/relationships/hyperlink" Target="http://www.jstor.org/stable/41177305" TargetMode="External"/><Relationship Id="rId5" Type="http://schemas.openxmlformats.org/officeDocument/2006/relationships/hyperlink" Target="https://www.jstor.org/stable/44645818" TargetMode="External"/><Relationship Id="rId6" Type="http://schemas.openxmlformats.org/officeDocument/2006/relationships/hyperlink" Target="https://doi.org/10.2307/1387313" TargetMode="External"/><Relationship Id="rId7" Type="http://schemas.openxmlformats.org/officeDocument/2006/relationships/hyperlink" Target="https://www.nishkamnursery.org.uk/2023/" TargetMode="External"/><Relationship Id="rId8" Type="http://schemas.openxmlformats.org/officeDocument/2006/relationships/hyperlink" Target="https://www.searchgurbani.com/amrit-keertan/introduc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Application>LibreOffice/7.0.1.2$Windows_X86_64 LibreOffice_project/7cbcfc562f6eb6708b5ff7d7397325de9e764452</Application>
  <Pages>12</Pages>
  <Words>3561</Words>
  <Characters>19632</Characters>
  <CharactersWithSpaces>23274</CharactersWithSpaces>
  <Paragraphs>121</Paragraphs>
  <Company>University of Wales Lampeter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2023-09-30T07:10:00Z</dcterms:created>
  <dc:creator>sa044</dc:creator>
  <dc:description/>
  <dc:language>en-GB</dc:language>
  <cp:lastModifiedBy/>
  <dcterms:modified xsi:type="dcterms:W3CDTF">2023-11-02T07:54:37Z</dcterms:modified>
  <cp:revision>54</cp:revision>
  <dc:subject/>
  <dc:title>UNIVERSITY OF WALES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Lampeter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