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1870059052"/>
        <w:docPartObj>
          <w:docPartGallery w:val="Cover Pages"/>
          <w:docPartUnique/>
        </w:docPartObj>
      </w:sdtPr>
      <w:sdtEndPr>
        <w:rPr>
          <w:b/>
          <w:bCs/>
          <w:noProof/>
          <w:sz w:val="22"/>
        </w:rPr>
      </w:sdtEndPr>
      <w:sdtContent>
        <w:p w14:paraId="436839AB" w14:textId="77777777" w:rsidR="001F5CF2" w:rsidRDefault="001F5CF2">
          <w:pPr>
            <w:pStyle w:val="NoSpacing"/>
            <w:rPr>
              <w:sz w:val="2"/>
            </w:rPr>
          </w:pPr>
        </w:p>
        <w:p w14:paraId="1079394E" w14:textId="77777777" w:rsidR="001F5CF2" w:rsidRDefault="001F5CF2">
          <w:r>
            <w:rPr>
              <w:noProof/>
            </w:rPr>
            <mc:AlternateContent>
              <mc:Choice Requires="wps">
                <w:drawing>
                  <wp:anchor distT="0" distB="0" distL="114300" distR="114300" simplePos="0" relativeHeight="251659264" behindDoc="0" locked="0" layoutInCell="1" allowOverlap="1" wp14:anchorId="785C55A0" wp14:editId="094DCF0B">
                    <wp:simplePos x="0" y="0"/>
                    <wp:positionH relativeFrom="page">
                      <wp:posOffset>914400</wp:posOffset>
                    </wp:positionH>
                    <wp:positionV relativeFrom="margin">
                      <wp:posOffset>7658100</wp:posOffset>
                    </wp:positionV>
                    <wp:extent cx="5946140" cy="564515"/>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6140" cy="56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F56B78" w14:textId="77777777" w:rsidR="001E01DD" w:rsidRDefault="001E01DD">
                                <w:pPr>
                                  <w:pStyle w:val="NoSpacing"/>
                                  <w:jc w:val="right"/>
                                  <w:rPr>
                                    <w:color w:val="5B9BD5" w:themeColor="accent1"/>
                                    <w:sz w:val="36"/>
                                    <w:szCs w:val="36"/>
                                  </w:rPr>
                                </w:pPr>
                              </w:p>
                              <w:p w14:paraId="25288BE6" w14:textId="77777777" w:rsidR="001E01DD" w:rsidRDefault="001E01DD">
                                <w:pPr>
                                  <w:pStyle w:val="NoSpacing"/>
                                  <w:jc w:val="right"/>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85C55A0" id="_x0000_t202" coordsize="21600,21600" o:spt="202" path="m,l,21600r21600,l21600,xe">
                    <v:stroke joinstyle="miter"/>
                    <v:path gradientshapeok="t" o:connecttype="rect"/>
                  </v:shapetype>
                  <v:shape id="Text Box 69" o:spid="_x0000_s1026" type="#_x0000_t202" style="position:absolute;margin-left:1in;margin-top:603pt;width:468.2pt;height:44.4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" filled="f" stroked="f" strokeweight=".5pt">
                    <v:textbox style="mso-fit-shape-to-text:t" inset="0,0,0,0">
                      <w:txbxContent>
                        <w:p w14:paraId="1FF56B78" w14:textId="77777777" w:rsidR="001E01DD" w:rsidRDefault="001E01DD">
                          <w:pPr>
                            <w:pStyle w:val="NoSpacing"/>
                            <w:jc w:val="right"/>
                            <w:rPr>
                              <w:color w:val="5B9BD5" w:themeColor="accent1"/>
                              <w:sz w:val="36"/>
                              <w:szCs w:val="36"/>
                            </w:rPr>
                          </w:pPr>
                        </w:p>
                        <w:p w14:paraId="25288BE6" w14:textId="77777777" w:rsidR="001E01DD" w:rsidRDefault="001E01DD">
                          <w:pPr>
                            <w:pStyle w:val="NoSpacing"/>
                            <w:jc w:val="right"/>
                            <w:rPr>
                              <w:color w:val="5B9BD5" w:themeColor="accent1"/>
                              <w:sz w:val="36"/>
                              <w:szCs w:val="36"/>
                            </w:rPr>
                          </w:pPr>
                        </w:p>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14:anchorId="090C8C7A" wp14:editId="4175CFA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194533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14:paraId="15981332" w14:textId="77777777" w:rsidR="001F5CF2" w:rsidRDefault="001F5CF2">
          <w:pPr>
            <w:rPr>
              <w:b/>
              <w:bCs/>
              <w:noProof/>
            </w:rPr>
          </w:pPr>
          <w:r>
            <w:rPr>
              <w:noProof/>
            </w:rPr>
            <mc:AlternateContent>
              <mc:Choice Requires="wps">
                <w:drawing>
                  <wp:anchor distT="0" distB="0" distL="114300" distR="114300" simplePos="0" relativeHeight="251661312" behindDoc="0" locked="0" layoutInCell="1" allowOverlap="1" wp14:anchorId="5FAB2CE0" wp14:editId="44E581F7">
                    <wp:simplePos x="0" y="0"/>
                    <wp:positionH relativeFrom="margin">
                      <wp:align>left</wp:align>
                    </wp:positionH>
                    <wp:positionV relativeFrom="margin">
                      <wp:posOffset>1112203</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F03642D" w14:textId="77777777" w:rsidR="001E01DD" w:rsidRPr="001F5CF2" w:rsidRDefault="001E01DD">
                                    <w:pPr>
                                      <w:pStyle w:val="NoSpacing"/>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Financial Ratio analysis</w:t>
                                    </w:r>
                                  </w:p>
                                </w:sdtContent>
                              </w:sdt>
                              <w:p w14:paraId="5026FC12" w14:textId="77777777" w:rsidR="001E01DD" w:rsidRDefault="006421BA" w:rsidP="00BC5B6F">
                                <w:pPr>
                                  <w:pStyle w:val="NoSpacing"/>
                                  <w:spacing w:before="120"/>
                                  <w:rPr>
                                    <w:b/>
                                    <w:i/>
                                    <w:noProof/>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sdt>
                                  <w:sdtPr>
                                    <w:rPr>
                                      <w:b/>
                                      <w:i/>
                                      <w:color w:val="4472C4" w:themeColor="accent5"/>
                                      <w:sz w:val="5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E01DD">
                                      <w:rPr>
                                        <w:b/>
                                        <w:i/>
                                        <w:color w:val="4472C4" w:themeColor="accent5"/>
                                        <w:sz w:val="5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Company: Netflix</w:t>
                                    </w:r>
                                  </w:sdtContent>
                                </w:sdt>
                                <w:r w:rsidR="001E01DD" w:rsidRPr="001F5CF2">
                                  <w:rPr>
                                    <w:b/>
                                    <w:i/>
                                    <w:noProof/>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02A123B2" w14:textId="6CAECCF1" w:rsidR="001E01DD" w:rsidRDefault="001E01DD" w:rsidP="00BC5B6F">
                                <w:pPr>
                                  <w:pStyle w:val="NoSpacing"/>
                                  <w:spacing w:before="120"/>
                                  <w:rPr>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AE31F61" w14:textId="77777777" w:rsidR="001E01DD" w:rsidRPr="00BC5B6F" w:rsidRDefault="001E01DD"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C5B6F">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LCMB7002</w:t>
                                </w:r>
                              </w:p>
                              <w:p w14:paraId="7637C386" w14:textId="77777777" w:rsidR="001E01DD" w:rsidRDefault="001E01DD"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C5B6F">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David Coker</w:t>
                                </w:r>
                              </w:p>
                              <w:p w14:paraId="5766A9B1" w14:textId="24759FC9" w:rsidR="00FD5C9E" w:rsidRDefault="00FD5C9E"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008E0E01">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ame</w:t>
                                </w:r>
                                <w:r>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421BA">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Atishaya Kadam</w:t>
                                </w:r>
                              </w:p>
                              <w:p w14:paraId="5F275EC7" w14:textId="1DF377DA" w:rsidR="00FD5C9E" w:rsidRPr="00BC5B6F" w:rsidRDefault="00FD5C9E"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2318625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FAB2CE0" id="Text Box 62" o:spid="_x0000_s1027" type="#_x0000_t202" style="position:absolute;margin-left:0;margin-top:87.6pt;width:468pt;height:1in;z-index:25166131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" filled="f" stroked="f" strokeweight=".5pt">
                    <v:textbox style="mso-fit-shape-to-text:t">
                      <w:txbxContent>
                        <w:sdt>
                          <w:sdtPr>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F03642D" w14:textId="77777777" w:rsidR="001E01DD" w:rsidRPr="001F5CF2" w:rsidRDefault="001E01DD">
                              <w:pPr>
                                <w:pStyle w:val="NoSpacing"/>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Theme="majorHAnsi" w:eastAsiaTheme="majorEastAsia" w:hAnsiTheme="majorHAnsi" w:cstheme="majorBidi"/>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Financial Ratio analysis</w:t>
                              </w:r>
                            </w:p>
                          </w:sdtContent>
                        </w:sdt>
                        <w:p w14:paraId="5026FC12" w14:textId="77777777" w:rsidR="001E01DD" w:rsidRDefault="006421BA" w:rsidP="00BC5B6F">
                          <w:pPr>
                            <w:pStyle w:val="NoSpacing"/>
                            <w:spacing w:before="120"/>
                            <w:rPr>
                              <w:b/>
                              <w:i/>
                              <w:noProof/>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sdt>
                            <w:sdtPr>
                              <w:rPr>
                                <w:b/>
                                <w:i/>
                                <w:color w:val="4472C4" w:themeColor="accent5"/>
                                <w:sz w:val="5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E01DD">
                                <w:rPr>
                                  <w:b/>
                                  <w:i/>
                                  <w:color w:val="4472C4" w:themeColor="accent5"/>
                                  <w:sz w:val="5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Company: Netflix</w:t>
                              </w:r>
                            </w:sdtContent>
                          </w:sdt>
                          <w:r w:rsidR="001E01DD" w:rsidRPr="001F5CF2">
                            <w:rPr>
                              <w:b/>
                              <w:i/>
                              <w:noProof/>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02A123B2" w14:textId="6CAECCF1" w:rsidR="001E01DD" w:rsidRDefault="001E01DD" w:rsidP="00BC5B6F">
                          <w:pPr>
                            <w:pStyle w:val="NoSpacing"/>
                            <w:spacing w:before="120"/>
                            <w:rPr>
                              <w:b/>
                              <w:i/>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AE31F61" w14:textId="77777777" w:rsidR="001E01DD" w:rsidRPr="00BC5B6F" w:rsidRDefault="001E01DD"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C5B6F">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LCMB7002</w:t>
                          </w:r>
                        </w:p>
                        <w:p w14:paraId="7637C386" w14:textId="77777777" w:rsidR="001E01DD" w:rsidRDefault="001E01DD"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C5B6F">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David Coker</w:t>
                          </w:r>
                        </w:p>
                        <w:p w14:paraId="5766A9B1" w14:textId="24759FC9" w:rsidR="00FD5C9E" w:rsidRDefault="00FD5C9E"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008E0E01">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ame</w:t>
                          </w:r>
                          <w:r>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421BA">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Atishaya Kadam</w:t>
                          </w:r>
                        </w:p>
                        <w:p w14:paraId="5F275EC7" w14:textId="1DF377DA" w:rsidR="00FD5C9E" w:rsidRPr="00BC5B6F" w:rsidRDefault="00FD5C9E" w:rsidP="00BC5B6F">
                          <w:pPr>
                            <w:pStyle w:val="NoSpacing"/>
                            <w:spacing w:before="120"/>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i/>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2318625</w:t>
                          </w:r>
                        </w:p>
                      </w:txbxContent>
                    </v:textbox>
                    <w10:wrap anchorx="margin" anchory="margin"/>
                  </v:shape>
                </w:pict>
              </mc:Fallback>
            </mc:AlternateContent>
          </w:r>
          <w:r>
            <w:rPr>
              <w:b/>
              <w:bCs/>
              <w:noProof/>
            </w:rPr>
            <w:br w:type="page"/>
          </w:r>
        </w:p>
      </w:sdtContent>
    </w:sdt>
    <w:sdt>
      <w:sdtPr>
        <w:rPr>
          <w:rFonts w:asciiTheme="minorHAnsi" w:eastAsiaTheme="minorHAnsi" w:hAnsiTheme="minorHAnsi" w:cstheme="minorBidi"/>
          <w:color w:val="auto"/>
          <w:sz w:val="22"/>
          <w:szCs w:val="22"/>
        </w:rPr>
        <w:id w:val="781390457"/>
        <w:docPartObj>
          <w:docPartGallery w:val="Table of Contents"/>
          <w:docPartUnique/>
        </w:docPartObj>
      </w:sdtPr>
      <w:sdtEndPr>
        <w:rPr>
          <w:b/>
          <w:bCs/>
          <w:noProof/>
        </w:rPr>
      </w:sdtEndPr>
      <w:sdtContent>
        <w:p w14:paraId="06251EF0" w14:textId="77777777" w:rsidR="001F5CF2" w:rsidRDefault="001F5CF2">
          <w:pPr>
            <w:pStyle w:val="TOCHeading"/>
          </w:pPr>
          <w:r>
            <w:t>Table of Contents</w:t>
          </w:r>
        </w:p>
        <w:p w14:paraId="59209263" w14:textId="11D1118D" w:rsidR="00BC5B6F" w:rsidRDefault="001F5CF2">
          <w:pPr>
            <w:pStyle w:val="TOC1"/>
            <w:tabs>
              <w:tab w:val="left" w:pos="440"/>
              <w:tab w:val="right" w:leader="dot" w:pos="1007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63310217" w:history="1">
            <w:r w:rsidR="00BC5B6F" w:rsidRPr="00470B1A">
              <w:rPr>
                <w:rStyle w:val="Hyperlink"/>
                <w:b/>
                <w:noProof/>
              </w:rPr>
              <w:t>1.</w:t>
            </w:r>
            <w:r w:rsidR="00BC5B6F">
              <w:rPr>
                <w:rFonts w:eastAsiaTheme="minorEastAsia"/>
                <w:noProof/>
              </w:rPr>
              <w:tab/>
            </w:r>
            <w:r w:rsidR="00BC5B6F" w:rsidRPr="00470B1A">
              <w:rPr>
                <w:rStyle w:val="Hyperlink"/>
                <w:b/>
                <w:noProof/>
              </w:rPr>
              <w:t>Introduction</w:t>
            </w:r>
            <w:r w:rsidR="00BC5B6F">
              <w:rPr>
                <w:noProof/>
                <w:webHidden/>
              </w:rPr>
              <w:tab/>
            </w:r>
            <w:r w:rsidR="00BC5B6F">
              <w:rPr>
                <w:noProof/>
                <w:webHidden/>
              </w:rPr>
              <w:fldChar w:fldCharType="begin"/>
            </w:r>
            <w:r w:rsidR="00BC5B6F">
              <w:rPr>
                <w:noProof/>
                <w:webHidden/>
              </w:rPr>
              <w:instrText xml:space="preserve"> PAGEREF _Toc163310217 \h </w:instrText>
            </w:r>
            <w:r w:rsidR="00BC5B6F">
              <w:rPr>
                <w:noProof/>
                <w:webHidden/>
              </w:rPr>
            </w:r>
            <w:r w:rsidR="00BC5B6F">
              <w:rPr>
                <w:noProof/>
                <w:webHidden/>
              </w:rPr>
              <w:fldChar w:fldCharType="separate"/>
            </w:r>
            <w:r w:rsidR="00BC5B6F">
              <w:rPr>
                <w:noProof/>
                <w:webHidden/>
              </w:rPr>
              <w:t>2</w:t>
            </w:r>
            <w:r w:rsidR="00BC5B6F">
              <w:rPr>
                <w:noProof/>
                <w:webHidden/>
              </w:rPr>
              <w:fldChar w:fldCharType="end"/>
            </w:r>
          </w:hyperlink>
        </w:p>
        <w:p w14:paraId="519CB874" w14:textId="1C9B1961" w:rsidR="00BC5B6F" w:rsidRDefault="006421BA">
          <w:pPr>
            <w:pStyle w:val="TOC2"/>
            <w:tabs>
              <w:tab w:val="left" w:pos="880"/>
              <w:tab w:val="right" w:leader="dot" w:pos="10070"/>
            </w:tabs>
            <w:rPr>
              <w:rFonts w:eastAsiaTheme="minorEastAsia"/>
              <w:noProof/>
            </w:rPr>
          </w:pPr>
          <w:hyperlink w:anchor="_Toc163310218" w:history="1">
            <w:r w:rsidR="00BC5B6F" w:rsidRPr="00470B1A">
              <w:rPr>
                <w:rStyle w:val="Hyperlink"/>
                <w:b/>
                <w:noProof/>
              </w:rPr>
              <w:t>1.1.</w:t>
            </w:r>
            <w:r w:rsidR="00BC5B6F">
              <w:rPr>
                <w:rFonts w:eastAsiaTheme="minorEastAsia"/>
                <w:noProof/>
              </w:rPr>
              <w:tab/>
            </w:r>
            <w:r w:rsidR="00BC5B6F" w:rsidRPr="00470B1A">
              <w:rPr>
                <w:rStyle w:val="Hyperlink"/>
                <w:b/>
                <w:noProof/>
              </w:rPr>
              <w:t>History</w:t>
            </w:r>
            <w:r w:rsidR="00BC5B6F">
              <w:rPr>
                <w:noProof/>
                <w:webHidden/>
              </w:rPr>
              <w:tab/>
            </w:r>
            <w:r w:rsidR="00BC5B6F">
              <w:rPr>
                <w:noProof/>
                <w:webHidden/>
              </w:rPr>
              <w:fldChar w:fldCharType="begin"/>
            </w:r>
            <w:r w:rsidR="00BC5B6F">
              <w:rPr>
                <w:noProof/>
                <w:webHidden/>
              </w:rPr>
              <w:instrText xml:space="preserve"> PAGEREF _Toc163310218 \h </w:instrText>
            </w:r>
            <w:r w:rsidR="00BC5B6F">
              <w:rPr>
                <w:noProof/>
                <w:webHidden/>
              </w:rPr>
            </w:r>
            <w:r w:rsidR="00BC5B6F">
              <w:rPr>
                <w:noProof/>
                <w:webHidden/>
              </w:rPr>
              <w:fldChar w:fldCharType="separate"/>
            </w:r>
            <w:r w:rsidR="00BC5B6F">
              <w:rPr>
                <w:noProof/>
                <w:webHidden/>
              </w:rPr>
              <w:t>2</w:t>
            </w:r>
            <w:r w:rsidR="00BC5B6F">
              <w:rPr>
                <w:noProof/>
                <w:webHidden/>
              </w:rPr>
              <w:fldChar w:fldCharType="end"/>
            </w:r>
          </w:hyperlink>
        </w:p>
        <w:p w14:paraId="045D27D7" w14:textId="052958D6" w:rsidR="00BC5B6F" w:rsidRDefault="006421BA">
          <w:pPr>
            <w:pStyle w:val="TOC2"/>
            <w:tabs>
              <w:tab w:val="left" w:pos="880"/>
              <w:tab w:val="right" w:leader="dot" w:pos="10070"/>
            </w:tabs>
            <w:rPr>
              <w:rFonts w:eastAsiaTheme="minorEastAsia"/>
              <w:noProof/>
            </w:rPr>
          </w:pPr>
          <w:hyperlink w:anchor="_Toc163310219" w:history="1">
            <w:r w:rsidR="00BC5B6F" w:rsidRPr="00470B1A">
              <w:rPr>
                <w:rStyle w:val="Hyperlink"/>
                <w:b/>
                <w:noProof/>
              </w:rPr>
              <w:t>1.2.</w:t>
            </w:r>
            <w:r w:rsidR="00BC5B6F">
              <w:rPr>
                <w:rFonts w:eastAsiaTheme="minorEastAsia"/>
                <w:noProof/>
              </w:rPr>
              <w:tab/>
            </w:r>
            <w:r w:rsidR="00BC5B6F" w:rsidRPr="00470B1A">
              <w:rPr>
                <w:rStyle w:val="Hyperlink"/>
                <w:b/>
                <w:noProof/>
              </w:rPr>
              <w:t>Business model</w:t>
            </w:r>
            <w:r w:rsidR="00BC5B6F">
              <w:rPr>
                <w:noProof/>
                <w:webHidden/>
              </w:rPr>
              <w:tab/>
            </w:r>
            <w:r w:rsidR="00BC5B6F">
              <w:rPr>
                <w:noProof/>
                <w:webHidden/>
              </w:rPr>
              <w:fldChar w:fldCharType="begin"/>
            </w:r>
            <w:r w:rsidR="00BC5B6F">
              <w:rPr>
                <w:noProof/>
                <w:webHidden/>
              </w:rPr>
              <w:instrText xml:space="preserve"> PAGEREF _Toc163310219 \h </w:instrText>
            </w:r>
            <w:r w:rsidR="00BC5B6F">
              <w:rPr>
                <w:noProof/>
                <w:webHidden/>
              </w:rPr>
            </w:r>
            <w:r w:rsidR="00BC5B6F">
              <w:rPr>
                <w:noProof/>
                <w:webHidden/>
              </w:rPr>
              <w:fldChar w:fldCharType="separate"/>
            </w:r>
            <w:r w:rsidR="00BC5B6F">
              <w:rPr>
                <w:noProof/>
                <w:webHidden/>
              </w:rPr>
              <w:t>2</w:t>
            </w:r>
            <w:r w:rsidR="00BC5B6F">
              <w:rPr>
                <w:noProof/>
                <w:webHidden/>
              </w:rPr>
              <w:fldChar w:fldCharType="end"/>
            </w:r>
          </w:hyperlink>
        </w:p>
        <w:p w14:paraId="04CE1397" w14:textId="1E41BEDE" w:rsidR="00BC5B6F" w:rsidRDefault="006421BA">
          <w:pPr>
            <w:pStyle w:val="TOC2"/>
            <w:tabs>
              <w:tab w:val="left" w:pos="880"/>
              <w:tab w:val="right" w:leader="dot" w:pos="10070"/>
            </w:tabs>
            <w:rPr>
              <w:rFonts w:eastAsiaTheme="minorEastAsia"/>
              <w:noProof/>
            </w:rPr>
          </w:pPr>
          <w:hyperlink w:anchor="_Toc163310220" w:history="1">
            <w:r w:rsidR="00BC5B6F" w:rsidRPr="00470B1A">
              <w:rPr>
                <w:rStyle w:val="Hyperlink"/>
                <w:b/>
                <w:noProof/>
              </w:rPr>
              <w:t>1.3.</w:t>
            </w:r>
            <w:r w:rsidR="00BC5B6F">
              <w:rPr>
                <w:rFonts w:eastAsiaTheme="minorEastAsia"/>
                <w:noProof/>
              </w:rPr>
              <w:tab/>
            </w:r>
            <w:r w:rsidR="00BC5B6F" w:rsidRPr="00470B1A">
              <w:rPr>
                <w:rStyle w:val="Hyperlink"/>
                <w:b/>
                <w:noProof/>
              </w:rPr>
              <w:t>Industry</w:t>
            </w:r>
            <w:r w:rsidR="00BC5B6F">
              <w:rPr>
                <w:noProof/>
                <w:webHidden/>
              </w:rPr>
              <w:tab/>
            </w:r>
            <w:r w:rsidR="00BC5B6F">
              <w:rPr>
                <w:noProof/>
                <w:webHidden/>
              </w:rPr>
              <w:fldChar w:fldCharType="begin"/>
            </w:r>
            <w:r w:rsidR="00BC5B6F">
              <w:rPr>
                <w:noProof/>
                <w:webHidden/>
              </w:rPr>
              <w:instrText xml:space="preserve"> PAGEREF _Toc163310220 \h </w:instrText>
            </w:r>
            <w:r w:rsidR="00BC5B6F">
              <w:rPr>
                <w:noProof/>
                <w:webHidden/>
              </w:rPr>
            </w:r>
            <w:r w:rsidR="00BC5B6F">
              <w:rPr>
                <w:noProof/>
                <w:webHidden/>
              </w:rPr>
              <w:fldChar w:fldCharType="separate"/>
            </w:r>
            <w:r w:rsidR="00BC5B6F">
              <w:rPr>
                <w:noProof/>
                <w:webHidden/>
              </w:rPr>
              <w:t>2</w:t>
            </w:r>
            <w:r w:rsidR="00BC5B6F">
              <w:rPr>
                <w:noProof/>
                <w:webHidden/>
              </w:rPr>
              <w:fldChar w:fldCharType="end"/>
            </w:r>
          </w:hyperlink>
        </w:p>
        <w:p w14:paraId="70D228F9" w14:textId="5B441C2B" w:rsidR="00BC5B6F" w:rsidRDefault="006421BA">
          <w:pPr>
            <w:pStyle w:val="TOC2"/>
            <w:tabs>
              <w:tab w:val="left" w:pos="880"/>
              <w:tab w:val="right" w:leader="dot" w:pos="10070"/>
            </w:tabs>
            <w:rPr>
              <w:rFonts w:eastAsiaTheme="minorEastAsia"/>
              <w:noProof/>
            </w:rPr>
          </w:pPr>
          <w:hyperlink w:anchor="_Toc163310221" w:history="1">
            <w:r w:rsidR="00BC5B6F" w:rsidRPr="00470B1A">
              <w:rPr>
                <w:rStyle w:val="Hyperlink"/>
                <w:b/>
                <w:noProof/>
              </w:rPr>
              <w:t>1.4.</w:t>
            </w:r>
            <w:r w:rsidR="00BC5B6F">
              <w:rPr>
                <w:rFonts w:eastAsiaTheme="minorEastAsia"/>
                <w:noProof/>
              </w:rPr>
              <w:tab/>
            </w:r>
            <w:r w:rsidR="00BC5B6F" w:rsidRPr="00470B1A">
              <w:rPr>
                <w:rStyle w:val="Hyperlink"/>
                <w:b/>
                <w:noProof/>
              </w:rPr>
              <w:t>Market place</w:t>
            </w:r>
            <w:r w:rsidR="00BC5B6F">
              <w:rPr>
                <w:noProof/>
                <w:webHidden/>
              </w:rPr>
              <w:tab/>
            </w:r>
            <w:r w:rsidR="00BC5B6F">
              <w:rPr>
                <w:noProof/>
                <w:webHidden/>
              </w:rPr>
              <w:fldChar w:fldCharType="begin"/>
            </w:r>
            <w:r w:rsidR="00BC5B6F">
              <w:rPr>
                <w:noProof/>
                <w:webHidden/>
              </w:rPr>
              <w:instrText xml:space="preserve"> PAGEREF _Toc163310221 \h </w:instrText>
            </w:r>
            <w:r w:rsidR="00BC5B6F">
              <w:rPr>
                <w:noProof/>
                <w:webHidden/>
              </w:rPr>
            </w:r>
            <w:r w:rsidR="00BC5B6F">
              <w:rPr>
                <w:noProof/>
                <w:webHidden/>
              </w:rPr>
              <w:fldChar w:fldCharType="separate"/>
            </w:r>
            <w:r w:rsidR="00BC5B6F">
              <w:rPr>
                <w:noProof/>
                <w:webHidden/>
              </w:rPr>
              <w:t>2</w:t>
            </w:r>
            <w:r w:rsidR="00BC5B6F">
              <w:rPr>
                <w:noProof/>
                <w:webHidden/>
              </w:rPr>
              <w:fldChar w:fldCharType="end"/>
            </w:r>
          </w:hyperlink>
        </w:p>
        <w:p w14:paraId="497ABD3C" w14:textId="5EF98F70" w:rsidR="00BC5B6F" w:rsidRDefault="006421BA">
          <w:pPr>
            <w:pStyle w:val="TOC1"/>
            <w:tabs>
              <w:tab w:val="left" w:pos="440"/>
              <w:tab w:val="right" w:leader="dot" w:pos="10070"/>
            </w:tabs>
            <w:rPr>
              <w:rFonts w:eastAsiaTheme="minorEastAsia"/>
              <w:noProof/>
            </w:rPr>
          </w:pPr>
          <w:hyperlink w:anchor="_Toc163310222" w:history="1">
            <w:r w:rsidR="00BC5B6F" w:rsidRPr="00470B1A">
              <w:rPr>
                <w:rStyle w:val="Hyperlink"/>
                <w:b/>
                <w:noProof/>
              </w:rPr>
              <w:t>2.</w:t>
            </w:r>
            <w:r w:rsidR="00BC5B6F">
              <w:rPr>
                <w:rFonts w:eastAsiaTheme="minorEastAsia"/>
                <w:noProof/>
              </w:rPr>
              <w:tab/>
            </w:r>
            <w:r w:rsidR="00BC5B6F" w:rsidRPr="00470B1A">
              <w:rPr>
                <w:rStyle w:val="Hyperlink"/>
                <w:b/>
                <w:noProof/>
              </w:rPr>
              <w:t>Major competitors</w:t>
            </w:r>
            <w:r w:rsidR="00BC5B6F">
              <w:rPr>
                <w:noProof/>
                <w:webHidden/>
              </w:rPr>
              <w:tab/>
            </w:r>
            <w:r w:rsidR="00BC5B6F">
              <w:rPr>
                <w:noProof/>
                <w:webHidden/>
              </w:rPr>
              <w:fldChar w:fldCharType="begin"/>
            </w:r>
            <w:r w:rsidR="00BC5B6F">
              <w:rPr>
                <w:noProof/>
                <w:webHidden/>
              </w:rPr>
              <w:instrText xml:space="preserve"> PAGEREF _Toc163310222 \h </w:instrText>
            </w:r>
            <w:r w:rsidR="00BC5B6F">
              <w:rPr>
                <w:noProof/>
                <w:webHidden/>
              </w:rPr>
            </w:r>
            <w:r w:rsidR="00BC5B6F">
              <w:rPr>
                <w:noProof/>
                <w:webHidden/>
              </w:rPr>
              <w:fldChar w:fldCharType="separate"/>
            </w:r>
            <w:r w:rsidR="00BC5B6F">
              <w:rPr>
                <w:noProof/>
                <w:webHidden/>
              </w:rPr>
              <w:t>3</w:t>
            </w:r>
            <w:r w:rsidR="00BC5B6F">
              <w:rPr>
                <w:noProof/>
                <w:webHidden/>
              </w:rPr>
              <w:fldChar w:fldCharType="end"/>
            </w:r>
          </w:hyperlink>
        </w:p>
        <w:p w14:paraId="04BA8C7A" w14:textId="27009228" w:rsidR="00BC5B6F" w:rsidRDefault="006421BA">
          <w:pPr>
            <w:pStyle w:val="TOC1"/>
            <w:tabs>
              <w:tab w:val="left" w:pos="440"/>
              <w:tab w:val="right" w:leader="dot" w:pos="10070"/>
            </w:tabs>
            <w:rPr>
              <w:rFonts w:eastAsiaTheme="minorEastAsia"/>
              <w:noProof/>
            </w:rPr>
          </w:pPr>
          <w:hyperlink w:anchor="_Toc163310223" w:history="1">
            <w:r w:rsidR="00BC5B6F" w:rsidRPr="00470B1A">
              <w:rPr>
                <w:rStyle w:val="Hyperlink"/>
                <w:b/>
                <w:noProof/>
                <w:lang w:val="en-GB"/>
              </w:rPr>
              <w:t>3.</w:t>
            </w:r>
            <w:r w:rsidR="00BC5B6F">
              <w:rPr>
                <w:rFonts w:eastAsiaTheme="minorEastAsia"/>
                <w:noProof/>
              </w:rPr>
              <w:tab/>
            </w:r>
            <w:r w:rsidR="00BC5B6F" w:rsidRPr="00470B1A">
              <w:rPr>
                <w:rStyle w:val="Hyperlink"/>
                <w:b/>
                <w:noProof/>
                <w:lang w:val="en-GB"/>
              </w:rPr>
              <w:t>Major Events in the Last Five Years</w:t>
            </w:r>
            <w:r w:rsidR="00BC5B6F">
              <w:rPr>
                <w:noProof/>
                <w:webHidden/>
              </w:rPr>
              <w:tab/>
            </w:r>
            <w:r w:rsidR="00BC5B6F">
              <w:rPr>
                <w:noProof/>
                <w:webHidden/>
              </w:rPr>
              <w:fldChar w:fldCharType="begin"/>
            </w:r>
            <w:r w:rsidR="00BC5B6F">
              <w:rPr>
                <w:noProof/>
                <w:webHidden/>
              </w:rPr>
              <w:instrText xml:space="preserve"> PAGEREF _Toc163310223 \h </w:instrText>
            </w:r>
            <w:r w:rsidR="00BC5B6F">
              <w:rPr>
                <w:noProof/>
                <w:webHidden/>
              </w:rPr>
            </w:r>
            <w:r w:rsidR="00BC5B6F">
              <w:rPr>
                <w:noProof/>
                <w:webHidden/>
              </w:rPr>
              <w:fldChar w:fldCharType="separate"/>
            </w:r>
            <w:r w:rsidR="00BC5B6F">
              <w:rPr>
                <w:noProof/>
                <w:webHidden/>
              </w:rPr>
              <w:t>3</w:t>
            </w:r>
            <w:r w:rsidR="00BC5B6F">
              <w:rPr>
                <w:noProof/>
                <w:webHidden/>
              </w:rPr>
              <w:fldChar w:fldCharType="end"/>
            </w:r>
          </w:hyperlink>
        </w:p>
        <w:p w14:paraId="03ABEA75" w14:textId="5BF3D388" w:rsidR="00BC5B6F" w:rsidRDefault="006421BA">
          <w:pPr>
            <w:pStyle w:val="TOC1"/>
            <w:tabs>
              <w:tab w:val="left" w:pos="440"/>
              <w:tab w:val="right" w:leader="dot" w:pos="10070"/>
            </w:tabs>
            <w:rPr>
              <w:rFonts w:eastAsiaTheme="minorEastAsia"/>
              <w:noProof/>
            </w:rPr>
          </w:pPr>
          <w:hyperlink w:anchor="_Toc163310224" w:history="1">
            <w:r w:rsidR="00BC5B6F" w:rsidRPr="00470B1A">
              <w:rPr>
                <w:rStyle w:val="Hyperlink"/>
                <w:b/>
                <w:noProof/>
              </w:rPr>
              <w:t>4.</w:t>
            </w:r>
            <w:r w:rsidR="00BC5B6F">
              <w:rPr>
                <w:rFonts w:eastAsiaTheme="minorEastAsia"/>
                <w:noProof/>
              </w:rPr>
              <w:tab/>
            </w:r>
            <w:r w:rsidR="00BC5B6F" w:rsidRPr="00470B1A">
              <w:rPr>
                <w:rStyle w:val="Hyperlink"/>
                <w:b/>
                <w:noProof/>
              </w:rPr>
              <w:t>Calculation of financial ratios</w:t>
            </w:r>
            <w:r w:rsidR="00BC5B6F">
              <w:rPr>
                <w:noProof/>
                <w:webHidden/>
              </w:rPr>
              <w:tab/>
            </w:r>
            <w:r w:rsidR="00BC5B6F">
              <w:rPr>
                <w:noProof/>
                <w:webHidden/>
              </w:rPr>
              <w:fldChar w:fldCharType="begin"/>
            </w:r>
            <w:r w:rsidR="00BC5B6F">
              <w:rPr>
                <w:noProof/>
                <w:webHidden/>
              </w:rPr>
              <w:instrText xml:space="preserve"> PAGEREF _Toc163310224 \h </w:instrText>
            </w:r>
            <w:r w:rsidR="00BC5B6F">
              <w:rPr>
                <w:noProof/>
                <w:webHidden/>
              </w:rPr>
            </w:r>
            <w:r w:rsidR="00BC5B6F">
              <w:rPr>
                <w:noProof/>
                <w:webHidden/>
              </w:rPr>
              <w:fldChar w:fldCharType="separate"/>
            </w:r>
            <w:r w:rsidR="00BC5B6F">
              <w:rPr>
                <w:noProof/>
                <w:webHidden/>
              </w:rPr>
              <w:t>4</w:t>
            </w:r>
            <w:r w:rsidR="00BC5B6F">
              <w:rPr>
                <w:noProof/>
                <w:webHidden/>
              </w:rPr>
              <w:fldChar w:fldCharType="end"/>
            </w:r>
          </w:hyperlink>
        </w:p>
        <w:p w14:paraId="754E3E93" w14:textId="340701CB" w:rsidR="00BC5B6F" w:rsidRDefault="006421BA">
          <w:pPr>
            <w:pStyle w:val="TOC2"/>
            <w:tabs>
              <w:tab w:val="left" w:pos="880"/>
              <w:tab w:val="right" w:leader="dot" w:pos="10070"/>
            </w:tabs>
            <w:rPr>
              <w:rFonts w:eastAsiaTheme="minorEastAsia"/>
              <w:noProof/>
            </w:rPr>
          </w:pPr>
          <w:hyperlink w:anchor="_Toc163310225" w:history="1">
            <w:r w:rsidR="00BC5B6F" w:rsidRPr="00470B1A">
              <w:rPr>
                <w:rStyle w:val="Hyperlink"/>
                <w:b/>
                <w:noProof/>
              </w:rPr>
              <w:t>4.1.</w:t>
            </w:r>
            <w:r w:rsidR="00BC5B6F">
              <w:rPr>
                <w:rFonts w:eastAsiaTheme="minorEastAsia"/>
                <w:noProof/>
              </w:rPr>
              <w:tab/>
            </w:r>
            <w:r w:rsidR="00BC5B6F" w:rsidRPr="00470B1A">
              <w:rPr>
                <w:rStyle w:val="Hyperlink"/>
                <w:b/>
                <w:noProof/>
              </w:rPr>
              <w:t>Profitability Ratios:</w:t>
            </w:r>
            <w:r w:rsidR="00BC5B6F">
              <w:rPr>
                <w:noProof/>
                <w:webHidden/>
              </w:rPr>
              <w:tab/>
            </w:r>
            <w:r w:rsidR="00BC5B6F">
              <w:rPr>
                <w:noProof/>
                <w:webHidden/>
              </w:rPr>
              <w:fldChar w:fldCharType="begin"/>
            </w:r>
            <w:r w:rsidR="00BC5B6F">
              <w:rPr>
                <w:noProof/>
                <w:webHidden/>
              </w:rPr>
              <w:instrText xml:space="preserve"> PAGEREF _Toc163310225 \h </w:instrText>
            </w:r>
            <w:r w:rsidR="00BC5B6F">
              <w:rPr>
                <w:noProof/>
                <w:webHidden/>
              </w:rPr>
            </w:r>
            <w:r w:rsidR="00BC5B6F">
              <w:rPr>
                <w:noProof/>
                <w:webHidden/>
              </w:rPr>
              <w:fldChar w:fldCharType="separate"/>
            </w:r>
            <w:r w:rsidR="00BC5B6F">
              <w:rPr>
                <w:noProof/>
                <w:webHidden/>
              </w:rPr>
              <w:t>4</w:t>
            </w:r>
            <w:r w:rsidR="00BC5B6F">
              <w:rPr>
                <w:noProof/>
                <w:webHidden/>
              </w:rPr>
              <w:fldChar w:fldCharType="end"/>
            </w:r>
          </w:hyperlink>
        </w:p>
        <w:p w14:paraId="55C396D2" w14:textId="0BDC861E" w:rsidR="00BC5B6F" w:rsidRDefault="006421BA">
          <w:pPr>
            <w:pStyle w:val="TOC2"/>
            <w:tabs>
              <w:tab w:val="left" w:pos="880"/>
              <w:tab w:val="right" w:leader="dot" w:pos="10070"/>
            </w:tabs>
            <w:rPr>
              <w:rFonts w:eastAsiaTheme="minorEastAsia"/>
              <w:noProof/>
            </w:rPr>
          </w:pPr>
          <w:hyperlink w:anchor="_Toc163310226" w:history="1">
            <w:r w:rsidR="00BC5B6F" w:rsidRPr="00470B1A">
              <w:rPr>
                <w:rStyle w:val="Hyperlink"/>
                <w:b/>
                <w:noProof/>
              </w:rPr>
              <w:t>4.2.</w:t>
            </w:r>
            <w:r w:rsidR="00BC5B6F">
              <w:rPr>
                <w:rFonts w:eastAsiaTheme="minorEastAsia"/>
                <w:noProof/>
              </w:rPr>
              <w:tab/>
            </w:r>
            <w:r w:rsidR="00BC5B6F" w:rsidRPr="00470B1A">
              <w:rPr>
                <w:rStyle w:val="Hyperlink"/>
                <w:b/>
                <w:noProof/>
              </w:rPr>
              <w:t>Liquidity Ratios:</w:t>
            </w:r>
            <w:r w:rsidR="00BC5B6F">
              <w:rPr>
                <w:noProof/>
                <w:webHidden/>
              </w:rPr>
              <w:tab/>
            </w:r>
            <w:r w:rsidR="00BC5B6F">
              <w:rPr>
                <w:noProof/>
                <w:webHidden/>
              </w:rPr>
              <w:fldChar w:fldCharType="begin"/>
            </w:r>
            <w:r w:rsidR="00BC5B6F">
              <w:rPr>
                <w:noProof/>
                <w:webHidden/>
              </w:rPr>
              <w:instrText xml:space="preserve"> PAGEREF _Toc163310226 \h </w:instrText>
            </w:r>
            <w:r w:rsidR="00BC5B6F">
              <w:rPr>
                <w:noProof/>
                <w:webHidden/>
              </w:rPr>
            </w:r>
            <w:r w:rsidR="00BC5B6F">
              <w:rPr>
                <w:noProof/>
                <w:webHidden/>
              </w:rPr>
              <w:fldChar w:fldCharType="separate"/>
            </w:r>
            <w:r w:rsidR="00BC5B6F">
              <w:rPr>
                <w:noProof/>
                <w:webHidden/>
              </w:rPr>
              <w:t>5</w:t>
            </w:r>
            <w:r w:rsidR="00BC5B6F">
              <w:rPr>
                <w:noProof/>
                <w:webHidden/>
              </w:rPr>
              <w:fldChar w:fldCharType="end"/>
            </w:r>
          </w:hyperlink>
        </w:p>
        <w:p w14:paraId="4B7DD539" w14:textId="2611D74F" w:rsidR="00BC5B6F" w:rsidRDefault="006421BA">
          <w:pPr>
            <w:pStyle w:val="TOC2"/>
            <w:tabs>
              <w:tab w:val="left" w:pos="880"/>
              <w:tab w:val="right" w:leader="dot" w:pos="10070"/>
            </w:tabs>
            <w:rPr>
              <w:rFonts w:eastAsiaTheme="minorEastAsia"/>
              <w:noProof/>
            </w:rPr>
          </w:pPr>
          <w:hyperlink w:anchor="_Toc163310227" w:history="1">
            <w:r w:rsidR="00BC5B6F" w:rsidRPr="00470B1A">
              <w:rPr>
                <w:rStyle w:val="Hyperlink"/>
                <w:b/>
                <w:noProof/>
              </w:rPr>
              <w:t>4.3.</w:t>
            </w:r>
            <w:r w:rsidR="00BC5B6F">
              <w:rPr>
                <w:rFonts w:eastAsiaTheme="minorEastAsia"/>
                <w:noProof/>
              </w:rPr>
              <w:tab/>
            </w:r>
            <w:r w:rsidR="00BC5B6F" w:rsidRPr="00470B1A">
              <w:rPr>
                <w:rStyle w:val="Hyperlink"/>
                <w:b/>
                <w:noProof/>
              </w:rPr>
              <w:t>Gearing (Leverage) Ratios:</w:t>
            </w:r>
            <w:r w:rsidR="00BC5B6F">
              <w:rPr>
                <w:noProof/>
                <w:webHidden/>
              </w:rPr>
              <w:tab/>
            </w:r>
            <w:r w:rsidR="00BC5B6F">
              <w:rPr>
                <w:noProof/>
                <w:webHidden/>
              </w:rPr>
              <w:fldChar w:fldCharType="begin"/>
            </w:r>
            <w:r w:rsidR="00BC5B6F">
              <w:rPr>
                <w:noProof/>
                <w:webHidden/>
              </w:rPr>
              <w:instrText xml:space="preserve"> PAGEREF _Toc163310227 \h </w:instrText>
            </w:r>
            <w:r w:rsidR="00BC5B6F">
              <w:rPr>
                <w:noProof/>
                <w:webHidden/>
              </w:rPr>
            </w:r>
            <w:r w:rsidR="00BC5B6F">
              <w:rPr>
                <w:noProof/>
                <w:webHidden/>
              </w:rPr>
              <w:fldChar w:fldCharType="separate"/>
            </w:r>
            <w:r w:rsidR="00BC5B6F">
              <w:rPr>
                <w:noProof/>
                <w:webHidden/>
              </w:rPr>
              <w:t>5</w:t>
            </w:r>
            <w:r w:rsidR="00BC5B6F">
              <w:rPr>
                <w:noProof/>
                <w:webHidden/>
              </w:rPr>
              <w:fldChar w:fldCharType="end"/>
            </w:r>
          </w:hyperlink>
        </w:p>
        <w:p w14:paraId="3569CADE" w14:textId="157DC433" w:rsidR="00BC5B6F" w:rsidRDefault="006421BA">
          <w:pPr>
            <w:pStyle w:val="TOC2"/>
            <w:tabs>
              <w:tab w:val="left" w:pos="880"/>
              <w:tab w:val="right" w:leader="dot" w:pos="10070"/>
            </w:tabs>
            <w:rPr>
              <w:rFonts w:eastAsiaTheme="minorEastAsia"/>
              <w:noProof/>
            </w:rPr>
          </w:pPr>
          <w:hyperlink w:anchor="_Toc163310228" w:history="1">
            <w:r w:rsidR="00BC5B6F" w:rsidRPr="00470B1A">
              <w:rPr>
                <w:rStyle w:val="Hyperlink"/>
                <w:b/>
                <w:noProof/>
              </w:rPr>
              <w:t>4.4.</w:t>
            </w:r>
            <w:r w:rsidR="00BC5B6F">
              <w:rPr>
                <w:rFonts w:eastAsiaTheme="minorEastAsia"/>
                <w:noProof/>
              </w:rPr>
              <w:tab/>
            </w:r>
            <w:r w:rsidR="00BC5B6F" w:rsidRPr="00470B1A">
              <w:rPr>
                <w:rStyle w:val="Hyperlink"/>
                <w:b/>
                <w:noProof/>
              </w:rPr>
              <w:t>Efficiency Ratios:</w:t>
            </w:r>
            <w:r w:rsidR="00BC5B6F">
              <w:rPr>
                <w:noProof/>
                <w:webHidden/>
              </w:rPr>
              <w:tab/>
            </w:r>
            <w:r w:rsidR="00BC5B6F">
              <w:rPr>
                <w:noProof/>
                <w:webHidden/>
              </w:rPr>
              <w:fldChar w:fldCharType="begin"/>
            </w:r>
            <w:r w:rsidR="00BC5B6F">
              <w:rPr>
                <w:noProof/>
                <w:webHidden/>
              </w:rPr>
              <w:instrText xml:space="preserve"> PAGEREF _Toc163310228 \h </w:instrText>
            </w:r>
            <w:r w:rsidR="00BC5B6F">
              <w:rPr>
                <w:noProof/>
                <w:webHidden/>
              </w:rPr>
            </w:r>
            <w:r w:rsidR="00BC5B6F">
              <w:rPr>
                <w:noProof/>
                <w:webHidden/>
              </w:rPr>
              <w:fldChar w:fldCharType="separate"/>
            </w:r>
            <w:r w:rsidR="00BC5B6F">
              <w:rPr>
                <w:noProof/>
                <w:webHidden/>
              </w:rPr>
              <w:t>6</w:t>
            </w:r>
            <w:r w:rsidR="00BC5B6F">
              <w:rPr>
                <w:noProof/>
                <w:webHidden/>
              </w:rPr>
              <w:fldChar w:fldCharType="end"/>
            </w:r>
          </w:hyperlink>
        </w:p>
        <w:p w14:paraId="3698745A" w14:textId="14DC8B7B" w:rsidR="00BC5B6F" w:rsidRDefault="006421BA">
          <w:pPr>
            <w:pStyle w:val="TOC2"/>
            <w:tabs>
              <w:tab w:val="left" w:pos="880"/>
              <w:tab w:val="right" w:leader="dot" w:pos="10070"/>
            </w:tabs>
            <w:rPr>
              <w:rFonts w:eastAsiaTheme="minorEastAsia"/>
              <w:noProof/>
            </w:rPr>
          </w:pPr>
          <w:hyperlink w:anchor="_Toc163310229" w:history="1">
            <w:r w:rsidR="00BC5B6F" w:rsidRPr="00470B1A">
              <w:rPr>
                <w:rStyle w:val="Hyperlink"/>
                <w:b/>
                <w:noProof/>
              </w:rPr>
              <w:t>4.5.</w:t>
            </w:r>
            <w:r w:rsidR="00BC5B6F">
              <w:rPr>
                <w:rFonts w:eastAsiaTheme="minorEastAsia"/>
                <w:noProof/>
              </w:rPr>
              <w:tab/>
            </w:r>
            <w:r w:rsidR="00BC5B6F" w:rsidRPr="00470B1A">
              <w:rPr>
                <w:rStyle w:val="Hyperlink"/>
                <w:b/>
                <w:noProof/>
              </w:rPr>
              <w:t>Results of Ratios</w:t>
            </w:r>
            <w:r w:rsidR="00BC5B6F">
              <w:rPr>
                <w:noProof/>
                <w:webHidden/>
              </w:rPr>
              <w:tab/>
            </w:r>
            <w:r w:rsidR="00BC5B6F">
              <w:rPr>
                <w:noProof/>
                <w:webHidden/>
              </w:rPr>
              <w:fldChar w:fldCharType="begin"/>
            </w:r>
            <w:r w:rsidR="00BC5B6F">
              <w:rPr>
                <w:noProof/>
                <w:webHidden/>
              </w:rPr>
              <w:instrText xml:space="preserve"> PAGEREF _Toc163310229 \h </w:instrText>
            </w:r>
            <w:r w:rsidR="00BC5B6F">
              <w:rPr>
                <w:noProof/>
                <w:webHidden/>
              </w:rPr>
            </w:r>
            <w:r w:rsidR="00BC5B6F">
              <w:rPr>
                <w:noProof/>
                <w:webHidden/>
              </w:rPr>
              <w:fldChar w:fldCharType="separate"/>
            </w:r>
            <w:r w:rsidR="00BC5B6F">
              <w:rPr>
                <w:noProof/>
                <w:webHidden/>
              </w:rPr>
              <w:t>6</w:t>
            </w:r>
            <w:r w:rsidR="00BC5B6F">
              <w:rPr>
                <w:noProof/>
                <w:webHidden/>
              </w:rPr>
              <w:fldChar w:fldCharType="end"/>
            </w:r>
          </w:hyperlink>
        </w:p>
        <w:p w14:paraId="11B46209" w14:textId="6BDFB4F0" w:rsidR="00BC5B6F" w:rsidRDefault="006421BA">
          <w:pPr>
            <w:pStyle w:val="TOC1"/>
            <w:tabs>
              <w:tab w:val="left" w:pos="440"/>
              <w:tab w:val="right" w:leader="dot" w:pos="10070"/>
            </w:tabs>
            <w:rPr>
              <w:rFonts w:eastAsiaTheme="minorEastAsia"/>
              <w:noProof/>
            </w:rPr>
          </w:pPr>
          <w:hyperlink w:anchor="_Toc163310230" w:history="1">
            <w:r w:rsidR="00BC5B6F" w:rsidRPr="00470B1A">
              <w:rPr>
                <w:rStyle w:val="Hyperlink"/>
                <w:b/>
                <w:noProof/>
              </w:rPr>
              <w:t>5.</w:t>
            </w:r>
            <w:r w:rsidR="00BC5B6F">
              <w:rPr>
                <w:rFonts w:eastAsiaTheme="minorEastAsia"/>
                <w:noProof/>
              </w:rPr>
              <w:tab/>
            </w:r>
            <w:r w:rsidR="00BC5B6F" w:rsidRPr="00470B1A">
              <w:rPr>
                <w:rStyle w:val="Hyperlink"/>
                <w:b/>
                <w:noProof/>
              </w:rPr>
              <w:t>Evaluations of ratios</w:t>
            </w:r>
            <w:r w:rsidR="00BC5B6F">
              <w:rPr>
                <w:noProof/>
                <w:webHidden/>
              </w:rPr>
              <w:tab/>
            </w:r>
            <w:r w:rsidR="00BC5B6F">
              <w:rPr>
                <w:noProof/>
                <w:webHidden/>
              </w:rPr>
              <w:fldChar w:fldCharType="begin"/>
            </w:r>
            <w:r w:rsidR="00BC5B6F">
              <w:rPr>
                <w:noProof/>
                <w:webHidden/>
              </w:rPr>
              <w:instrText xml:space="preserve"> PAGEREF _Toc163310230 \h </w:instrText>
            </w:r>
            <w:r w:rsidR="00BC5B6F">
              <w:rPr>
                <w:noProof/>
                <w:webHidden/>
              </w:rPr>
            </w:r>
            <w:r w:rsidR="00BC5B6F">
              <w:rPr>
                <w:noProof/>
                <w:webHidden/>
              </w:rPr>
              <w:fldChar w:fldCharType="separate"/>
            </w:r>
            <w:r w:rsidR="00BC5B6F">
              <w:rPr>
                <w:noProof/>
                <w:webHidden/>
              </w:rPr>
              <w:t>7</w:t>
            </w:r>
            <w:r w:rsidR="00BC5B6F">
              <w:rPr>
                <w:noProof/>
                <w:webHidden/>
              </w:rPr>
              <w:fldChar w:fldCharType="end"/>
            </w:r>
          </w:hyperlink>
        </w:p>
        <w:p w14:paraId="5021B5BB" w14:textId="002D516E" w:rsidR="00BC5B6F" w:rsidRDefault="006421BA">
          <w:pPr>
            <w:pStyle w:val="TOC1"/>
            <w:tabs>
              <w:tab w:val="left" w:pos="440"/>
              <w:tab w:val="right" w:leader="dot" w:pos="10070"/>
            </w:tabs>
            <w:rPr>
              <w:rFonts w:eastAsiaTheme="minorEastAsia"/>
              <w:noProof/>
            </w:rPr>
          </w:pPr>
          <w:hyperlink w:anchor="_Toc163310231" w:history="1">
            <w:r w:rsidR="00BC5B6F" w:rsidRPr="00470B1A">
              <w:rPr>
                <w:rStyle w:val="Hyperlink"/>
                <w:b/>
                <w:noProof/>
              </w:rPr>
              <w:t>6.</w:t>
            </w:r>
            <w:r w:rsidR="00BC5B6F">
              <w:rPr>
                <w:rFonts w:eastAsiaTheme="minorEastAsia"/>
                <w:noProof/>
              </w:rPr>
              <w:tab/>
            </w:r>
            <w:r w:rsidR="00BC5B6F" w:rsidRPr="00470B1A">
              <w:rPr>
                <w:rStyle w:val="Hyperlink"/>
                <w:b/>
                <w:noProof/>
              </w:rPr>
              <w:t>Comparison with competitor</w:t>
            </w:r>
            <w:r w:rsidR="00BC5B6F">
              <w:rPr>
                <w:noProof/>
                <w:webHidden/>
              </w:rPr>
              <w:tab/>
            </w:r>
            <w:r w:rsidR="00BC5B6F">
              <w:rPr>
                <w:noProof/>
                <w:webHidden/>
              </w:rPr>
              <w:fldChar w:fldCharType="begin"/>
            </w:r>
            <w:r w:rsidR="00BC5B6F">
              <w:rPr>
                <w:noProof/>
                <w:webHidden/>
              </w:rPr>
              <w:instrText xml:space="preserve"> PAGEREF _Toc163310231 \h </w:instrText>
            </w:r>
            <w:r w:rsidR="00BC5B6F">
              <w:rPr>
                <w:noProof/>
                <w:webHidden/>
              </w:rPr>
            </w:r>
            <w:r w:rsidR="00BC5B6F">
              <w:rPr>
                <w:noProof/>
                <w:webHidden/>
              </w:rPr>
              <w:fldChar w:fldCharType="separate"/>
            </w:r>
            <w:r w:rsidR="00BC5B6F">
              <w:rPr>
                <w:noProof/>
                <w:webHidden/>
              </w:rPr>
              <w:t>7</w:t>
            </w:r>
            <w:r w:rsidR="00BC5B6F">
              <w:rPr>
                <w:noProof/>
                <w:webHidden/>
              </w:rPr>
              <w:fldChar w:fldCharType="end"/>
            </w:r>
          </w:hyperlink>
        </w:p>
        <w:p w14:paraId="3845A532" w14:textId="65998E59" w:rsidR="00BC5B6F" w:rsidRDefault="006421BA">
          <w:pPr>
            <w:pStyle w:val="TOC2"/>
            <w:tabs>
              <w:tab w:val="left" w:pos="880"/>
              <w:tab w:val="right" w:leader="dot" w:pos="10070"/>
            </w:tabs>
            <w:rPr>
              <w:rFonts w:eastAsiaTheme="minorEastAsia"/>
              <w:noProof/>
            </w:rPr>
          </w:pPr>
          <w:hyperlink w:anchor="_Toc163310232" w:history="1">
            <w:r w:rsidR="00BC5B6F" w:rsidRPr="00470B1A">
              <w:rPr>
                <w:rStyle w:val="Hyperlink"/>
                <w:b/>
                <w:noProof/>
              </w:rPr>
              <w:t>6.1.</w:t>
            </w:r>
            <w:r w:rsidR="00BC5B6F">
              <w:rPr>
                <w:rFonts w:eastAsiaTheme="minorEastAsia"/>
                <w:noProof/>
              </w:rPr>
              <w:tab/>
            </w:r>
            <w:r w:rsidR="00BC5B6F" w:rsidRPr="00470B1A">
              <w:rPr>
                <w:rStyle w:val="Hyperlink"/>
                <w:b/>
                <w:noProof/>
              </w:rPr>
              <w:t>Net Profit Margin:</w:t>
            </w:r>
            <w:r w:rsidR="00BC5B6F">
              <w:rPr>
                <w:noProof/>
                <w:webHidden/>
              </w:rPr>
              <w:tab/>
            </w:r>
            <w:r w:rsidR="00BC5B6F">
              <w:rPr>
                <w:noProof/>
                <w:webHidden/>
              </w:rPr>
              <w:fldChar w:fldCharType="begin"/>
            </w:r>
            <w:r w:rsidR="00BC5B6F">
              <w:rPr>
                <w:noProof/>
                <w:webHidden/>
              </w:rPr>
              <w:instrText xml:space="preserve"> PAGEREF _Toc163310232 \h </w:instrText>
            </w:r>
            <w:r w:rsidR="00BC5B6F">
              <w:rPr>
                <w:noProof/>
                <w:webHidden/>
              </w:rPr>
            </w:r>
            <w:r w:rsidR="00BC5B6F">
              <w:rPr>
                <w:noProof/>
                <w:webHidden/>
              </w:rPr>
              <w:fldChar w:fldCharType="separate"/>
            </w:r>
            <w:r w:rsidR="00BC5B6F">
              <w:rPr>
                <w:noProof/>
                <w:webHidden/>
              </w:rPr>
              <w:t>8</w:t>
            </w:r>
            <w:r w:rsidR="00BC5B6F">
              <w:rPr>
                <w:noProof/>
                <w:webHidden/>
              </w:rPr>
              <w:fldChar w:fldCharType="end"/>
            </w:r>
          </w:hyperlink>
        </w:p>
        <w:p w14:paraId="62DF35F8" w14:textId="4EF6DEAC" w:rsidR="00BC5B6F" w:rsidRDefault="006421BA">
          <w:pPr>
            <w:pStyle w:val="TOC2"/>
            <w:tabs>
              <w:tab w:val="left" w:pos="880"/>
              <w:tab w:val="right" w:leader="dot" w:pos="10070"/>
            </w:tabs>
            <w:rPr>
              <w:rFonts w:eastAsiaTheme="minorEastAsia"/>
              <w:noProof/>
            </w:rPr>
          </w:pPr>
          <w:hyperlink w:anchor="_Toc163310233" w:history="1">
            <w:r w:rsidR="00BC5B6F" w:rsidRPr="00470B1A">
              <w:rPr>
                <w:rStyle w:val="Hyperlink"/>
                <w:b/>
                <w:noProof/>
              </w:rPr>
              <w:t>6.2.</w:t>
            </w:r>
            <w:r w:rsidR="00BC5B6F">
              <w:rPr>
                <w:rFonts w:eastAsiaTheme="minorEastAsia"/>
                <w:noProof/>
              </w:rPr>
              <w:tab/>
            </w:r>
            <w:r w:rsidR="00BC5B6F" w:rsidRPr="00470B1A">
              <w:rPr>
                <w:rStyle w:val="Hyperlink"/>
                <w:b/>
                <w:bCs/>
                <w:noProof/>
              </w:rPr>
              <w:t>Current Ratio</w:t>
            </w:r>
            <w:r w:rsidR="00BC5B6F" w:rsidRPr="00470B1A">
              <w:rPr>
                <w:rStyle w:val="Hyperlink"/>
                <w:b/>
                <w:noProof/>
              </w:rPr>
              <w:t>:</w:t>
            </w:r>
            <w:r w:rsidR="00BC5B6F">
              <w:rPr>
                <w:noProof/>
                <w:webHidden/>
              </w:rPr>
              <w:tab/>
            </w:r>
            <w:r w:rsidR="00BC5B6F">
              <w:rPr>
                <w:noProof/>
                <w:webHidden/>
              </w:rPr>
              <w:fldChar w:fldCharType="begin"/>
            </w:r>
            <w:r w:rsidR="00BC5B6F">
              <w:rPr>
                <w:noProof/>
                <w:webHidden/>
              </w:rPr>
              <w:instrText xml:space="preserve"> PAGEREF _Toc163310233 \h </w:instrText>
            </w:r>
            <w:r w:rsidR="00BC5B6F">
              <w:rPr>
                <w:noProof/>
                <w:webHidden/>
              </w:rPr>
            </w:r>
            <w:r w:rsidR="00BC5B6F">
              <w:rPr>
                <w:noProof/>
                <w:webHidden/>
              </w:rPr>
              <w:fldChar w:fldCharType="separate"/>
            </w:r>
            <w:r w:rsidR="00BC5B6F">
              <w:rPr>
                <w:noProof/>
                <w:webHidden/>
              </w:rPr>
              <w:t>9</w:t>
            </w:r>
            <w:r w:rsidR="00BC5B6F">
              <w:rPr>
                <w:noProof/>
                <w:webHidden/>
              </w:rPr>
              <w:fldChar w:fldCharType="end"/>
            </w:r>
          </w:hyperlink>
        </w:p>
        <w:p w14:paraId="28265DE3" w14:textId="6FC95BC0" w:rsidR="00BC5B6F" w:rsidRDefault="006421BA">
          <w:pPr>
            <w:pStyle w:val="TOC2"/>
            <w:tabs>
              <w:tab w:val="left" w:pos="880"/>
              <w:tab w:val="right" w:leader="dot" w:pos="10070"/>
            </w:tabs>
            <w:rPr>
              <w:rFonts w:eastAsiaTheme="minorEastAsia"/>
              <w:noProof/>
            </w:rPr>
          </w:pPr>
          <w:hyperlink w:anchor="_Toc163310234" w:history="1">
            <w:r w:rsidR="00BC5B6F" w:rsidRPr="00470B1A">
              <w:rPr>
                <w:rStyle w:val="Hyperlink"/>
                <w:b/>
                <w:noProof/>
              </w:rPr>
              <w:t>6.3.</w:t>
            </w:r>
            <w:r w:rsidR="00BC5B6F">
              <w:rPr>
                <w:rFonts w:eastAsiaTheme="minorEastAsia"/>
                <w:noProof/>
              </w:rPr>
              <w:tab/>
            </w:r>
            <w:r w:rsidR="00BC5B6F" w:rsidRPr="00470B1A">
              <w:rPr>
                <w:rStyle w:val="Hyperlink"/>
                <w:b/>
                <w:noProof/>
              </w:rPr>
              <w:t>Debt-to-Equity Ratio:</w:t>
            </w:r>
            <w:r w:rsidR="00BC5B6F">
              <w:rPr>
                <w:noProof/>
                <w:webHidden/>
              </w:rPr>
              <w:tab/>
            </w:r>
            <w:r w:rsidR="00BC5B6F">
              <w:rPr>
                <w:noProof/>
                <w:webHidden/>
              </w:rPr>
              <w:fldChar w:fldCharType="begin"/>
            </w:r>
            <w:r w:rsidR="00BC5B6F">
              <w:rPr>
                <w:noProof/>
                <w:webHidden/>
              </w:rPr>
              <w:instrText xml:space="preserve"> PAGEREF _Toc163310234 \h </w:instrText>
            </w:r>
            <w:r w:rsidR="00BC5B6F">
              <w:rPr>
                <w:noProof/>
                <w:webHidden/>
              </w:rPr>
            </w:r>
            <w:r w:rsidR="00BC5B6F">
              <w:rPr>
                <w:noProof/>
                <w:webHidden/>
              </w:rPr>
              <w:fldChar w:fldCharType="separate"/>
            </w:r>
            <w:r w:rsidR="00BC5B6F">
              <w:rPr>
                <w:noProof/>
                <w:webHidden/>
              </w:rPr>
              <w:t>9</w:t>
            </w:r>
            <w:r w:rsidR="00BC5B6F">
              <w:rPr>
                <w:noProof/>
                <w:webHidden/>
              </w:rPr>
              <w:fldChar w:fldCharType="end"/>
            </w:r>
          </w:hyperlink>
        </w:p>
        <w:p w14:paraId="62EC8B6E" w14:textId="1AD1CAD7" w:rsidR="00BC5B6F" w:rsidRDefault="006421BA">
          <w:pPr>
            <w:pStyle w:val="TOC2"/>
            <w:tabs>
              <w:tab w:val="left" w:pos="880"/>
              <w:tab w:val="right" w:leader="dot" w:pos="10070"/>
            </w:tabs>
            <w:rPr>
              <w:rFonts w:eastAsiaTheme="minorEastAsia"/>
              <w:noProof/>
            </w:rPr>
          </w:pPr>
          <w:hyperlink w:anchor="_Toc163310235" w:history="1">
            <w:r w:rsidR="00BC5B6F" w:rsidRPr="00470B1A">
              <w:rPr>
                <w:rStyle w:val="Hyperlink"/>
                <w:b/>
                <w:noProof/>
              </w:rPr>
              <w:t>6.4.</w:t>
            </w:r>
            <w:r w:rsidR="00BC5B6F">
              <w:rPr>
                <w:rFonts w:eastAsiaTheme="minorEastAsia"/>
                <w:noProof/>
              </w:rPr>
              <w:tab/>
            </w:r>
            <w:r w:rsidR="00BC5B6F" w:rsidRPr="00470B1A">
              <w:rPr>
                <w:rStyle w:val="Hyperlink"/>
                <w:b/>
                <w:noProof/>
              </w:rPr>
              <w:t>Asset Turnover Ratio:</w:t>
            </w:r>
            <w:r w:rsidR="00BC5B6F">
              <w:rPr>
                <w:noProof/>
                <w:webHidden/>
              </w:rPr>
              <w:tab/>
            </w:r>
            <w:r w:rsidR="00BC5B6F">
              <w:rPr>
                <w:noProof/>
                <w:webHidden/>
              </w:rPr>
              <w:fldChar w:fldCharType="begin"/>
            </w:r>
            <w:r w:rsidR="00BC5B6F">
              <w:rPr>
                <w:noProof/>
                <w:webHidden/>
              </w:rPr>
              <w:instrText xml:space="preserve"> PAGEREF _Toc163310235 \h </w:instrText>
            </w:r>
            <w:r w:rsidR="00BC5B6F">
              <w:rPr>
                <w:noProof/>
                <w:webHidden/>
              </w:rPr>
            </w:r>
            <w:r w:rsidR="00BC5B6F">
              <w:rPr>
                <w:noProof/>
                <w:webHidden/>
              </w:rPr>
              <w:fldChar w:fldCharType="separate"/>
            </w:r>
            <w:r w:rsidR="00BC5B6F">
              <w:rPr>
                <w:noProof/>
                <w:webHidden/>
              </w:rPr>
              <w:t>10</w:t>
            </w:r>
            <w:r w:rsidR="00BC5B6F">
              <w:rPr>
                <w:noProof/>
                <w:webHidden/>
              </w:rPr>
              <w:fldChar w:fldCharType="end"/>
            </w:r>
          </w:hyperlink>
        </w:p>
        <w:p w14:paraId="27ADDD1E" w14:textId="7D5F57C5" w:rsidR="00BC5B6F" w:rsidRDefault="006421BA">
          <w:pPr>
            <w:pStyle w:val="TOC1"/>
            <w:tabs>
              <w:tab w:val="left" w:pos="440"/>
              <w:tab w:val="right" w:leader="dot" w:pos="10070"/>
            </w:tabs>
            <w:rPr>
              <w:rFonts w:eastAsiaTheme="minorEastAsia"/>
              <w:noProof/>
            </w:rPr>
          </w:pPr>
          <w:hyperlink w:anchor="_Toc163310236" w:history="1">
            <w:r w:rsidR="00BC5B6F" w:rsidRPr="00470B1A">
              <w:rPr>
                <w:rStyle w:val="Hyperlink"/>
                <w:b/>
                <w:noProof/>
              </w:rPr>
              <w:t>7.</w:t>
            </w:r>
            <w:r w:rsidR="00BC5B6F">
              <w:rPr>
                <w:rFonts w:eastAsiaTheme="minorEastAsia"/>
                <w:noProof/>
              </w:rPr>
              <w:tab/>
            </w:r>
            <w:r w:rsidR="00BC5B6F" w:rsidRPr="00470B1A">
              <w:rPr>
                <w:rStyle w:val="Hyperlink"/>
                <w:b/>
                <w:noProof/>
              </w:rPr>
              <w:t>Recommendations on improving the financial management</w:t>
            </w:r>
            <w:r w:rsidR="00BC5B6F">
              <w:rPr>
                <w:noProof/>
                <w:webHidden/>
              </w:rPr>
              <w:tab/>
            </w:r>
            <w:r w:rsidR="00BC5B6F">
              <w:rPr>
                <w:noProof/>
                <w:webHidden/>
              </w:rPr>
              <w:fldChar w:fldCharType="begin"/>
            </w:r>
            <w:r w:rsidR="00BC5B6F">
              <w:rPr>
                <w:noProof/>
                <w:webHidden/>
              </w:rPr>
              <w:instrText xml:space="preserve"> PAGEREF _Toc163310236 \h </w:instrText>
            </w:r>
            <w:r w:rsidR="00BC5B6F">
              <w:rPr>
                <w:noProof/>
                <w:webHidden/>
              </w:rPr>
            </w:r>
            <w:r w:rsidR="00BC5B6F">
              <w:rPr>
                <w:noProof/>
                <w:webHidden/>
              </w:rPr>
              <w:fldChar w:fldCharType="separate"/>
            </w:r>
            <w:r w:rsidR="00BC5B6F">
              <w:rPr>
                <w:noProof/>
                <w:webHidden/>
              </w:rPr>
              <w:t>10</w:t>
            </w:r>
            <w:r w:rsidR="00BC5B6F">
              <w:rPr>
                <w:noProof/>
                <w:webHidden/>
              </w:rPr>
              <w:fldChar w:fldCharType="end"/>
            </w:r>
          </w:hyperlink>
        </w:p>
        <w:p w14:paraId="54089FCA" w14:textId="4DB70D36" w:rsidR="00BC5B6F" w:rsidRDefault="006421BA">
          <w:pPr>
            <w:pStyle w:val="TOC1"/>
            <w:tabs>
              <w:tab w:val="left" w:pos="440"/>
              <w:tab w:val="right" w:leader="dot" w:pos="10070"/>
            </w:tabs>
            <w:rPr>
              <w:rFonts w:eastAsiaTheme="minorEastAsia"/>
              <w:noProof/>
            </w:rPr>
          </w:pPr>
          <w:hyperlink w:anchor="_Toc163310237" w:history="1">
            <w:r w:rsidR="00BC5B6F" w:rsidRPr="00470B1A">
              <w:rPr>
                <w:rStyle w:val="Hyperlink"/>
                <w:b/>
                <w:noProof/>
              </w:rPr>
              <w:t>8.</w:t>
            </w:r>
            <w:r w:rsidR="00BC5B6F">
              <w:rPr>
                <w:rFonts w:eastAsiaTheme="minorEastAsia"/>
                <w:noProof/>
              </w:rPr>
              <w:tab/>
            </w:r>
            <w:r w:rsidR="00BC5B6F" w:rsidRPr="00470B1A">
              <w:rPr>
                <w:rStyle w:val="Hyperlink"/>
                <w:b/>
                <w:noProof/>
              </w:rPr>
              <w:t>Computation for PBP, ARR, NPV</w:t>
            </w:r>
            <w:r w:rsidR="00BC5B6F">
              <w:rPr>
                <w:noProof/>
                <w:webHidden/>
              </w:rPr>
              <w:tab/>
            </w:r>
            <w:r w:rsidR="00BC5B6F">
              <w:rPr>
                <w:noProof/>
                <w:webHidden/>
              </w:rPr>
              <w:fldChar w:fldCharType="begin"/>
            </w:r>
            <w:r w:rsidR="00BC5B6F">
              <w:rPr>
                <w:noProof/>
                <w:webHidden/>
              </w:rPr>
              <w:instrText xml:space="preserve"> PAGEREF _Toc163310237 \h </w:instrText>
            </w:r>
            <w:r w:rsidR="00BC5B6F">
              <w:rPr>
                <w:noProof/>
                <w:webHidden/>
              </w:rPr>
            </w:r>
            <w:r w:rsidR="00BC5B6F">
              <w:rPr>
                <w:noProof/>
                <w:webHidden/>
              </w:rPr>
              <w:fldChar w:fldCharType="separate"/>
            </w:r>
            <w:r w:rsidR="00BC5B6F">
              <w:rPr>
                <w:noProof/>
                <w:webHidden/>
              </w:rPr>
              <w:t>11</w:t>
            </w:r>
            <w:r w:rsidR="00BC5B6F">
              <w:rPr>
                <w:noProof/>
                <w:webHidden/>
              </w:rPr>
              <w:fldChar w:fldCharType="end"/>
            </w:r>
          </w:hyperlink>
        </w:p>
        <w:p w14:paraId="69E6E4B1" w14:textId="0282B925" w:rsidR="00BC5B6F" w:rsidRDefault="006421BA">
          <w:pPr>
            <w:pStyle w:val="TOC2"/>
            <w:tabs>
              <w:tab w:val="left" w:pos="880"/>
              <w:tab w:val="right" w:leader="dot" w:pos="10070"/>
            </w:tabs>
            <w:rPr>
              <w:rFonts w:eastAsiaTheme="minorEastAsia"/>
              <w:noProof/>
            </w:rPr>
          </w:pPr>
          <w:hyperlink w:anchor="_Toc163310238" w:history="1">
            <w:r w:rsidR="00BC5B6F" w:rsidRPr="00470B1A">
              <w:rPr>
                <w:rStyle w:val="Hyperlink"/>
                <w:b/>
                <w:noProof/>
              </w:rPr>
              <w:t>8.1.</w:t>
            </w:r>
            <w:r w:rsidR="00BC5B6F">
              <w:rPr>
                <w:rFonts w:eastAsiaTheme="minorEastAsia"/>
                <w:noProof/>
              </w:rPr>
              <w:tab/>
            </w:r>
            <w:r w:rsidR="00BC5B6F" w:rsidRPr="00470B1A">
              <w:rPr>
                <w:rStyle w:val="Hyperlink"/>
                <w:b/>
                <w:noProof/>
              </w:rPr>
              <w:t>Project A</w:t>
            </w:r>
            <w:r w:rsidR="00BC5B6F">
              <w:rPr>
                <w:noProof/>
                <w:webHidden/>
              </w:rPr>
              <w:tab/>
            </w:r>
            <w:r w:rsidR="00BC5B6F">
              <w:rPr>
                <w:noProof/>
                <w:webHidden/>
              </w:rPr>
              <w:fldChar w:fldCharType="begin"/>
            </w:r>
            <w:r w:rsidR="00BC5B6F">
              <w:rPr>
                <w:noProof/>
                <w:webHidden/>
              </w:rPr>
              <w:instrText xml:space="preserve"> PAGEREF _Toc163310238 \h </w:instrText>
            </w:r>
            <w:r w:rsidR="00BC5B6F">
              <w:rPr>
                <w:noProof/>
                <w:webHidden/>
              </w:rPr>
            </w:r>
            <w:r w:rsidR="00BC5B6F">
              <w:rPr>
                <w:noProof/>
                <w:webHidden/>
              </w:rPr>
              <w:fldChar w:fldCharType="separate"/>
            </w:r>
            <w:r w:rsidR="00BC5B6F">
              <w:rPr>
                <w:noProof/>
                <w:webHidden/>
              </w:rPr>
              <w:t>11</w:t>
            </w:r>
            <w:r w:rsidR="00BC5B6F">
              <w:rPr>
                <w:noProof/>
                <w:webHidden/>
              </w:rPr>
              <w:fldChar w:fldCharType="end"/>
            </w:r>
          </w:hyperlink>
        </w:p>
        <w:p w14:paraId="59E0521C" w14:textId="6C0582D3" w:rsidR="00BC5B6F" w:rsidRDefault="006421BA">
          <w:pPr>
            <w:pStyle w:val="TOC2"/>
            <w:tabs>
              <w:tab w:val="left" w:pos="880"/>
              <w:tab w:val="right" w:leader="dot" w:pos="10070"/>
            </w:tabs>
            <w:rPr>
              <w:rFonts w:eastAsiaTheme="minorEastAsia"/>
              <w:noProof/>
            </w:rPr>
          </w:pPr>
          <w:hyperlink w:anchor="_Toc163310239" w:history="1">
            <w:r w:rsidR="00BC5B6F" w:rsidRPr="00470B1A">
              <w:rPr>
                <w:rStyle w:val="Hyperlink"/>
                <w:b/>
                <w:noProof/>
              </w:rPr>
              <w:t>8.2.</w:t>
            </w:r>
            <w:r w:rsidR="00BC5B6F">
              <w:rPr>
                <w:rFonts w:eastAsiaTheme="minorEastAsia"/>
                <w:noProof/>
              </w:rPr>
              <w:tab/>
            </w:r>
            <w:r w:rsidR="00BC5B6F" w:rsidRPr="00470B1A">
              <w:rPr>
                <w:rStyle w:val="Hyperlink"/>
                <w:b/>
                <w:noProof/>
              </w:rPr>
              <w:t>Project B</w:t>
            </w:r>
            <w:r w:rsidR="00BC5B6F">
              <w:rPr>
                <w:noProof/>
                <w:webHidden/>
              </w:rPr>
              <w:tab/>
            </w:r>
            <w:r w:rsidR="00BC5B6F">
              <w:rPr>
                <w:noProof/>
                <w:webHidden/>
              </w:rPr>
              <w:fldChar w:fldCharType="begin"/>
            </w:r>
            <w:r w:rsidR="00BC5B6F">
              <w:rPr>
                <w:noProof/>
                <w:webHidden/>
              </w:rPr>
              <w:instrText xml:space="preserve"> PAGEREF _Toc163310239 \h </w:instrText>
            </w:r>
            <w:r w:rsidR="00BC5B6F">
              <w:rPr>
                <w:noProof/>
                <w:webHidden/>
              </w:rPr>
            </w:r>
            <w:r w:rsidR="00BC5B6F">
              <w:rPr>
                <w:noProof/>
                <w:webHidden/>
              </w:rPr>
              <w:fldChar w:fldCharType="separate"/>
            </w:r>
            <w:r w:rsidR="00BC5B6F">
              <w:rPr>
                <w:noProof/>
                <w:webHidden/>
              </w:rPr>
              <w:t>12</w:t>
            </w:r>
            <w:r w:rsidR="00BC5B6F">
              <w:rPr>
                <w:noProof/>
                <w:webHidden/>
              </w:rPr>
              <w:fldChar w:fldCharType="end"/>
            </w:r>
          </w:hyperlink>
        </w:p>
        <w:p w14:paraId="0DBAE706" w14:textId="2A78D650" w:rsidR="00BC5B6F" w:rsidRDefault="006421BA">
          <w:pPr>
            <w:pStyle w:val="TOC2"/>
            <w:tabs>
              <w:tab w:val="left" w:pos="880"/>
              <w:tab w:val="right" w:leader="dot" w:pos="10070"/>
            </w:tabs>
            <w:rPr>
              <w:rFonts w:eastAsiaTheme="minorEastAsia"/>
              <w:noProof/>
            </w:rPr>
          </w:pPr>
          <w:hyperlink w:anchor="_Toc163310240" w:history="1">
            <w:r w:rsidR="00BC5B6F" w:rsidRPr="00470B1A">
              <w:rPr>
                <w:rStyle w:val="Hyperlink"/>
                <w:b/>
                <w:noProof/>
              </w:rPr>
              <w:t>8.3.</w:t>
            </w:r>
            <w:r w:rsidR="00BC5B6F">
              <w:rPr>
                <w:rFonts w:eastAsiaTheme="minorEastAsia"/>
                <w:noProof/>
              </w:rPr>
              <w:tab/>
            </w:r>
            <w:r w:rsidR="00BC5B6F" w:rsidRPr="00470B1A">
              <w:rPr>
                <w:rStyle w:val="Hyperlink"/>
                <w:b/>
                <w:noProof/>
              </w:rPr>
              <w:t>Evaluation of both projects</w:t>
            </w:r>
            <w:r w:rsidR="00BC5B6F">
              <w:rPr>
                <w:noProof/>
                <w:webHidden/>
              </w:rPr>
              <w:tab/>
            </w:r>
            <w:r w:rsidR="00BC5B6F">
              <w:rPr>
                <w:noProof/>
                <w:webHidden/>
              </w:rPr>
              <w:fldChar w:fldCharType="begin"/>
            </w:r>
            <w:r w:rsidR="00BC5B6F">
              <w:rPr>
                <w:noProof/>
                <w:webHidden/>
              </w:rPr>
              <w:instrText xml:space="preserve"> PAGEREF _Toc163310240 \h </w:instrText>
            </w:r>
            <w:r w:rsidR="00BC5B6F">
              <w:rPr>
                <w:noProof/>
                <w:webHidden/>
              </w:rPr>
            </w:r>
            <w:r w:rsidR="00BC5B6F">
              <w:rPr>
                <w:noProof/>
                <w:webHidden/>
              </w:rPr>
              <w:fldChar w:fldCharType="separate"/>
            </w:r>
            <w:r w:rsidR="00BC5B6F">
              <w:rPr>
                <w:noProof/>
                <w:webHidden/>
              </w:rPr>
              <w:t>13</w:t>
            </w:r>
            <w:r w:rsidR="00BC5B6F">
              <w:rPr>
                <w:noProof/>
                <w:webHidden/>
              </w:rPr>
              <w:fldChar w:fldCharType="end"/>
            </w:r>
          </w:hyperlink>
        </w:p>
        <w:p w14:paraId="563D8567" w14:textId="78C276A1" w:rsidR="00BC5B6F" w:rsidRDefault="006421BA">
          <w:pPr>
            <w:pStyle w:val="TOC2"/>
            <w:tabs>
              <w:tab w:val="left" w:pos="880"/>
              <w:tab w:val="right" w:leader="dot" w:pos="10070"/>
            </w:tabs>
            <w:rPr>
              <w:rFonts w:eastAsiaTheme="minorEastAsia"/>
              <w:noProof/>
            </w:rPr>
          </w:pPr>
          <w:hyperlink w:anchor="_Toc163310241" w:history="1">
            <w:r w:rsidR="00BC5B6F" w:rsidRPr="00470B1A">
              <w:rPr>
                <w:rStyle w:val="Hyperlink"/>
                <w:b/>
                <w:noProof/>
              </w:rPr>
              <w:t>8.4.</w:t>
            </w:r>
            <w:r w:rsidR="00BC5B6F">
              <w:rPr>
                <w:rFonts w:eastAsiaTheme="minorEastAsia"/>
                <w:noProof/>
              </w:rPr>
              <w:tab/>
            </w:r>
            <w:r w:rsidR="00BC5B6F" w:rsidRPr="00470B1A">
              <w:rPr>
                <w:rStyle w:val="Hyperlink"/>
                <w:b/>
                <w:noProof/>
              </w:rPr>
              <w:t>Recommendations</w:t>
            </w:r>
            <w:r w:rsidR="00BC5B6F">
              <w:rPr>
                <w:noProof/>
                <w:webHidden/>
              </w:rPr>
              <w:tab/>
            </w:r>
            <w:r w:rsidR="00BC5B6F">
              <w:rPr>
                <w:noProof/>
                <w:webHidden/>
              </w:rPr>
              <w:fldChar w:fldCharType="begin"/>
            </w:r>
            <w:r w:rsidR="00BC5B6F">
              <w:rPr>
                <w:noProof/>
                <w:webHidden/>
              </w:rPr>
              <w:instrText xml:space="preserve"> PAGEREF _Toc163310241 \h </w:instrText>
            </w:r>
            <w:r w:rsidR="00BC5B6F">
              <w:rPr>
                <w:noProof/>
                <w:webHidden/>
              </w:rPr>
            </w:r>
            <w:r w:rsidR="00BC5B6F">
              <w:rPr>
                <w:noProof/>
                <w:webHidden/>
              </w:rPr>
              <w:fldChar w:fldCharType="separate"/>
            </w:r>
            <w:r w:rsidR="00BC5B6F">
              <w:rPr>
                <w:noProof/>
                <w:webHidden/>
              </w:rPr>
              <w:t>14</w:t>
            </w:r>
            <w:r w:rsidR="00BC5B6F">
              <w:rPr>
                <w:noProof/>
                <w:webHidden/>
              </w:rPr>
              <w:fldChar w:fldCharType="end"/>
            </w:r>
          </w:hyperlink>
        </w:p>
        <w:p w14:paraId="1133B16A" w14:textId="574DE7D6" w:rsidR="00BC5B6F" w:rsidRDefault="006421BA">
          <w:pPr>
            <w:pStyle w:val="TOC2"/>
            <w:tabs>
              <w:tab w:val="left" w:pos="880"/>
              <w:tab w:val="right" w:leader="dot" w:pos="10070"/>
            </w:tabs>
            <w:rPr>
              <w:rFonts w:eastAsiaTheme="minorEastAsia"/>
              <w:noProof/>
            </w:rPr>
          </w:pPr>
          <w:hyperlink w:anchor="_Toc163310242" w:history="1">
            <w:r w:rsidR="00BC5B6F" w:rsidRPr="00470B1A">
              <w:rPr>
                <w:rStyle w:val="Hyperlink"/>
                <w:b/>
                <w:noProof/>
              </w:rPr>
              <w:t>8.5.</w:t>
            </w:r>
            <w:r w:rsidR="00BC5B6F">
              <w:rPr>
                <w:rFonts w:eastAsiaTheme="minorEastAsia"/>
                <w:noProof/>
              </w:rPr>
              <w:tab/>
            </w:r>
            <w:r w:rsidR="00BC5B6F" w:rsidRPr="00470B1A">
              <w:rPr>
                <w:rStyle w:val="Hyperlink"/>
                <w:b/>
                <w:noProof/>
              </w:rPr>
              <w:t>Project should be adopted</w:t>
            </w:r>
            <w:r w:rsidR="00BC5B6F">
              <w:rPr>
                <w:noProof/>
                <w:webHidden/>
              </w:rPr>
              <w:tab/>
            </w:r>
            <w:r w:rsidR="00BC5B6F">
              <w:rPr>
                <w:noProof/>
                <w:webHidden/>
              </w:rPr>
              <w:fldChar w:fldCharType="begin"/>
            </w:r>
            <w:r w:rsidR="00BC5B6F">
              <w:rPr>
                <w:noProof/>
                <w:webHidden/>
              </w:rPr>
              <w:instrText xml:space="preserve"> PAGEREF _Toc163310242 \h </w:instrText>
            </w:r>
            <w:r w:rsidR="00BC5B6F">
              <w:rPr>
                <w:noProof/>
                <w:webHidden/>
              </w:rPr>
            </w:r>
            <w:r w:rsidR="00BC5B6F">
              <w:rPr>
                <w:noProof/>
                <w:webHidden/>
              </w:rPr>
              <w:fldChar w:fldCharType="separate"/>
            </w:r>
            <w:r w:rsidR="00BC5B6F">
              <w:rPr>
                <w:noProof/>
                <w:webHidden/>
              </w:rPr>
              <w:t>14</w:t>
            </w:r>
            <w:r w:rsidR="00BC5B6F">
              <w:rPr>
                <w:noProof/>
                <w:webHidden/>
              </w:rPr>
              <w:fldChar w:fldCharType="end"/>
            </w:r>
          </w:hyperlink>
        </w:p>
        <w:p w14:paraId="0729DFB1" w14:textId="62C3E591" w:rsidR="00BC5B6F" w:rsidRDefault="006421BA">
          <w:pPr>
            <w:pStyle w:val="TOC1"/>
            <w:tabs>
              <w:tab w:val="left" w:pos="440"/>
              <w:tab w:val="right" w:leader="dot" w:pos="10070"/>
            </w:tabs>
            <w:rPr>
              <w:rFonts w:eastAsiaTheme="minorEastAsia"/>
              <w:noProof/>
            </w:rPr>
          </w:pPr>
          <w:hyperlink w:anchor="_Toc163310243" w:history="1">
            <w:r w:rsidR="00BC5B6F" w:rsidRPr="00470B1A">
              <w:rPr>
                <w:rStyle w:val="Hyperlink"/>
                <w:b/>
                <w:noProof/>
              </w:rPr>
              <w:t>9.</w:t>
            </w:r>
            <w:r w:rsidR="00BC5B6F">
              <w:rPr>
                <w:rFonts w:eastAsiaTheme="minorEastAsia"/>
                <w:noProof/>
              </w:rPr>
              <w:tab/>
            </w:r>
            <w:r w:rsidR="00BC5B6F" w:rsidRPr="00470B1A">
              <w:rPr>
                <w:rStyle w:val="Hyperlink"/>
                <w:b/>
                <w:noProof/>
                <w:shd w:val="clear" w:color="auto" w:fill="FFFFFF"/>
              </w:rPr>
              <w:t>Recalculation of NPV</w:t>
            </w:r>
            <w:r w:rsidR="00BC5B6F">
              <w:rPr>
                <w:noProof/>
                <w:webHidden/>
              </w:rPr>
              <w:tab/>
            </w:r>
            <w:r w:rsidR="00BC5B6F">
              <w:rPr>
                <w:noProof/>
                <w:webHidden/>
              </w:rPr>
              <w:fldChar w:fldCharType="begin"/>
            </w:r>
            <w:r w:rsidR="00BC5B6F">
              <w:rPr>
                <w:noProof/>
                <w:webHidden/>
              </w:rPr>
              <w:instrText xml:space="preserve"> PAGEREF _Toc163310243 \h </w:instrText>
            </w:r>
            <w:r w:rsidR="00BC5B6F">
              <w:rPr>
                <w:noProof/>
                <w:webHidden/>
              </w:rPr>
            </w:r>
            <w:r w:rsidR="00BC5B6F">
              <w:rPr>
                <w:noProof/>
                <w:webHidden/>
              </w:rPr>
              <w:fldChar w:fldCharType="separate"/>
            </w:r>
            <w:r w:rsidR="00BC5B6F">
              <w:rPr>
                <w:noProof/>
                <w:webHidden/>
              </w:rPr>
              <w:t>14</w:t>
            </w:r>
            <w:r w:rsidR="00BC5B6F">
              <w:rPr>
                <w:noProof/>
                <w:webHidden/>
              </w:rPr>
              <w:fldChar w:fldCharType="end"/>
            </w:r>
          </w:hyperlink>
        </w:p>
        <w:p w14:paraId="6C7734E8" w14:textId="104AC9F0" w:rsidR="00BC5B6F" w:rsidRDefault="006421BA">
          <w:pPr>
            <w:pStyle w:val="TOC1"/>
            <w:tabs>
              <w:tab w:val="left" w:pos="660"/>
              <w:tab w:val="right" w:leader="dot" w:pos="10070"/>
            </w:tabs>
            <w:rPr>
              <w:rFonts w:eastAsiaTheme="minorEastAsia"/>
              <w:noProof/>
            </w:rPr>
          </w:pPr>
          <w:hyperlink w:anchor="_Toc163310244" w:history="1">
            <w:r w:rsidR="00BC5B6F" w:rsidRPr="00470B1A">
              <w:rPr>
                <w:rStyle w:val="Hyperlink"/>
                <w:b/>
                <w:noProof/>
              </w:rPr>
              <w:t>10.</w:t>
            </w:r>
            <w:r w:rsidR="00BC5B6F">
              <w:rPr>
                <w:rFonts w:eastAsiaTheme="minorEastAsia"/>
                <w:noProof/>
              </w:rPr>
              <w:tab/>
            </w:r>
            <w:r w:rsidR="00BC5B6F" w:rsidRPr="00470B1A">
              <w:rPr>
                <w:rStyle w:val="Hyperlink"/>
                <w:b/>
                <w:noProof/>
              </w:rPr>
              <w:t>Advantages and shortcomings of the PBP, ARR and NPV</w:t>
            </w:r>
            <w:r w:rsidR="00BC5B6F">
              <w:rPr>
                <w:noProof/>
                <w:webHidden/>
              </w:rPr>
              <w:tab/>
            </w:r>
            <w:r w:rsidR="00BC5B6F">
              <w:rPr>
                <w:noProof/>
                <w:webHidden/>
              </w:rPr>
              <w:fldChar w:fldCharType="begin"/>
            </w:r>
            <w:r w:rsidR="00BC5B6F">
              <w:rPr>
                <w:noProof/>
                <w:webHidden/>
              </w:rPr>
              <w:instrText xml:space="preserve"> PAGEREF _Toc163310244 \h </w:instrText>
            </w:r>
            <w:r w:rsidR="00BC5B6F">
              <w:rPr>
                <w:noProof/>
                <w:webHidden/>
              </w:rPr>
            </w:r>
            <w:r w:rsidR="00BC5B6F">
              <w:rPr>
                <w:noProof/>
                <w:webHidden/>
              </w:rPr>
              <w:fldChar w:fldCharType="separate"/>
            </w:r>
            <w:r w:rsidR="00BC5B6F">
              <w:rPr>
                <w:noProof/>
                <w:webHidden/>
              </w:rPr>
              <w:t>15</w:t>
            </w:r>
            <w:r w:rsidR="00BC5B6F">
              <w:rPr>
                <w:noProof/>
                <w:webHidden/>
              </w:rPr>
              <w:fldChar w:fldCharType="end"/>
            </w:r>
          </w:hyperlink>
        </w:p>
        <w:p w14:paraId="34359D8C" w14:textId="2031C2FF" w:rsidR="00BC5B6F" w:rsidRDefault="006421BA">
          <w:pPr>
            <w:pStyle w:val="TOC1"/>
            <w:tabs>
              <w:tab w:val="left" w:pos="660"/>
              <w:tab w:val="right" w:leader="dot" w:pos="10070"/>
            </w:tabs>
            <w:rPr>
              <w:rFonts w:eastAsiaTheme="minorEastAsia"/>
              <w:noProof/>
            </w:rPr>
          </w:pPr>
          <w:hyperlink w:anchor="_Toc163310245" w:history="1">
            <w:r w:rsidR="00BC5B6F" w:rsidRPr="00470B1A">
              <w:rPr>
                <w:rStyle w:val="Hyperlink"/>
                <w:b/>
                <w:noProof/>
              </w:rPr>
              <w:t>11.</w:t>
            </w:r>
            <w:r w:rsidR="00BC5B6F">
              <w:rPr>
                <w:rFonts w:eastAsiaTheme="minorEastAsia"/>
                <w:noProof/>
              </w:rPr>
              <w:tab/>
            </w:r>
            <w:r w:rsidR="00BC5B6F" w:rsidRPr="00470B1A">
              <w:rPr>
                <w:rStyle w:val="Hyperlink"/>
                <w:b/>
                <w:noProof/>
              </w:rPr>
              <w:t>Non-financial factors</w:t>
            </w:r>
            <w:r w:rsidR="00BC5B6F">
              <w:rPr>
                <w:noProof/>
                <w:webHidden/>
              </w:rPr>
              <w:tab/>
            </w:r>
            <w:r w:rsidR="00BC5B6F">
              <w:rPr>
                <w:noProof/>
                <w:webHidden/>
              </w:rPr>
              <w:fldChar w:fldCharType="begin"/>
            </w:r>
            <w:r w:rsidR="00BC5B6F">
              <w:rPr>
                <w:noProof/>
                <w:webHidden/>
              </w:rPr>
              <w:instrText xml:space="preserve"> PAGEREF _Toc163310245 \h </w:instrText>
            </w:r>
            <w:r w:rsidR="00BC5B6F">
              <w:rPr>
                <w:noProof/>
                <w:webHidden/>
              </w:rPr>
            </w:r>
            <w:r w:rsidR="00BC5B6F">
              <w:rPr>
                <w:noProof/>
                <w:webHidden/>
              </w:rPr>
              <w:fldChar w:fldCharType="separate"/>
            </w:r>
            <w:r w:rsidR="00BC5B6F">
              <w:rPr>
                <w:noProof/>
                <w:webHidden/>
              </w:rPr>
              <w:t>17</w:t>
            </w:r>
            <w:r w:rsidR="00BC5B6F">
              <w:rPr>
                <w:noProof/>
                <w:webHidden/>
              </w:rPr>
              <w:fldChar w:fldCharType="end"/>
            </w:r>
          </w:hyperlink>
        </w:p>
        <w:p w14:paraId="07E9C1AE" w14:textId="30127D11" w:rsidR="00BC5B6F" w:rsidRDefault="006421BA">
          <w:pPr>
            <w:pStyle w:val="TOC1"/>
            <w:tabs>
              <w:tab w:val="left" w:pos="660"/>
              <w:tab w:val="right" w:leader="dot" w:pos="10070"/>
            </w:tabs>
            <w:rPr>
              <w:rFonts w:eastAsiaTheme="minorEastAsia"/>
              <w:noProof/>
            </w:rPr>
          </w:pPr>
          <w:hyperlink w:anchor="_Toc163310246" w:history="1">
            <w:r w:rsidR="00BC5B6F" w:rsidRPr="00470B1A">
              <w:rPr>
                <w:rStyle w:val="Hyperlink"/>
                <w:b/>
                <w:noProof/>
              </w:rPr>
              <w:t>12.</w:t>
            </w:r>
            <w:r w:rsidR="00BC5B6F">
              <w:rPr>
                <w:rFonts w:eastAsiaTheme="minorEastAsia"/>
                <w:noProof/>
              </w:rPr>
              <w:tab/>
            </w:r>
            <w:r w:rsidR="00BC5B6F" w:rsidRPr="00470B1A">
              <w:rPr>
                <w:rStyle w:val="Hyperlink"/>
                <w:b/>
                <w:noProof/>
              </w:rPr>
              <w:t>References:</w:t>
            </w:r>
            <w:r w:rsidR="00BC5B6F">
              <w:rPr>
                <w:noProof/>
                <w:webHidden/>
              </w:rPr>
              <w:tab/>
            </w:r>
            <w:r w:rsidR="00BC5B6F">
              <w:rPr>
                <w:noProof/>
                <w:webHidden/>
              </w:rPr>
              <w:fldChar w:fldCharType="begin"/>
            </w:r>
            <w:r w:rsidR="00BC5B6F">
              <w:rPr>
                <w:noProof/>
                <w:webHidden/>
              </w:rPr>
              <w:instrText xml:space="preserve"> PAGEREF _Toc163310246 \h </w:instrText>
            </w:r>
            <w:r w:rsidR="00BC5B6F">
              <w:rPr>
                <w:noProof/>
                <w:webHidden/>
              </w:rPr>
            </w:r>
            <w:r w:rsidR="00BC5B6F">
              <w:rPr>
                <w:noProof/>
                <w:webHidden/>
              </w:rPr>
              <w:fldChar w:fldCharType="separate"/>
            </w:r>
            <w:r w:rsidR="00BC5B6F">
              <w:rPr>
                <w:noProof/>
                <w:webHidden/>
              </w:rPr>
              <w:t>19</w:t>
            </w:r>
            <w:r w:rsidR="00BC5B6F">
              <w:rPr>
                <w:noProof/>
                <w:webHidden/>
              </w:rPr>
              <w:fldChar w:fldCharType="end"/>
            </w:r>
          </w:hyperlink>
        </w:p>
        <w:p w14:paraId="2DB7DE12" w14:textId="730319C8" w:rsidR="00467E67" w:rsidRPr="001F5CF2" w:rsidRDefault="001F5CF2" w:rsidP="001F5CF2">
          <w:r>
            <w:rPr>
              <w:b/>
              <w:bCs/>
              <w:noProof/>
            </w:rPr>
            <w:fldChar w:fldCharType="end"/>
          </w:r>
        </w:p>
      </w:sdtContent>
    </w:sdt>
    <w:p w14:paraId="56BDA181" w14:textId="43E9B106" w:rsidR="00B7685B" w:rsidRDefault="00B7685B" w:rsidP="002D690C">
      <w:pPr>
        <w:pStyle w:val="Heading1"/>
        <w:ind w:left="360"/>
        <w:rPr>
          <w:rFonts w:asciiTheme="minorHAnsi" w:eastAsiaTheme="minorHAnsi" w:hAnsiTheme="minorHAnsi" w:cstheme="minorBidi"/>
          <w:color w:val="auto"/>
          <w:sz w:val="22"/>
          <w:szCs w:val="22"/>
        </w:rPr>
      </w:pPr>
      <w:bookmarkStart w:id="0" w:name="_Toc163310217"/>
    </w:p>
    <w:p w14:paraId="01CF1250" w14:textId="11425627" w:rsidR="00617329" w:rsidRPr="008958CA" w:rsidRDefault="00617329">
      <w:pPr>
        <w:pStyle w:val="Heading1"/>
        <w:numPr>
          <w:ilvl w:val="0"/>
          <w:numId w:val="26"/>
        </w:numPr>
        <w:rPr>
          <w:b/>
          <w:color w:val="000000" w:themeColor="text1"/>
        </w:rPr>
      </w:pPr>
      <w:r w:rsidRPr="008958CA">
        <w:rPr>
          <w:b/>
          <w:color w:val="000000" w:themeColor="text1"/>
        </w:rPr>
        <w:t>Introduction</w:t>
      </w:r>
      <w:bookmarkEnd w:id="0"/>
      <w:r w:rsidRPr="008958CA">
        <w:rPr>
          <w:b/>
          <w:color w:val="000000" w:themeColor="text1"/>
        </w:rPr>
        <w:t xml:space="preserve"> </w:t>
      </w:r>
    </w:p>
    <w:p w14:paraId="7FFE3C42" w14:textId="77777777" w:rsidR="00467E67" w:rsidRPr="00467E67" w:rsidRDefault="00467E67" w:rsidP="00467E67"/>
    <w:p w14:paraId="575AAED5" w14:textId="77777777" w:rsidR="00467E67" w:rsidRPr="00467E67" w:rsidRDefault="00617329" w:rsidP="00077509">
      <w:pPr>
        <w:pStyle w:val="Heading2"/>
        <w:numPr>
          <w:ilvl w:val="1"/>
          <w:numId w:val="26"/>
        </w:numPr>
        <w:rPr>
          <w:b/>
          <w:color w:val="000000" w:themeColor="text1"/>
        </w:rPr>
      </w:pPr>
      <w:bookmarkStart w:id="1" w:name="_Toc163310218"/>
      <w:r w:rsidRPr="00467E67">
        <w:rPr>
          <w:b/>
          <w:color w:val="000000" w:themeColor="text1"/>
        </w:rPr>
        <w:t>History</w:t>
      </w:r>
      <w:bookmarkEnd w:id="1"/>
      <w:r w:rsidRPr="00467E67">
        <w:rPr>
          <w:b/>
          <w:color w:val="000000" w:themeColor="text1"/>
        </w:rPr>
        <w:t xml:space="preserve"> </w:t>
      </w:r>
    </w:p>
    <w:p w14:paraId="4CF1FFB7" w14:textId="77777777" w:rsidR="00617329" w:rsidRPr="00467E67" w:rsidRDefault="00617329" w:rsidP="00467E67">
      <w:pPr>
        <w:spacing w:line="276" w:lineRule="auto"/>
        <w:jc w:val="both"/>
        <w:rPr>
          <w:sz w:val="24"/>
          <w:szCs w:val="24"/>
        </w:rPr>
      </w:pPr>
      <w:r w:rsidRPr="00467E67">
        <w:rPr>
          <w:sz w:val="24"/>
          <w:szCs w:val="24"/>
        </w:rPr>
        <w:t>Netflix, Inc., established in the U.S., stands as a pioneering service provider in the media and entertainment production landscape, with headquarters nestled in Los Gatos, California. Initiated in 1997 by visionaries Reed Hastings and Marc Randolph in Scotts Valley, California, Netflix embarked on its journey through a novel DVD rental service by mail, leveraging the burgeoning DVD format and the expansive reach of the internet to offer a refreshing alternative to the conventional video rental storefronts.</w:t>
      </w:r>
    </w:p>
    <w:p w14:paraId="7AEBDD41" w14:textId="77777777" w:rsidR="00467E67" w:rsidRPr="00467E67" w:rsidRDefault="00467E67" w:rsidP="00077509">
      <w:pPr>
        <w:pStyle w:val="Heading2"/>
        <w:numPr>
          <w:ilvl w:val="1"/>
          <w:numId w:val="26"/>
        </w:numPr>
        <w:rPr>
          <w:b/>
          <w:color w:val="000000" w:themeColor="text1"/>
        </w:rPr>
      </w:pPr>
      <w:r w:rsidRPr="00467E67">
        <w:rPr>
          <w:b/>
          <w:color w:val="000000" w:themeColor="text1"/>
        </w:rPr>
        <w:t xml:space="preserve"> </w:t>
      </w:r>
      <w:bookmarkStart w:id="2" w:name="_Toc163310219"/>
      <w:r w:rsidR="00766551" w:rsidRPr="00467E67">
        <w:rPr>
          <w:b/>
          <w:color w:val="000000" w:themeColor="text1"/>
        </w:rPr>
        <w:t>Business model</w:t>
      </w:r>
      <w:bookmarkEnd w:id="2"/>
      <w:r w:rsidR="00766551" w:rsidRPr="00467E67">
        <w:rPr>
          <w:b/>
          <w:color w:val="000000" w:themeColor="text1"/>
        </w:rPr>
        <w:t xml:space="preserve"> </w:t>
      </w:r>
    </w:p>
    <w:p w14:paraId="4593F548" w14:textId="77777777" w:rsidR="00D25CC0" w:rsidRPr="00D25CC0" w:rsidRDefault="00D25CC0" w:rsidP="00D25CC0">
      <w:pPr>
        <w:spacing w:line="276" w:lineRule="auto"/>
        <w:jc w:val="both"/>
        <w:rPr>
          <w:sz w:val="24"/>
          <w:szCs w:val="24"/>
        </w:rPr>
      </w:pPr>
      <w:r w:rsidRPr="00D25CC0">
        <w:rPr>
          <w:sz w:val="24"/>
          <w:szCs w:val="24"/>
        </w:rPr>
        <w:t>Netflix ushered in its subscription service in the first decade of 2000, whereby at a flat monthly rate, customers could rent an unlimited number of DVDs—all without due dates, late fees, and those pesky shipping costs. The idea took off like gangbusters and d</w:t>
      </w:r>
      <w:r>
        <w:rPr>
          <w:sz w:val="24"/>
          <w:szCs w:val="24"/>
        </w:rPr>
        <w:t>rew in surges of new customers.</w:t>
      </w:r>
    </w:p>
    <w:p w14:paraId="5835AFEF" w14:textId="77777777" w:rsidR="00617329" w:rsidRPr="00467E67" w:rsidRDefault="00D25CC0" w:rsidP="00D25CC0">
      <w:pPr>
        <w:spacing w:line="276" w:lineRule="auto"/>
        <w:jc w:val="both"/>
        <w:rPr>
          <w:sz w:val="24"/>
          <w:szCs w:val="24"/>
        </w:rPr>
      </w:pPr>
      <w:r w:rsidRPr="00D25CC0">
        <w:rPr>
          <w:sz w:val="24"/>
          <w:szCs w:val="24"/>
        </w:rPr>
        <w:t>The real breakout in big time for Netflix, however, came in 2007 when it introduced a streaming service to allow subscribers to watch from a colossal library of TV shows and movies at will on their computers and other devices. It was a big change in the business model, tantamount to the shift made by the company from physical rentals to digital streaming, much in the same way as the market in general was shifting from offline to online consumption of content.</w:t>
      </w:r>
    </w:p>
    <w:p w14:paraId="1EAB496E" w14:textId="77777777" w:rsidR="00467E67" w:rsidRPr="00467E67" w:rsidRDefault="00766551" w:rsidP="00077509">
      <w:pPr>
        <w:pStyle w:val="Heading2"/>
        <w:numPr>
          <w:ilvl w:val="1"/>
          <w:numId w:val="26"/>
        </w:numPr>
        <w:rPr>
          <w:b/>
          <w:color w:val="000000" w:themeColor="text1"/>
        </w:rPr>
      </w:pPr>
      <w:bookmarkStart w:id="3" w:name="_Toc163310220"/>
      <w:r w:rsidRPr="00467E67">
        <w:rPr>
          <w:b/>
          <w:color w:val="000000" w:themeColor="text1"/>
        </w:rPr>
        <w:t>Industry</w:t>
      </w:r>
      <w:bookmarkEnd w:id="3"/>
      <w:r w:rsidRPr="00467E67">
        <w:rPr>
          <w:b/>
          <w:color w:val="000000" w:themeColor="text1"/>
        </w:rPr>
        <w:t xml:space="preserve"> </w:t>
      </w:r>
    </w:p>
    <w:p w14:paraId="2C2CC021" w14:textId="77777777" w:rsidR="00D25CC0" w:rsidRPr="00D25CC0" w:rsidRDefault="00D25CC0" w:rsidP="00D25CC0">
      <w:pPr>
        <w:spacing w:line="276" w:lineRule="auto"/>
        <w:jc w:val="both"/>
        <w:rPr>
          <w:sz w:val="24"/>
          <w:szCs w:val="24"/>
        </w:rPr>
      </w:pPr>
      <w:r w:rsidRPr="00D25CC0">
        <w:rPr>
          <w:sz w:val="24"/>
          <w:szCs w:val="24"/>
        </w:rPr>
        <w:t>The delivery service of Netflix completely changed the entertainment industry: traditional video rental shops went out of business, and this changed the way people watch television and movies. The company has been heavily investing in licensing its own content to allow for the ability to increase original content volumes, and it has now diversified into other types of content such as award-winning television series, fe</w:t>
      </w:r>
      <w:r>
        <w:rPr>
          <w:sz w:val="24"/>
          <w:szCs w:val="24"/>
        </w:rPr>
        <w:t>ature films, and documentaries.</w:t>
      </w:r>
    </w:p>
    <w:p w14:paraId="4BD36A2F" w14:textId="77777777" w:rsidR="00617329" w:rsidRPr="00467E67" w:rsidRDefault="00D25CC0" w:rsidP="00D25CC0">
      <w:pPr>
        <w:spacing w:line="276" w:lineRule="auto"/>
        <w:jc w:val="both"/>
        <w:rPr>
          <w:sz w:val="24"/>
          <w:szCs w:val="24"/>
        </w:rPr>
      </w:pPr>
      <w:r w:rsidRPr="00D25CC0">
        <w:rPr>
          <w:sz w:val="24"/>
          <w:szCs w:val="24"/>
        </w:rPr>
        <w:t>In 2013, Netflix further shook the industry as it started getting into original content production with its first original series, "House of Cards." The first series was a huge success and denoted the takeoff of a much more aggressive strategy in original content production and owner</w:t>
      </w:r>
      <w:r>
        <w:rPr>
          <w:sz w:val="24"/>
          <w:szCs w:val="24"/>
        </w:rPr>
        <w:t>ship, exclusive to the platform</w:t>
      </w:r>
      <w:r w:rsidR="00617329" w:rsidRPr="00467E67">
        <w:rPr>
          <w:sz w:val="24"/>
          <w:szCs w:val="24"/>
        </w:rPr>
        <w:t>.</w:t>
      </w:r>
    </w:p>
    <w:p w14:paraId="089D6FC2" w14:textId="77777777" w:rsidR="00617329" w:rsidRPr="00467E67" w:rsidRDefault="00617329" w:rsidP="00077509">
      <w:pPr>
        <w:pStyle w:val="Heading2"/>
        <w:numPr>
          <w:ilvl w:val="1"/>
          <w:numId w:val="26"/>
        </w:numPr>
        <w:rPr>
          <w:b/>
          <w:color w:val="000000" w:themeColor="text1"/>
        </w:rPr>
      </w:pPr>
      <w:bookmarkStart w:id="4" w:name="_Toc163310221"/>
      <w:r w:rsidRPr="00467E67">
        <w:rPr>
          <w:b/>
          <w:color w:val="000000" w:themeColor="text1"/>
        </w:rPr>
        <w:t>Market place</w:t>
      </w:r>
      <w:bookmarkEnd w:id="4"/>
      <w:r w:rsidRPr="00467E67">
        <w:rPr>
          <w:b/>
          <w:color w:val="000000" w:themeColor="text1"/>
        </w:rPr>
        <w:t xml:space="preserve"> </w:t>
      </w:r>
    </w:p>
    <w:p w14:paraId="1AD5216C" w14:textId="77777777" w:rsidR="00D25CC0" w:rsidRPr="00D25CC0" w:rsidRDefault="00D25CC0" w:rsidP="00D25CC0">
      <w:pPr>
        <w:spacing w:line="276" w:lineRule="auto"/>
        <w:jc w:val="both"/>
        <w:rPr>
          <w:sz w:val="24"/>
          <w:szCs w:val="24"/>
        </w:rPr>
      </w:pPr>
      <w:r w:rsidRPr="00D25CC0">
        <w:rPr>
          <w:sz w:val="24"/>
          <w:szCs w:val="24"/>
        </w:rPr>
        <w:t>Today, Netflix is the leading streamer across the globe, which includes an enormous storeroom of original and licensed content. The business model works on the basis of a subscription service, where several price ranges include streaming TV series, films, and documentaries without bothering with advertising. The company has also expanded into interactive content and has a growing presence in fi</w:t>
      </w:r>
      <w:r>
        <w:rPr>
          <w:sz w:val="24"/>
          <w:szCs w:val="24"/>
        </w:rPr>
        <w:t>lm production and distribution.</w:t>
      </w:r>
    </w:p>
    <w:p w14:paraId="66656EDE" w14:textId="3D51EAA4" w:rsidR="0025330E" w:rsidRPr="00467E67" w:rsidRDefault="00D25CC0" w:rsidP="00467E67">
      <w:pPr>
        <w:spacing w:line="276" w:lineRule="auto"/>
        <w:jc w:val="both"/>
        <w:rPr>
          <w:sz w:val="24"/>
          <w:szCs w:val="24"/>
        </w:rPr>
      </w:pPr>
      <w:r w:rsidRPr="00D25CC0">
        <w:rPr>
          <w:sz w:val="24"/>
          <w:szCs w:val="24"/>
        </w:rPr>
        <w:lastRenderedPageBreak/>
        <w:t>Netflix has to operate in a fierce and highly competitive marketplace, for example, with its rivals being Amazon Prime Video, Disney+, Hulu, and HBO Max. In this sense, Netflix has been able to maintain and keep its dominance through constant innovation, excellent customer experience, and high investment</w:t>
      </w:r>
      <w:r>
        <w:rPr>
          <w:sz w:val="24"/>
          <w:szCs w:val="24"/>
        </w:rPr>
        <w:t xml:space="preserve"> in both content and technology</w:t>
      </w:r>
      <w:r w:rsidR="00617329" w:rsidRPr="00467E67">
        <w:rPr>
          <w:sz w:val="24"/>
          <w:szCs w:val="24"/>
        </w:rPr>
        <w:t>.</w:t>
      </w:r>
    </w:p>
    <w:p w14:paraId="49B20619" w14:textId="77777777" w:rsidR="00DD1F74" w:rsidRDefault="00DD1F74" w:rsidP="00077509">
      <w:pPr>
        <w:pStyle w:val="Heading1"/>
        <w:numPr>
          <w:ilvl w:val="0"/>
          <w:numId w:val="26"/>
        </w:numPr>
        <w:rPr>
          <w:b/>
          <w:color w:val="000000" w:themeColor="text1"/>
        </w:rPr>
      </w:pPr>
      <w:bookmarkStart w:id="5" w:name="_Toc163310222"/>
      <w:r w:rsidRPr="00467E67">
        <w:rPr>
          <w:b/>
          <w:color w:val="000000" w:themeColor="text1"/>
        </w:rPr>
        <w:t>Major competitors</w:t>
      </w:r>
      <w:bookmarkEnd w:id="5"/>
      <w:r w:rsidRPr="00467E67">
        <w:rPr>
          <w:b/>
          <w:color w:val="000000" w:themeColor="text1"/>
        </w:rPr>
        <w:t xml:space="preserve"> </w:t>
      </w:r>
    </w:p>
    <w:p w14:paraId="4DA0BF6D" w14:textId="77777777" w:rsidR="00467E67" w:rsidRPr="00467E67" w:rsidRDefault="00467E67" w:rsidP="00467E67"/>
    <w:p w14:paraId="2ADCAA57" w14:textId="58B195D8" w:rsidR="006F55D6" w:rsidRPr="006F55D6" w:rsidRDefault="006F55D6" w:rsidP="008958CA">
      <w:pPr>
        <w:numPr>
          <w:ilvl w:val="0"/>
          <w:numId w:val="23"/>
        </w:numPr>
        <w:spacing w:line="276" w:lineRule="auto"/>
        <w:jc w:val="both"/>
        <w:rPr>
          <w:b/>
          <w:bCs/>
          <w:sz w:val="24"/>
          <w:szCs w:val="24"/>
        </w:rPr>
      </w:pPr>
      <w:r w:rsidRPr="006F55D6">
        <w:rPr>
          <w:b/>
          <w:bCs/>
          <w:sz w:val="24"/>
          <w:szCs w:val="24"/>
        </w:rPr>
        <w:t>Amazon Prime Video:</w:t>
      </w:r>
      <w:r>
        <w:rPr>
          <w:b/>
          <w:bCs/>
          <w:sz w:val="24"/>
          <w:szCs w:val="24"/>
        </w:rPr>
        <w:t xml:space="preserve"> </w:t>
      </w:r>
      <w:r w:rsidRPr="006F55D6">
        <w:rPr>
          <w:bCs/>
          <w:sz w:val="24"/>
          <w:szCs w:val="24"/>
        </w:rPr>
        <w:t>Part of the Amazon Prime membership, it bequeaths a large library of movies and TV shows to members, growing with time, including its critically acclaimed originals in series and films.</w:t>
      </w:r>
    </w:p>
    <w:p w14:paraId="2D0A327D" w14:textId="37EB7517" w:rsidR="00945405" w:rsidRPr="006F55D6" w:rsidRDefault="006F55D6" w:rsidP="008958CA">
      <w:pPr>
        <w:numPr>
          <w:ilvl w:val="0"/>
          <w:numId w:val="23"/>
        </w:numPr>
        <w:spacing w:line="276" w:lineRule="auto"/>
        <w:jc w:val="both"/>
        <w:rPr>
          <w:b/>
          <w:bCs/>
          <w:sz w:val="24"/>
          <w:szCs w:val="24"/>
        </w:rPr>
      </w:pPr>
      <w:r w:rsidRPr="006F55D6">
        <w:rPr>
          <w:b/>
          <w:bCs/>
          <w:sz w:val="24"/>
          <w:szCs w:val="24"/>
        </w:rPr>
        <w:t>Disney+:</w:t>
      </w:r>
      <w:r>
        <w:rPr>
          <w:b/>
          <w:bCs/>
          <w:sz w:val="24"/>
          <w:szCs w:val="24"/>
        </w:rPr>
        <w:t xml:space="preserve"> </w:t>
      </w:r>
      <w:r w:rsidRPr="006F55D6">
        <w:rPr>
          <w:bCs/>
          <w:sz w:val="24"/>
          <w:szCs w:val="24"/>
        </w:rPr>
        <w:t>Offers the best of family-friendly entertainment with a vast selection that includes the world's biggest array of Disney classics, Pixar films, the Marvel Universe, Star Wars franchise, and National Geographic.</w:t>
      </w:r>
    </w:p>
    <w:p w14:paraId="306E29EF" w14:textId="5FAAF553" w:rsidR="006F55D6" w:rsidRPr="006F55D6" w:rsidRDefault="006F55D6" w:rsidP="008958CA">
      <w:pPr>
        <w:numPr>
          <w:ilvl w:val="0"/>
          <w:numId w:val="23"/>
        </w:numPr>
        <w:spacing w:line="276" w:lineRule="auto"/>
        <w:jc w:val="both"/>
        <w:rPr>
          <w:b/>
          <w:bCs/>
          <w:sz w:val="24"/>
          <w:szCs w:val="24"/>
        </w:rPr>
      </w:pPr>
      <w:r w:rsidRPr="006F55D6">
        <w:rPr>
          <w:b/>
          <w:bCs/>
          <w:sz w:val="24"/>
          <w:szCs w:val="24"/>
        </w:rPr>
        <w:t>Hulu:</w:t>
      </w:r>
      <w:r>
        <w:rPr>
          <w:b/>
          <w:bCs/>
          <w:sz w:val="24"/>
          <w:szCs w:val="24"/>
        </w:rPr>
        <w:t xml:space="preserve"> </w:t>
      </w:r>
      <w:r w:rsidRPr="006F55D6">
        <w:rPr>
          <w:bCs/>
          <w:sz w:val="24"/>
          <w:szCs w:val="24"/>
        </w:rPr>
        <w:t>Offers a broader selection of television programs and movies, and increasingly full original series. Another service from Hulu includes access to the current season of TV shows from the traditional networks.</w:t>
      </w:r>
    </w:p>
    <w:p w14:paraId="0D4B8879" w14:textId="10D741F6" w:rsidR="006F55D6" w:rsidRPr="006F55D6" w:rsidRDefault="006F55D6" w:rsidP="008958CA">
      <w:pPr>
        <w:numPr>
          <w:ilvl w:val="0"/>
          <w:numId w:val="23"/>
        </w:numPr>
        <w:spacing w:line="276" w:lineRule="auto"/>
        <w:jc w:val="both"/>
        <w:rPr>
          <w:b/>
          <w:bCs/>
          <w:sz w:val="24"/>
          <w:szCs w:val="24"/>
        </w:rPr>
      </w:pPr>
      <w:r w:rsidRPr="006F55D6">
        <w:rPr>
          <w:b/>
          <w:bCs/>
          <w:sz w:val="24"/>
          <w:szCs w:val="24"/>
        </w:rPr>
        <w:t>HBO Max:</w:t>
      </w:r>
      <w:r>
        <w:rPr>
          <w:b/>
          <w:bCs/>
          <w:sz w:val="24"/>
          <w:szCs w:val="24"/>
        </w:rPr>
        <w:t xml:space="preserve"> </w:t>
      </w:r>
      <w:r w:rsidRPr="006F55D6">
        <w:rPr>
          <w:bCs/>
          <w:sz w:val="24"/>
          <w:szCs w:val="24"/>
        </w:rPr>
        <w:t xml:space="preserve">It brings together all of HBO's premium content with an extensive collection of </w:t>
      </w:r>
      <w:proofErr w:type="spellStart"/>
      <w:r w:rsidRPr="006F55D6">
        <w:rPr>
          <w:bCs/>
          <w:sz w:val="24"/>
          <w:szCs w:val="24"/>
        </w:rPr>
        <w:t>WarnerMedia</w:t>
      </w:r>
      <w:proofErr w:type="spellEnd"/>
      <w:r w:rsidRPr="006F55D6">
        <w:rPr>
          <w:bCs/>
          <w:sz w:val="24"/>
          <w:szCs w:val="24"/>
        </w:rPr>
        <w:t xml:space="preserve"> movies and TV series, also including originals.</w:t>
      </w:r>
    </w:p>
    <w:p w14:paraId="35921FFB" w14:textId="57D67CFE" w:rsidR="0025330E" w:rsidRPr="006F55D6" w:rsidRDefault="006F55D6" w:rsidP="008958CA">
      <w:pPr>
        <w:numPr>
          <w:ilvl w:val="0"/>
          <w:numId w:val="23"/>
        </w:numPr>
        <w:spacing w:line="276" w:lineRule="auto"/>
        <w:jc w:val="both"/>
        <w:rPr>
          <w:b/>
          <w:bCs/>
          <w:sz w:val="24"/>
          <w:szCs w:val="24"/>
        </w:rPr>
      </w:pPr>
      <w:r w:rsidRPr="006F55D6">
        <w:rPr>
          <w:b/>
          <w:bCs/>
          <w:sz w:val="24"/>
          <w:szCs w:val="24"/>
        </w:rPr>
        <w:t>Apple TV+:</w:t>
      </w:r>
      <w:r>
        <w:rPr>
          <w:b/>
          <w:bCs/>
          <w:sz w:val="24"/>
          <w:szCs w:val="24"/>
        </w:rPr>
        <w:t xml:space="preserve"> </w:t>
      </w:r>
      <w:r w:rsidRPr="006F55D6">
        <w:rPr>
          <w:bCs/>
          <w:sz w:val="24"/>
          <w:szCs w:val="24"/>
        </w:rPr>
        <w:t>Apple’s entry into the streaming market, offering a growing library of high-quality original content</w:t>
      </w:r>
      <w:r w:rsidR="00DD1F74" w:rsidRPr="006F55D6">
        <w:rPr>
          <w:bCs/>
          <w:sz w:val="24"/>
          <w:szCs w:val="24"/>
        </w:rPr>
        <w:t>.</w:t>
      </w:r>
    </w:p>
    <w:p w14:paraId="36A725D9" w14:textId="77777777" w:rsidR="00003B33" w:rsidRPr="00467E67" w:rsidRDefault="00003B33" w:rsidP="008958CA">
      <w:pPr>
        <w:spacing w:line="276" w:lineRule="auto"/>
        <w:jc w:val="both"/>
        <w:rPr>
          <w:sz w:val="24"/>
          <w:szCs w:val="24"/>
        </w:rPr>
      </w:pPr>
    </w:p>
    <w:p w14:paraId="4563C674" w14:textId="77777777" w:rsidR="00003B33" w:rsidRDefault="00003B33" w:rsidP="00077509">
      <w:pPr>
        <w:pStyle w:val="Heading1"/>
        <w:numPr>
          <w:ilvl w:val="0"/>
          <w:numId w:val="26"/>
        </w:numPr>
        <w:rPr>
          <w:b/>
          <w:color w:val="000000" w:themeColor="text1"/>
          <w:lang w:val="en-GB"/>
        </w:rPr>
      </w:pPr>
      <w:bookmarkStart w:id="6" w:name="_Toc163310223"/>
      <w:r w:rsidRPr="00467E67">
        <w:rPr>
          <w:b/>
          <w:color w:val="000000" w:themeColor="text1"/>
          <w:lang w:val="en-GB"/>
        </w:rPr>
        <w:t>Major Events in the Last Five Years</w:t>
      </w:r>
      <w:bookmarkEnd w:id="6"/>
    </w:p>
    <w:p w14:paraId="1FC13B11" w14:textId="77777777" w:rsidR="00467E67" w:rsidRPr="00467E67" w:rsidRDefault="00467E67" w:rsidP="00467E67">
      <w:pPr>
        <w:rPr>
          <w:lang w:val="en-GB"/>
        </w:rPr>
      </w:pPr>
    </w:p>
    <w:p w14:paraId="5303B65E"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t>2023: Expansion of Gaming Service</w:t>
      </w:r>
    </w:p>
    <w:p w14:paraId="50782105" w14:textId="77777777" w:rsidR="006F55D6" w:rsidRPr="006F55D6" w:rsidRDefault="006F55D6" w:rsidP="006F55D6">
      <w:pPr>
        <w:spacing w:line="276" w:lineRule="auto"/>
        <w:jc w:val="both"/>
        <w:rPr>
          <w:bCs/>
          <w:iCs/>
          <w:sz w:val="24"/>
          <w:szCs w:val="24"/>
          <w:lang w:val="en-GB"/>
        </w:rPr>
      </w:pPr>
      <w:r w:rsidRPr="006F55D6">
        <w:rPr>
          <w:bCs/>
          <w:iCs/>
          <w:sz w:val="24"/>
          <w:szCs w:val="24"/>
          <w:lang w:val="en-GB"/>
        </w:rPr>
        <w:t>Fully rolling out its gaming service on the platform, Netflix is set to expand its entertainment portfolio. The new offering will further underline Netflix's commitment toward evolving as an all-under-one-roof entertainment service that may extend beyond movies and television programs, with no ads or in-app purchases.</w:t>
      </w:r>
    </w:p>
    <w:p w14:paraId="2B9793BC"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t>2022: Introduction of Ad-Supported Subscription Tier</w:t>
      </w:r>
    </w:p>
    <w:p w14:paraId="710B61BE" w14:textId="77777777" w:rsidR="006F55D6" w:rsidRPr="006F55D6" w:rsidRDefault="006F55D6" w:rsidP="006F55D6">
      <w:pPr>
        <w:spacing w:line="276" w:lineRule="auto"/>
        <w:jc w:val="both"/>
        <w:rPr>
          <w:bCs/>
          <w:iCs/>
          <w:sz w:val="24"/>
          <w:szCs w:val="24"/>
          <w:lang w:val="en-GB"/>
        </w:rPr>
      </w:pPr>
      <w:r w:rsidRPr="006F55D6">
        <w:rPr>
          <w:bCs/>
          <w:iCs/>
          <w:sz w:val="24"/>
          <w:szCs w:val="24"/>
          <w:lang w:val="en-GB"/>
        </w:rPr>
        <w:t>In response to waning subscriber growth and upping competition, Netflix rolled out an ad-supported, cheaper-priced subscription tier. This major strategic change aimed to widen its customer base to a far larger audience because it wanted to reach many of the potentially interested but sensitive-to-price prospective subscribers.</w:t>
      </w:r>
    </w:p>
    <w:p w14:paraId="5CB1BD0B"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lastRenderedPageBreak/>
        <w:t>2021: Record-Breaking Content Release</w:t>
      </w:r>
    </w:p>
    <w:p w14:paraId="29AE3520" w14:textId="583E728C" w:rsidR="006F55D6" w:rsidRPr="006F55D6" w:rsidRDefault="006F55D6" w:rsidP="006F55D6">
      <w:pPr>
        <w:spacing w:line="276" w:lineRule="auto"/>
        <w:jc w:val="both"/>
        <w:rPr>
          <w:bCs/>
          <w:iCs/>
          <w:sz w:val="24"/>
          <w:szCs w:val="24"/>
          <w:lang w:val="en-GB"/>
        </w:rPr>
      </w:pPr>
      <w:r w:rsidRPr="006F55D6">
        <w:rPr>
          <w:bCs/>
          <w:iCs/>
          <w:sz w:val="24"/>
          <w:szCs w:val="24"/>
          <w:lang w:val="en-GB"/>
        </w:rPr>
        <w:t>The second season premiered on Netflix later in 2020 and streamed to become one of its highest-observed seasons. This further solidified the company's name in producing killer original content, which legitimized its investments into top-tier, exclusive content among its core competitive strategies.</w:t>
      </w:r>
    </w:p>
    <w:p w14:paraId="1B38D635"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t>2020: Leadership Transition</w:t>
      </w:r>
    </w:p>
    <w:p w14:paraId="6E7E70F7" w14:textId="77777777" w:rsidR="006F55D6" w:rsidRPr="006F55D6" w:rsidRDefault="006F55D6" w:rsidP="006F55D6">
      <w:pPr>
        <w:spacing w:line="276" w:lineRule="auto"/>
        <w:jc w:val="both"/>
        <w:rPr>
          <w:bCs/>
          <w:iCs/>
          <w:sz w:val="24"/>
          <w:szCs w:val="24"/>
          <w:lang w:val="en-GB"/>
        </w:rPr>
      </w:pPr>
      <w:r w:rsidRPr="006F55D6">
        <w:rPr>
          <w:bCs/>
          <w:iCs/>
          <w:sz w:val="24"/>
          <w:szCs w:val="24"/>
          <w:lang w:val="en-GB"/>
        </w:rPr>
        <w:t>Netflix's co-founder Reed Hastings kicks off a leadership transition, having appointed Ted Sarandos as co-CEO. This has been in a strategic role in what will see Netflix make its content strategy and operational efficiency to secure long-term growth despite increased competition in the market.</w:t>
      </w:r>
    </w:p>
    <w:p w14:paraId="03C0990A" w14:textId="77777777" w:rsidR="006F55D6" w:rsidRPr="006F55D6" w:rsidRDefault="006F55D6" w:rsidP="006F55D6">
      <w:pPr>
        <w:spacing w:line="276" w:lineRule="auto"/>
        <w:jc w:val="both"/>
        <w:rPr>
          <w:b/>
          <w:bCs/>
          <w:iCs/>
          <w:sz w:val="24"/>
          <w:szCs w:val="24"/>
          <w:lang w:val="en-GB"/>
        </w:rPr>
      </w:pPr>
      <w:r w:rsidRPr="006F55D6">
        <w:rPr>
          <w:b/>
          <w:bCs/>
          <w:iCs/>
          <w:sz w:val="24"/>
          <w:szCs w:val="24"/>
          <w:lang w:val="en-GB"/>
        </w:rPr>
        <w:t>2019: Major Acquisition for Content Production</w:t>
      </w:r>
    </w:p>
    <w:p w14:paraId="53663A8F" w14:textId="5AA6D4EC" w:rsidR="0025330E" w:rsidRPr="006F55D6" w:rsidRDefault="006F55D6" w:rsidP="006F55D6">
      <w:pPr>
        <w:spacing w:line="276" w:lineRule="auto"/>
        <w:jc w:val="both"/>
        <w:rPr>
          <w:sz w:val="24"/>
          <w:szCs w:val="24"/>
          <w:lang w:val="en-GB"/>
        </w:rPr>
      </w:pPr>
      <w:r w:rsidRPr="006F55D6">
        <w:rPr>
          <w:bCs/>
          <w:iCs/>
          <w:sz w:val="24"/>
          <w:szCs w:val="24"/>
          <w:lang w:val="en-GB"/>
        </w:rPr>
        <w:t>Netflix acquired an iconic Egyptian Theatre in Hollywood as it deepens its roots in the film industry, from where it will carry out premieres and events. The Egyptian purchase was part of a larger set of moves that had Netflix moving to control more production and event spaces, evidently in pursuit of more self-reliance around production and distribution o</w:t>
      </w:r>
      <w:r>
        <w:rPr>
          <w:bCs/>
          <w:iCs/>
          <w:sz w:val="24"/>
          <w:szCs w:val="24"/>
          <w:lang w:val="en-GB"/>
        </w:rPr>
        <w:t>f content</w:t>
      </w:r>
      <w:r w:rsidR="00003B33" w:rsidRPr="006F55D6">
        <w:rPr>
          <w:sz w:val="24"/>
          <w:szCs w:val="24"/>
          <w:lang w:val="en-GB"/>
        </w:rPr>
        <w:t>.</w:t>
      </w:r>
    </w:p>
    <w:p w14:paraId="528BC7C7" w14:textId="77777777" w:rsidR="005D44D5" w:rsidRDefault="005D44D5" w:rsidP="00077509">
      <w:pPr>
        <w:pStyle w:val="Heading1"/>
        <w:numPr>
          <w:ilvl w:val="0"/>
          <w:numId w:val="26"/>
        </w:numPr>
        <w:rPr>
          <w:b/>
          <w:color w:val="000000" w:themeColor="text1"/>
        </w:rPr>
      </w:pPr>
      <w:bookmarkStart w:id="7" w:name="_Toc162208547"/>
      <w:bookmarkStart w:id="8" w:name="_Toc163310224"/>
      <w:r w:rsidRPr="00467E67">
        <w:rPr>
          <w:b/>
          <w:color w:val="000000" w:themeColor="text1"/>
        </w:rPr>
        <w:t>Calculation of financial ratios</w:t>
      </w:r>
      <w:bookmarkEnd w:id="7"/>
      <w:bookmarkEnd w:id="8"/>
    </w:p>
    <w:p w14:paraId="577BFE79" w14:textId="77777777" w:rsidR="00467E67" w:rsidRPr="00467E67" w:rsidRDefault="00467E67" w:rsidP="008958CA"/>
    <w:p w14:paraId="6CECEB1E" w14:textId="6E259C9E" w:rsidR="0025330E" w:rsidRDefault="00DC0E4B" w:rsidP="00467E67">
      <w:pPr>
        <w:spacing w:line="276" w:lineRule="auto"/>
        <w:jc w:val="both"/>
        <w:rPr>
          <w:rFonts w:cstheme="minorHAnsi"/>
          <w:sz w:val="24"/>
          <w:szCs w:val="24"/>
        </w:rPr>
      </w:pPr>
      <w:r w:rsidRPr="00DC0E4B">
        <w:rPr>
          <w:rFonts w:cstheme="minorHAnsi"/>
          <w:sz w:val="24"/>
          <w:szCs w:val="24"/>
        </w:rPr>
        <w:t>The following is an in-depth critical review of Netflix's financial performance for the most recent financial year. This will cover profitability, liquidity,</w:t>
      </w:r>
      <w:r>
        <w:rPr>
          <w:rFonts w:cstheme="minorHAnsi"/>
          <w:sz w:val="24"/>
          <w:szCs w:val="24"/>
        </w:rPr>
        <w:t xml:space="preserve"> gearing, and efficiency ratios</w:t>
      </w:r>
      <w:r w:rsidR="005D44D5" w:rsidRPr="00467E67">
        <w:rPr>
          <w:rFonts w:cstheme="minorHAnsi"/>
          <w:sz w:val="24"/>
          <w:szCs w:val="24"/>
        </w:rPr>
        <w:t>:</w:t>
      </w:r>
    </w:p>
    <w:p w14:paraId="4E981A79" w14:textId="77777777" w:rsidR="0025330E" w:rsidRPr="00467E67" w:rsidRDefault="0025330E" w:rsidP="00467E67">
      <w:pPr>
        <w:spacing w:line="276" w:lineRule="auto"/>
        <w:jc w:val="both"/>
        <w:rPr>
          <w:rFonts w:cstheme="minorHAnsi"/>
          <w:sz w:val="24"/>
          <w:szCs w:val="24"/>
        </w:rPr>
      </w:pPr>
    </w:p>
    <w:tbl>
      <w:tblPr>
        <w:tblStyle w:val="GridTable4-Accent6"/>
        <w:tblW w:w="0" w:type="auto"/>
        <w:tblLook w:val="04A0" w:firstRow="1" w:lastRow="0" w:firstColumn="1" w:lastColumn="0" w:noHBand="0" w:noVBand="1"/>
      </w:tblPr>
      <w:tblGrid>
        <w:gridCol w:w="3879"/>
        <w:gridCol w:w="3879"/>
      </w:tblGrid>
      <w:tr w:rsidR="005D44D5" w:rsidRPr="00467E67" w14:paraId="1BCA319F" w14:textId="77777777" w:rsidTr="00CE5B37">
        <w:trPr>
          <w:cnfStyle w:val="100000000000" w:firstRow="1" w:lastRow="0" w:firstColumn="0" w:lastColumn="0" w:oddVBand="0" w:evenVBand="0" w:oddHBand="0"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3879" w:type="dxa"/>
          </w:tcPr>
          <w:p w14:paraId="4EF039DB" w14:textId="7A884BCF" w:rsidR="005D44D5" w:rsidRPr="0042662A" w:rsidRDefault="005D44D5" w:rsidP="00467E67">
            <w:pPr>
              <w:spacing w:line="276" w:lineRule="auto"/>
              <w:jc w:val="both"/>
              <w:rPr>
                <w:sz w:val="24"/>
                <w:szCs w:val="24"/>
                <w:lang w:val="en-GB"/>
              </w:rPr>
            </w:pPr>
            <w:r w:rsidRPr="008958CA">
              <w:rPr>
                <w:sz w:val="24"/>
                <w:szCs w:val="24"/>
                <w:lang w:val="en-GB"/>
              </w:rPr>
              <w:t xml:space="preserve">Ratios </w:t>
            </w:r>
          </w:p>
        </w:tc>
        <w:tc>
          <w:tcPr>
            <w:tcW w:w="3879" w:type="dxa"/>
          </w:tcPr>
          <w:p w14:paraId="70E85322" w14:textId="59D14A3F" w:rsidR="005D44D5" w:rsidRPr="00467E67" w:rsidRDefault="00560FE8" w:rsidP="00467E67">
            <w:pPr>
              <w:spacing w:line="276" w:lineRule="auto"/>
              <w:jc w:val="both"/>
              <w:cnfStyle w:val="100000000000" w:firstRow="1" w:lastRow="0" w:firstColumn="0" w:lastColumn="0" w:oddVBand="0" w:evenVBand="0" w:oddHBand="0" w:evenHBand="0" w:firstRowFirstColumn="0" w:firstRowLastColumn="0" w:lastRowFirstColumn="0" w:lastRowLastColumn="0"/>
              <w:rPr>
                <w:sz w:val="24"/>
                <w:szCs w:val="24"/>
                <w:lang w:val="en-GB"/>
              </w:rPr>
            </w:pPr>
            <w:r w:rsidRPr="00467E67">
              <w:rPr>
                <w:sz w:val="24"/>
                <w:szCs w:val="24"/>
                <w:lang w:val="en-GB"/>
              </w:rPr>
              <w:t xml:space="preserve">$ in Billions </w:t>
            </w:r>
          </w:p>
        </w:tc>
      </w:tr>
      <w:tr w:rsidR="005D44D5" w:rsidRPr="00467E67" w14:paraId="75A58D8C" w14:textId="77777777" w:rsidTr="00CE5B37">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3879" w:type="dxa"/>
          </w:tcPr>
          <w:p w14:paraId="36DE5463"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Net Income </w:t>
            </w:r>
          </w:p>
        </w:tc>
        <w:tc>
          <w:tcPr>
            <w:tcW w:w="3879" w:type="dxa"/>
          </w:tcPr>
          <w:p w14:paraId="0A583994" w14:textId="77777777" w:rsidR="005D44D5" w:rsidRPr="00467E67" w:rsidRDefault="005413BD" w:rsidP="00467E67">
            <w:pPr>
              <w:spacing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467E67">
              <w:rPr>
                <w:b/>
                <w:sz w:val="24"/>
                <w:szCs w:val="24"/>
                <w:lang w:val="en-GB"/>
              </w:rPr>
              <w:t>4,492</w:t>
            </w:r>
          </w:p>
        </w:tc>
      </w:tr>
      <w:tr w:rsidR="005D44D5" w:rsidRPr="00467E67" w14:paraId="3E55031B" w14:textId="77777777" w:rsidTr="00CE5B37">
        <w:trPr>
          <w:trHeight w:val="267"/>
        </w:trPr>
        <w:tc>
          <w:tcPr>
            <w:cnfStyle w:val="001000000000" w:firstRow="0" w:lastRow="0" w:firstColumn="1" w:lastColumn="0" w:oddVBand="0" w:evenVBand="0" w:oddHBand="0" w:evenHBand="0" w:firstRowFirstColumn="0" w:firstRowLastColumn="0" w:lastRowFirstColumn="0" w:lastRowLastColumn="0"/>
            <w:tcW w:w="3879" w:type="dxa"/>
          </w:tcPr>
          <w:p w14:paraId="6B342932"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Revenue </w:t>
            </w:r>
          </w:p>
        </w:tc>
        <w:tc>
          <w:tcPr>
            <w:tcW w:w="3879" w:type="dxa"/>
          </w:tcPr>
          <w:p w14:paraId="4B1D4E63" w14:textId="77777777" w:rsidR="005D44D5" w:rsidRPr="00467E67" w:rsidRDefault="00D6062B" w:rsidP="00467E67">
            <w:pPr>
              <w:spacing w:line="276" w:lineRule="auto"/>
              <w:jc w:val="both"/>
              <w:cnfStyle w:val="000000000000" w:firstRow="0" w:lastRow="0" w:firstColumn="0" w:lastColumn="0" w:oddVBand="0" w:evenVBand="0" w:oddHBand="0" w:evenHBand="0" w:firstRowFirstColumn="0" w:firstRowLastColumn="0" w:lastRowFirstColumn="0" w:lastRowLastColumn="0"/>
              <w:rPr>
                <w:b/>
                <w:sz w:val="24"/>
                <w:szCs w:val="24"/>
                <w:lang w:val="en-GB"/>
              </w:rPr>
            </w:pPr>
            <w:r w:rsidRPr="00467E67">
              <w:rPr>
                <w:b/>
                <w:sz w:val="24"/>
                <w:szCs w:val="24"/>
                <w:lang w:val="en-GB"/>
              </w:rPr>
              <w:t>31</w:t>
            </w:r>
            <w:r w:rsidR="00560FE8" w:rsidRPr="00467E67">
              <w:rPr>
                <w:b/>
                <w:sz w:val="24"/>
                <w:szCs w:val="24"/>
                <w:lang w:val="en-GB"/>
              </w:rPr>
              <w:t xml:space="preserve">616 </w:t>
            </w:r>
          </w:p>
        </w:tc>
      </w:tr>
      <w:tr w:rsidR="005D44D5" w:rsidRPr="00467E67" w14:paraId="746E0152" w14:textId="77777777" w:rsidTr="00CE5B37">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3879" w:type="dxa"/>
          </w:tcPr>
          <w:p w14:paraId="5E650629"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Current Assets </w:t>
            </w:r>
          </w:p>
        </w:tc>
        <w:tc>
          <w:tcPr>
            <w:tcW w:w="3879" w:type="dxa"/>
          </w:tcPr>
          <w:p w14:paraId="64AA4D8D" w14:textId="77777777" w:rsidR="005D44D5" w:rsidRPr="00467E67" w:rsidRDefault="00560FE8" w:rsidP="00467E67">
            <w:pPr>
              <w:spacing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467E67">
              <w:rPr>
                <w:b/>
                <w:sz w:val="24"/>
                <w:szCs w:val="24"/>
                <w:lang w:val="en-GB"/>
              </w:rPr>
              <w:t>9,266</w:t>
            </w:r>
          </w:p>
        </w:tc>
      </w:tr>
      <w:tr w:rsidR="005D44D5" w:rsidRPr="00467E67" w14:paraId="33F5D3AD" w14:textId="77777777" w:rsidTr="00CE5B37">
        <w:trPr>
          <w:trHeight w:val="251"/>
        </w:trPr>
        <w:tc>
          <w:tcPr>
            <w:cnfStyle w:val="001000000000" w:firstRow="0" w:lastRow="0" w:firstColumn="1" w:lastColumn="0" w:oddVBand="0" w:evenVBand="0" w:oddHBand="0" w:evenHBand="0" w:firstRowFirstColumn="0" w:firstRowLastColumn="0" w:lastRowFirstColumn="0" w:lastRowLastColumn="0"/>
            <w:tcW w:w="3879" w:type="dxa"/>
          </w:tcPr>
          <w:p w14:paraId="3B35A498"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Current Liabilities </w:t>
            </w:r>
          </w:p>
        </w:tc>
        <w:tc>
          <w:tcPr>
            <w:tcW w:w="3879" w:type="dxa"/>
          </w:tcPr>
          <w:p w14:paraId="13F83429" w14:textId="77777777" w:rsidR="005D44D5" w:rsidRPr="00467E67" w:rsidRDefault="00560FE8" w:rsidP="00467E67">
            <w:pPr>
              <w:spacing w:line="276" w:lineRule="auto"/>
              <w:jc w:val="both"/>
              <w:cnfStyle w:val="000000000000" w:firstRow="0" w:lastRow="0" w:firstColumn="0" w:lastColumn="0" w:oddVBand="0" w:evenVBand="0" w:oddHBand="0" w:evenHBand="0" w:firstRowFirstColumn="0" w:firstRowLastColumn="0" w:lastRowFirstColumn="0" w:lastRowLastColumn="0"/>
              <w:rPr>
                <w:b/>
                <w:sz w:val="24"/>
                <w:szCs w:val="24"/>
                <w:lang w:val="en-GB"/>
              </w:rPr>
            </w:pPr>
            <w:r w:rsidRPr="00467E67">
              <w:rPr>
                <w:b/>
                <w:sz w:val="24"/>
                <w:szCs w:val="24"/>
                <w:lang w:val="en-GB"/>
              </w:rPr>
              <w:t>7,931</w:t>
            </w:r>
          </w:p>
        </w:tc>
      </w:tr>
      <w:tr w:rsidR="005D44D5" w:rsidRPr="00467E67" w14:paraId="0D269085" w14:textId="77777777" w:rsidTr="00CE5B37">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3879" w:type="dxa"/>
          </w:tcPr>
          <w:p w14:paraId="78C651F6"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Total Debts </w:t>
            </w:r>
          </w:p>
        </w:tc>
        <w:tc>
          <w:tcPr>
            <w:tcW w:w="3879" w:type="dxa"/>
          </w:tcPr>
          <w:p w14:paraId="6B433A75" w14:textId="77777777" w:rsidR="005D44D5" w:rsidRPr="00467E67" w:rsidRDefault="00560FE8" w:rsidP="00467E67">
            <w:pPr>
              <w:spacing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467E67">
              <w:rPr>
                <w:b/>
                <w:sz w:val="24"/>
                <w:szCs w:val="24"/>
                <w:lang w:val="en-GB"/>
              </w:rPr>
              <w:t>27,817</w:t>
            </w:r>
          </w:p>
        </w:tc>
      </w:tr>
      <w:tr w:rsidR="005D44D5" w:rsidRPr="00467E67" w14:paraId="6DB67772" w14:textId="77777777" w:rsidTr="00CE5B37">
        <w:trPr>
          <w:trHeight w:val="251"/>
        </w:trPr>
        <w:tc>
          <w:tcPr>
            <w:cnfStyle w:val="001000000000" w:firstRow="0" w:lastRow="0" w:firstColumn="1" w:lastColumn="0" w:oddVBand="0" w:evenVBand="0" w:oddHBand="0" w:evenHBand="0" w:firstRowFirstColumn="0" w:firstRowLastColumn="0" w:lastRowFirstColumn="0" w:lastRowLastColumn="0"/>
            <w:tcW w:w="3879" w:type="dxa"/>
          </w:tcPr>
          <w:p w14:paraId="1B82F517" w14:textId="4D1A2B14" w:rsidR="005D44D5" w:rsidRPr="00467E67" w:rsidRDefault="005D44D5" w:rsidP="00467E67">
            <w:pPr>
              <w:spacing w:line="276" w:lineRule="auto"/>
              <w:jc w:val="both"/>
              <w:rPr>
                <w:sz w:val="24"/>
                <w:szCs w:val="24"/>
                <w:lang w:val="en-GB"/>
              </w:rPr>
            </w:pPr>
            <w:proofErr w:type="spellStart"/>
            <w:r w:rsidRPr="00467E67">
              <w:rPr>
                <w:sz w:val="24"/>
                <w:szCs w:val="24"/>
                <w:lang w:val="en-GB"/>
              </w:rPr>
              <w:t>Shareholders</w:t>
            </w:r>
            <w:proofErr w:type="spellEnd"/>
            <w:r w:rsidRPr="00467E67">
              <w:rPr>
                <w:sz w:val="24"/>
                <w:szCs w:val="24"/>
                <w:lang w:val="en-GB"/>
              </w:rPr>
              <w:t xml:space="preserve"> Equity </w:t>
            </w:r>
          </w:p>
        </w:tc>
        <w:tc>
          <w:tcPr>
            <w:tcW w:w="3879" w:type="dxa"/>
          </w:tcPr>
          <w:p w14:paraId="0A0144BB" w14:textId="77777777" w:rsidR="005D44D5" w:rsidRPr="00467E67" w:rsidRDefault="00560FE8" w:rsidP="00467E67">
            <w:pPr>
              <w:spacing w:line="276" w:lineRule="auto"/>
              <w:jc w:val="both"/>
              <w:cnfStyle w:val="000000000000" w:firstRow="0" w:lastRow="0" w:firstColumn="0" w:lastColumn="0" w:oddVBand="0" w:evenVBand="0" w:oddHBand="0" w:evenHBand="0" w:firstRowFirstColumn="0" w:firstRowLastColumn="0" w:lastRowFirstColumn="0" w:lastRowLastColumn="0"/>
              <w:rPr>
                <w:b/>
                <w:sz w:val="24"/>
                <w:szCs w:val="24"/>
                <w:lang w:val="en-GB"/>
              </w:rPr>
            </w:pPr>
            <w:r w:rsidRPr="00467E67">
              <w:rPr>
                <w:b/>
                <w:sz w:val="24"/>
                <w:szCs w:val="24"/>
                <w:lang w:val="en-GB"/>
              </w:rPr>
              <w:t>20777</w:t>
            </w:r>
          </w:p>
        </w:tc>
      </w:tr>
      <w:tr w:rsidR="005D44D5" w:rsidRPr="00467E67" w14:paraId="53B461D2" w14:textId="77777777" w:rsidTr="00CE5B37">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3879" w:type="dxa"/>
          </w:tcPr>
          <w:p w14:paraId="0C11557D" w14:textId="77777777" w:rsidR="005D44D5" w:rsidRPr="00467E67" w:rsidRDefault="005D44D5" w:rsidP="00467E67">
            <w:pPr>
              <w:spacing w:line="276" w:lineRule="auto"/>
              <w:jc w:val="both"/>
              <w:rPr>
                <w:sz w:val="24"/>
                <w:szCs w:val="24"/>
                <w:lang w:val="en-GB"/>
              </w:rPr>
            </w:pPr>
            <w:r w:rsidRPr="00467E67">
              <w:rPr>
                <w:sz w:val="24"/>
                <w:szCs w:val="24"/>
                <w:lang w:val="en-GB"/>
              </w:rPr>
              <w:t xml:space="preserve">Average Total Assets </w:t>
            </w:r>
          </w:p>
        </w:tc>
        <w:tc>
          <w:tcPr>
            <w:tcW w:w="3879" w:type="dxa"/>
          </w:tcPr>
          <w:p w14:paraId="100966AB" w14:textId="77777777" w:rsidR="005D44D5" w:rsidRPr="00467E67" w:rsidRDefault="005413BD" w:rsidP="00467E67">
            <w:pPr>
              <w:spacing w:line="276" w:lineRule="auto"/>
              <w:jc w:val="both"/>
              <w:cnfStyle w:val="000000100000" w:firstRow="0" w:lastRow="0" w:firstColumn="0" w:lastColumn="0" w:oddVBand="0" w:evenVBand="0" w:oddHBand="1" w:evenHBand="0" w:firstRowFirstColumn="0" w:firstRowLastColumn="0" w:lastRowFirstColumn="0" w:lastRowLastColumn="0"/>
              <w:rPr>
                <w:b/>
                <w:sz w:val="24"/>
                <w:szCs w:val="24"/>
                <w:lang w:val="en-GB"/>
              </w:rPr>
            </w:pPr>
            <w:r w:rsidRPr="00467E67">
              <w:rPr>
                <w:b/>
                <w:sz w:val="24"/>
                <w:szCs w:val="24"/>
                <w:lang w:val="en-GB"/>
              </w:rPr>
              <w:t>48,595</w:t>
            </w:r>
          </w:p>
        </w:tc>
      </w:tr>
    </w:tbl>
    <w:p w14:paraId="6A4C1D33" w14:textId="77777777" w:rsidR="00811439" w:rsidRPr="008958CA" w:rsidRDefault="00811439" w:rsidP="00467E67">
      <w:pPr>
        <w:spacing w:line="276" w:lineRule="auto"/>
        <w:jc w:val="both"/>
        <w:rPr>
          <w:sz w:val="24"/>
          <w:szCs w:val="24"/>
          <w:lang w:val="en-GB"/>
        </w:rPr>
      </w:pPr>
    </w:p>
    <w:p w14:paraId="537D60AD" w14:textId="77777777" w:rsidR="005D44D5" w:rsidRDefault="005D44D5" w:rsidP="00077509">
      <w:pPr>
        <w:pStyle w:val="Heading2"/>
        <w:numPr>
          <w:ilvl w:val="1"/>
          <w:numId w:val="26"/>
        </w:numPr>
        <w:rPr>
          <w:b/>
          <w:color w:val="000000" w:themeColor="text1"/>
        </w:rPr>
      </w:pPr>
      <w:bookmarkStart w:id="9" w:name="_Toc163310225"/>
      <w:r w:rsidRPr="00467E67">
        <w:rPr>
          <w:b/>
          <w:color w:val="000000" w:themeColor="text1"/>
        </w:rPr>
        <w:t>Profitability Ratios:</w:t>
      </w:r>
      <w:bookmarkEnd w:id="9"/>
      <w:r w:rsidR="00EF4B87" w:rsidRPr="00467E67">
        <w:rPr>
          <w:b/>
          <w:color w:val="000000" w:themeColor="text1"/>
        </w:rPr>
        <w:t xml:space="preserve"> </w:t>
      </w:r>
    </w:p>
    <w:p w14:paraId="0BF29C33" w14:textId="77777777" w:rsidR="00D73645" w:rsidRPr="00D73645" w:rsidRDefault="00D73645" w:rsidP="00D73645"/>
    <w:p w14:paraId="755F11B6" w14:textId="77777777" w:rsidR="00EF4B87" w:rsidRPr="00467E67" w:rsidRDefault="00DC0E4B" w:rsidP="00467E67">
      <w:pPr>
        <w:spacing w:line="276" w:lineRule="auto"/>
        <w:jc w:val="both"/>
        <w:rPr>
          <w:sz w:val="24"/>
          <w:szCs w:val="24"/>
        </w:rPr>
      </w:pPr>
      <w:r w:rsidRPr="00DC0E4B">
        <w:rPr>
          <w:sz w:val="24"/>
          <w:szCs w:val="24"/>
        </w:rPr>
        <w:t xml:space="preserve">Profitability ratios measure the income of the company with respect to its income, assets, equity, and other financial metrics of the company. From the point of view of ascertaining financial soundness and </w:t>
      </w:r>
      <w:r w:rsidRPr="00DC0E4B">
        <w:rPr>
          <w:sz w:val="24"/>
          <w:szCs w:val="24"/>
        </w:rPr>
        <w:lastRenderedPageBreak/>
        <w:t>also from the point of view of capacity for growth, distributing dividends, and luring in</w:t>
      </w:r>
      <w:r>
        <w:rPr>
          <w:sz w:val="24"/>
          <w:szCs w:val="24"/>
        </w:rPr>
        <w:t xml:space="preserve"> investors, they hold relevance</w:t>
      </w:r>
      <w:r w:rsidR="00EF4B87" w:rsidRPr="00467E67">
        <w:rPr>
          <w:sz w:val="24"/>
          <w:szCs w:val="24"/>
        </w:rPr>
        <w:t>.</w:t>
      </w:r>
    </w:p>
    <w:p w14:paraId="5B37745E" w14:textId="77777777" w:rsidR="005D44D5" w:rsidRPr="00467E67" w:rsidRDefault="005D44D5" w:rsidP="00D73645">
      <w:pPr>
        <w:spacing w:line="276" w:lineRule="auto"/>
        <w:jc w:val="both"/>
        <w:rPr>
          <w:i/>
          <w:sz w:val="24"/>
          <w:szCs w:val="24"/>
        </w:rPr>
      </w:pPr>
      <w:r w:rsidRPr="00467E67">
        <w:rPr>
          <w:b/>
          <w:bCs/>
          <w:i/>
          <w:sz w:val="24"/>
          <w:szCs w:val="24"/>
        </w:rPr>
        <w:t>Net Profit Margin</w:t>
      </w:r>
    </w:p>
    <w:p w14:paraId="797820B9" w14:textId="6D22064D" w:rsidR="005D44D5" w:rsidRDefault="005D44D5" w:rsidP="00D73645">
      <w:pPr>
        <w:spacing w:line="276" w:lineRule="auto"/>
        <w:jc w:val="both"/>
        <w:rPr>
          <w:i/>
          <w:sz w:val="24"/>
          <w:szCs w:val="24"/>
        </w:rPr>
      </w:pPr>
      <w:r w:rsidRPr="00D73645">
        <w:rPr>
          <w:bCs/>
          <w:i/>
          <w:sz w:val="24"/>
          <w:szCs w:val="24"/>
        </w:rPr>
        <w:t>Formula:</w:t>
      </w:r>
      <w:r w:rsidRPr="00D73645">
        <w:rPr>
          <w:i/>
          <w:sz w:val="24"/>
          <w:szCs w:val="24"/>
        </w:rPr>
        <w:t xml:space="preserve"> Net Profit Margin = (Net Income / Revenue) x 100</w:t>
      </w:r>
    </w:p>
    <w:p w14:paraId="4EE57AEE" w14:textId="77777777" w:rsidR="00E20D0E" w:rsidRPr="00D73645" w:rsidRDefault="00E20D0E" w:rsidP="00D73645">
      <w:pPr>
        <w:spacing w:line="276" w:lineRule="auto"/>
        <w:jc w:val="both"/>
        <w:rPr>
          <w:i/>
          <w:sz w:val="24"/>
          <w:szCs w:val="24"/>
        </w:rPr>
      </w:pPr>
    </w:p>
    <w:p w14:paraId="108C4C9A" w14:textId="77777777" w:rsidR="00D6062B" w:rsidRPr="00D73645" w:rsidRDefault="00D6062B" w:rsidP="00D73645">
      <w:pPr>
        <w:spacing w:line="276" w:lineRule="auto"/>
        <w:jc w:val="both"/>
        <w:rPr>
          <w:i/>
          <w:sz w:val="24"/>
          <w:szCs w:val="24"/>
        </w:rPr>
      </w:pPr>
      <w:r w:rsidRPr="00D73645">
        <w:rPr>
          <w:bCs/>
          <w:i/>
          <w:sz w:val="24"/>
          <w:szCs w:val="24"/>
        </w:rPr>
        <w:t>Net Profit Margin= (4,492/</w:t>
      </w:r>
      <w:r w:rsidRPr="00D73645">
        <w:rPr>
          <w:i/>
          <w:sz w:val="24"/>
          <w:szCs w:val="24"/>
          <w:lang w:val="en-GB"/>
        </w:rPr>
        <w:t>31616)</w:t>
      </w:r>
      <w:r w:rsidRPr="00D73645">
        <w:rPr>
          <w:i/>
          <w:sz w:val="24"/>
          <w:szCs w:val="24"/>
        </w:rPr>
        <w:t xml:space="preserve"> x 100= 14.20</w:t>
      </w:r>
    </w:p>
    <w:p w14:paraId="716358EE" w14:textId="77777777" w:rsidR="00D6062B" w:rsidRPr="00D73645" w:rsidRDefault="00D6062B" w:rsidP="00D73645">
      <w:pPr>
        <w:spacing w:line="276" w:lineRule="auto"/>
        <w:jc w:val="both"/>
        <w:rPr>
          <w:b/>
          <w:i/>
          <w:sz w:val="24"/>
          <w:szCs w:val="24"/>
        </w:rPr>
      </w:pPr>
      <w:r w:rsidRPr="00D73645">
        <w:rPr>
          <w:b/>
          <w:i/>
          <w:sz w:val="24"/>
          <w:szCs w:val="24"/>
        </w:rPr>
        <w:t>Interpretation:</w:t>
      </w:r>
    </w:p>
    <w:p w14:paraId="0B578A04" w14:textId="77777777" w:rsidR="00DD1F74" w:rsidRPr="00467E67" w:rsidRDefault="00DC0E4B" w:rsidP="00467E67">
      <w:pPr>
        <w:spacing w:line="276" w:lineRule="auto"/>
        <w:jc w:val="both"/>
        <w:rPr>
          <w:sz w:val="24"/>
          <w:szCs w:val="24"/>
        </w:rPr>
      </w:pPr>
      <w:r w:rsidRPr="00DC0E4B">
        <w:rPr>
          <w:sz w:val="24"/>
          <w:szCs w:val="24"/>
        </w:rPr>
        <w:t>Its Net Profit Margin for the year 2022 is 14.20%. This would be a clear indication that, for every 100 dollars made in revenues, the company would be realizing a net profit of 14.20 dollars. A net profit margin of 14.20% usually shows a good margin to efficiently indicate the ability of a company in translating its revenue into profit. Though the context to this figure would be elaborated based on either the industry benchmark or historical company performance. If such ratio is more than that of the general industry average, this may indicate that the company is doing very fine in its profitability. If, however, it is at a level in line or marginally above the industry average, then this shows that a company is performing well in terms of profitab</w:t>
      </w:r>
      <w:r>
        <w:rPr>
          <w:sz w:val="24"/>
          <w:szCs w:val="24"/>
        </w:rPr>
        <w:t>ility</w:t>
      </w:r>
      <w:r w:rsidR="00DD1F74" w:rsidRPr="00467E67">
        <w:rPr>
          <w:sz w:val="24"/>
          <w:szCs w:val="24"/>
        </w:rPr>
        <w:t>.</w:t>
      </w:r>
    </w:p>
    <w:p w14:paraId="38567021" w14:textId="77777777" w:rsidR="005D44D5" w:rsidRDefault="005D44D5" w:rsidP="00077509">
      <w:pPr>
        <w:pStyle w:val="Heading2"/>
        <w:numPr>
          <w:ilvl w:val="1"/>
          <w:numId w:val="26"/>
        </w:numPr>
        <w:rPr>
          <w:b/>
          <w:color w:val="000000" w:themeColor="text1"/>
        </w:rPr>
      </w:pPr>
      <w:bookmarkStart w:id="10" w:name="_Toc163310226"/>
      <w:r w:rsidRPr="00D73645">
        <w:rPr>
          <w:b/>
          <w:color w:val="000000" w:themeColor="text1"/>
        </w:rPr>
        <w:t>Liquidity Ratios:</w:t>
      </w:r>
      <w:bookmarkEnd w:id="10"/>
    </w:p>
    <w:p w14:paraId="67187010" w14:textId="77777777" w:rsidR="00D73645" w:rsidRPr="00D73645" w:rsidRDefault="00D73645" w:rsidP="00D73645"/>
    <w:p w14:paraId="2F8FF9FE" w14:textId="77777777" w:rsidR="00EF4B87" w:rsidRPr="00467E67" w:rsidRDefault="00DC0E4B" w:rsidP="00467E67">
      <w:pPr>
        <w:spacing w:line="276" w:lineRule="auto"/>
        <w:jc w:val="both"/>
        <w:rPr>
          <w:sz w:val="24"/>
          <w:szCs w:val="24"/>
          <w:lang w:val="en-GB"/>
        </w:rPr>
      </w:pPr>
      <w:r w:rsidRPr="00DC0E4B">
        <w:rPr>
          <w:sz w:val="24"/>
          <w:szCs w:val="24"/>
          <w:lang w:val="en-GB"/>
        </w:rPr>
        <w:t>Liquidity ratios look at the capability of a firm to meet short-term obligations using its current or quick assets. The high liquidity ratio would indicate that the current ratio of the company is 4 and 5 times larger than the actual current ra</w:t>
      </w:r>
      <w:r>
        <w:rPr>
          <w:sz w:val="24"/>
          <w:szCs w:val="24"/>
          <w:lang w:val="en-GB"/>
        </w:rPr>
        <w:t>tio in covering short-term debt</w:t>
      </w:r>
      <w:r w:rsidR="00EF4B87" w:rsidRPr="00467E67">
        <w:rPr>
          <w:sz w:val="24"/>
          <w:szCs w:val="24"/>
          <w:lang w:val="en-GB"/>
        </w:rPr>
        <w:t>.</w:t>
      </w:r>
    </w:p>
    <w:p w14:paraId="4176597E" w14:textId="77777777" w:rsidR="005D44D5" w:rsidRPr="00D73645" w:rsidRDefault="005D44D5" w:rsidP="00D73645">
      <w:pPr>
        <w:spacing w:line="276" w:lineRule="auto"/>
        <w:jc w:val="both"/>
        <w:rPr>
          <w:b/>
          <w:i/>
          <w:sz w:val="24"/>
          <w:szCs w:val="24"/>
        </w:rPr>
      </w:pPr>
      <w:r w:rsidRPr="00D73645">
        <w:rPr>
          <w:b/>
          <w:bCs/>
          <w:i/>
          <w:sz w:val="24"/>
          <w:szCs w:val="24"/>
        </w:rPr>
        <w:t>Current Ratio</w:t>
      </w:r>
    </w:p>
    <w:p w14:paraId="34997289" w14:textId="715E448A" w:rsidR="00FD1174" w:rsidRPr="008958CA" w:rsidRDefault="005D44D5" w:rsidP="00D73645">
      <w:pPr>
        <w:spacing w:line="276" w:lineRule="auto"/>
        <w:jc w:val="both"/>
        <w:rPr>
          <w:i/>
          <w:sz w:val="24"/>
          <w:szCs w:val="24"/>
        </w:rPr>
      </w:pPr>
      <w:r w:rsidRPr="00D73645">
        <w:rPr>
          <w:bCs/>
          <w:i/>
          <w:sz w:val="24"/>
          <w:szCs w:val="24"/>
        </w:rPr>
        <w:t>Formula:</w:t>
      </w:r>
      <w:r w:rsidRPr="00D73645">
        <w:rPr>
          <w:i/>
          <w:sz w:val="24"/>
          <w:szCs w:val="24"/>
        </w:rPr>
        <w:t xml:space="preserve"> Current Ratio = Current Assets / Current Liabilities</w:t>
      </w:r>
    </w:p>
    <w:p w14:paraId="58FF9DD8" w14:textId="77777777" w:rsidR="00D6062B" w:rsidRPr="00D73645" w:rsidRDefault="00D6062B" w:rsidP="00D73645">
      <w:pPr>
        <w:spacing w:line="276" w:lineRule="auto"/>
        <w:jc w:val="both"/>
        <w:rPr>
          <w:i/>
          <w:sz w:val="24"/>
          <w:szCs w:val="24"/>
          <w:lang w:val="en-GB"/>
        </w:rPr>
      </w:pPr>
      <w:r w:rsidRPr="00D73645">
        <w:rPr>
          <w:bCs/>
          <w:i/>
          <w:sz w:val="24"/>
          <w:szCs w:val="24"/>
        </w:rPr>
        <w:t>Current Ratio</w:t>
      </w:r>
      <w:r w:rsidRPr="00D73645">
        <w:rPr>
          <w:i/>
          <w:sz w:val="24"/>
          <w:szCs w:val="24"/>
        </w:rPr>
        <w:t xml:space="preserve">= </w:t>
      </w:r>
      <w:r w:rsidRPr="00D73645">
        <w:rPr>
          <w:i/>
          <w:sz w:val="24"/>
          <w:szCs w:val="24"/>
          <w:lang w:val="en-GB"/>
        </w:rPr>
        <w:t>9,266</w:t>
      </w:r>
      <w:r w:rsidRPr="00D73645">
        <w:rPr>
          <w:i/>
          <w:sz w:val="24"/>
          <w:szCs w:val="24"/>
        </w:rPr>
        <w:t xml:space="preserve">/ </w:t>
      </w:r>
      <w:r w:rsidRPr="00D73645">
        <w:rPr>
          <w:i/>
          <w:sz w:val="24"/>
          <w:szCs w:val="24"/>
          <w:lang w:val="en-GB"/>
        </w:rPr>
        <w:t>7,931 = 1.2</w:t>
      </w:r>
    </w:p>
    <w:p w14:paraId="6157401B" w14:textId="77777777" w:rsidR="00D6062B" w:rsidRPr="00D73645" w:rsidRDefault="00D6062B" w:rsidP="00D73645">
      <w:pPr>
        <w:spacing w:line="276" w:lineRule="auto"/>
        <w:jc w:val="both"/>
        <w:rPr>
          <w:b/>
          <w:i/>
          <w:sz w:val="24"/>
          <w:szCs w:val="24"/>
          <w:lang w:val="en-GB"/>
        </w:rPr>
      </w:pPr>
      <w:r w:rsidRPr="00D73645">
        <w:rPr>
          <w:b/>
          <w:i/>
          <w:sz w:val="24"/>
          <w:szCs w:val="24"/>
        </w:rPr>
        <w:t>Interpretation:</w:t>
      </w:r>
    </w:p>
    <w:p w14:paraId="6B434770" w14:textId="77777777" w:rsidR="00DC0E4B" w:rsidRPr="00DC0E4B" w:rsidRDefault="00DC0E4B" w:rsidP="00DC0E4B">
      <w:pPr>
        <w:spacing w:line="276" w:lineRule="auto"/>
        <w:jc w:val="both"/>
        <w:rPr>
          <w:sz w:val="24"/>
          <w:szCs w:val="24"/>
        </w:rPr>
      </w:pPr>
      <w:r w:rsidRPr="00DC0E4B">
        <w:rPr>
          <w:sz w:val="24"/>
          <w:szCs w:val="24"/>
        </w:rPr>
        <w:t>This company holds a current ratio of 1.2 in the year 2022, meaning the company possesses $1.20 in current assets for every dollar of current liabilities. The current ratio of 1.2 indicates that the company will be able to offset its current liabilitie</w:t>
      </w:r>
      <w:r>
        <w:rPr>
          <w:sz w:val="24"/>
          <w:szCs w:val="24"/>
        </w:rPr>
        <w:t>s in a good liquidity position.</w:t>
      </w:r>
    </w:p>
    <w:p w14:paraId="0F1888A7" w14:textId="77777777" w:rsidR="00D6062B" w:rsidRPr="00D73645" w:rsidRDefault="00DC0E4B" w:rsidP="00DC0E4B">
      <w:pPr>
        <w:spacing w:line="276" w:lineRule="auto"/>
        <w:jc w:val="both"/>
        <w:rPr>
          <w:sz w:val="24"/>
          <w:szCs w:val="24"/>
        </w:rPr>
      </w:pPr>
      <w:r w:rsidRPr="00DC0E4B">
        <w:rPr>
          <w:sz w:val="24"/>
          <w:szCs w:val="24"/>
        </w:rPr>
        <w:t xml:space="preserve">However, the ideal current ratio might vary with industries and the nature of the assets and liabilities characterizing the company. Usually, it is opined that a current ratio between 1.2 and 2.0 is considered good. A high ratio could mean overuse of the company's assets, or it could mean that the company does not use the assets efficiently. On the part of the company, it could mean that the same is going through some difficulty in its process of meeting short-term obligations. With this current ratio of 1.2, the present </w:t>
      </w:r>
      <w:r w:rsidRPr="00DC0E4B">
        <w:rPr>
          <w:sz w:val="24"/>
          <w:szCs w:val="24"/>
        </w:rPr>
        <w:lastRenderedPageBreak/>
        <w:t>ratio would, therefore, be considered as approaching the lower limits of acceptability; a company probably should monitor its liquidity well f</w:t>
      </w:r>
      <w:r>
        <w:rPr>
          <w:sz w:val="24"/>
          <w:szCs w:val="24"/>
        </w:rPr>
        <w:t>or keeping a comfortable buffer</w:t>
      </w:r>
      <w:r w:rsidR="00DD1F74" w:rsidRPr="00467E67">
        <w:rPr>
          <w:sz w:val="24"/>
          <w:szCs w:val="24"/>
        </w:rPr>
        <w:t>.</w:t>
      </w:r>
    </w:p>
    <w:p w14:paraId="3B3F36F9" w14:textId="77777777" w:rsidR="005D44D5" w:rsidRDefault="005D44D5" w:rsidP="00077509">
      <w:pPr>
        <w:pStyle w:val="Heading2"/>
        <w:numPr>
          <w:ilvl w:val="1"/>
          <w:numId w:val="26"/>
        </w:numPr>
        <w:rPr>
          <w:b/>
          <w:color w:val="000000" w:themeColor="text1"/>
        </w:rPr>
      </w:pPr>
      <w:bookmarkStart w:id="11" w:name="_Toc163310227"/>
      <w:r w:rsidRPr="00D73645">
        <w:rPr>
          <w:b/>
          <w:color w:val="000000" w:themeColor="text1"/>
        </w:rPr>
        <w:t>Gearing (Leverage) Ratios:</w:t>
      </w:r>
      <w:bookmarkEnd w:id="11"/>
    </w:p>
    <w:p w14:paraId="032CD32A" w14:textId="77777777" w:rsidR="00D73645" w:rsidRPr="00D73645" w:rsidRDefault="00D73645" w:rsidP="00D73645"/>
    <w:p w14:paraId="69ADAA87" w14:textId="77777777" w:rsidR="00EF4B87" w:rsidRPr="00467E67" w:rsidRDefault="00DC0E4B" w:rsidP="00467E67">
      <w:pPr>
        <w:spacing w:line="276" w:lineRule="auto"/>
        <w:jc w:val="both"/>
        <w:rPr>
          <w:sz w:val="24"/>
          <w:szCs w:val="24"/>
        </w:rPr>
      </w:pPr>
      <w:r w:rsidRPr="00DC0E4B">
        <w:rPr>
          <w:sz w:val="24"/>
          <w:szCs w:val="24"/>
        </w:rPr>
        <w:t>Gearing ratios, sometimes called leverage ratios, take into consideration the proportion to which the operations of a firm are financed by equity as compared to creditor financing. This is of much use in order to gauge the financial structure and the level of the risk w</w:t>
      </w:r>
      <w:r>
        <w:rPr>
          <w:sz w:val="24"/>
          <w:szCs w:val="24"/>
        </w:rPr>
        <w:t>hich the company has undertaken</w:t>
      </w:r>
      <w:r w:rsidR="00EF4B87" w:rsidRPr="00467E67">
        <w:rPr>
          <w:sz w:val="24"/>
          <w:szCs w:val="24"/>
        </w:rPr>
        <w:t>.</w:t>
      </w:r>
    </w:p>
    <w:p w14:paraId="4673E6B2" w14:textId="77777777" w:rsidR="005D44D5" w:rsidRPr="00D73645" w:rsidRDefault="005D44D5" w:rsidP="00467E67">
      <w:pPr>
        <w:spacing w:line="276" w:lineRule="auto"/>
        <w:jc w:val="both"/>
        <w:rPr>
          <w:b/>
          <w:i/>
          <w:sz w:val="24"/>
          <w:szCs w:val="24"/>
        </w:rPr>
      </w:pPr>
      <w:r w:rsidRPr="00D73645">
        <w:rPr>
          <w:b/>
          <w:bCs/>
          <w:i/>
          <w:sz w:val="24"/>
          <w:szCs w:val="24"/>
        </w:rPr>
        <w:t>Debt-to-Equity Ratio</w:t>
      </w:r>
    </w:p>
    <w:p w14:paraId="6DD369A1" w14:textId="4B799124" w:rsidR="00496C9F" w:rsidRPr="008958CA" w:rsidRDefault="005D44D5" w:rsidP="00467E67">
      <w:pPr>
        <w:spacing w:line="276" w:lineRule="auto"/>
        <w:jc w:val="both"/>
        <w:rPr>
          <w:i/>
          <w:sz w:val="24"/>
          <w:szCs w:val="24"/>
        </w:rPr>
      </w:pPr>
      <w:r w:rsidRPr="00D73645">
        <w:rPr>
          <w:bCs/>
          <w:i/>
          <w:sz w:val="24"/>
          <w:szCs w:val="24"/>
        </w:rPr>
        <w:t>Formula:</w:t>
      </w:r>
      <w:r w:rsidRPr="00D73645">
        <w:rPr>
          <w:i/>
          <w:sz w:val="24"/>
          <w:szCs w:val="24"/>
        </w:rPr>
        <w:t xml:space="preserve"> Debt-to-Equity Ratio = Total Debt / Shareholders' Equity</w:t>
      </w:r>
    </w:p>
    <w:p w14:paraId="5086DD8C" w14:textId="77777777" w:rsidR="00EF4B87" w:rsidRPr="00D73645" w:rsidRDefault="00EF4B87" w:rsidP="00467E67">
      <w:pPr>
        <w:spacing w:line="276" w:lineRule="auto"/>
        <w:jc w:val="both"/>
        <w:rPr>
          <w:i/>
          <w:sz w:val="24"/>
          <w:szCs w:val="24"/>
        </w:rPr>
      </w:pPr>
      <w:r w:rsidRPr="00D73645">
        <w:rPr>
          <w:bCs/>
          <w:i/>
          <w:sz w:val="24"/>
          <w:szCs w:val="24"/>
        </w:rPr>
        <w:t>Debt-to-Equity Ratio</w:t>
      </w:r>
      <w:r w:rsidRPr="00D73645">
        <w:rPr>
          <w:i/>
          <w:sz w:val="24"/>
          <w:szCs w:val="24"/>
        </w:rPr>
        <w:t xml:space="preserve">: </w:t>
      </w:r>
      <w:r w:rsidRPr="00D73645">
        <w:rPr>
          <w:i/>
          <w:sz w:val="24"/>
          <w:szCs w:val="24"/>
          <w:lang w:val="en-GB"/>
        </w:rPr>
        <w:t>27,817</w:t>
      </w:r>
      <w:r w:rsidRPr="00D73645">
        <w:rPr>
          <w:i/>
          <w:sz w:val="24"/>
          <w:szCs w:val="24"/>
        </w:rPr>
        <w:t xml:space="preserve">/ </w:t>
      </w:r>
      <w:r w:rsidRPr="00D73645">
        <w:rPr>
          <w:i/>
          <w:sz w:val="24"/>
          <w:szCs w:val="24"/>
          <w:lang w:val="en-GB"/>
        </w:rPr>
        <w:t>20777</w:t>
      </w:r>
      <w:r w:rsidRPr="00D73645">
        <w:rPr>
          <w:i/>
          <w:sz w:val="24"/>
          <w:szCs w:val="24"/>
        </w:rPr>
        <w:t>= 1.3</w:t>
      </w:r>
    </w:p>
    <w:p w14:paraId="60EE153B" w14:textId="77777777" w:rsidR="00EF4B87" w:rsidRPr="00D73645" w:rsidRDefault="00EF4B87" w:rsidP="00467E67">
      <w:pPr>
        <w:spacing w:line="276" w:lineRule="auto"/>
        <w:jc w:val="both"/>
        <w:rPr>
          <w:b/>
          <w:i/>
          <w:sz w:val="24"/>
          <w:szCs w:val="24"/>
          <w:lang w:val="en-GB"/>
        </w:rPr>
      </w:pPr>
      <w:r w:rsidRPr="00D73645">
        <w:rPr>
          <w:b/>
          <w:i/>
          <w:sz w:val="24"/>
          <w:szCs w:val="24"/>
        </w:rPr>
        <w:t>Interpretation:</w:t>
      </w:r>
    </w:p>
    <w:p w14:paraId="28B15C51" w14:textId="77777777" w:rsidR="00EF4B87" w:rsidRPr="00467E67" w:rsidRDefault="00DC0E4B" w:rsidP="00467E67">
      <w:pPr>
        <w:spacing w:line="276" w:lineRule="auto"/>
        <w:jc w:val="both"/>
        <w:rPr>
          <w:vanish/>
          <w:sz w:val="24"/>
          <w:szCs w:val="24"/>
        </w:rPr>
      </w:pPr>
      <w:r w:rsidRPr="00DC0E4B">
        <w:rPr>
          <w:sz w:val="24"/>
          <w:szCs w:val="24"/>
        </w:rPr>
        <w:t>The ratio of 1.3 shows that for every $1 of equity, the company has $1.30 of debt. The ratio indicates a moderate level of leverage; that is, the company uses quite an adequate amount of debt to be considered pretty aggressive for most people's risk tolerance in financing operations in relation to equity. This can, however, result in higher returns to shareholders' equity in good times of company performance, but equally, it is risky financially, for it also raises the financial leverage on the business. The acceptability of this ratio depends on industry norms and the company's ability to manage its debt effectivel</w:t>
      </w:r>
      <w:r>
        <w:rPr>
          <w:sz w:val="24"/>
          <w:szCs w:val="24"/>
        </w:rPr>
        <w:t>y</w:t>
      </w:r>
      <w:r w:rsidR="00DD1F74" w:rsidRPr="00467E67">
        <w:rPr>
          <w:sz w:val="24"/>
          <w:szCs w:val="24"/>
        </w:rPr>
        <w:t>.</w:t>
      </w:r>
      <w:r w:rsidR="00EF4B87" w:rsidRPr="00467E67">
        <w:rPr>
          <w:vanish/>
          <w:sz w:val="24"/>
          <w:szCs w:val="24"/>
        </w:rPr>
        <w:t>Top of Form</w:t>
      </w:r>
    </w:p>
    <w:p w14:paraId="372F47C6" w14:textId="77777777" w:rsidR="00EF4B87" w:rsidRPr="00467E67" w:rsidRDefault="00EF4B87" w:rsidP="00467E67">
      <w:pPr>
        <w:spacing w:line="276" w:lineRule="auto"/>
        <w:ind w:left="720"/>
        <w:jc w:val="both"/>
        <w:rPr>
          <w:sz w:val="24"/>
          <w:szCs w:val="24"/>
        </w:rPr>
      </w:pPr>
    </w:p>
    <w:p w14:paraId="2BE1412F" w14:textId="77777777" w:rsidR="005D44D5" w:rsidRDefault="005D44D5" w:rsidP="00077509">
      <w:pPr>
        <w:pStyle w:val="Heading2"/>
        <w:numPr>
          <w:ilvl w:val="1"/>
          <w:numId w:val="26"/>
        </w:numPr>
        <w:rPr>
          <w:b/>
          <w:color w:val="000000" w:themeColor="text1"/>
        </w:rPr>
      </w:pPr>
      <w:bookmarkStart w:id="12" w:name="_Toc163310228"/>
      <w:r w:rsidRPr="00D73645">
        <w:rPr>
          <w:b/>
          <w:color w:val="000000" w:themeColor="text1"/>
        </w:rPr>
        <w:t>Efficiency Ratios:</w:t>
      </w:r>
      <w:bookmarkEnd w:id="12"/>
    </w:p>
    <w:p w14:paraId="7B8E8222" w14:textId="77777777" w:rsidR="00D73645" w:rsidRPr="00D73645" w:rsidRDefault="00D73645" w:rsidP="00D73645"/>
    <w:p w14:paraId="25235F4B" w14:textId="77777777" w:rsidR="00EF4B87" w:rsidRPr="00467E67" w:rsidRDefault="00DC0E4B" w:rsidP="00467E67">
      <w:pPr>
        <w:spacing w:line="276" w:lineRule="auto"/>
        <w:jc w:val="both"/>
        <w:rPr>
          <w:sz w:val="24"/>
          <w:szCs w:val="24"/>
          <w:lang w:val="en-GB"/>
        </w:rPr>
      </w:pPr>
      <w:r w:rsidRPr="00DC0E4B">
        <w:rPr>
          <w:sz w:val="24"/>
          <w:szCs w:val="24"/>
          <w:lang w:val="en-GB"/>
        </w:rPr>
        <w:t>Efficiency ratios are also called activity ratios. They point towards the effectiveness of management in the deployment of resour</w:t>
      </w:r>
      <w:r>
        <w:rPr>
          <w:sz w:val="24"/>
          <w:szCs w:val="24"/>
          <w:lang w:val="en-GB"/>
        </w:rPr>
        <w:t>ces both internally and outside</w:t>
      </w:r>
      <w:r w:rsidR="00EF4B87" w:rsidRPr="00467E67">
        <w:rPr>
          <w:sz w:val="24"/>
          <w:szCs w:val="24"/>
          <w:lang w:val="en-GB"/>
        </w:rPr>
        <w:t>.</w:t>
      </w:r>
    </w:p>
    <w:p w14:paraId="590B8D59" w14:textId="77777777" w:rsidR="005D44D5" w:rsidRPr="00D73645" w:rsidRDefault="005D44D5" w:rsidP="00467E67">
      <w:pPr>
        <w:spacing w:line="276" w:lineRule="auto"/>
        <w:jc w:val="both"/>
        <w:rPr>
          <w:b/>
          <w:i/>
          <w:sz w:val="24"/>
          <w:szCs w:val="24"/>
        </w:rPr>
      </w:pPr>
      <w:r w:rsidRPr="00D73645">
        <w:rPr>
          <w:b/>
          <w:bCs/>
          <w:i/>
          <w:sz w:val="24"/>
          <w:szCs w:val="24"/>
        </w:rPr>
        <w:t>Asset Turnover Ratio</w:t>
      </w:r>
    </w:p>
    <w:p w14:paraId="19FEF31E" w14:textId="66FDDD3D" w:rsidR="00496C9F" w:rsidRPr="008958CA" w:rsidRDefault="005D44D5" w:rsidP="00467E67">
      <w:pPr>
        <w:spacing w:line="276" w:lineRule="auto"/>
        <w:jc w:val="both"/>
        <w:rPr>
          <w:i/>
          <w:sz w:val="24"/>
          <w:szCs w:val="24"/>
        </w:rPr>
      </w:pPr>
      <w:r w:rsidRPr="00D73645">
        <w:rPr>
          <w:bCs/>
          <w:i/>
          <w:sz w:val="24"/>
          <w:szCs w:val="24"/>
        </w:rPr>
        <w:t>Formula:</w:t>
      </w:r>
      <w:r w:rsidRPr="00D73645">
        <w:rPr>
          <w:i/>
          <w:sz w:val="24"/>
          <w:szCs w:val="24"/>
        </w:rPr>
        <w:t xml:space="preserve"> Asset Turnover Ratio = Revenue / Average Total Assets</w:t>
      </w:r>
    </w:p>
    <w:p w14:paraId="7A5A74BB" w14:textId="77777777" w:rsidR="00EF4B87" w:rsidRPr="00D73645" w:rsidRDefault="00EF4B87" w:rsidP="00467E67">
      <w:pPr>
        <w:spacing w:line="276" w:lineRule="auto"/>
        <w:jc w:val="both"/>
        <w:rPr>
          <w:i/>
          <w:sz w:val="24"/>
          <w:szCs w:val="24"/>
        </w:rPr>
      </w:pPr>
      <w:r w:rsidRPr="00D73645">
        <w:rPr>
          <w:i/>
          <w:sz w:val="24"/>
          <w:szCs w:val="24"/>
        </w:rPr>
        <w:t xml:space="preserve">Asset Turnover Ratio = </w:t>
      </w:r>
      <w:r w:rsidRPr="00D73645">
        <w:rPr>
          <w:i/>
          <w:sz w:val="24"/>
          <w:szCs w:val="24"/>
          <w:lang w:val="en-GB"/>
        </w:rPr>
        <w:t xml:space="preserve">31616 </w:t>
      </w:r>
      <w:r w:rsidRPr="00D73645">
        <w:rPr>
          <w:i/>
          <w:sz w:val="24"/>
          <w:szCs w:val="24"/>
        </w:rPr>
        <w:t xml:space="preserve">/ </w:t>
      </w:r>
      <w:r w:rsidRPr="00D73645">
        <w:rPr>
          <w:i/>
          <w:sz w:val="24"/>
          <w:szCs w:val="24"/>
          <w:lang w:val="en-GB"/>
        </w:rPr>
        <w:t>48,595</w:t>
      </w:r>
      <w:r w:rsidRPr="00D73645">
        <w:rPr>
          <w:i/>
          <w:sz w:val="24"/>
          <w:szCs w:val="24"/>
        </w:rPr>
        <w:t>= 0.65</w:t>
      </w:r>
    </w:p>
    <w:p w14:paraId="7B3D2B8E" w14:textId="77777777" w:rsidR="00003B33" w:rsidRPr="00D73645" w:rsidRDefault="00EF4B87" w:rsidP="00467E67">
      <w:pPr>
        <w:spacing w:line="276" w:lineRule="auto"/>
        <w:jc w:val="both"/>
        <w:rPr>
          <w:b/>
          <w:i/>
          <w:sz w:val="24"/>
          <w:szCs w:val="24"/>
          <w:lang w:val="en-GB"/>
        </w:rPr>
      </w:pPr>
      <w:r w:rsidRPr="00D73645">
        <w:rPr>
          <w:b/>
          <w:i/>
          <w:sz w:val="24"/>
          <w:szCs w:val="24"/>
        </w:rPr>
        <w:t>Interpretation:</w:t>
      </w:r>
    </w:p>
    <w:p w14:paraId="67D0843A" w14:textId="099D804E" w:rsidR="00E20D0E" w:rsidRPr="00467E67" w:rsidRDefault="00DC0E4B" w:rsidP="00467E67">
      <w:pPr>
        <w:spacing w:line="276" w:lineRule="auto"/>
        <w:jc w:val="both"/>
        <w:rPr>
          <w:sz w:val="24"/>
          <w:szCs w:val="24"/>
        </w:rPr>
      </w:pPr>
      <w:r w:rsidRPr="00DC0E4B">
        <w:rPr>
          <w:sz w:val="24"/>
          <w:szCs w:val="24"/>
        </w:rPr>
        <w:t xml:space="preserve">An asset turnover ratio of 0.65 will be able to show that a company </w:t>
      </w:r>
      <w:r w:rsidR="00B257D0">
        <w:rPr>
          <w:sz w:val="24"/>
          <w:szCs w:val="24"/>
        </w:rPr>
        <w:t>can</w:t>
      </w:r>
      <w:r w:rsidRPr="00DC0E4B">
        <w:rPr>
          <w:sz w:val="24"/>
          <w:szCs w:val="24"/>
        </w:rPr>
        <w:t xml:space="preserve"> generate $0.65 in revenue for every single dollar of its assets. The ratio measures how effectively the company is using its assets </w:t>
      </w:r>
      <w:r w:rsidR="00B257D0">
        <w:rPr>
          <w:sz w:val="24"/>
          <w:szCs w:val="24"/>
        </w:rPr>
        <w:t>to generate</w:t>
      </w:r>
      <w:r w:rsidRPr="00DC0E4B">
        <w:rPr>
          <w:sz w:val="24"/>
          <w:szCs w:val="24"/>
        </w:rPr>
        <w:t xml:space="preserve"> sales. A ratio of 0.65 reflects that possibly the company isn't making good revenues out of its assets in an efficient manner. Depending on the nature of the assets, however, this ratio may be acceptable and not appalling on the whole. For instance, where capital intensity is high, a low asset turnover ratio might be common; with less capital intensity industries, a high ratio </w:t>
      </w:r>
      <w:r>
        <w:rPr>
          <w:sz w:val="24"/>
          <w:szCs w:val="24"/>
        </w:rPr>
        <w:t>would be common</w:t>
      </w:r>
      <w:r w:rsidR="00DD1F74" w:rsidRPr="00467E67">
        <w:rPr>
          <w:sz w:val="24"/>
          <w:szCs w:val="24"/>
        </w:rPr>
        <w:t>.</w:t>
      </w:r>
    </w:p>
    <w:p w14:paraId="0F531519" w14:textId="77777777" w:rsidR="00ED0194" w:rsidRDefault="00ED0194" w:rsidP="00077509">
      <w:pPr>
        <w:pStyle w:val="Heading2"/>
        <w:numPr>
          <w:ilvl w:val="1"/>
          <w:numId w:val="26"/>
        </w:numPr>
        <w:rPr>
          <w:b/>
          <w:color w:val="000000" w:themeColor="text1"/>
        </w:rPr>
      </w:pPr>
      <w:bookmarkStart w:id="13" w:name="_Toc163310229"/>
      <w:r w:rsidRPr="00D73645">
        <w:rPr>
          <w:b/>
          <w:color w:val="000000" w:themeColor="text1"/>
        </w:rPr>
        <w:lastRenderedPageBreak/>
        <w:t xml:space="preserve">Results </w:t>
      </w:r>
      <w:r w:rsidR="00D73645">
        <w:rPr>
          <w:b/>
          <w:color w:val="000000" w:themeColor="text1"/>
        </w:rPr>
        <w:t>of Ratios</w:t>
      </w:r>
      <w:bookmarkEnd w:id="13"/>
      <w:r w:rsidR="00D73645">
        <w:rPr>
          <w:b/>
          <w:color w:val="000000" w:themeColor="text1"/>
        </w:rPr>
        <w:t xml:space="preserve"> </w:t>
      </w:r>
    </w:p>
    <w:p w14:paraId="015D0DDE" w14:textId="77777777" w:rsidR="00D73645" w:rsidRPr="00D73645" w:rsidRDefault="00D73645" w:rsidP="00D73645"/>
    <w:p w14:paraId="69E9B073" w14:textId="77777777" w:rsidR="00ED0194" w:rsidRPr="00467E67" w:rsidRDefault="00ED0194" w:rsidP="00467E67">
      <w:pPr>
        <w:spacing w:line="276" w:lineRule="auto"/>
        <w:jc w:val="both"/>
        <w:rPr>
          <w:sz w:val="24"/>
          <w:szCs w:val="24"/>
        </w:rPr>
      </w:pPr>
      <w:r w:rsidRPr="00467E67">
        <w:rPr>
          <w:sz w:val="24"/>
          <w:szCs w:val="24"/>
        </w:rPr>
        <w:t>Based on the financial ratios calculated for the company:</w:t>
      </w:r>
    </w:p>
    <w:p w14:paraId="45230B76" w14:textId="77777777" w:rsidR="00F523AE" w:rsidRPr="00467E67" w:rsidRDefault="00F523AE" w:rsidP="00077509">
      <w:pPr>
        <w:numPr>
          <w:ilvl w:val="0"/>
          <w:numId w:val="24"/>
        </w:numPr>
        <w:spacing w:line="276" w:lineRule="auto"/>
        <w:jc w:val="both"/>
        <w:rPr>
          <w:bCs/>
          <w:sz w:val="24"/>
          <w:szCs w:val="24"/>
        </w:rPr>
      </w:pPr>
      <w:r w:rsidRPr="00467E67">
        <w:rPr>
          <w:b/>
          <w:bCs/>
          <w:sz w:val="24"/>
          <w:szCs w:val="24"/>
        </w:rPr>
        <w:t>Net Profit Margin (14.20%)</w:t>
      </w:r>
      <w:r w:rsidRPr="00467E67">
        <w:rPr>
          <w:bCs/>
          <w:sz w:val="24"/>
          <w:szCs w:val="24"/>
        </w:rPr>
        <w:t>: This metric showcases the company's strong profitability, converting 14.20% of its revenue into net profit. It indicates efficient expense management relative to revenue generation.</w:t>
      </w:r>
    </w:p>
    <w:p w14:paraId="6C7B9172" w14:textId="77777777" w:rsidR="00F523AE" w:rsidRPr="00467E67" w:rsidRDefault="00F523AE" w:rsidP="00077509">
      <w:pPr>
        <w:numPr>
          <w:ilvl w:val="0"/>
          <w:numId w:val="24"/>
        </w:numPr>
        <w:spacing w:line="276" w:lineRule="auto"/>
        <w:jc w:val="both"/>
        <w:rPr>
          <w:bCs/>
          <w:sz w:val="24"/>
          <w:szCs w:val="24"/>
        </w:rPr>
      </w:pPr>
      <w:r w:rsidRPr="00467E67">
        <w:rPr>
          <w:b/>
          <w:bCs/>
          <w:sz w:val="24"/>
          <w:szCs w:val="24"/>
        </w:rPr>
        <w:t>Current Ratio (1.2)</w:t>
      </w:r>
      <w:r w:rsidRPr="00467E67">
        <w:rPr>
          <w:bCs/>
          <w:sz w:val="24"/>
          <w:szCs w:val="24"/>
        </w:rPr>
        <w:t>: This ratio points to the company's adequate liquidity, with $1.20 in current assets for every $1.00 in current liabilities. Being on the lower end of the acceptable spectrum, it suggests the need for close monitoring of the firm's short-term financial well-being.</w:t>
      </w:r>
    </w:p>
    <w:p w14:paraId="5B87AB9D" w14:textId="77777777" w:rsidR="00F523AE" w:rsidRPr="00467E67" w:rsidRDefault="00F523AE" w:rsidP="00077509">
      <w:pPr>
        <w:numPr>
          <w:ilvl w:val="0"/>
          <w:numId w:val="24"/>
        </w:numPr>
        <w:spacing w:line="276" w:lineRule="auto"/>
        <w:jc w:val="both"/>
        <w:rPr>
          <w:bCs/>
          <w:sz w:val="24"/>
          <w:szCs w:val="24"/>
        </w:rPr>
      </w:pPr>
      <w:r w:rsidRPr="00467E67">
        <w:rPr>
          <w:b/>
          <w:bCs/>
          <w:sz w:val="24"/>
          <w:szCs w:val="24"/>
        </w:rPr>
        <w:t>Debt-to-Equity Ratio (1.3)</w:t>
      </w:r>
      <w:r w:rsidRPr="00467E67">
        <w:rPr>
          <w:bCs/>
          <w:sz w:val="24"/>
          <w:szCs w:val="24"/>
        </w:rPr>
        <w:t>: Reflecting moderate leverage, the company employs $1.30 in debt for every $1.00 of equity. Although this can potentially increase returns, it also elevates financial risk. The company must thus ensure its debt obligations are well-managed.</w:t>
      </w:r>
    </w:p>
    <w:p w14:paraId="700D943B" w14:textId="18496BB7" w:rsidR="00E20D0E" w:rsidRPr="00D73645" w:rsidRDefault="00F523AE">
      <w:pPr>
        <w:numPr>
          <w:ilvl w:val="0"/>
          <w:numId w:val="24"/>
        </w:numPr>
        <w:spacing w:line="276" w:lineRule="auto"/>
        <w:jc w:val="both"/>
        <w:rPr>
          <w:bCs/>
          <w:sz w:val="24"/>
          <w:szCs w:val="24"/>
        </w:rPr>
      </w:pPr>
      <w:r w:rsidRPr="00467E67">
        <w:rPr>
          <w:b/>
          <w:bCs/>
          <w:sz w:val="24"/>
          <w:szCs w:val="24"/>
        </w:rPr>
        <w:t>Asset Turnover Ratio (0.65)</w:t>
      </w:r>
      <w:r w:rsidRPr="00467E67">
        <w:rPr>
          <w:bCs/>
          <w:sz w:val="24"/>
          <w:szCs w:val="24"/>
        </w:rPr>
        <w:t>: This ratio indicates potential underutilization of assets in generating revenue, with just $0.65 earned for every dollar of assets. Improvement in this area could be considered, aligning with industry standards.</w:t>
      </w:r>
    </w:p>
    <w:p w14:paraId="798C047E" w14:textId="77777777" w:rsidR="00ED0194" w:rsidRPr="00D73645" w:rsidRDefault="0016000A" w:rsidP="00077509">
      <w:pPr>
        <w:pStyle w:val="Heading1"/>
        <w:numPr>
          <w:ilvl w:val="0"/>
          <w:numId w:val="26"/>
        </w:numPr>
        <w:rPr>
          <w:b/>
          <w:vanish/>
          <w:color w:val="000000" w:themeColor="text1"/>
        </w:rPr>
      </w:pPr>
      <w:bookmarkStart w:id="14" w:name="_Toc163310230"/>
      <w:r w:rsidRPr="00D73645">
        <w:rPr>
          <w:b/>
          <w:color w:val="000000" w:themeColor="text1"/>
        </w:rPr>
        <w:t>Evaluations of ratios</w:t>
      </w:r>
      <w:bookmarkEnd w:id="14"/>
      <w:r w:rsidRPr="00D73645">
        <w:rPr>
          <w:b/>
          <w:color w:val="000000" w:themeColor="text1"/>
        </w:rPr>
        <w:t xml:space="preserve"> </w:t>
      </w:r>
      <w:r w:rsidR="00ED0194" w:rsidRPr="00D73645">
        <w:rPr>
          <w:b/>
          <w:vanish/>
          <w:color w:val="000000" w:themeColor="text1"/>
        </w:rPr>
        <w:t>Top of Form</w:t>
      </w:r>
    </w:p>
    <w:p w14:paraId="0B954A97" w14:textId="77777777" w:rsidR="00ED0194" w:rsidRPr="00467E67" w:rsidRDefault="00ED0194" w:rsidP="00467E67">
      <w:pPr>
        <w:spacing w:line="276" w:lineRule="auto"/>
        <w:jc w:val="both"/>
        <w:rPr>
          <w:sz w:val="24"/>
          <w:szCs w:val="24"/>
        </w:rPr>
      </w:pPr>
    </w:p>
    <w:p w14:paraId="795B3D39" w14:textId="77777777" w:rsidR="00F523AE" w:rsidRPr="00467E67" w:rsidRDefault="00F523AE" w:rsidP="00467E67">
      <w:pPr>
        <w:spacing w:line="276" w:lineRule="auto"/>
        <w:jc w:val="both"/>
        <w:rPr>
          <w:sz w:val="24"/>
          <w:szCs w:val="24"/>
        </w:rPr>
      </w:pPr>
      <w:r w:rsidRPr="00467E67">
        <w:rPr>
          <w:sz w:val="24"/>
          <w:szCs w:val="24"/>
        </w:rPr>
        <w:t>The critical examination of financial ratios, informed by academic literature, offers valuable insights into the company's fiscal health:</w:t>
      </w:r>
    </w:p>
    <w:p w14:paraId="3C48A0A7" w14:textId="4436DCDB" w:rsidR="00F523AE" w:rsidRPr="002E59C7" w:rsidRDefault="00F523AE">
      <w:pPr>
        <w:numPr>
          <w:ilvl w:val="0"/>
          <w:numId w:val="25"/>
        </w:numPr>
        <w:spacing w:line="276" w:lineRule="auto"/>
        <w:jc w:val="both"/>
        <w:rPr>
          <w:sz w:val="24"/>
          <w:szCs w:val="24"/>
        </w:rPr>
      </w:pPr>
      <w:r w:rsidRPr="00467E67">
        <w:rPr>
          <w:b/>
          <w:bCs/>
          <w:sz w:val="24"/>
          <w:szCs w:val="24"/>
        </w:rPr>
        <w:t>Net Profit Margin (14.20%)</w:t>
      </w:r>
      <w:r w:rsidRPr="00467E67">
        <w:rPr>
          <w:sz w:val="24"/>
          <w:szCs w:val="24"/>
        </w:rPr>
        <w:t xml:space="preserve">: As Brigham and Houston (2019) </w:t>
      </w:r>
      <w:r w:rsidRPr="002E59C7">
        <w:rPr>
          <w:sz w:val="24"/>
          <w:szCs w:val="24"/>
        </w:rPr>
        <w:t>articulate, a robust net profit margin signifies proficient cost management and robust profitability. The company's margin of 14.20% indicates effective revenue conversion into profit. However, as Palepu and Healy (2020) advise in "Business Analysis and Valuation," comparing this figure against industry benchmarks and past performance provides a more nuanced understanding.</w:t>
      </w:r>
    </w:p>
    <w:p w14:paraId="494804B4" w14:textId="77777777" w:rsidR="00F523AE" w:rsidRPr="00467E67" w:rsidRDefault="00F523AE" w:rsidP="00077509">
      <w:pPr>
        <w:numPr>
          <w:ilvl w:val="0"/>
          <w:numId w:val="25"/>
        </w:numPr>
        <w:spacing w:line="276" w:lineRule="auto"/>
        <w:jc w:val="both"/>
        <w:rPr>
          <w:sz w:val="24"/>
          <w:szCs w:val="24"/>
        </w:rPr>
      </w:pPr>
      <w:r w:rsidRPr="00467E67">
        <w:rPr>
          <w:b/>
          <w:bCs/>
          <w:sz w:val="24"/>
          <w:szCs w:val="24"/>
        </w:rPr>
        <w:t>Current Ratio (1.2)</w:t>
      </w:r>
      <w:r w:rsidRPr="00467E67">
        <w:rPr>
          <w:sz w:val="24"/>
          <w:szCs w:val="24"/>
        </w:rPr>
        <w:t xml:space="preserve">: Echoing Gitman and Zutter (2018) from "Principles of Managerial Finance," a current ratio above 1 suggests the company possesses adequate liquidity to fulfill short-term obligations. Nevertheless, with a current ratio of 1.2, there's a slight liquidity concern, underlining the importance of industry comparisons as suggested by Ross, </w:t>
      </w:r>
      <w:proofErr w:type="spellStart"/>
      <w:r w:rsidRPr="00467E67">
        <w:rPr>
          <w:sz w:val="24"/>
          <w:szCs w:val="24"/>
        </w:rPr>
        <w:t>Westerfield</w:t>
      </w:r>
      <w:proofErr w:type="spellEnd"/>
      <w:r w:rsidRPr="00467E67">
        <w:rPr>
          <w:sz w:val="24"/>
          <w:szCs w:val="24"/>
        </w:rPr>
        <w:t>, and Jordan (2019) in "Fundamentals of Corporate Finance."</w:t>
      </w:r>
    </w:p>
    <w:p w14:paraId="6AE945A7" w14:textId="77777777" w:rsidR="00F523AE" w:rsidRPr="00467E67" w:rsidRDefault="00F523AE" w:rsidP="00077509">
      <w:pPr>
        <w:numPr>
          <w:ilvl w:val="0"/>
          <w:numId w:val="25"/>
        </w:numPr>
        <w:spacing w:line="276" w:lineRule="auto"/>
        <w:jc w:val="both"/>
        <w:rPr>
          <w:sz w:val="24"/>
          <w:szCs w:val="24"/>
        </w:rPr>
      </w:pPr>
      <w:r w:rsidRPr="00467E67">
        <w:rPr>
          <w:b/>
          <w:bCs/>
          <w:sz w:val="24"/>
          <w:szCs w:val="24"/>
        </w:rPr>
        <w:t>Debt-to-Equity Ratio (1.3)</w:t>
      </w:r>
      <w:r w:rsidRPr="00467E67">
        <w:rPr>
          <w:sz w:val="24"/>
          <w:szCs w:val="24"/>
        </w:rPr>
        <w:t>: Brealey, Myers, and Allen (2020) in "Principles of Corporate Finance," note that while moderate debt-to-equity can boost equity returns, it also amplifies financial risk. The company's ratio of 1.3 indicates a balanced approach to debt and equity financing, contingent on stable cash flow generation for debt servicing, as Damodaran (2016) highlights in "Investment Valuation."</w:t>
      </w:r>
    </w:p>
    <w:p w14:paraId="19B82ABB" w14:textId="796779F1" w:rsidR="00E20D0E" w:rsidRPr="00467E67" w:rsidRDefault="00F523AE">
      <w:pPr>
        <w:numPr>
          <w:ilvl w:val="0"/>
          <w:numId w:val="25"/>
        </w:numPr>
        <w:spacing w:line="276" w:lineRule="auto"/>
        <w:jc w:val="both"/>
        <w:rPr>
          <w:sz w:val="24"/>
          <w:szCs w:val="24"/>
        </w:rPr>
      </w:pPr>
      <w:r w:rsidRPr="00467E67">
        <w:rPr>
          <w:b/>
          <w:bCs/>
          <w:sz w:val="24"/>
          <w:szCs w:val="24"/>
        </w:rPr>
        <w:lastRenderedPageBreak/>
        <w:t>Asset Turnover Ratio (0.65)</w:t>
      </w:r>
      <w:r w:rsidRPr="00467E67">
        <w:rPr>
          <w:sz w:val="24"/>
          <w:szCs w:val="24"/>
        </w:rPr>
        <w:t xml:space="preserve">: </w:t>
      </w:r>
      <w:proofErr w:type="spellStart"/>
      <w:r w:rsidRPr="00467E67">
        <w:rPr>
          <w:sz w:val="24"/>
          <w:szCs w:val="24"/>
        </w:rPr>
        <w:t>Kieso</w:t>
      </w:r>
      <w:proofErr w:type="spellEnd"/>
      <w:r w:rsidRPr="00467E67">
        <w:rPr>
          <w:sz w:val="24"/>
          <w:szCs w:val="24"/>
        </w:rPr>
        <w:t>, Weygandt, and Warfield (2018) in "Intermediate Accounting" emphasize this ratio's role in evaluating asset utilization efficiency in generating sales. A ratio of 0.65 may suggest potential for better asset utilization, reinforcing Penman's (2017) recommendation in "Financial Statement Analysis and Security Valuation" to compare against industry averages and assess trends over time.</w:t>
      </w:r>
    </w:p>
    <w:p w14:paraId="40D25992" w14:textId="77777777" w:rsidR="00D73645" w:rsidRPr="007246C4" w:rsidRDefault="00A2641F" w:rsidP="00D73645">
      <w:pPr>
        <w:pStyle w:val="Heading1"/>
        <w:numPr>
          <w:ilvl w:val="0"/>
          <w:numId w:val="26"/>
        </w:numPr>
        <w:rPr>
          <w:b/>
          <w:color w:val="000000" w:themeColor="text1"/>
        </w:rPr>
      </w:pPr>
      <w:bookmarkStart w:id="15" w:name="_Toc163310231"/>
      <w:r w:rsidRPr="00D73645">
        <w:rPr>
          <w:b/>
          <w:color w:val="000000" w:themeColor="text1"/>
        </w:rPr>
        <w:t>Comparison with competitor</w:t>
      </w:r>
      <w:bookmarkEnd w:id="15"/>
      <w:r w:rsidRPr="00D73645">
        <w:rPr>
          <w:b/>
          <w:color w:val="000000" w:themeColor="text1"/>
        </w:rPr>
        <w:t xml:space="preserve"> </w:t>
      </w:r>
    </w:p>
    <w:p w14:paraId="60C3035D" w14:textId="77777777" w:rsidR="00A2641F" w:rsidRPr="00467E67" w:rsidRDefault="00192103" w:rsidP="00467E67">
      <w:pPr>
        <w:spacing w:line="276" w:lineRule="auto"/>
        <w:jc w:val="both"/>
        <w:rPr>
          <w:sz w:val="24"/>
          <w:szCs w:val="24"/>
        </w:rPr>
      </w:pPr>
      <w:r w:rsidRPr="00192103">
        <w:rPr>
          <w:sz w:val="24"/>
          <w:szCs w:val="24"/>
        </w:rPr>
        <w:t>To compare the calculated ratios for Netflix with a major competitor, that is Disney+, an equivalent set of ratios for the Disney+ has to be obtained.</w:t>
      </w:r>
    </w:p>
    <w:p w14:paraId="3464F202" w14:textId="77777777" w:rsidR="00A2641F" w:rsidRPr="00D73645" w:rsidRDefault="00A2641F" w:rsidP="00077509">
      <w:pPr>
        <w:numPr>
          <w:ilvl w:val="0"/>
          <w:numId w:val="2"/>
        </w:numPr>
        <w:spacing w:line="276" w:lineRule="auto"/>
        <w:jc w:val="both"/>
        <w:rPr>
          <w:i/>
          <w:sz w:val="24"/>
          <w:szCs w:val="24"/>
        </w:rPr>
      </w:pPr>
      <w:r w:rsidRPr="00D73645">
        <w:rPr>
          <w:b/>
          <w:bCs/>
          <w:i/>
          <w:sz w:val="24"/>
          <w:szCs w:val="24"/>
        </w:rPr>
        <w:t>Net Profit Margin</w:t>
      </w:r>
      <w:r w:rsidR="00AF3DB8" w:rsidRPr="00D73645">
        <w:rPr>
          <w:i/>
          <w:sz w:val="24"/>
          <w:szCs w:val="24"/>
        </w:rPr>
        <w:t>: 3.93</w:t>
      </w:r>
    </w:p>
    <w:p w14:paraId="1FA50DCC" w14:textId="77777777" w:rsidR="00A2641F" w:rsidRPr="00D73645" w:rsidRDefault="00A2641F" w:rsidP="00077509">
      <w:pPr>
        <w:numPr>
          <w:ilvl w:val="0"/>
          <w:numId w:val="2"/>
        </w:numPr>
        <w:spacing w:line="276" w:lineRule="auto"/>
        <w:jc w:val="both"/>
        <w:rPr>
          <w:i/>
          <w:sz w:val="24"/>
          <w:szCs w:val="24"/>
        </w:rPr>
      </w:pPr>
      <w:r w:rsidRPr="00D73645">
        <w:rPr>
          <w:b/>
          <w:bCs/>
          <w:i/>
          <w:sz w:val="24"/>
          <w:szCs w:val="24"/>
        </w:rPr>
        <w:t>Current Ratio</w:t>
      </w:r>
      <w:r w:rsidR="00AF3DB8" w:rsidRPr="00D73645">
        <w:rPr>
          <w:i/>
          <w:sz w:val="24"/>
          <w:szCs w:val="24"/>
        </w:rPr>
        <w:t>: 0.99</w:t>
      </w:r>
    </w:p>
    <w:p w14:paraId="1A0F0123" w14:textId="77777777" w:rsidR="00A2641F" w:rsidRPr="00D73645" w:rsidRDefault="00A2641F" w:rsidP="00077509">
      <w:pPr>
        <w:numPr>
          <w:ilvl w:val="0"/>
          <w:numId w:val="2"/>
        </w:numPr>
        <w:spacing w:line="276" w:lineRule="auto"/>
        <w:jc w:val="both"/>
        <w:rPr>
          <w:i/>
          <w:sz w:val="24"/>
          <w:szCs w:val="24"/>
        </w:rPr>
      </w:pPr>
      <w:r w:rsidRPr="00D73645">
        <w:rPr>
          <w:b/>
          <w:bCs/>
          <w:i/>
          <w:sz w:val="24"/>
          <w:szCs w:val="24"/>
        </w:rPr>
        <w:t>Debt-to-Equity Ratio</w:t>
      </w:r>
      <w:r w:rsidR="00AF3DB8" w:rsidRPr="00D73645">
        <w:rPr>
          <w:i/>
          <w:sz w:val="24"/>
          <w:szCs w:val="24"/>
        </w:rPr>
        <w:t>: 1.14</w:t>
      </w:r>
    </w:p>
    <w:p w14:paraId="4CAB4DC4" w14:textId="77777777" w:rsidR="00A2641F" w:rsidRPr="00D73645" w:rsidRDefault="00A2641F" w:rsidP="00077509">
      <w:pPr>
        <w:numPr>
          <w:ilvl w:val="0"/>
          <w:numId w:val="2"/>
        </w:numPr>
        <w:spacing w:line="276" w:lineRule="auto"/>
        <w:jc w:val="both"/>
        <w:rPr>
          <w:i/>
          <w:sz w:val="24"/>
          <w:szCs w:val="24"/>
        </w:rPr>
      </w:pPr>
      <w:r w:rsidRPr="00D73645">
        <w:rPr>
          <w:b/>
          <w:bCs/>
          <w:i/>
          <w:sz w:val="24"/>
          <w:szCs w:val="24"/>
        </w:rPr>
        <w:t>Asset Turnover Ratio</w:t>
      </w:r>
      <w:r w:rsidR="00AF3DB8" w:rsidRPr="00D73645">
        <w:rPr>
          <w:i/>
          <w:sz w:val="24"/>
          <w:szCs w:val="24"/>
        </w:rPr>
        <w:t>: 0.4</w:t>
      </w:r>
    </w:p>
    <w:p w14:paraId="62D33EEE" w14:textId="77777777" w:rsidR="00323031" w:rsidRPr="00467E67" w:rsidRDefault="00323031" w:rsidP="00467E67">
      <w:pPr>
        <w:spacing w:line="276" w:lineRule="auto"/>
        <w:ind w:left="720"/>
        <w:jc w:val="both"/>
        <w:rPr>
          <w:sz w:val="24"/>
          <w:szCs w:val="24"/>
        </w:rPr>
      </w:pPr>
    </w:p>
    <w:tbl>
      <w:tblPr>
        <w:tblStyle w:val="GridTable4-Accent6"/>
        <w:tblW w:w="0" w:type="auto"/>
        <w:tblLook w:val="04A0" w:firstRow="1" w:lastRow="0" w:firstColumn="1" w:lastColumn="0" w:noHBand="0" w:noVBand="1"/>
      </w:tblPr>
      <w:tblGrid>
        <w:gridCol w:w="2907"/>
        <w:gridCol w:w="2888"/>
        <w:gridCol w:w="2893"/>
      </w:tblGrid>
      <w:tr w:rsidR="00FD2640" w:rsidRPr="00467E67" w14:paraId="0AD34A26" w14:textId="77777777" w:rsidTr="00AF3DB8">
        <w:trPr>
          <w:cnfStyle w:val="100000000000" w:firstRow="1" w:lastRow="0" w:firstColumn="0" w:lastColumn="0" w:oddVBand="0" w:evenVBand="0" w:oddHBand="0"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2907" w:type="dxa"/>
          </w:tcPr>
          <w:p w14:paraId="5D220B6C" w14:textId="77777777" w:rsidR="00FD2640" w:rsidRPr="00467E67" w:rsidRDefault="00AF3DB8" w:rsidP="00467E67">
            <w:pPr>
              <w:spacing w:line="276" w:lineRule="auto"/>
              <w:jc w:val="both"/>
              <w:rPr>
                <w:sz w:val="24"/>
                <w:szCs w:val="24"/>
              </w:rPr>
            </w:pPr>
            <w:r w:rsidRPr="00467E67">
              <w:rPr>
                <w:sz w:val="24"/>
                <w:szCs w:val="24"/>
              </w:rPr>
              <w:t>Ratios</w:t>
            </w:r>
          </w:p>
        </w:tc>
        <w:tc>
          <w:tcPr>
            <w:tcW w:w="2888" w:type="dxa"/>
          </w:tcPr>
          <w:p w14:paraId="7E1D1BB3" w14:textId="77777777" w:rsidR="00FD2640" w:rsidRPr="00467E67" w:rsidRDefault="006E5CFB" w:rsidP="00467E67">
            <w:pPr>
              <w:spacing w:line="276"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467E67">
              <w:rPr>
                <w:sz w:val="24"/>
                <w:szCs w:val="24"/>
              </w:rPr>
              <w:t xml:space="preserve">Netflix </w:t>
            </w:r>
          </w:p>
        </w:tc>
        <w:tc>
          <w:tcPr>
            <w:tcW w:w="2893" w:type="dxa"/>
          </w:tcPr>
          <w:p w14:paraId="3DBCB0B1" w14:textId="77777777" w:rsidR="00FD2640" w:rsidRPr="00467E67" w:rsidRDefault="006E5CFB" w:rsidP="00467E67">
            <w:pPr>
              <w:spacing w:line="276"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467E67">
              <w:rPr>
                <w:sz w:val="24"/>
                <w:szCs w:val="24"/>
              </w:rPr>
              <w:t>Disney+</w:t>
            </w:r>
          </w:p>
        </w:tc>
      </w:tr>
      <w:tr w:rsidR="00FD2640" w:rsidRPr="00467E67" w14:paraId="6053EA91" w14:textId="77777777" w:rsidTr="00AF3DB8">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2907" w:type="dxa"/>
          </w:tcPr>
          <w:p w14:paraId="66D05118" w14:textId="77777777" w:rsidR="00FD2640" w:rsidRPr="00467E67" w:rsidRDefault="00FD2640" w:rsidP="00467E67">
            <w:pPr>
              <w:spacing w:line="276" w:lineRule="auto"/>
              <w:jc w:val="both"/>
              <w:rPr>
                <w:sz w:val="24"/>
                <w:szCs w:val="24"/>
              </w:rPr>
            </w:pPr>
            <w:r w:rsidRPr="00467E67">
              <w:rPr>
                <w:sz w:val="24"/>
                <w:szCs w:val="24"/>
              </w:rPr>
              <w:t>Net Profit Margin</w:t>
            </w:r>
          </w:p>
        </w:tc>
        <w:tc>
          <w:tcPr>
            <w:tcW w:w="2888" w:type="dxa"/>
          </w:tcPr>
          <w:p w14:paraId="60C3F5E2" w14:textId="77777777" w:rsidR="00FD2640" w:rsidRPr="00467E67" w:rsidRDefault="00FD2640" w:rsidP="00467E67">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467E67">
              <w:rPr>
                <w:sz w:val="24"/>
                <w:szCs w:val="24"/>
              </w:rPr>
              <w:t>14.20%</w:t>
            </w:r>
          </w:p>
        </w:tc>
        <w:tc>
          <w:tcPr>
            <w:tcW w:w="2893" w:type="dxa"/>
          </w:tcPr>
          <w:p w14:paraId="58BCDC15" w14:textId="77777777" w:rsidR="00FD2640" w:rsidRPr="00467E67" w:rsidRDefault="006E5CFB" w:rsidP="00467E67">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467E67">
              <w:rPr>
                <w:sz w:val="24"/>
                <w:szCs w:val="24"/>
              </w:rPr>
              <w:t>3.93%</w:t>
            </w:r>
          </w:p>
        </w:tc>
      </w:tr>
      <w:tr w:rsidR="00FD2640" w:rsidRPr="00467E67" w14:paraId="240ABB3E" w14:textId="77777777" w:rsidTr="00AF3DB8">
        <w:trPr>
          <w:trHeight w:val="328"/>
        </w:trPr>
        <w:tc>
          <w:tcPr>
            <w:cnfStyle w:val="001000000000" w:firstRow="0" w:lastRow="0" w:firstColumn="1" w:lastColumn="0" w:oddVBand="0" w:evenVBand="0" w:oddHBand="0" w:evenHBand="0" w:firstRowFirstColumn="0" w:firstRowLastColumn="0" w:lastRowFirstColumn="0" w:lastRowLastColumn="0"/>
            <w:tcW w:w="2907" w:type="dxa"/>
          </w:tcPr>
          <w:p w14:paraId="0E5AADD2" w14:textId="77777777" w:rsidR="00FD2640" w:rsidRPr="00467E67" w:rsidRDefault="00FD2640" w:rsidP="00467E67">
            <w:pPr>
              <w:spacing w:line="276" w:lineRule="auto"/>
              <w:jc w:val="both"/>
              <w:rPr>
                <w:sz w:val="24"/>
                <w:szCs w:val="24"/>
              </w:rPr>
            </w:pPr>
            <w:r w:rsidRPr="00467E67">
              <w:rPr>
                <w:sz w:val="24"/>
                <w:szCs w:val="24"/>
              </w:rPr>
              <w:t>Current Ratio</w:t>
            </w:r>
          </w:p>
        </w:tc>
        <w:tc>
          <w:tcPr>
            <w:tcW w:w="2888" w:type="dxa"/>
          </w:tcPr>
          <w:p w14:paraId="47CB0F68" w14:textId="77777777" w:rsidR="00FD2640" w:rsidRPr="00467E67" w:rsidRDefault="00FD2640" w:rsidP="00467E67">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467E67">
              <w:rPr>
                <w:sz w:val="24"/>
                <w:szCs w:val="24"/>
              </w:rPr>
              <w:t>1.2</w:t>
            </w:r>
          </w:p>
        </w:tc>
        <w:tc>
          <w:tcPr>
            <w:tcW w:w="2893" w:type="dxa"/>
          </w:tcPr>
          <w:p w14:paraId="541AD283" w14:textId="77777777" w:rsidR="00FD2640" w:rsidRPr="00467E67" w:rsidRDefault="006E5CFB" w:rsidP="00467E67">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467E67">
              <w:rPr>
                <w:sz w:val="24"/>
                <w:szCs w:val="24"/>
              </w:rPr>
              <w:t>0.99</w:t>
            </w:r>
          </w:p>
        </w:tc>
      </w:tr>
      <w:tr w:rsidR="00FD2640" w:rsidRPr="00467E67" w14:paraId="11DC5552" w14:textId="77777777" w:rsidTr="00AF3DB8">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2907" w:type="dxa"/>
          </w:tcPr>
          <w:p w14:paraId="4ABDF039" w14:textId="77777777" w:rsidR="00FD2640" w:rsidRPr="00467E67" w:rsidRDefault="00FD2640" w:rsidP="00467E67">
            <w:pPr>
              <w:spacing w:line="276" w:lineRule="auto"/>
              <w:jc w:val="both"/>
              <w:rPr>
                <w:sz w:val="24"/>
                <w:szCs w:val="24"/>
              </w:rPr>
            </w:pPr>
            <w:r w:rsidRPr="00467E67">
              <w:rPr>
                <w:sz w:val="24"/>
                <w:szCs w:val="24"/>
              </w:rPr>
              <w:t>Debt-to-Equity Ratio</w:t>
            </w:r>
          </w:p>
        </w:tc>
        <w:tc>
          <w:tcPr>
            <w:tcW w:w="2888" w:type="dxa"/>
          </w:tcPr>
          <w:p w14:paraId="73B5851C" w14:textId="77777777" w:rsidR="00FD2640" w:rsidRPr="00467E67" w:rsidRDefault="00FD2640" w:rsidP="00467E67">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467E67">
              <w:rPr>
                <w:sz w:val="24"/>
                <w:szCs w:val="24"/>
              </w:rPr>
              <w:t>1.3</w:t>
            </w:r>
          </w:p>
        </w:tc>
        <w:tc>
          <w:tcPr>
            <w:tcW w:w="2893" w:type="dxa"/>
          </w:tcPr>
          <w:p w14:paraId="15C06B2D" w14:textId="77777777" w:rsidR="00FD2640" w:rsidRPr="00467E67" w:rsidRDefault="006E5CFB" w:rsidP="00467E67">
            <w:pPr>
              <w:spacing w:line="276"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467E67">
              <w:rPr>
                <w:sz w:val="24"/>
                <w:szCs w:val="24"/>
              </w:rPr>
              <w:t>1.14</w:t>
            </w:r>
          </w:p>
        </w:tc>
      </w:tr>
      <w:tr w:rsidR="00FD2640" w:rsidRPr="00467E67" w14:paraId="3349AA1A" w14:textId="77777777" w:rsidTr="00AF3DB8">
        <w:trPr>
          <w:trHeight w:val="328"/>
        </w:trPr>
        <w:tc>
          <w:tcPr>
            <w:cnfStyle w:val="001000000000" w:firstRow="0" w:lastRow="0" w:firstColumn="1" w:lastColumn="0" w:oddVBand="0" w:evenVBand="0" w:oddHBand="0" w:evenHBand="0" w:firstRowFirstColumn="0" w:firstRowLastColumn="0" w:lastRowFirstColumn="0" w:lastRowLastColumn="0"/>
            <w:tcW w:w="2907" w:type="dxa"/>
          </w:tcPr>
          <w:p w14:paraId="4CC1F890" w14:textId="77777777" w:rsidR="00FD2640" w:rsidRPr="00467E67" w:rsidRDefault="00FD2640" w:rsidP="00467E67">
            <w:pPr>
              <w:spacing w:line="276" w:lineRule="auto"/>
              <w:jc w:val="both"/>
              <w:rPr>
                <w:sz w:val="24"/>
                <w:szCs w:val="24"/>
              </w:rPr>
            </w:pPr>
            <w:r w:rsidRPr="00467E67">
              <w:rPr>
                <w:sz w:val="24"/>
                <w:szCs w:val="24"/>
              </w:rPr>
              <w:t>Asset Turnover Ratio:</w:t>
            </w:r>
          </w:p>
        </w:tc>
        <w:tc>
          <w:tcPr>
            <w:tcW w:w="2888" w:type="dxa"/>
          </w:tcPr>
          <w:p w14:paraId="48699AFB" w14:textId="77777777" w:rsidR="00FD2640" w:rsidRPr="00467E67" w:rsidRDefault="00FD2640" w:rsidP="00467E67">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467E67">
              <w:rPr>
                <w:sz w:val="24"/>
                <w:szCs w:val="24"/>
              </w:rPr>
              <w:t>0.65</w:t>
            </w:r>
          </w:p>
        </w:tc>
        <w:tc>
          <w:tcPr>
            <w:tcW w:w="2893" w:type="dxa"/>
          </w:tcPr>
          <w:p w14:paraId="166B73E4" w14:textId="77777777" w:rsidR="00FD2640" w:rsidRPr="00467E67" w:rsidRDefault="006E5CFB" w:rsidP="00467E67">
            <w:pPr>
              <w:spacing w:line="276"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467E67">
              <w:rPr>
                <w:sz w:val="24"/>
                <w:szCs w:val="24"/>
              </w:rPr>
              <w:t xml:space="preserve">0.4 </w:t>
            </w:r>
          </w:p>
        </w:tc>
      </w:tr>
    </w:tbl>
    <w:p w14:paraId="2C0F6ABC" w14:textId="54326F13" w:rsidR="00FD2640" w:rsidRPr="008958CA" w:rsidRDefault="00FD2640" w:rsidP="008958CA">
      <w:pPr>
        <w:spacing w:line="276" w:lineRule="auto"/>
        <w:ind w:left="720"/>
        <w:jc w:val="both"/>
        <w:rPr>
          <w:sz w:val="24"/>
          <w:szCs w:val="24"/>
        </w:rPr>
      </w:pPr>
    </w:p>
    <w:p w14:paraId="667E661E" w14:textId="77777777" w:rsidR="00A2641F" w:rsidRPr="00467E67" w:rsidRDefault="00A2641F" w:rsidP="00467E67">
      <w:pPr>
        <w:spacing w:line="276" w:lineRule="auto"/>
        <w:jc w:val="both"/>
        <w:rPr>
          <w:b/>
          <w:bCs/>
          <w:sz w:val="24"/>
          <w:szCs w:val="24"/>
        </w:rPr>
      </w:pPr>
      <w:r w:rsidRPr="00467E67">
        <w:rPr>
          <w:b/>
          <w:bCs/>
          <w:sz w:val="24"/>
          <w:szCs w:val="24"/>
        </w:rPr>
        <w:t>Comparison:</w:t>
      </w:r>
    </w:p>
    <w:p w14:paraId="1A20731A" w14:textId="77777777" w:rsidR="00323031" w:rsidRPr="00467E67" w:rsidRDefault="00323031" w:rsidP="00467E67">
      <w:pPr>
        <w:spacing w:line="276" w:lineRule="auto"/>
        <w:jc w:val="both"/>
        <w:rPr>
          <w:sz w:val="24"/>
          <w:szCs w:val="24"/>
        </w:rPr>
      </w:pPr>
      <w:r w:rsidRPr="00467E67">
        <w:rPr>
          <w:sz w:val="24"/>
          <w:szCs w:val="24"/>
        </w:rPr>
        <w:t>Based on the provided financial ratios, here is a comparison between Netflix and Disney+:</w:t>
      </w:r>
    </w:p>
    <w:p w14:paraId="69EC7CFE" w14:textId="77777777" w:rsidR="00A2641F" w:rsidRDefault="00A2641F" w:rsidP="00077509">
      <w:pPr>
        <w:pStyle w:val="Heading2"/>
        <w:numPr>
          <w:ilvl w:val="1"/>
          <w:numId w:val="26"/>
        </w:numPr>
        <w:rPr>
          <w:b/>
          <w:color w:val="000000" w:themeColor="text1"/>
        </w:rPr>
      </w:pPr>
      <w:bookmarkStart w:id="16" w:name="_Toc163310232"/>
      <w:r w:rsidRPr="00D73645">
        <w:rPr>
          <w:b/>
          <w:color w:val="000000" w:themeColor="text1"/>
        </w:rPr>
        <w:t>Net Profit Margin:</w:t>
      </w:r>
      <w:bookmarkEnd w:id="16"/>
    </w:p>
    <w:p w14:paraId="3084003B" w14:textId="77777777" w:rsidR="00D73645" w:rsidRPr="00D73645" w:rsidRDefault="00D73645" w:rsidP="00D73645"/>
    <w:p w14:paraId="530996BF" w14:textId="77777777" w:rsidR="00A2641F" w:rsidRPr="00D73645" w:rsidRDefault="00323031" w:rsidP="00077509">
      <w:pPr>
        <w:numPr>
          <w:ilvl w:val="1"/>
          <w:numId w:val="3"/>
        </w:numPr>
        <w:spacing w:line="276" w:lineRule="auto"/>
        <w:jc w:val="both"/>
        <w:rPr>
          <w:b/>
          <w:sz w:val="24"/>
          <w:szCs w:val="24"/>
        </w:rPr>
      </w:pPr>
      <w:r w:rsidRPr="00D73645">
        <w:rPr>
          <w:b/>
          <w:bCs/>
          <w:sz w:val="24"/>
          <w:szCs w:val="24"/>
        </w:rPr>
        <w:t>Netflix</w:t>
      </w:r>
      <w:r w:rsidR="00A2641F" w:rsidRPr="00D73645">
        <w:rPr>
          <w:b/>
          <w:sz w:val="24"/>
          <w:szCs w:val="24"/>
        </w:rPr>
        <w:t>: 14.20%</w:t>
      </w:r>
    </w:p>
    <w:p w14:paraId="31E909E2" w14:textId="77777777" w:rsidR="00A2641F" w:rsidRPr="00D73645" w:rsidRDefault="00323031" w:rsidP="00077509">
      <w:pPr>
        <w:numPr>
          <w:ilvl w:val="1"/>
          <w:numId w:val="3"/>
        </w:numPr>
        <w:spacing w:line="276" w:lineRule="auto"/>
        <w:jc w:val="both"/>
        <w:rPr>
          <w:b/>
          <w:sz w:val="24"/>
          <w:szCs w:val="24"/>
        </w:rPr>
      </w:pPr>
      <w:r w:rsidRPr="00D73645">
        <w:rPr>
          <w:b/>
          <w:sz w:val="24"/>
          <w:szCs w:val="24"/>
        </w:rPr>
        <w:t>Disney+</w:t>
      </w:r>
      <w:r w:rsidR="00A2641F" w:rsidRPr="00D73645">
        <w:rPr>
          <w:b/>
          <w:sz w:val="24"/>
          <w:szCs w:val="24"/>
        </w:rPr>
        <w:t>: 12%</w:t>
      </w:r>
    </w:p>
    <w:p w14:paraId="542CFD8A" w14:textId="77777777" w:rsidR="00D47CCC" w:rsidRPr="00D73645" w:rsidRDefault="00D47CCC" w:rsidP="00467E67">
      <w:pPr>
        <w:spacing w:line="276" w:lineRule="auto"/>
        <w:jc w:val="both"/>
        <w:rPr>
          <w:b/>
          <w:sz w:val="24"/>
          <w:szCs w:val="24"/>
        </w:rPr>
      </w:pPr>
      <w:r w:rsidRPr="00D73645">
        <w:rPr>
          <w:b/>
          <w:sz w:val="24"/>
          <w:szCs w:val="24"/>
        </w:rPr>
        <w:t xml:space="preserve"> Netflix (14.20%):</w:t>
      </w:r>
    </w:p>
    <w:p w14:paraId="5D077A30" w14:textId="77777777" w:rsidR="00D47CCC" w:rsidRPr="00467E67" w:rsidRDefault="00D47CCC" w:rsidP="00467E67">
      <w:pPr>
        <w:spacing w:line="276" w:lineRule="auto"/>
        <w:ind w:left="360"/>
        <w:jc w:val="both"/>
        <w:rPr>
          <w:sz w:val="24"/>
          <w:szCs w:val="24"/>
        </w:rPr>
      </w:pPr>
    </w:p>
    <w:p w14:paraId="02E7623A" w14:textId="77777777" w:rsidR="007246C4" w:rsidRPr="007246C4" w:rsidRDefault="007246C4" w:rsidP="007246C4">
      <w:pPr>
        <w:pStyle w:val="ListParagraph"/>
        <w:numPr>
          <w:ilvl w:val="0"/>
          <w:numId w:val="28"/>
        </w:numPr>
        <w:spacing w:line="276" w:lineRule="auto"/>
        <w:jc w:val="both"/>
        <w:rPr>
          <w:sz w:val="24"/>
          <w:szCs w:val="24"/>
        </w:rPr>
      </w:pPr>
      <w:r w:rsidRPr="007246C4">
        <w:rPr>
          <w:sz w:val="24"/>
          <w:szCs w:val="24"/>
        </w:rPr>
        <w:t>The net profit margin of 14.20% for Netflix shows that the firm has great efficiency when it comes to converting its topline into net income. Netflix converts about 14.2 cents or more out of every dollar in revenues into earnings.</w:t>
      </w:r>
    </w:p>
    <w:p w14:paraId="01AFF5EF" w14:textId="77777777" w:rsidR="007246C4" w:rsidRPr="007246C4" w:rsidRDefault="007246C4" w:rsidP="007246C4">
      <w:pPr>
        <w:pStyle w:val="ListParagraph"/>
        <w:numPr>
          <w:ilvl w:val="0"/>
          <w:numId w:val="28"/>
        </w:numPr>
        <w:spacing w:line="276" w:lineRule="auto"/>
        <w:jc w:val="both"/>
        <w:rPr>
          <w:sz w:val="24"/>
          <w:szCs w:val="24"/>
        </w:rPr>
      </w:pPr>
      <w:r w:rsidRPr="007246C4">
        <w:rPr>
          <w:sz w:val="24"/>
          <w:szCs w:val="24"/>
        </w:rPr>
        <w:lastRenderedPageBreak/>
        <w:t>This implies that Netflix has very efficient strategies on the management of its costs, as a result, through this very high margin, it can keep most of its earnings as profit.</w:t>
      </w:r>
    </w:p>
    <w:p w14:paraId="567A8168" w14:textId="77777777" w:rsidR="00F523AE" w:rsidRPr="007246C4" w:rsidRDefault="007246C4" w:rsidP="007246C4">
      <w:pPr>
        <w:pStyle w:val="ListParagraph"/>
        <w:numPr>
          <w:ilvl w:val="0"/>
          <w:numId w:val="28"/>
        </w:numPr>
        <w:spacing w:line="276" w:lineRule="auto"/>
        <w:jc w:val="both"/>
        <w:rPr>
          <w:sz w:val="24"/>
          <w:szCs w:val="24"/>
        </w:rPr>
      </w:pPr>
      <w:r w:rsidRPr="007246C4">
        <w:rPr>
          <w:sz w:val="24"/>
          <w:szCs w:val="24"/>
        </w:rPr>
        <w:t>However, subscription-based business models, on the other hand, have kept the company profitable, with a large global subscriber base and its increased focus on original content, which draws in a constant cash flow, while controlling costs to produce and distribute content</w:t>
      </w:r>
      <w:r w:rsidR="00F523AE" w:rsidRPr="007246C4">
        <w:rPr>
          <w:sz w:val="24"/>
          <w:szCs w:val="24"/>
        </w:rPr>
        <w:t>.</w:t>
      </w:r>
    </w:p>
    <w:p w14:paraId="34C34A5E" w14:textId="77777777" w:rsidR="00F523AE" w:rsidRPr="00D73645" w:rsidRDefault="00F523AE" w:rsidP="00467E67">
      <w:pPr>
        <w:spacing w:line="276" w:lineRule="auto"/>
        <w:jc w:val="both"/>
        <w:rPr>
          <w:b/>
          <w:sz w:val="24"/>
          <w:szCs w:val="24"/>
        </w:rPr>
      </w:pPr>
      <w:r w:rsidRPr="00D73645">
        <w:rPr>
          <w:b/>
          <w:sz w:val="24"/>
          <w:szCs w:val="24"/>
        </w:rPr>
        <w:t>Disney+: 12%</w:t>
      </w:r>
    </w:p>
    <w:p w14:paraId="4308D74F" w14:textId="77777777" w:rsidR="00D73645" w:rsidRPr="007246C4" w:rsidRDefault="007246C4" w:rsidP="007246C4">
      <w:pPr>
        <w:spacing w:line="276" w:lineRule="auto"/>
        <w:ind w:left="720"/>
        <w:jc w:val="both"/>
        <w:rPr>
          <w:sz w:val="24"/>
          <w:szCs w:val="24"/>
        </w:rPr>
      </w:pPr>
      <w:r w:rsidRPr="007246C4">
        <w:rPr>
          <w:sz w:val="24"/>
          <w:szCs w:val="24"/>
        </w:rPr>
        <w:t>Disney’s 3.93% net profit margin depicts that the company was holding a lesser profit of its revenue in comparison with Netflix. Disney+ is usually with about 3.9 cents of the net income per dollar of revenue. This gives relatively higher scaling to the content production, licensing, and distribution costs, along with extra expenses brought about by the innate expense of doing business within the larger Disney ecosystem such as theme parks, merchandise, and other entertainment ventures. The more the subscriptions to Disney+ become and correspondingly the larger the content they have, the probable way the service is poised to be even much more profitable, although for now, it is still incommensurably lower than that of.</w:t>
      </w:r>
    </w:p>
    <w:p w14:paraId="4538BF66" w14:textId="77777777" w:rsidR="00A2641F" w:rsidRDefault="00A2641F" w:rsidP="00077509">
      <w:pPr>
        <w:pStyle w:val="Heading2"/>
        <w:numPr>
          <w:ilvl w:val="1"/>
          <w:numId w:val="26"/>
        </w:numPr>
        <w:rPr>
          <w:b/>
          <w:color w:val="000000" w:themeColor="text1"/>
        </w:rPr>
      </w:pPr>
      <w:bookmarkStart w:id="17" w:name="_Toc163310233"/>
      <w:r w:rsidRPr="00D73645">
        <w:rPr>
          <w:b/>
          <w:bCs/>
          <w:color w:val="000000" w:themeColor="text1"/>
        </w:rPr>
        <w:t>Current Ratio</w:t>
      </w:r>
      <w:r w:rsidRPr="00D73645">
        <w:rPr>
          <w:b/>
          <w:color w:val="000000" w:themeColor="text1"/>
        </w:rPr>
        <w:t>:</w:t>
      </w:r>
      <w:bookmarkEnd w:id="17"/>
    </w:p>
    <w:p w14:paraId="2D1393C2" w14:textId="77777777" w:rsidR="00D73645" w:rsidRPr="00D73645" w:rsidRDefault="00D73645" w:rsidP="00D73645"/>
    <w:p w14:paraId="63183BF0" w14:textId="77777777" w:rsidR="00A2641F" w:rsidRPr="00D73645" w:rsidRDefault="00323031" w:rsidP="00077509">
      <w:pPr>
        <w:numPr>
          <w:ilvl w:val="1"/>
          <w:numId w:val="3"/>
        </w:numPr>
        <w:spacing w:line="276" w:lineRule="auto"/>
        <w:jc w:val="both"/>
        <w:rPr>
          <w:b/>
          <w:sz w:val="24"/>
          <w:szCs w:val="24"/>
        </w:rPr>
      </w:pPr>
      <w:r w:rsidRPr="00D73645">
        <w:rPr>
          <w:b/>
          <w:bCs/>
          <w:sz w:val="24"/>
          <w:szCs w:val="24"/>
        </w:rPr>
        <w:t>Netflix</w:t>
      </w:r>
      <w:r w:rsidR="00A2641F" w:rsidRPr="00D73645">
        <w:rPr>
          <w:b/>
          <w:sz w:val="24"/>
          <w:szCs w:val="24"/>
        </w:rPr>
        <w:t>: 1.2</w:t>
      </w:r>
    </w:p>
    <w:p w14:paraId="33C04473" w14:textId="77777777" w:rsidR="00A2641F" w:rsidRPr="00D73645" w:rsidRDefault="00323031" w:rsidP="00077509">
      <w:pPr>
        <w:numPr>
          <w:ilvl w:val="1"/>
          <w:numId w:val="3"/>
        </w:numPr>
        <w:spacing w:line="276" w:lineRule="auto"/>
        <w:jc w:val="both"/>
        <w:rPr>
          <w:b/>
          <w:sz w:val="24"/>
          <w:szCs w:val="24"/>
        </w:rPr>
      </w:pPr>
      <w:r w:rsidRPr="00D73645">
        <w:rPr>
          <w:b/>
          <w:sz w:val="24"/>
          <w:szCs w:val="24"/>
        </w:rPr>
        <w:t>Disney+</w:t>
      </w:r>
      <w:r w:rsidR="00A2641F" w:rsidRPr="00D73645">
        <w:rPr>
          <w:b/>
          <w:sz w:val="24"/>
          <w:szCs w:val="24"/>
        </w:rPr>
        <w:t>: 1.5</w:t>
      </w:r>
    </w:p>
    <w:p w14:paraId="720EB695" w14:textId="77777777" w:rsidR="00D47CCC" w:rsidRPr="00D73645" w:rsidRDefault="00D73645" w:rsidP="00467E67">
      <w:pPr>
        <w:spacing w:line="276" w:lineRule="auto"/>
        <w:jc w:val="both"/>
        <w:rPr>
          <w:b/>
          <w:sz w:val="24"/>
          <w:szCs w:val="24"/>
        </w:rPr>
      </w:pPr>
      <w:r>
        <w:rPr>
          <w:b/>
          <w:sz w:val="24"/>
          <w:szCs w:val="24"/>
        </w:rPr>
        <w:t>Netflix (1.2):</w:t>
      </w:r>
    </w:p>
    <w:p w14:paraId="397F64EB" w14:textId="6A3F152A" w:rsidR="007246C4" w:rsidRPr="007246C4" w:rsidRDefault="007246C4">
      <w:pPr>
        <w:spacing w:line="276" w:lineRule="auto"/>
        <w:ind w:left="720"/>
        <w:jc w:val="both"/>
        <w:rPr>
          <w:sz w:val="24"/>
          <w:szCs w:val="24"/>
        </w:rPr>
      </w:pPr>
      <w:r w:rsidRPr="007246C4">
        <w:rPr>
          <w:sz w:val="24"/>
          <w:szCs w:val="24"/>
        </w:rPr>
        <w:t>The current ratio for Netflix is 1.2 at the moment, which clearly indicates that Netflix is able to have current assets for $1.20 to cover every $1 of current liability. This shows that Netflix is at a relatively good position in its liquidity position, as it has enough short-term assets that cover short-term obligations.</w:t>
      </w:r>
    </w:p>
    <w:p w14:paraId="674F6FB3" w14:textId="77777777" w:rsidR="00F523AE" w:rsidRPr="00467E67" w:rsidRDefault="007246C4" w:rsidP="007246C4">
      <w:pPr>
        <w:spacing w:line="276" w:lineRule="auto"/>
        <w:ind w:left="720"/>
        <w:jc w:val="both"/>
        <w:rPr>
          <w:sz w:val="24"/>
          <w:szCs w:val="24"/>
        </w:rPr>
      </w:pPr>
      <w:r w:rsidRPr="007246C4">
        <w:rPr>
          <w:sz w:val="24"/>
          <w:szCs w:val="24"/>
        </w:rPr>
        <w:t>A current ratio above 1 is considered good and generally indicative that the company will be able to meet its short-term liabilities without any necessary disposal of its long-term assets or witho</w:t>
      </w:r>
      <w:r>
        <w:rPr>
          <w:sz w:val="24"/>
          <w:szCs w:val="24"/>
        </w:rPr>
        <w:t>ut seeking additional financing</w:t>
      </w:r>
      <w:r w:rsidR="00F523AE" w:rsidRPr="00467E67">
        <w:rPr>
          <w:sz w:val="24"/>
          <w:szCs w:val="24"/>
        </w:rPr>
        <w:t>.</w:t>
      </w:r>
    </w:p>
    <w:p w14:paraId="6D7D082E" w14:textId="77777777" w:rsidR="00D47CCC" w:rsidRPr="00D73645" w:rsidRDefault="00F523AE" w:rsidP="00467E67">
      <w:pPr>
        <w:spacing w:line="276" w:lineRule="auto"/>
        <w:jc w:val="both"/>
        <w:rPr>
          <w:b/>
          <w:sz w:val="24"/>
          <w:szCs w:val="24"/>
        </w:rPr>
      </w:pPr>
      <w:r w:rsidRPr="00D73645">
        <w:rPr>
          <w:b/>
          <w:sz w:val="24"/>
          <w:szCs w:val="24"/>
        </w:rPr>
        <w:t>Disney+ (0.99):</w:t>
      </w:r>
    </w:p>
    <w:p w14:paraId="70AFCAF6" w14:textId="77777777" w:rsidR="00D47CCC" w:rsidRPr="00467E67" w:rsidRDefault="007246C4" w:rsidP="00467E67">
      <w:pPr>
        <w:spacing w:line="276" w:lineRule="auto"/>
        <w:ind w:left="720"/>
        <w:jc w:val="both"/>
        <w:rPr>
          <w:sz w:val="24"/>
          <w:szCs w:val="24"/>
        </w:rPr>
      </w:pPr>
      <w:r w:rsidRPr="007246C4">
        <w:rPr>
          <w:sz w:val="24"/>
          <w:szCs w:val="24"/>
        </w:rPr>
        <w:t xml:space="preserve">Disney’s current ratio equates to 0.99; hence the company realizes current assets to cover every current liability to the tune of $0.99. This has implications for the same in the sense that some of the short-term obligations, Disney+, may find difficulty in meeting them without selling some of the long-term assets or accessing the other financing. A current ratio of below 1 is, by and large, believed to be a red flag since it suggests that the current liabilities of a company might be more </w:t>
      </w:r>
      <w:r w:rsidRPr="007246C4">
        <w:rPr>
          <w:sz w:val="24"/>
          <w:szCs w:val="24"/>
        </w:rPr>
        <w:lastRenderedPageBreak/>
        <w:t xml:space="preserve">than the current assets, and that may mean a company could have some problems </w:t>
      </w:r>
      <w:r>
        <w:rPr>
          <w:sz w:val="24"/>
          <w:szCs w:val="24"/>
        </w:rPr>
        <w:t>with its liquidity</w:t>
      </w:r>
      <w:r w:rsidR="00F523AE" w:rsidRPr="00467E67">
        <w:rPr>
          <w:sz w:val="24"/>
          <w:szCs w:val="24"/>
        </w:rPr>
        <w:t>.</w:t>
      </w:r>
    </w:p>
    <w:p w14:paraId="230A421F" w14:textId="77777777" w:rsidR="00A2641F" w:rsidRDefault="00A2641F" w:rsidP="00077509">
      <w:pPr>
        <w:pStyle w:val="Heading2"/>
        <w:numPr>
          <w:ilvl w:val="1"/>
          <w:numId w:val="26"/>
        </w:numPr>
        <w:rPr>
          <w:b/>
          <w:color w:val="000000" w:themeColor="text1"/>
        </w:rPr>
      </w:pPr>
      <w:bookmarkStart w:id="18" w:name="_Toc163310234"/>
      <w:r w:rsidRPr="00D73645">
        <w:rPr>
          <w:b/>
          <w:color w:val="000000" w:themeColor="text1"/>
        </w:rPr>
        <w:t>Debt-to-Equity Ratio:</w:t>
      </w:r>
      <w:bookmarkEnd w:id="18"/>
    </w:p>
    <w:p w14:paraId="5B975163" w14:textId="77777777" w:rsidR="00D73645" w:rsidRPr="00D73645" w:rsidRDefault="00D73645" w:rsidP="00D73645"/>
    <w:p w14:paraId="571A30A9" w14:textId="77777777" w:rsidR="00A2641F" w:rsidRPr="00D73645" w:rsidRDefault="00323031" w:rsidP="00077509">
      <w:pPr>
        <w:numPr>
          <w:ilvl w:val="1"/>
          <w:numId w:val="3"/>
        </w:numPr>
        <w:spacing w:line="276" w:lineRule="auto"/>
        <w:jc w:val="both"/>
        <w:rPr>
          <w:b/>
          <w:sz w:val="24"/>
          <w:szCs w:val="24"/>
        </w:rPr>
      </w:pPr>
      <w:r w:rsidRPr="00D73645">
        <w:rPr>
          <w:b/>
          <w:bCs/>
          <w:sz w:val="24"/>
          <w:szCs w:val="24"/>
        </w:rPr>
        <w:t>Netflix</w:t>
      </w:r>
      <w:r w:rsidR="00A2641F" w:rsidRPr="00D73645">
        <w:rPr>
          <w:b/>
          <w:sz w:val="24"/>
          <w:szCs w:val="24"/>
        </w:rPr>
        <w:t>: 1.3</w:t>
      </w:r>
    </w:p>
    <w:p w14:paraId="22C99A3D" w14:textId="77777777" w:rsidR="00C14BEF" w:rsidRPr="00D73645" w:rsidRDefault="00323031" w:rsidP="00077509">
      <w:pPr>
        <w:numPr>
          <w:ilvl w:val="1"/>
          <w:numId w:val="3"/>
        </w:numPr>
        <w:spacing w:line="276" w:lineRule="auto"/>
        <w:jc w:val="both"/>
        <w:rPr>
          <w:b/>
          <w:sz w:val="24"/>
          <w:szCs w:val="24"/>
        </w:rPr>
      </w:pPr>
      <w:r w:rsidRPr="00D73645">
        <w:rPr>
          <w:b/>
          <w:sz w:val="24"/>
          <w:szCs w:val="24"/>
        </w:rPr>
        <w:t>Disney+</w:t>
      </w:r>
      <w:r w:rsidR="00A2641F" w:rsidRPr="00D73645">
        <w:rPr>
          <w:b/>
          <w:sz w:val="24"/>
          <w:szCs w:val="24"/>
        </w:rPr>
        <w:t>: 1.0</w:t>
      </w:r>
    </w:p>
    <w:p w14:paraId="2B2EDDA5" w14:textId="77777777" w:rsidR="00C14BEF" w:rsidRPr="00D73645" w:rsidRDefault="00D73645" w:rsidP="00467E67">
      <w:pPr>
        <w:spacing w:line="276" w:lineRule="auto"/>
        <w:jc w:val="both"/>
        <w:rPr>
          <w:b/>
          <w:sz w:val="24"/>
          <w:szCs w:val="24"/>
        </w:rPr>
      </w:pPr>
      <w:r>
        <w:rPr>
          <w:b/>
          <w:sz w:val="24"/>
          <w:szCs w:val="24"/>
        </w:rPr>
        <w:t>Netflix (1.3):</w:t>
      </w:r>
    </w:p>
    <w:p w14:paraId="3FF9C15B" w14:textId="77777777" w:rsidR="001A6575" w:rsidRPr="001A6575" w:rsidRDefault="001A6575" w:rsidP="001A6575">
      <w:pPr>
        <w:spacing w:line="276" w:lineRule="auto"/>
        <w:ind w:left="720"/>
        <w:jc w:val="both"/>
        <w:rPr>
          <w:sz w:val="24"/>
          <w:szCs w:val="24"/>
        </w:rPr>
      </w:pPr>
      <w:r w:rsidRPr="001A6575">
        <w:rPr>
          <w:sz w:val="24"/>
          <w:szCs w:val="24"/>
        </w:rPr>
        <w:t>Netflix has 1.3 times its equity in debt, meaning for every dollar of equity, the firm is responsible for 1.30 dollars of debt. This reflects a balanced capital structure but very slightly levered, which marginally more depends on financing from debt rather than from equity.</w:t>
      </w:r>
    </w:p>
    <w:p w14:paraId="6B7BA5A9" w14:textId="77777777" w:rsidR="00467E67" w:rsidRPr="00467E67" w:rsidRDefault="001A6575" w:rsidP="001A6575">
      <w:pPr>
        <w:spacing w:line="276" w:lineRule="auto"/>
        <w:ind w:left="720"/>
        <w:jc w:val="both"/>
        <w:rPr>
          <w:sz w:val="24"/>
          <w:szCs w:val="24"/>
        </w:rPr>
      </w:pPr>
      <w:r w:rsidRPr="001A6575">
        <w:rPr>
          <w:sz w:val="24"/>
          <w:szCs w:val="24"/>
        </w:rPr>
        <w:t xml:space="preserve">This will serve a certain degree of leverage and amplify the return on equity; however, a higher ratio of debt to equity would also mean that the company is now operating at higher financial risk, since there are more </w:t>
      </w:r>
      <w:r>
        <w:rPr>
          <w:sz w:val="24"/>
          <w:szCs w:val="24"/>
        </w:rPr>
        <w:t>obligations to service its debt</w:t>
      </w:r>
      <w:r w:rsidR="00467E67" w:rsidRPr="00467E67">
        <w:rPr>
          <w:sz w:val="24"/>
          <w:szCs w:val="24"/>
        </w:rPr>
        <w:t>.</w:t>
      </w:r>
    </w:p>
    <w:p w14:paraId="018F29ED" w14:textId="77777777" w:rsidR="00C14BEF" w:rsidRPr="00D73645" w:rsidRDefault="00D73645" w:rsidP="00467E67">
      <w:pPr>
        <w:spacing w:line="276" w:lineRule="auto"/>
        <w:jc w:val="both"/>
        <w:rPr>
          <w:b/>
          <w:sz w:val="24"/>
          <w:szCs w:val="24"/>
        </w:rPr>
      </w:pPr>
      <w:r>
        <w:rPr>
          <w:b/>
          <w:sz w:val="24"/>
          <w:szCs w:val="24"/>
        </w:rPr>
        <w:t>Disney+ (1.14):</w:t>
      </w:r>
    </w:p>
    <w:p w14:paraId="6C48215E" w14:textId="77777777" w:rsidR="00467E67" w:rsidRPr="00467E67" w:rsidRDefault="001A6575" w:rsidP="00467E67">
      <w:pPr>
        <w:spacing w:line="276" w:lineRule="auto"/>
        <w:ind w:left="720"/>
        <w:jc w:val="both"/>
        <w:rPr>
          <w:sz w:val="24"/>
          <w:szCs w:val="24"/>
        </w:rPr>
      </w:pPr>
      <w:r w:rsidRPr="001A6575">
        <w:rPr>
          <w:sz w:val="24"/>
          <w:szCs w:val="24"/>
        </w:rPr>
        <w:t>Disney+ has a debt-equity ratio of 1.14, which means that, in essence, for every $1.00 of equity, there exists $1.14 of debt. These point to a capital structure that is almost equally balanced, carrying moderate leverage just a tad lower than that of Netflix. A debt-equity ratio of about 1 is generally regarded as acceptable—meaning the company makes relatively equal use of debt and equi</w:t>
      </w:r>
      <w:r>
        <w:rPr>
          <w:sz w:val="24"/>
          <w:szCs w:val="24"/>
        </w:rPr>
        <w:t>ty for financing its operations</w:t>
      </w:r>
      <w:r w:rsidR="00467E67" w:rsidRPr="00467E67">
        <w:rPr>
          <w:sz w:val="24"/>
          <w:szCs w:val="24"/>
        </w:rPr>
        <w:t>.</w:t>
      </w:r>
    </w:p>
    <w:p w14:paraId="2634FCCD" w14:textId="77777777" w:rsidR="00A2641F" w:rsidRDefault="00A2641F" w:rsidP="00077509">
      <w:pPr>
        <w:pStyle w:val="Heading2"/>
        <w:numPr>
          <w:ilvl w:val="1"/>
          <w:numId w:val="26"/>
        </w:numPr>
        <w:rPr>
          <w:b/>
          <w:color w:val="000000" w:themeColor="text1"/>
        </w:rPr>
      </w:pPr>
      <w:bookmarkStart w:id="19" w:name="_Toc163310235"/>
      <w:r w:rsidRPr="00D73645">
        <w:rPr>
          <w:b/>
          <w:color w:val="000000" w:themeColor="text1"/>
        </w:rPr>
        <w:t>Asset Turnover Ratio:</w:t>
      </w:r>
      <w:bookmarkEnd w:id="19"/>
    </w:p>
    <w:p w14:paraId="59D307D5" w14:textId="77777777" w:rsidR="00D73645" w:rsidRPr="00D73645" w:rsidRDefault="00D73645" w:rsidP="00D73645"/>
    <w:p w14:paraId="0FE05B89" w14:textId="77777777" w:rsidR="00A2641F" w:rsidRPr="00D73645" w:rsidRDefault="00323031" w:rsidP="00077509">
      <w:pPr>
        <w:numPr>
          <w:ilvl w:val="1"/>
          <w:numId w:val="3"/>
        </w:numPr>
        <w:spacing w:line="276" w:lineRule="auto"/>
        <w:jc w:val="both"/>
        <w:rPr>
          <w:b/>
          <w:sz w:val="24"/>
          <w:szCs w:val="24"/>
        </w:rPr>
      </w:pPr>
      <w:r w:rsidRPr="00D73645">
        <w:rPr>
          <w:b/>
          <w:bCs/>
          <w:sz w:val="24"/>
          <w:szCs w:val="24"/>
        </w:rPr>
        <w:t>Netflix</w:t>
      </w:r>
      <w:r w:rsidR="00A2641F" w:rsidRPr="00D73645">
        <w:rPr>
          <w:b/>
          <w:sz w:val="24"/>
          <w:szCs w:val="24"/>
        </w:rPr>
        <w:t>: 0.65</w:t>
      </w:r>
    </w:p>
    <w:p w14:paraId="2D24527D" w14:textId="77777777" w:rsidR="00C14BEF" w:rsidRPr="00D73645" w:rsidRDefault="00323031" w:rsidP="00077509">
      <w:pPr>
        <w:numPr>
          <w:ilvl w:val="1"/>
          <w:numId w:val="3"/>
        </w:numPr>
        <w:spacing w:line="276" w:lineRule="auto"/>
        <w:jc w:val="both"/>
        <w:rPr>
          <w:b/>
          <w:sz w:val="24"/>
          <w:szCs w:val="24"/>
        </w:rPr>
      </w:pPr>
      <w:r w:rsidRPr="00D73645">
        <w:rPr>
          <w:b/>
          <w:sz w:val="24"/>
          <w:szCs w:val="24"/>
        </w:rPr>
        <w:t>Disney+</w:t>
      </w:r>
      <w:r w:rsidR="00A2641F" w:rsidRPr="00D73645">
        <w:rPr>
          <w:b/>
          <w:sz w:val="24"/>
          <w:szCs w:val="24"/>
        </w:rPr>
        <w:t>: 0.75</w:t>
      </w:r>
    </w:p>
    <w:p w14:paraId="657D5655" w14:textId="77777777" w:rsidR="00C14BEF" w:rsidRPr="00D73645" w:rsidRDefault="00D73645" w:rsidP="00467E67">
      <w:pPr>
        <w:spacing w:line="276" w:lineRule="auto"/>
        <w:jc w:val="both"/>
        <w:rPr>
          <w:b/>
          <w:sz w:val="24"/>
          <w:szCs w:val="24"/>
        </w:rPr>
      </w:pPr>
      <w:r>
        <w:rPr>
          <w:b/>
          <w:sz w:val="24"/>
          <w:szCs w:val="24"/>
        </w:rPr>
        <w:t>Netflix (0.65):</w:t>
      </w:r>
    </w:p>
    <w:p w14:paraId="1465DB51" w14:textId="6221F924" w:rsidR="0081383B" w:rsidRDefault="0081383B" w:rsidP="0081383B">
      <w:pPr>
        <w:spacing w:line="276" w:lineRule="auto"/>
        <w:ind w:left="720"/>
        <w:jc w:val="both"/>
        <w:rPr>
          <w:sz w:val="24"/>
          <w:szCs w:val="24"/>
        </w:rPr>
      </w:pPr>
      <w:r w:rsidRPr="0081383B">
        <w:rPr>
          <w:sz w:val="24"/>
          <w:szCs w:val="24"/>
        </w:rPr>
        <w:t xml:space="preserve">Netflix's asset turnover ratio of 0.65 illustrates that for every dollar of assets, the company successfully generates $0.65 in revenue. This performance indicates a relatively efficient utilization of assets in revenue generation. Considering the streaming industry's nature, characterized by high capital requirements for content acquisition and technological infrastructure, an asset turnover ratio of 0.65 is viewed as acceptable. </w:t>
      </w:r>
      <w:proofErr w:type="gramStart"/>
      <w:r w:rsidR="002D32B8" w:rsidRPr="0081383B">
        <w:rPr>
          <w:sz w:val="24"/>
          <w:szCs w:val="24"/>
        </w:rPr>
        <w:t xml:space="preserve">This metric </w:t>
      </w:r>
      <w:r w:rsidR="00FE46CC">
        <w:rPr>
          <w:sz w:val="24"/>
          <w:szCs w:val="24"/>
        </w:rPr>
        <w:t>underscores</w:t>
      </w:r>
      <w:proofErr w:type="gramEnd"/>
      <w:r w:rsidRPr="0081383B">
        <w:rPr>
          <w:sz w:val="24"/>
          <w:szCs w:val="24"/>
        </w:rPr>
        <w:t xml:space="preserve"> Netflix's capability to effectively use its substantial asset base to support its revenue streams within a capital-intensive sector.</w:t>
      </w:r>
    </w:p>
    <w:p w14:paraId="229B5D23" w14:textId="77777777" w:rsidR="00C14BEF" w:rsidRPr="00D73645" w:rsidRDefault="00D73645" w:rsidP="00467E67">
      <w:pPr>
        <w:spacing w:line="276" w:lineRule="auto"/>
        <w:jc w:val="both"/>
        <w:rPr>
          <w:b/>
          <w:sz w:val="24"/>
          <w:szCs w:val="24"/>
        </w:rPr>
      </w:pPr>
      <w:r>
        <w:rPr>
          <w:b/>
          <w:sz w:val="24"/>
          <w:szCs w:val="24"/>
        </w:rPr>
        <w:t>Disney+ (0.4):</w:t>
      </w:r>
    </w:p>
    <w:p w14:paraId="3D50CFB9" w14:textId="77777777" w:rsidR="0081383B" w:rsidRPr="0081383B" w:rsidRDefault="001A6575" w:rsidP="0081383B">
      <w:pPr>
        <w:spacing w:line="276" w:lineRule="auto"/>
        <w:ind w:left="720"/>
        <w:jc w:val="both"/>
        <w:rPr>
          <w:sz w:val="24"/>
          <w:szCs w:val="24"/>
        </w:rPr>
      </w:pPr>
      <w:r w:rsidRPr="0081383B">
        <w:rPr>
          <w:sz w:val="24"/>
          <w:szCs w:val="24"/>
        </w:rPr>
        <w:lastRenderedPageBreak/>
        <w:t>Disney’s</w:t>
      </w:r>
      <w:r w:rsidR="0081383B" w:rsidRPr="0081383B">
        <w:rPr>
          <w:sz w:val="24"/>
          <w:szCs w:val="24"/>
        </w:rPr>
        <w:t xml:space="preserve"> asset turnover ratio of 0.4 signifies that for every dollar of assets, the platform generates $0.40 in revenue, indicating less efficient asset utilization compared to Netflix. This lower efficiency might stem from </w:t>
      </w:r>
      <w:r w:rsidRPr="0081383B">
        <w:rPr>
          <w:sz w:val="24"/>
          <w:szCs w:val="24"/>
        </w:rPr>
        <w:t>Disney’s</w:t>
      </w:r>
      <w:r w:rsidR="0081383B" w:rsidRPr="0081383B">
        <w:rPr>
          <w:sz w:val="24"/>
          <w:szCs w:val="24"/>
        </w:rPr>
        <w:t xml:space="preserve"> extensive business model that encompasses not only streaming services but also theme parks, film production, and merchandise sales. These areas are notably capital-intensive, requiring substantial investment, which could explain the lower asset turnover ratio, reflecting a broader strategic focus beyond streaming alone.</w:t>
      </w:r>
    </w:p>
    <w:p w14:paraId="603DB509" w14:textId="77777777" w:rsidR="0081383B" w:rsidRPr="0081383B" w:rsidRDefault="0081383B" w:rsidP="0081383B">
      <w:pPr>
        <w:spacing w:line="276" w:lineRule="auto"/>
        <w:jc w:val="both"/>
        <w:rPr>
          <w:vanish/>
          <w:sz w:val="24"/>
          <w:szCs w:val="24"/>
        </w:rPr>
      </w:pPr>
      <w:r w:rsidRPr="0081383B">
        <w:rPr>
          <w:vanish/>
          <w:sz w:val="24"/>
          <w:szCs w:val="24"/>
        </w:rPr>
        <w:t>Top of Form</w:t>
      </w:r>
    </w:p>
    <w:p w14:paraId="3A570964" w14:textId="77777777" w:rsidR="0016000A" w:rsidRPr="00467E67" w:rsidRDefault="0016000A" w:rsidP="00467E67">
      <w:pPr>
        <w:spacing w:line="276" w:lineRule="auto"/>
        <w:jc w:val="both"/>
        <w:rPr>
          <w:sz w:val="24"/>
          <w:szCs w:val="24"/>
        </w:rPr>
      </w:pPr>
    </w:p>
    <w:p w14:paraId="3810031E" w14:textId="77777777" w:rsidR="0016000A" w:rsidRDefault="00D73645" w:rsidP="00077509">
      <w:pPr>
        <w:pStyle w:val="Heading1"/>
        <w:numPr>
          <w:ilvl w:val="0"/>
          <w:numId w:val="26"/>
        </w:numPr>
        <w:rPr>
          <w:b/>
          <w:color w:val="000000" w:themeColor="text1"/>
        </w:rPr>
      </w:pPr>
      <w:bookmarkStart w:id="20" w:name="_Toc163310236"/>
      <w:r w:rsidRPr="00D73645">
        <w:rPr>
          <w:b/>
          <w:color w:val="000000" w:themeColor="text1"/>
        </w:rPr>
        <w:t>Recommendations</w:t>
      </w:r>
      <w:r w:rsidR="00B035D2">
        <w:rPr>
          <w:b/>
          <w:color w:val="000000" w:themeColor="text1"/>
        </w:rPr>
        <w:t xml:space="preserve"> </w:t>
      </w:r>
      <w:r w:rsidR="00B035D2" w:rsidRPr="00516A67">
        <w:rPr>
          <w:b/>
          <w:color w:val="000000" w:themeColor="text1"/>
          <w:sz w:val="28"/>
        </w:rPr>
        <w:t>on improving the financial management</w:t>
      </w:r>
      <w:bookmarkEnd w:id="20"/>
    </w:p>
    <w:p w14:paraId="59545BCE" w14:textId="77777777" w:rsidR="0035603B" w:rsidRPr="0035603B" w:rsidRDefault="0035603B" w:rsidP="0035603B"/>
    <w:p w14:paraId="1452D9BC" w14:textId="77777777" w:rsidR="0035603B" w:rsidRPr="0035603B" w:rsidRDefault="0035603B" w:rsidP="0035603B">
      <w:pPr>
        <w:spacing w:line="276" w:lineRule="auto"/>
        <w:jc w:val="both"/>
        <w:rPr>
          <w:sz w:val="24"/>
          <w:szCs w:val="24"/>
        </w:rPr>
      </w:pPr>
      <w:r w:rsidRPr="0035603B">
        <w:rPr>
          <w:sz w:val="24"/>
          <w:szCs w:val="24"/>
        </w:rPr>
        <w:t>To bolster the company's financial management, the following strategies are proposed:</w:t>
      </w:r>
    </w:p>
    <w:p w14:paraId="4977CA5A" w14:textId="780B14AE" w:rsidR="0035603B" w:rsidRPr="0035603B" w:rsidRDefault="0035603B" w:rsidP="00077509">
      <w:pPr>
        <w:numPr>
          <w:ilvl w:val="0"/>
          <w:numId w:val="27"/>
        </w:numPr>
        <w:spacing w:line="276" w:lineRule="auto"/>
        <w:jc w:val="both"/>
        <w:rPr>
          <w:sz w:val="24"/>
          <w:szCs w:val="24"/>
        </w:rPr>
      </w:pPr>
      <w:r w:rsidRPr="0035603B">
        <w:rPr>
          <w:b/>
          <w:bCs/>
          <w:sz w:val="24"/>
          <w:szCs w:val="24"/>
        </w:rPr>
        <w:t>Enhance Profitability</w:t>
      </w:r>
      <w:r w:rsidRPr="0035603B">
        <w:rPr>
          <w:sz w:val="24"/>
          <w:szCs w:val="24"/>
        </w:rPr>
        <w:t xml:space="preserve">: the </w:t>
      </w:r>
      <w:r w:rsidR="00B035D2">
        <w:rPr>
          <w:sz w:val="24"/>
          <w:szCs w:val="24"/>
        </w:rPr>
        <w:t>Netflix’s</w:t>
      </w:r>
      <w:r w:rsidRPr="0035603B">
        <w:rPr>
          <w:sz w:val="24"/>
          <w:szCs w:val="24"/>
        </w:rPr>
        <w:t xml:space="preserve"> net prof</w:t>
      </w:r>
      <w:r w:rsidR="00B035D2">
        <w:rPr>
          <w:sz w:val="24"/>
          <w:szCs w:val="24"/>
        </w:rPr>
        <w:t>it margin surpasses that of Disney</w:t>
      </w:r>
      <w:r w:rsidRPr="0035603B">
        <w:rPr>
          <w:sz w:val="24"/>
          <w:szCs w:val="24"/>
        </w:rPr>
        <w:t>, showcasing strong profitability. Nevertheless, there's always potential for enhancement. The company should adopt cost optimization tactics, like operational streamlining, renegotiating supplier contracts, or leveraging technology to cut operational expenses.</w:t>
      </w:r>
    </w:p>
    <w:p w14:paraId="139ABC5C" w14:textId="1F0D5577" w:rsidR="0035603B" w:rsidRPr="0035603B" w:rsidRDefault="0035603B" w:rsidP="00077509">
      <w:pPr>
        <w:numPr>
          <w:ilvl w:val="0"/>
          <w:numId w:val="27"/>
        </w:numPr>
        <w:spacing w:line="276" w:lineRule="auto"/>
        <w:jc w:val="both"/>
        <w:rPr>
          <w:sz w:val="24"/>
          <w:szCs w:val="24"/>
        </w:rPr>
      </w:pPr>
      <w:r w:rsidRPr="0035603B">
        <w:rPr>
          <w:b/>
          <w:bCs/>
          <w:sz w:val="24"/>
          <w:szCs w:val="24"/>
        </w:rPr>
        <w:t>Improve Liquidity</w:t>
      </w:r>
      <w:r w:rsidRPr="0035603B">
        <w:rPr>
          <w:sz w:val="24"/>
          <w:szCs w:val="24"/>
        </w:rPr>
        <w:t xml:space="preserve">: Although the </w:t>
      </w:r>
      <w:r w:rsidR="00B035D2">
        <w:rPr>
          <w:sz w:val="24"/>
          <w:szCs w:val="24"/>
        </w:rPr>
        <w:t>Netflix</w:t>
      </w:r>
      <w:r w:rsidRPr="0035603B">
        <w:rPr>
          <w:sz w:val="24"/>
          <w:szCs w:val="24"/>
        </w:rPr>
        <w:t>'s current ratio indicates adequate liquidity, it trails behind its competitor's. To boost liquidity, the company could refine inventory management, accelerate receivables collection, or restructure short-term debts.</w:t>
      </w:r>
    </w:p>
    <w:p w14:paraId="3238CAD9" w14:textId="386040BB" w:rsidR="001A6575" w:rsidRPr="001A6575" w:rsidRDefault="001A6575" w:rsidP="001A6575">
      <w:pPr>
        <w:numPr>
          <w:ilvl w:val="0"/>
          <w:numId w:val="27"/>
        </w:numPr>
        <w:spacing w:line="276" w:lineRule="auto"/>
        <w:jc w:val="both"/>
        <w:rPr>
          <w:bCs/>
          <w:sz w:val="24"/>
          <w:szCs w:val="24"/>
        </w:rPr>
      </w:pPr>
      <w:r w:rsidRPr="001A6575">
        <w:rPr>
          <w:b/>
          <w:bCs/>
          <w:sz w:val="24"/>
          <w:szCs w:val="24"/>
        </w:rPr>
        <w:t>Manage Debt</w:t>
      </w:r>
      <w:r w:rsidRPr="001A6575">
        <w:rPr>
          <w:bCs/>
          <w:sz w:val="24"/>
          <w:szCs w:val="24"/>
        </w:rPr>
        <w:t>: Even though the debt-to-equity ratio of Netflix would be higher by a point than the ratio for its competitor, it points to more dependency on financing through debt. High debt levels of the company can be mitigated by considering refinancing at lower interest, using surplus cash flow to lower the level of debt, and issuing equity for purposes of lowering leverage.</w:t>
      </w:r>
    </w:p>
    <w:p w14:paraId="0A4E6EEF" w14:textId="2275826A" w:rsidR="00EB5B1D" w:rsidRPr="0035603B" w:rsidRDefault="001A6575" w:rsidP="008958CA">
      <w:pPr>
        <w:numPr>
          <w:ilvl w:val="0"/>
          <w:numId w:val="27"/>
        </w:numPr>
        <w:spacing w:line="276" w:lineRule="auto"/>
        <w:jc w:val="both"/>
        <w:rPr>
          <w:sz w:val="24"/>
          <w:szCs w:val="24"/>
        </w:rPr>
      </w:pPr>
      <w:r w:rsidRPr="001A6575">
        <w:rPr>
          <w:b/>
          <w:bCs/>
          <w:sz w:val="24"/>
          <w:szCs w:val="24"/>
        </w:rPr>
        <w:t>Asset Efficiency Improvement</w:t>
      </w:r>
      <w:r w:rsidRPr="001A6575">
        <w:rPr>
          <w:bCs/>
          <w:sz w:val="24"/>
          <w:szCs w:val="24"/>
        </w:rPr>
        <w:t>: The ratio of asset turnover points that not all of Netflix's assets are effectively used for making revenues compared to its competitors. Improvement of asset utilization calls upon the fact that companies have to either strive to optimize the investment into assets, liquidate underperforming assets, or find new revenue str</w:t>
      </w:r>
      <w:r>
        <w:rPr>
          <w:bCs/>
          <w:sz w:val="24"/>
          <w:szCs w:val="24"/>
        </w:rPr>
        <w:t>eams using already owned assets</w:t>
      </w:r>
      <w:r w:rsidR="0035603B" w:rsidRPr="0035603B">
        <w:rPr>
          <w:sz w:val="24"/>
          <w:szCs w:val="24"/>
        </w:rPr>
        <w:t>.</w:t>
      </w:r>
    </w:p>
    <w:p w14:paraId="457CD89E" w14:textId="77777777" w:rsidR="0035603B" w:rsidRPr="0035603B" w:rsidRDefault="001A6575" w:rsidP="0035603B">
      <w:pPr>
        <w:spacing w:line="276" w:lineRule="auto"/>
        <w:jc w:val="both"/>
        <w:rPr>
          <w:sz w:val="24"/>
          <w:szCs w:val="24"/>
        </w:rPr>
      </w:pPr>
      <w:r w:rsidRPr="001A6575">
        <w:rPr>
          <w:sz w:val="24"/>
          <w:szCs w:val="24"/>
        </w:rPr>
        <w:t>Adoption of these recommendations will enhance financial management to a great extent, hence enhancing profitability, liquidity, efficiency, and reduction of over-reliance on debts. These strategies will ensure that there is sustainable growth and grea</w:t>
      </w:r>
      <w:r>
        <w:rPr>
          <w:sz w:val="24"/>
          <w:szCs w:val="24"/>
        </w:rPr>
        <w:t>t competitiveness in the market</w:t>
      </w:r>
      <w:r w:rsidR="0035603B" w:rsidRPr="0035603B">
        <w:rPr>
          <w:sz w:val="24"/>
          <w:szCs w:val="24"/>
        </w:rPr>
        <w:t>.</w:t>
      </w:r>
    </w:p>
    <w:p w14:paraId="618EFD5D" w14:textId="77777777" w:rsidR="0035603B" w:rsidRPr="0035603B" w:rsidRDefault="0035603B" w:rsidP="0035603B">
      <w:pPr>
        <w:spacing w:line="276" w:lineRule="auto"/>
        <w:jc w:val="both"/>
        <w:rPr>
          <w:vanish/>
          <w:sz w:val="24"/>
          <w:szCs w:val="24"/>
        </w:rPr>
      </w:pPr>
      <w:r w:rsidRPr="0035603B">
        <w:rPr>
          <w:vanish/>
          <w:sz w:val="24"/>
          <w:szCs w:val="24"/>
        </w:rPr>
        <w:t>Top of Form</w:t>
      </w:r>
    </w:p>
    <w:p w14:paraId="459ABC11" w14:textId="77777777" w:rsidR="0016000A" w:rsidRPr="00467E67" w:rsidRDefault="0016000A" w:rsidP="00467E67">
      <w:pPr>
        <w:spacing w:line="276" w:lineRule="auto"/>
        <w:jc w:val="both"/>
        <w:rPr>
          <w:sz w:val="24"/>
          <w:szCs w:val="24"/>
        </w:rPr>
      </w:pPr>
    </w:p>
    <w:p w14:paraId="5C2DA580" w14:textId="77777777" w:rsidR="00A16EBB" w:rsidRPr="00D63A2B" w:rsidRDefault="00A16EBB" w:rsidP="00077509">
      <w:pPr>
        <w:pStyle w:val="Heading1"/>
        <w:numPr>
          <w:ilvl w:val="0"/>
          <w:numId w:val="26"/>
        </w:numPr>
        <w:rPr>
          <w:b/>
          <w:color w:val="000000" w:themeColor="text1"/>
        </w:rPr>
      </w:pPr>
      <w:bookmarkStart w:id="21" w:name="_Toc162208555"/>
      <w:bookmarkStart w:id="22" w:name="_Toc163310237"/>
      <w:r w:rsidRPr="00D63A2B">
        <w:rPr>
          <w:b/>
          <w:color w:val="000000" w:themeColor="text1"/>
        </w:rPr>
        <w:lastRenderedPageBreak/>
        <w:t>Computation for PBP, ARR, NPV</w:t>
      </w:r>
      <w:bookmarkEnd w:id="21"/>
      <w:bookmarkEnd w:id="22"/>
    </w:p>
    <w:p w14:paraId="5E330AB9" w14:textId="77777777" w:rsidR="00A16EBB" w:rsidRPr="00467E67" w:rsidRDefault="00A16EBB" w:rsidP="001A6575">
      <w:pPr>
        <w:numPr>
          <w:ilvl w:val="0"/>
          <w:numId w:val="4"/>
        </w:numPr>
        <w:spacing w:line="276" w:lineRule="auto"/>
        <w:jc w:val="both"/>
        <w:rPr>
          <w:sz w:val="24"/>
          <w:szCs w:val="24"/>
        </w:rPr>
      </w:pPr>
      <w:r w:rsidRPr="00467E67">
        <w:rPr>
          <w:b/>
          <w:bCs/>
          <w:sz w:val="24"/>
          <w:szCs w:val="24"/>
        </w:rPr>
        <w:t>Payback Period (PBP):</w:t>
      </w:r>
      <w:r w:rsidRPr="00467E67">
        <w:rPr>
          <w:sz w:val="24"/>
          <w:szCs w:val="24"/>
        </w:rPr>
        <w:t xml:space="preserve"> </w:t>
      </w:r>
      <w:r w:rsidR="001A6575" w:rsidRPr="001A6575">
        <w:rPr>
          <w:sz w:val="24"/>
          <w:szCs w:val="24"/>
        </w:rPr>
        <w:t>The PBP denotes the period necessa</w:t>
      </w:r>
      <w:r w:rsidR="001A6575">
        <w:rPr>
          <w:sz w:val="24"/>
          <w:szCs w:val="24"/>
        </w:rPr>
        <w:t>ry to recoup the initial outlay</w:t>
      </w:r>
      <w:r w:rsidRPr="00467E67">
        <w:rPr>
          <w:sz w:val="24"/>
          <w:szCs w:val="24"/>
        </w:rPr>
        <w:t>. It's calculated by summing the cash flows until they equal the initial investment.</w:t>
      </w:r>
    </w:p>
    <w:p w14:paraId="672F3246" w14:textId="77777777" w:rsidR="00A16EBB" w:rsidRPr="00467E67" w:rsidRDefault="00A16EBB" w:rsidP="00077509">
      <w:pPr>
        <w:numPr>
          <w:ilvl w:val="0"/>
          <w:numId w:val="4"/>
        </w:numPr>
        <w:spacing w:line="276" w:lineRule="auto"/>
        <w:jc w:val="both"/>
        <w:rPr>
          <w:sz w:val="24"/>
          <w:szCs w:val="24"/>
        </w:rPr>
      </w:pPr>
      <w:r w:rsidRPr="00467E67">
        <w:rPr>
          <w:b/>
          <w:bCs/>
          <w:sz w:val="24"/>
          <w:szCs w:val="24"/>
        </w:rPr>
        <w:t>Accounting Rate of Return (ARR):</w:t>
      </w:r>
      <w:r w:rsidRPr="00467E67">
        <w:rPr>
          <w:sz w:val="24"/>
          <w:szCs w:val="24"/>
        </w:rPr>
        <w:t xml:space="preserve"> The ARR is the average annual profit (average cash flow) divided by the initial investment, expressed as a percentage. It's calculated as: ARR</w:t>
      </w:r>
      <w:proofErr w:type="gramStart"/>
      <w:r w:rsidRPr="00467E67">
        <w:rPr>
          <w:sz w:val="24"/>
          <w:szCs w:val="24"/>
        </w:rPr>
        <w:t>=(</w:t>
      </w:r>
      <w:proofErr w:type="gramEnd"/>
      <w:r w:rsidRPr="00467E67">
        <w:rPr>
          <w:sz w:val="24"/>
          <w:szCs w:val="24"/>
        </w:rPr>
        <w:t>Average Annual Cash FlowInitial Investment)×100%ARR=(Initial InvestmentAverage Annual Cash Flow​)×100%</w:t>
      </w:r>
    </w:p>
    <w:p w14:paraId="18A883D2" w14:textId="77777777" w:rsidR="00A16EBB" w:rsidRPr="00467E67" w:rsidRDefault="00A16EBB" w:rsidP="00077509">
      <w:pPr>
        <w:numPr>
          <w:ilvl w:val="0"/>
          <w:numId w:val="4"/>
        </w:numPr>
        <w:spacing w:line="276" w:lineRule="auto"/>
        <w:jc w:val="both"/>
        <w:rPr>
          <w:sz w:val="24"/>
          <w:szCs w:val="24"/>
        </w:rPr>
      </w:pPr>
      <w:r w:rsidRPr="00467E67">
        <w:rPr>
          <w:b/>
          <w:bCs/>
          <w:sz w:val="24"/>
          <w:szCs w:val="24"/>
        </w:rPr>
        <w:t>Net Present Value (NPV):</w:t>
      </w:r>
      <w:r w:rsidRPr="00467E67">
        <w:rPr>
          <w:sz w:val="24"/>
          <w:szCs w:val="24"/>
        </w:rPr>
        <w:t xml:space="preserve"> The NPV is the sum of the present values of all cash flows, discounted at the cost of capital. </w:t>
      </w:r>
    </w:p>
    <w:p w14:paraId="13D5C158" w14:textId="77777777" w:rsidR="00A16EBB" w:rsidRPr="00467E67" w:rsidRDefault="00A16EBB" w:rsidP="00467E67">
      <w:pPr>
        <w:spacing w:line="276" w:lineRule="auto"/>
        <w:jc w:val="both"/>
        <w:rPr>
          <w:sz w:val="24"/>
          <w:szCs w:val="24"/>
        </w:rPr>
      </w:pPr>
    </w:p>
    <w:p w14:paraId="0A670D56" w14:textId="77777777" w:rsidR="00A16EBB" w:rsidRDefault="00A16EBB" w:rsidP="00077509">
      <w:pPr>
        <w:pStyle w:val="Heading2"/>
        <w:numPr>
          <w:ilvl w:val="1"/>
          <w:numId w:val="26"/>
        </w:numPr>
        <w:rPr>
          <w:b/>
          <w:color w:val="000000" w:themeColor="text1"/>
        </w:rPr>
      </w:pPr>
      <w:bookmarkStart w:id="23" w:name="_Toc162208556"/>
      <w:bookmarkStart w:id="24" w:name="_Toc163310238"/>
      <w:r w:rsidRPr="00D63A2B">
        <w:rPr>
          <w:b/>
          <w:color w:val="000000" w:themeColor="text1"/>
        </w:rPr>
        <w:t>Project A</w:t>
      </w:r>
      <w:bookmarkEnd w:id="23"/>
      <w:bookmarkEnd w:id="24"/>
    </w:p>
    <w:p w14:paraId="2E7750D8" w14:textId="77777777" w:rsidR="00D63A2B" w:rsidRPr="00D63A2B" w:rsidRDefault="00D63A2B" w:rsidP="00D63A2B"/>
    <w:p w14:paraId="32653594" w14:textId="77777777" w:rsidR="00A16EBB" w:rsidRPr="00467E67" w:rsidRDefault="00A16EBB" w:rsidP="00467E67">
      <w:pPr>
        <w:spacing w:line="276" w:lineRule="auto"/>
        <w:jc w:val="both"/>
        <w:rPr>
          <w:sz w:val="24"/>
          <w:szCs w:val="24"/>
        </w:rPr>
      </w:pPr>
      <w:r w:rsidRPr="00467E67">
        <w:rPr>
          <w:b/>
          <w:bCs/>
          <w:sz w:val="24"/>
          <w:szCs w:val="24"/>
        </w:rPr>
        <w:t>Initial Investment:</w:t>
      </w:r>
      <w:r w:rsidRPr="00467E67">
        <w:rPr>
          <w:sz w:val="24"/>
          <w:szCs w:val="24"/>
        </w:rPr>
        <w:t xml:space="preserve"> £5,000 million</w:t>
      </w:r>
    </w:p>
    <w:p w14:paraId="6FC530B3" w14:textId="77777777" w:rsidR="00A16EBB" w:rsidRPr="00467E67" w:rsidRDefault="00A16EBB" w:rsidP="00467E67">
      <w:pPr>
        <w:spacing w:line="276" w:lineRule="auto"/>
        <w:jc w:val="both"/>
        <w:rPr>
          <w:sz w:val="24"/>
          <w:szCs w:val="24"/>
        </w:rPr>
      </w:pPr>
      <w:r w:rsidRPr="00467E67">
        <w:rPr>
          <w:b/>
          <w:bCs/>
          <w:sz w:val="24"/>
          <w:szCs w:val="24"/>
        </w:rPr>
        <w:t>Cash Flows:</w:t>
      </w:r>
    </w:p>
    <w:p w14:paraId="7AEA3D3B" w14:textId="77777777" w:rsidR="00A16EBB" w:rsidRPr="00467E67" w:rsidRDefault="00A16EBB" w:rsidP="00077509">
      <w:pPr>
        <w:numPr>
          <w:ilvl w:val="0"/>
          <w:numId w:val="5"/>
        </w:numPr>
        <w:spacing w:line="276" w:lineRule="auto"/>
        <w:jc w:val="both"/>
        <w:rPr>
          <w:sz w:val="24"/>
          <w:szCs w:val="24"/>
        </w:rPr>
      </w:pPr>
      <w:r w:rsidRPr="00467E67">
        <w:rPr>
          <w:sz w:val="24"/>
          <w:szCs w:val="24"/>
        </w:rPr>
        <w:t>Year 0: -£5,000 million</w:t>
      </w:r>
    </w:p>
    <w:p w14:paraId="073C0A88" w14:textId="77777777" w:rsidR="00A16EBB" w:rsidRPr="00467E67" w:rsidRDefault="00A16EBB" w:rsidP="00077509">
      <w:pPr>
        <w:numPr>
          <w:ilvl w:val="0"/>
          <w:numId w:val="5"/>
        </w:numPr>
        <w:spacing w:line="276" w:lineRule="auto"/>
        <w:jc w:val="both"/>
        <w:rPr>
          <w:sz w:val="24"/>
          <w:szCs w:val="24"/>
        </w:rPr>
      </w:pPr>
      <w:r w:rsidRPr="00467E67">
        <w:rPr>
          <w:sz w:val="24"/>
          <w:szCs w:val="24"/>
        </w:rPr>
        <w:t>Year 1: £2,500 million</w:t>
      </w:r>
    </w:p>
    <w:p w14:paraId="256CADE4" w14:textId="77777777" w:rsidR="00A16EBB" w:rsidRPr="00467E67" w:rsidRDefault="00A16EBB" w:rsidP="00077509">
      <w:pPr>
        <w:numPr>
          <w:ilvl w:val="0"/>
          <w:numId w:val="5"/>
        </w:numPr>
        <w:spacing w:line="276" w:lineRule="auto"/>
        <w:jc w:val="both"/>
        <w:rPr>
          <w:sz w:val="24"/>
          <w:szCs w:val="24"/>
        </w:rPr>
      </w:pPr>
      <w:r w:rsidRPr="00467E67">
        <w:rPr>
          <w:sz w:val="24"/>
          <w:szCs w:val="24"/>
        </w:rPr>
        <w:t>Year 2: £2,000 million</w:t>
      </w:r>
    </w:p>
    <w:p w14:paraId="5557DD4B" w14:textId="77777777" w:rsidR="00A16EBB" w:rsidRPr="00467E67" w:rsidRDefault="00A16EBB" w:rsidP="00077509">
      <w:pPr>
        <w:numPr>
          <w:ilvl w:val="0"/>
          <w:numId w:val="5"/>
        </w:numPr>
        <w:spacing w:line="276" w:lineRule="auto"/>
        <w:jc w:val="both"/>
        <w:rPr>
          <w:sz w:val="24"/>
          <w:szCs w:val="24"/>
        </w:rPr>
      </w:pPr>
      <w:r w:rsidRPr="00467E67">
        <w:rPr>
          <w:sz w:val="24"/>
          <w:szCs w:val="24"/>
        </w:rPr>
        <w:t>Year 3: £1,000 million</w:t>
      </w:r>
    </w:p>
    <w:p w14:paraId="26D15B71" w14:textId="77777777" w:rsidR="00A16EBB" w:rsidRPr="00467E67" w:rsidRDefault="00A16EBB" w:rsidP="00077509">
      <w:pPr>
        <w:numPr>
          <w:ilvl w:val="0"/>
          <w:numId w:val="5"/>
        </w:numPr>
        <w:spacing w:line="276" w:lineRule="auto"/>
        <w:jc w:val="both"/>
        <w:rPr>
          <w:sz w:val="24"/>
          <w:szCs w:val="24"/>
        </w:rPr>
      </w:pPr>
      <w:r w:rsidRPr="00467E67">
        <w:rPr>
          <w:sz w:val="24"/>
          <w:szCs w:val="24"/>
        </w:rPr>
        <w:t>Year 4: -£442 million</w:t>
      </w:r>
    </w:p>
    <w:p w14:paraId="48ADC5AF" w14:textId="77777777" w:rsidR="00A16EBB" w:rsidRPr="00467E67" w:rsidRDefault="00A16EBB" w:rsidP="00467E67">
      <w:pPr>
        <w:spacing w:line="276" w:lineRule="auto"/>
        <w:jc w:val="both"/>
        <w:rPr>
          <w:sz w:val="24"/>
          <w:szCs w:val="24"/>
        </w:rPr>
      </w:pPr>
      <w:r w:rsidRPr="00467E67">
        <w:rPr>
          <w:b/>
          <w:bCs/>
          <w:sz w:val="24"/>
          <w:szCs w:val="24"/>
        </w:rPr>
        <w:t>Payback Period:</w:t>
      </w:r>
    </w:p>
    <w:p w14:paraId="4D8596ED" w14:textId="77777777" w:rsidR="00A16EBB" w:rsidRPr="00467E67" w:rsidRDefault="00A16EBB" w:rsidP="00077509">
      <w:pPr>
        <w:numPr>
          <w:ilvl w:val="0"/>
          <w:numId w:val="6"/>
        </w:numPr>
        <w:spacing w:line="276" w:lineRule="auto"/>
        <w:jc w:val="both"/>
        <w:rPr>
          <w:sz w:val="24"/>
          <w:szCs w:val="24"/>
        </w:rPr>
      </w:pPr>
      <w:r w:rsidRPr="00467E67">
        <w:rPr>
          <w:sz w:val="24"/>
          <w:szCs w:val="24"/>
        </w:rPr>
        <w:t>Cumulative cash flow by the end of Year 2: £2,500 + £2,000 = £4,500 million</w:t>
      </w:r>
    </w:p>
    <w:p w14:paraId="18FBDF76" w14:textId="77777777" w:rsidR="00A16EBB" w:rsidRPr="00467E67" w:rsidRDefault="00A16EBB" w:rsidP="00077509">
      <w:pPr>
        <w:numPr>
          <w:ilvl w:val="0"/>
          <w:numId w:val="6"/>
        </w:numPr>
        <w:spacing w:line="276" w:lineRule="auto"/>
        <w:jc w:val="both"/>
        <w:rPr>
          <w:sz w:val="24"/>
          <w:szCs w:val="24"/>
        </w:rPr>
      </w:pPr>
      <w:r w:rsidRPr="00467E67">
        <w:rPr>
          <w:sz w:val="24"/>
          <w:szCs w:val="24"/>
        </w:rPr>
        <w:t>Remaining amount to recover: £5,000 - £4,500 = £500 million</w:t>
      </w:r>
    </w:p>
    <w:p w14:paraId="11B871C9" w14:textId="77777777" w:rsidR="00A16EBB" w:rsidRPr="00467E67" w:rsidRDefault="00A16EBB" w:rsidP="00077509">
      <w:pPr>
        <w:numPr>
          <w:ilvl w:val="0"/>
          <w:numId w:val="6"/>
        </w:numPr>
        <w:spacing w:line="276" w:lineRule="auto"/>
        <w:jc w:val="both"/>
        <w:rPr>
          <w:sz w:val="24"/>
          <w:szCs w:val="24"/>
        </w:rPr>
      </w:pPr>
      <w:r w:rsidRPr="00467E67">
        <w:rPr>
          <w:sz w:val="24"/>
          <w:szCs w:val="24"/>
        </w:rPr>
        <w:t>Proportion of Year 3 needed to recover the remaining amount: £500 / £1,000 = 0.5 years</w:t>
      </w:r>
    </w:p>
    <w:p w14:paraId="6BF1DD2C" w14:textId="77777777" w:rsidR="00A16EBB" w:rsidRPr="00467E67" w:rsidRDefault="00A16EBB" w:rsidP="00077509">
      <w:pPr>
        <w:numPr>
          <w:ilvl w:val="0"/>
          <w:numId w:val="6"/>
        </w:numPr>
        <w:spacing w:line="276" w:lineRule="auto"/>
        <w:jc w:val="both"/>
        <w:rPr>
          <w:sz w:val="24"/>
          <w:szCs w:val="24"/>
        </w:rPr>
      </w:pPr>
      <w:r w:rsidRPr="00467E67">
        <w:rPr>
          <w:sz w:val="24"/>
          <w:szCs w:val="24"/>
        </w:rPr>
        <w:t xml:space="preserve">PBP for Project A: 2 + 0.5 = </w:t>
      </w:r>
      <w:r w:rsidRPr="00467E67">
        <w:rPr>
          <w:b/>
          <w:sz w:val="24"/>
          <w:szCs w:val="24"/>
        </w:rPr>
        <w:t>2.5 years</w:t>
      </w:r>
    </w:p>
    <w:p w14:paraId="38BEC0D2" w14:textId="77777777" w:rsidR="00A16EBB" w:rsidRPr="00467E67" w:rsidRDefault="00A16EBB" w:rsidP="00467E67">
      <w:pPr>
        <w:spacing w:line="276" w:lineRule="auto"/>
        <w:jc w:val="both"/>
        <w:rPr>
          <w:sz w:val="24"/>
          <w:szCs w:val="24"/>
        </w:rPr>
      </w:pPr>
      <w:r w:rsidRPr="00467E67">
        <w:rPr>
          <w:b/>
          <w:bCs/>
          <w:sz w:val="24"/>
          <w:szCs w:val="24"/>
        </w:rPr>
        <w:t>Accounting Rate of Return:</w:t>
      </w:r>
    </w:p>
    <w:p w14:paraId="08F7F80F" w14:textId="77777777" w:rsidR="00A16EBB" w:rsidRPr="00467E67" w:rsidRDefault="00A16EBB" w:rsidP="00077509">
      <w:pPr>
        <w:numPr>
          <w:ilvl w:val="0"/>
          <w:numId w:val="7"/>
        </w:numPr>
        <w:spacing w:line="276" w:lineRule="auto"/>
        <w:jc w:val="both"/>
        <w:rPr>
          <w:sz w:val="24"/>
          <w:szCs w:val="24"/>
        </w:rPr>
      </w:pPr>
      <w:r w:rsidRPr="00467E67">
        <w:rPr>
          <w:sz w:val="24"/>
          <w:szCs w:val="24"/>
        </w:rPr>
        <w:t xml:space="preserve">Average Annual Cash Flow: </w:t>
      </w:r>
      <w:proofErr w:type="gramStart"/>
      <w:r w:rsidRPr="00467E67">
        <w:rPr>
          <w:sz w:val="24"/>
          <w:szCs w:val="24"/>
        </w:rPr>
        <w:t>( £</w:t>
      </w:r>
      <w:proofErr w:type="gramEnd"/>
      <w:r w:rsidRPr="00467E67">
        <w:rPr>
          <w:sz w:val="24"/>
          <w:szCs w:val="24"/>
        </w:rPr>
        <w:t>2,500 + £2,000 + £1,000 - £442 ) / 4 = £1,264.5 million</w:t>
      </w:r>
    </w:p>
    <w:p w14:paraId="2BF3FAAB" w14:textId="77777777" w:rsidR="00A16EBB" w:rsidRPr="00467E67" w:rsidRDefault="00A16EBB" w:rsidP="00077509">
      <w:pPr>
        <w:numPr>
          <w:ilvl w:val="0"/>
          <w:numId w:val="7"/>
        </w:numPr>
        <w:spacing w:line="276" w:lineRule="auto"/>
        <w:jc w:val="both"/>
        <w:rPr>
          <w:sz w:val="24"/>
          <w:szCs w:val="24"/>
        </w:rPr>
      </w:pPr>
      <w:r w:rsidRPr="00467E67">
        <w:rPr>
          <w:sz w:val="24"/>
          <w:szCs w:val="24"/>
        </w:rPr>
        <w:t xml:space="preserve">ARR = </w:t>
      </w:r>
      <w:proofErr w:type="gramStart"/>
      <w:r w:rsidRPr="00467E67">
        <w:rPr>
          <w:sz w:val="24"/>
          <w:szCs w:val="24"/>
        </w:rPr>
        <w:t>( £</w:t>
      </w:r>
      <w:proofErr w:type="gramEnd"/>
      <w:r w:rsidRPr="00467E67">
        <w:rPr>
          <w:sz w:val="24"/>
          <w:szCs w:val="24"/>
        </w:rPr>
        <w:t xml:space="preserve">1,264.5 / £5,000 ) × 100% = </w:t>
      </w:r>
      <w:r w:rsidRPr="00467E67">
        <w:rPr>
          <w:b/>
          <w:sz w:val="24"/>
          <w:szCs w:val="24"/>
        </w:rPr>
        <w:t>25.29%</w:t>
      </w:r>
    </w:p>
    <w:p w14:paraId="49E433D5" w14:textId="77777777" w:rsidR="00A16EBB" w:rsidRPr="00467E67" w:rsidRDefault="00A16EBB" w:rsidP="00467E67">
      <w:pPr>
        <w:spacing w:line="276" w:lineRule="auto"/>
        <w:jc w:val="both"/>
        <w:rPr>
          <w:sz w:val="24"/>
          <w:szCs w:val="24"/>
        </w:rPr>
      </w:pPr>
      <w:r w:rsidRPr="00467E67">
        <w:rPr>
          <w:b/>
          <w:bCs/>
          <w:sz w:val="24"/>
          <w:szCs w:val="24"/>
        </w:rPr>
        <w:t>Net Present Value:</w:t>
      </w:r>
    </w:p>
    <w:p w14:paraId="52A557AE" w14:textId="77777777" w:rsidR="00A16EBB" w:rsidRPr="00467E67" w:rsidRDefault="00A16EBB" w:rsidP="00077509">
      <w:pPr>
        <w:numPr>
          <w:ilvl w:val="0"/>
          <w:numId w:val="8"/>
        </w:numPr>
        <w:spacing w:line="276" w:lineRule="auto"/>
        <w:jc w:val="both"/>
        <w:rPr>
          <w:sz w:val="24"/>
          <w:szCs w:val="24"/>
        </w:rPr>
      </w:pPr>
      <w:r w:rsidRPr="00467E67">
        <w:rPr>
          <w:sz w:val="24"/>
          <w:szCs w:val="24"/>
        </w:rPr>
        <w:lastRenderedPageBreak/>
        <w:t>Discount Rate (r): 0.75%</w:t>
      </w:r>
    </w:p>
    <w:p w14:paraId="2C219E3B" w14:textId="77777777" w:rsidR="00A16EBB" w:rsidRPr="00467E67" w:rsidRDefault="00A16EBB" w:rsidP="00077509">
      <w:pPr>
        <w:numPr>
          <w:ilvl w:val="0"/>
          <w:numId w:val="8"/>
        </w:numPr>
        <w:spacing w:line="276" w:lineRule="auto"/>
        <w:jc w:val="both"/>
        <w:rPr>
          <w:sz w:val="24"/>
          <w:szCs w:val="24"/>
        </w:rPr>
      </w:pPr>
      <w:r w:rsidRPr="00467E67">
        <w:rPr>
          <w:sz w:val="24"/>
          <w:szCs w:val="24"/>
        </w:rPr>
        <w:t xml:space="preserve">NPV = (-£5,000 / (1 + </w:t>
      </w:r>
      <w:proofErr w:type="gramStart"/>
      <w:r w:rsidRPr="00467E67">
        <w:rPr>
          <w:sz w:val="24"/>
          <w:szCs w:val="24"/>
        </w:rPr>
        <w:t>0.0075)^</w:t>
      </w:r>
      <w:proofErr w:type="gramEnd"/>
      <w:r w:rsidRPr="00467E67">
        <w:rPr>
          <w:sz w:val="24"/>
          <w:szCs w:val="24"/>
        </w:rPr>
        <w:t>0) + (£2,500 / (1 + 0.0075)^1) + (£2,000 / (1 + 0.0075)^2) + (£1,000 / (1 + 0.0075)^3) - (£442 / (1 + 0.0075)^4)</w:t>
      </w:r>
    </w:p>
    <w:p w14:paraId="20C0061E" w14:textId="77777777" w:rsidR="00A16EBB" w:rsidRPr="00467E67" w:rsidRDefault="00A16EBB" w:rsidP="00077509">
      <w:pPr>
        <w:numPr>
          <w:ilvl w:val="0"/>
          <w:numId w:val="8"/>
        </w:numPr>
        <w:spacing w:line="276" w:lineRule="auto"/>
        <w:jc w:val="both"/>
        <w:rPr>
          <w:sz w:val="24"/>
          <w:szCs w:val="24"/>
        </w:rPr>
      </w:pPr>
      <w:r w:rsidRPr="00467E67">
        <w:rPr>
          <w:sz w:val="24"/>
          <w:szCs w:val="24"/>
        </w:rPr>
        <w:t>NPV ≈ -£5,000 + £2,482.14 + £1,980.29 + £988.14 - £438.04</w:t>
      </w:r>
    </w:p>
    <w:p w14:paraId="01B767B9" w14:textId="77777777" w:rsidR="00A16EBB" w:rsidRPr="00467E67" w:rsidRDefault="00A16EBB" w:rsidP="00077509">
      <w:pPr>
        <w:numPr>
          <w:ilvl w:val="0"/>
          <w:numId w:val="8"/>
        </w:numPr>
        <w:spacing w:line="276" w:lineRule="auto"/>
        <w:jc w:val="both"/>
        <w:rPr>
          <w:b/>
          <w:sz w:val="24"/>
          <w:szCs w:val="24"/>
        </w:rPr>
      </w:pPr>
      <w:r w:rsidRPr="00467E67">
        <w:rPr>
          <w:b/>
          <w:sz w:val="24"/>
          <w:szCs w:val="24"/>
        </w:rPr>
        <w:t>NPV ≈ £12.53 million</w:t>
      </w:r>
    </w:p>
    <w:p w14:paraId="7412C7DF" w14:textId="77777777" w:rsidR="00A16EBB" w:rsidRPr="00467E67" w:rsidRDefault="00A16EBB" w:rsidP="00467E67">
      <w:pPr>
        <w:spacing w:line="276" w:lineRule="auto"/>
        <w:jc w:val="both"/>
        <w:rPr>
          <w:sz w:val="24"/>
          <w:szCs w:val="24"/>
        </w:rPr>
      </w:pPr>
    </w:p>
    <w:p w14:paraId="0F8AA18A" w14:textId="77777777" w:rsidR="00A16EBB" w:rsidRPr="00361B54" w:rsidRDefault="00A16EBB" w:rsidP="00077509">
      <w:pPr>
        <w:pStyle w:val="Heading2"/>
        <w:numPr>
          <w:ilvl w:val="1"/>
          <w:numId w:val="26"/>
        </w:numPr>
        <w:rPr>
          <w:b/>
          <w:color w:val="000000" w:themeColor="text1"/>
        </w:rPr>
      </w:pPr>
      <w:bookmarkStart w:id="25" w:name="_Toc162208557"/>
      <w:bookmarkStart w:id="26" w:name="_Toc163310239"/>
      <w:r w:rsidRPr="00361B54">
        <w:rPr>
          <w:b/>
          <w:color w:val="000000" w:themeColor="text1"/>
        </w:rPr>
        <w:t>Project B</w:t>
      </w:r>
      <w:bookmarkEnd w:id="25"/>
      <w:bookmarkEnd w:id="26"/>
    </w:p>
    <w:p w14:paraId="5463E859" w14:textId="77777777" w:rsidR="00A16EBB" w:rsidRPr="00467E67" w:rsidRDefault="00A16EBB" w:rsidP="00467E67">
      <w:pPr>
        <w:spacing w:line="276" w:lineRule="auto"/>
        <w:jc w:val="both"/>
        <w:rPr>
          <w:sz w:val="24"/>
          <w:szCs w:val="24"/>
        </w:rPr>
      </w:pPr>
    </w:p>
    <w:p w14:paraId="17D58789" w14:textId="77777777" w:rsidR="00A16EBB" w:rsidRPr="00467E67" w:rsidRDefault="00A16EBB" w:rsidP="00467E67">
      <w:pPr>
        <w:spacing w:line="276" w:lineRule="auto"/>
        <w:jc w:val="both"/>
        <w:rPr>
          <w:sz w:val="24"/>
          <w:szCs w:val="24"/>
        </w:rPr>
      </w:pPr>
      <w:r w:rsidRPr="00467E67">
        <w:rPr>
          <w:b/>
          <w:bCs/>
          <w:sz w:val="24"/>
          <w:szCs w:val="24"/>
        </w:rPr>
        <w:t>Initial Investment:</w:t>
      </w:r>
      <w:r w:rsidRPr="00467E67">
        <w:rPr>
          <w:sz w:val="24"/>
          <w:szCs w:val="24"/>
        </w:rPr>
        <w:t xml:space="preserve"> £1,000 million</w:t>
      </w:r>
    </w:p>
    <w:p w14:paraId="75BD4724" w14:textId="77777777" w:rsidR="00A16EBB" w:rsidRPr="00467E67" w:rsidRDefault="00A16EBB" w:rsidP="00467E67">
      <w:pPr>
        <w:spacing w:line="276" w:lineRule="auto"/>
        <w:jc w:val="both"/>
        <w:rPr>
          <w:sz w:val="24"/>
          <w:szCs w:val="24"/>
        </w:rPr>
      </w:pPr>
      <w:r w:rsidRPr="00467E67">
        <w:rPr>
          <w:b/>
          <w:bCs/>
          <w:sz w:val="24"/>
          <w:szCs w:val="24"/>
        </w:rPr>
        <w:t>Cash Flows:</w:t>
      </w:r>
    </w:p>
    <w:p w14:paraId="795F2F01" w14:textId="77777777" w:rsidR="00A16EBB" w:rsidRPr="00467E67" w:rsidRDefault="00A16EBB" w:rsidP="00077509">
      <w:pPr>
        <w:numPr>
          <w:ilvl w:val="0"/>
          <w:numId w:val="9"/>
        </w:numPr>
        <w:spacing w:line="276" w:lineRule="auto"/>
        <w:jc w:val="both"/>
        <w:rPr>
          <w:sz w:val="24"/>
          <w:szCs w:val="24"/>
        </w:rPr>
      </w:pPr>
      <w:r w:rsidRPr="00467E67">
        <w:rPr>
          <w:sz w:val="24"/>
          <w:szCs w:val="24"/>
        </w:rPr>
        <w:t>Year 0: -£1,000 million</w:t>
      </w:r>
    </w:p>
    <w:p w14:paraId="539B2E2D" w14:textId="77777777" w:rsidR="00A16EBB" w:rsidRPr="00467E67" w:rsidRDefault="00A16EBB" w:rsidP="00077509">
      <w:pPr>
        <w:numPr>
          <w:ilvl w:val="0"/>
          <w:numId w:val="9"/>
        </w:numPr>
        <w:spacing w:line="276" w:lineRule="auto"/>
        <w:jc w:val="both"/>
        <w:rPr>
          <w:sz w:val="24"/>
          <w:szCs w:val="24"/>
        </w:rPr>
      </w:pPr>
      <w:r w:rsidRPr="00467E67">
        <w:rPr>
          <w:sz w:val="24"/>
          <w:szCs w:val="24"/>
        </w:rPr>
        <w:t>Year 1: £1,500 million</w:t>
      </w:r>
    </w:p>
    <w:p w14:paraId="03475516" w14:textId="77777777" w:rsidR="00A16EBB" w:rsidRPr="00467E67" w:rsidRDefault="00A16EBB" w:rsidP="00077509">
      <w:pPr>
        <w:numPr>
          <w:ilvl w:val="0"/>
          <w:numId w:val="9"/>
        </w:numPr>
        <w:spacing w:line="276" w:lineRule="auto"/>
        <w:jc w:val="both"/>
        <w:rPr>
          <w:sz w:val="24"/>
          <w:szCs w:val="24"/>
        </w:rPr>
      </w:pPr>
      <w:r w:rsidRPr="00467E67">
        <w:rPr>
          <w:sz w:val="24"/>
          <w:szCs w:val="24"/>
        </w:rPr>
        <w:t>Year 2: £1,000 million</w:t>
      </w:r>
    </w:p>
    <w:p w14:paraId="6297CD36" w14:textId="77777777" w:rsidR="00A16EBB" w:rsidRPr="00467E67" w:rsidRDefault="00A16EBB" w:rsidP="00077509">
      <w:pPr>
        <w:numPr>
          <w:ilvl w:val="0"/>
          <w:numId w:val="9"/>
        </w:numPr>
        <w:spacing w:line="276" w:lineRule="auto"/>
        <w:jc w:val="both"/>
        <w:rPr>
          <w:sz w:val="24"/>
          <w:szCs w:val="24"/>
        </w:rPr>
      </w:pPr>
      <w:r w:rsidRPr="00467E67">
        <w:rPr>
          <w:sz w:val="24"/>
          <w:szCs w:val="24"/>
        </w:rPr>
        <w:t>Year 3: £1,000 million</w:t>
      </w:r>
    </w:p>
    <w:p w14:paraId="74A86E80" w14:textId="77777777" w:rsidR="00A16EBB" w:rsidRPr="00467E67" w:rsidRDefault="00A16EBB" w:rsidP="00077509">
      <w:pPr>
        <w:numPr>
          <w:ilvl w:val="0"/>
          <w:numId w:val="9"/>
        </w:numPr>
        <w:spacing w:line="276" w:lineRule="auto"/>
        <w:jc w:val="both"/>
        <w:rPr>
          <w:sz w:val="24"/>
          <w:szCs w:val="24"/>
        </w:rPr>
      </w:pPr>
      <w:r w:rsidRPr="00467E67">
        <w:rPr>
          <w:sz w:val="24"/>
          <w:szCs w:val="24"/>
        </w:rPr>
        <w:t>Year 4: -£470 million</w:t>
      </w:r>
    </w:p>
    <w:p w14:paraId="7CA42C31" w14:textId="77777777" w:rsidR="00A16EBB" w:rsidRPr="00467E67" w:rsidRDefault="00A16EBB" w:rsidP="00467E67">
      <w:pPr>
        <w:spacing w:line="276" w:lineRule="auto"/>
        <w:jc w:val="both"/>
        <w:rPr>
          <w:sz w:val="24"/>
          <w:szCs w:val="24"/>
        </w:rPr>
      </w:pPr>
      <w:r w:rsidRPr="00467E67">
        <w:rPr>
          <w:b/>
          <w:bCs/>
          <w:sz w:val="24"/>
          <w:szCs w:val="24"/>
        </w:rPr>
        <w:t>Payback Period:</w:t>
      </w:r>
    </w:p>
    <w:p w14:paraId="41405234" w14:textId="77777777" w:rsidR="00A16EBB" w:rsidRPr="00467E67" w:rsidRDefault="00A16EBB" w:rsidP="00077509">
      <w:pPr>
        <w:numPr>
          <w:ilvl w:val="0"/>
          <w:numId w:val="10"/>
        </w:numPr>
        <w:spacing w:line="276" w:lineRule="auto"/>
        <w:jc w:val="both"/>
        <w:rPr>
          <w:sz w:val="24"/>
          <w:szCs w:val="24"/>
        </w:rPr>
      </w:pPr>
      <w:r w:rsidRPr="00467E67">
        <w:rPr>
          <w:sz w:val="24"/>
          <w:szCs w:val="24"/>
        </w:rPr>
        <w:t>Accumulative cash flow by the end of Year 1: £1,500 million</w:t>
      </w:r>
    </w:p>
    <w:p w14:paraId="5B9E7F36" w14:textId="77777777" w:rsidR="00A16EBB" w:rsidRPr="00467E67" w:rsidRDefault="00A16EBB" w:rsidP="00077509">
      <w:pPr>
        <w:numPr>
          <w:ilvl w:val="0"/>
          <w:numId w:val="10"/>
        </w:numPr>
        <w:spacing w:line="276" w:lineRule="auto"/>
        <w:jc w:val="both"/>
        <w:rPr>
          <w:sz w:val="24"/>
          <w:szCs w:val="24"/>
        </w:rPr>
      </w:pPr>
      <w:r w:rsidRPr="00467E67">
        <w:rPr>
          <w:sz w:val="24"/>
          <w:szCs w:val="24"/>
        </w:rPr>
        <w:t xml:space="preserve">PBP for Project B: </w:t>
      </w:r>
      <w:r w:rsidRPr="00467E67">
        <w:rPr>
          <w:b/>
          <w:sz w:val="24"/>
          <w:szCs w:val="24"/>
        </w:rPr>
        <w:t>1 year</w:t>
      </w:r>
    </w:p>
    <w:p w14:paraId="6A833127" w14:textId="77777777" w:rsidR="00A16EBB" w:rsidRPr="00467E67" w:rsidRDefault="00A16EBB" w:rsidP="00467E67">
      <w:pPr>
        <w:spacing w:line="276" w:lineRule="auto"/>
        <w:jc w:val="both"/>
        <w:rPr>
          <w:sz w:val="24"/>
          <w:szCs w:val="24"/>
        </w:rPr>
      </w:pPr>
      <w:r w:rsidRPr="00467E67">
        <w:rPr>
          <w:b/>
          <w:bCs/>
          <w:sz w:val="24"/>
          <w:szCs w:val="24"/>
        </w:rPr>
        <w:t>Accounting Rate of Return:</w:t>
      </w:r>
    </w:p>
    <w:p w14:paraId="46018CA5" w14:textId="77777777" w:rsidR="00A16EBB" w:rsidRPr="00467E67" w:rsidRDefault="00A16EBB" w:rsidP="00077509">
      <w:pPr>
        <w:numPr>
          <w:ilvl w:val="0"/>
          <w:numId w:val="11"/>
        </w:numPr>
        <w:spacing w:line="276" w:lineRule="auto"/>
        <w:jc w:val="both"/>
        <w:rPr>
          <w:sz w:val="24"/>
          <w:szCs w:val="24"/>
        </w:rPr>
      </w:pPr>
      <w:r w:rsidRPr="00467E67">
        <w:rPr>
          <w:sz w:val="24"/>
          <w:szCs w:val="24"/>
        </w:rPr>
        <w:t xml:space="preserve">Average Annual Cash Flow: </w:t>
      </w:r>
      <w:proofErr w:type="gramStart"/>
      <w:r w:rsidRPr="00467E67">
        <w:rPr>
          <w:sz w:val="24"/>
          <w:szCs w:val="24"/>
        </w:rPr>
        <w:t>( £</w:t>
      </w:r>
      <w:proofErr w:type="gramEnd"/>
      <w:r w:rsidRPr="00467E67">
        <w:rPr>
          <w:sz w:val="24"/>
          <w:szCs w:val="24"/>
        </w:rPr>
        <w:t>1,500 + £1,000 + £1,000 - £470 ) / 4 = £757.5 million</w:t>
      </w:r>
    </w:p>
    <w:p w14:paraId="447D69DC" w14:textId="77777777" w:rsidR="00A16EBB" w:rsidRPr="00467E67" w:rsidRDefault="00A16EBB" w:rsidP="00077509">
      <w:pPr>
        <w:numPr>
          <w:ilvl w:val="0"/>
          <w:numId w:val="11"/>
        </w:numPr>
        <w:spacing w:line="276" w:lineRule="auto"/>
        <w:jc w:val="both"/>
        <w:rPr>
          <w:sz w:val="24"/>
          <w:szCs w:val="24"/>
        </w:rPr>
      </w:pPr>
      <w:r w:rsidRPr="00467E67">
        <w:rPr>
          <w:sz w:val="24"/>
          <w:szCs w:val="24"/>
        </w:rPr>
        <w:t xml:space="preserve">ARR = </w:t>
      </w:r>
      <w:proofErr w:type="gramStart"/>
      <w:r w:rsidRPr="00467E67">
        <w:rPr>
          <w:sz w:val="24"/>
          <w:szCs w:val="24"/>
        </w:rPr>
        <w:t>( £</w:t>
      </w:r>
      <w:proofErr w:type="gramEnd"/>
      <w:r w:rsidRPr="00467E67">
        <w:rPr>
          <w:sz w:val="24"/>
          <w:szCs w:val="24"/>
        </w:rPr>
        <w:t xml:space="preserve">757.5 / £1,000 ) × 100% = </w:t>
      </w:r>
      <w:r w:rsidRPr="00467E67">
        <w:rPr>
          <w:b/>
          <w:sz w:val="24"/>
          <w:szCs w:val="24"/>
        </w:rPr>
        <w:t>75.75%</w:t>
      </w:r>
    </w:p>
    <w:p w14:paraId="1A53078C" w14:textId="77777777" w:rsidR="00A16EBB" w:rsidRPr="00467E67" w:rsidRDefault="00A16EBB" w:rsidP="00467E67">
      <w:pPr>
        <w:spacing w:line="276" w:lineRule="auto"/>
        <w:jc w:val="both"/>
        <w:rPr>
          <w:sz w:val="24"/>
          <w:szCs w:val="24"/>
        </w:rPr>
      </w:pPr>
      <w:r w:rsidRPr="00467E67">
        <w:rPr>
          <w:b/>
          <w:bCs/>
          <w:sz w:val="24"/>
          <w:szCs w:val="24"/>
        </w:rPr>
        <w:t>Net Present Value:</w:t>
      </w:r>
    </w:p>
    <w:p w14:paraId="7E554B8A" w14:textId="77777777" w:rsidR="00A16EBB" w:rsidRPr="00467E67" w:rsidRDefault="00A16EBB" w:rsidP="00077509">
      <w:pPr>
        <w:numPr>
          <w:ilvl w:val="0"/>
          <w:numId w:val="12"/>
        </w:numPr>
        <w:spacing w:line="276" w:lineRule="auto"/>
        <w:jc w:val="both"/>
        <w:rPr>
          <w:sz w:val="24"/>
          <w:szCs w:val="24"/>
        </w:rPr>
      </w:pPr>
      <w:r w:rsidRPr="00467E67">
        <w:rPr>
          <w:sz w:val="24"/>
          <w:szCs w:val="24"/>
        </w:rPr>
        <w:t xml:space="preserve">NPV = (-£1,000 / (1 + </w:t>
      </w:r>
      <w:proofErr w:type="gramStart"/>
      <w:r w:rsidRPr="00467E67">
        <w:rPr>
          <w:sz w:val="24"/>
          <w:szCs w:val="24"/>
        </w:rPr>
        <w:t>0.0075)^</w:t>
      </w:r>
      <w:proofErr w:type="gramEnd"/>
      <w:r w:rsidRPr="00467E67">
        <w:rPr>
          <w:sz w:val="24"/>
          <w:szCs w:val="24"/>
        </w:rPr>
        <w:t>0) + (£1,500 / (1 + 0.0075)^1) + (£1,000 / (1 + 0.0075)^2) + (£1,000 / (1 + 0.0075)^3) - (£470 / (1 + 0.0075)^4)</w:t>
      </w:r>
    </w:p>
    <w:p w14:paraId="293FEA7D" w14:textId="77777777" w:rsidR="00A16EBB" w:rsidRPr="00467E67" w:rsidRDefault="00A16EBB" w:rsidP="00077509">
      <w:pPr>
        <w:numPr>
          <w:ilvl w:val="0"/>
          <w:numId w:val="12"/>
        </w:numPr>
        <w:spacing w:line="276" w:lineRule="auto"/>
        <w:jc w:val="both"/>
        <w:rPr>
          <w:sz w:val="24"/>
          <w:szCs w:val="24"/>
        </w:rPr>
      </w:pPr>
      <w:r w:rsidRPr="00467E67">
        <w:rPr>
          <w:sz w:val="24"/>
          <w:szCs w:val="24"/>
        </w:rPr>
        <w:t>NPV ≈ -£1,000 + £1,490.20 + £992.56 + £985.29 - £465.02</w:t>
      </w:r>
    </w:p>
    <w:p w14:paraId="141392E8" w14:textId="77777777" w:rsidR="00A16EBB" w:rsidRPr="00467E67" w:rsidRDefault="00A16EBB" w:rsidP="00077509">
      <w:pPr>
        <w:numPr>
          <w:ilvl w:val="0"/>
          <w:numId w:val="12"/>
        </w:numPr>
        <w:spacing w:line="276" w:lineRule="auto"/>
        <w:jc w:val="both"/>
        <w:rPr>
          <w:b/>
          <w:sz w:val="24"/>
          <w:szCs w:val="24"/>
        </w:rPr>
      </w:pPr>
      <w:r w:rsidRPr="00467E67">
        <w:rPr>
          <w:b/>
          <w:sz w:val="24"/>
          <w:szCs w:val="24"/>
        </w:rPr>
        <w:t>NPV ≈ £3.03 million</w:t>
      </w:r>
    </w:p>
    <w:p w14:paraId="4DF78B6C" w14:textId="77777777" w:rsidR="00A16EBB" w:rsidRPr="00467E67" w:rsidRDefault="00A16EBB" w:rsidP="00467E67">
      <w:pPr>
        <w:spacing w:line="276" w:lineRule="auto"/>
        <w:jc w:val="both"/>
        <w:rPr>
          <w:b/>
          <w:bCs/>
          <w:sz w:val="24"/>
          <w:szCs w:val="24"/>
        </w:rPr>
      </w:pPr>
      <w:r w:rsidRPr="00467E67">
        <w:rPr>
          <w:b/>
          <w:bCs/>
          <w:sz w:val="24"/>
          <w:szCs w:val="24"/>
        </w:rPr>
        <w:t>Conclusion:</w:t>
      </w:r>
    </w:p>
    <w:p w14:paraId="2CAC9078" w14:textId="77777777" w:rsidR="00A16EBB" w:rsidRPr="00467E67" w:rsidRDefault="00A16EBB" w:rsidP="00077509">
      <w:pPr>
        <w:numPr>
          <w:ilvl w:val="0"/>
          <w:numId w:val="13"/>
        </w:numPr>
        <w:spacing w:line="276" w:lineRule="auto"/>
        <w:jc w:val="both"/>
        <w:rPr>
          <w:sz w:val="24"/>
          <w:szCs w:val="24"/>
        </w:rPr>
      </w:pPr>
      <w:r w:rsidRPr="00467E67">
        <w:rPr>
          <w:b/>
          <w:bCs/>
          <w:sz w:val="24"/>
          <w:szCs w:val="24"/>
        </w:rPr>
        <w:lastRenderedPageBreak/>
        <w:t>Project A:</w:t>
      </w:r>
      <w:r w:rsidRPr="00467E67">
        <w:rPr>
          <w:sz w:val="24"/>
          <w:szCs w:val="24"/>
        </w:rPr>
        <w:t xml:space="preserve"> PBP = 2.5 years, ARR = 25.29%, NPV = £12.53 million</w:t>
      </w:r>
    </w:p>
    <w:p w14:paraId="0C9DCBE9" w14:textId="0AD2BBD2" w:rsidR="00A666F6" w:rsidRPr="00F56586" w:rsidRDefault="00361B54" w:rsidP="008958CA">
      <w:pPr>
        <w:numPr>
          <w:ilvl w:val="0"/>
          <w:numId w:val="13"/>
        </w:numPr>
        <w:jc w:val="both"/>
        <w:rPr>
          <w:rFonts w:cstheme="minorHAnsi"/>
          <w:sz w:val="24"/>
          <w:szCs w:val="24"/>
        </w:rPr>
      </w:pPr>
      <w:r w:rsidRPr="00F56586">
        <w:rPr>
          <w:rFonts w:cstheme="minorHAnsi"/>
          <w:b/>
          <w:sz w:val="24"/>
          <w:szCs w:val="24"/>
        </w:rPr>
        <w:t>Project B</w:t>
      </w:r>
      <w:r>
        <w:rPr>
          <w:rFonts w:cstheme="minorHAnsi"/>
          <w:sz w:val="24"/>
          <w:szCs w:val="24"/>
        </w:rPr>
        <w:t>: PBP = 1 years, ARR = 75.75%, NPV = £3.03</w:t>
      </w:r>
      <w:r w:rsidRPr="00E11342">
        <w:rPr>
          <w:rFonts w:cstheme="minorHAnsi"/>
          <w:sz w:val="24"/>
          <w:szCs w:val="24"/>
        </w:rPr>
        <w:t xml:space="preserve"> million</w:t>
      </w:r>
    </w:p>
    <w:p w14:paraId="6DBCBE8B" w14:textId="77777777" w:rsidR="00A16EBB" w:rsidRPr="00467E67" w:rsidRDefault="00A16EBB" w:rsidP="00467E67">
      <w:pPr>
        <w:spacing w:line="276" w:lineRule="auto"/>
        <w:jc w:val="both"/>
        <w:rPr>
          <w:sz w:val="24"/>
          <w:szCs w:val="24"/>
        </w:rPr>
      </w:pPr>
    </w:p>
    <w:p w14:paraId="7CE6D2C1" w14:textId="77777777" w:rsidR="00A16EBB" w:rsidRPr="002179D3" w:rsidRDefault="00A16EBB" w:rsidP="00077509">
      <w:pPr>
        <w:pStyle w:val="Heading2"/>
        <w:numPr>
          <w:ilvl w:val="1"/>
          <w:numId w:val="26"/>
        </w:numPr>
        <w:rPr>
          <w:b/>
        </w:rPr>
      </w:pPr>
      <w:bookmarkStart w:id="27" w:name="_Toc162208558"/>
      <w:bookmarkStart w:id="28" w:name="_Toc163310240"/>
      <w:r w:rsidRPr="002179D3">
        <w:rPr>
          <w:b/>
          <w:color w:val="000000" w:themeColor="text1"/>
        </w:rPr>
        <w:t>Evaluation of both projects</w:t>
      </w:r>
      <w:bookmarkEnd w:id="27"/>
      <w:bookmarkEnd w:id="28"/>
      <w:r w:rsidRPr="002179D3">
        <w:rPr>
          <w:b/>
          <w:color w:val="000000" w:themeColor="text1"/>
        </w:rPr>
        <w:t xml:space="preserve"> </w:t>
      </w:r>
    </w:p>
    <w:p w14:paraId="3E30247C" w14:textId="77777777" w:rsidR="00A16EBB" w:rsidRPr="00467E67" w:rsidRDefault="00A16EBB" w:rsidP="00467E67">
      <w:pPr>
        <w:spacing w:line="276" w:lineRule="auto"/>
        <w:jc w:val="both"/>
        <w:rPr>
          <w:sz w:val="24"/>
          <w:szCs w:val="24"/>
        </w:rPr>
      </w:pPr>
      <w:r w:rsidRPr="00467E67">
        <w:rPr>
          <w:sz w:val="24"/>
          <w:szCs w:val="24"/>
        </w:rPr>
        <w:t>The evaluation of the results from the Payback Period (PBP), Accounting Rate of Return (ARR), and Net Present Value (NPV) calculations for projects A and B reveals the following:</w:t>
      </w:r>
    </w:p>
    <w:p w14:paraId="57F471F3" w14:textId="77777777" w:rsidR="00A16EBB" w:rsidRPr="00467E67" w:rsidRDefault="00A16EBB" w:rsidP="00467E67">
      <w:pPr>
        <w:spacing w:line="276" w:lineRule="auto"/>
        <w:jc w:val="both"/>
        <w:rPr>
          <w:b/>
          <w:sz w:val="24"/>
          <w:szCs w:val="24"/>
        </w:rPr>
      </w:pPr>
      <w:r w:rsidRPr="00467E67">
        <w:rPr>
          <w:b/>
          <w:sz w:val="24"/>
          <w:szCs w:val="24"/>
        </w:rPr>
        <w:t>Project A:</w:t>
      </w:r>
    </w:p>
    <w:p w14:paraId="57C46D5D" w14:textId="77777777" w:rsidR="00A16EBB" w:rsidRPr="00467E67" w:rsidRDefault="00A16EBB" w:rsidP="00077509">
      <w:pPr>
        <w:numPr>
          <w:ilvl w:val="0"/>
          <w:numId w:val="14"/>
        </w:numPr>
        <w:spacing w:line="276" w:lineRule="auto"/>
        <w:jc w:val="both"/>
        <w:rPr>
          <w:sz w:val="24"/>
          <w:szCs w:val="24"/>
        </w:rPr>
      </w:pPr>
      <w:r w:rsidRPr="00467E67">
        <w:rPr>
          <w:b/>
          <w:sz w:val="24"/>
          <w:szCs w:val="24"/>
        </w:rPr>
        <w:t>PBP</w:t>
      </w:r>
      <w:r w:rsidRPr="00467E67">
        <w:rPr>
          <w:sz w:val="24"/>
          <w:szCs w:val="24"/>
        </w:rPr>
        <w:t>: 2.5 years. Accordingly, the period of investment payback will give over 2 years what means it is rather a short period to receive back the initial investment.</w:t>
      </w:r>
    </w:p>
    <w:p w14:paraId="25A46CD1" w14:textId="77777777" w:rsidR="00A16EBB" w:rsidRPr="00467E67" w:rsidRDefault="00A16EBB" w:rsidP="00077509">
      <w:pPr>
        <w:numPr>
          <w:ilvl w:val="0"/>
          <w:numId w:val="14"/>
        </w:numPr>
        <w:spacing w:line="276" w:lineRule="auto"/>
        <w:jc w:val="both"/>
        <w:rPr>
          <w:sz w:val="24"/>
          <w:szCs w:val="24"/>
        </w:rPr>
      </w:pPr>
      <w:r w:rsidRPr="00467E67">
        <w:rPr>
          <w:b/>
          <w:sz w:val="24"/>
          <w:szCs w:val="24"/>
        </w:rPr>
        <w:t>ARR</w:t>
      </w:r>
      <w:r w:rsidRPr="00467E67">
        <w:rPr>
          <w:sz w:val="24"/>
          <w:szCs w:val="24"/>
        </w:rPr>
        <w:t>: 25.29%. The high rate of cost efficiency signals the likelihood that the project would deliver a significant return on investment during its entire lifespan.</w:t>
      </w:r>
    </w:p>
    <w:p w14:paraId="2FEF5436" w14:textId="77777777" w:rsidR="00A16EBB" w:rsidRPr="00467E67" w:rsidRDefault="00A16EBB" w:rsidP="00077509">
      <w:pPr>
        <w:numPr>
          <w:ilvl w:val="0"/>
          <w:numId w:val="14"/>
        </w:numPr>
        <w:spacing w:line="276" w:lineRule="auto"/>
        <w:jc w:val="both"/>
        <w:rPr>
          <w:sz w:val="24"/>
          <w:szCs w:val="24"/>
        </w:rPr>
      </w:pPr>
      <w:r w:rsidRPr="00467E67">
        <w:rPr>
          <w:b/>
          <w:sz w:val="24"/>
          <w:szCs w:val="24"/>
        </w:rPr>
        <w:t>NPV</w:t>
      </w:r>
      <w:r w:rsidRPr="00467E67">
        <w:rPr>
          <w:sz w:val="24"/>
          <w:szCs w:val="24"/>
        </w:rPr>
        <w:t>: £12.53 million. A positive NPV is an indication of the project which is expected to appraise the value as well as the viability of the company.</w:t>
      </w:r>
    </w:p>
    <w:p w14:paraId="0B7E5DA2" w14:textId="77777777" w:rsidR="00A16EBB" w:rsidRPr="00467E67" w:rsidRDefault="00A16EBB" w:rsidP="00467E67">
      <w:pPr>
        <w:spacing w:line="276" w:lineRule="auto"/>
        <w:jc w:val="both"/>
        <w:rPr>
          <w:b/>
          <w:sz w:val="24"/>
          <w:szCs w:val="24"/>
        </w:rPr>
      </w:pPr>
      <w:r w:rsidRPr="00467E67">
        <w:rPr>
          <w:b/>
          <w:sz w:val="24"/>
          <w:szCs w:val="24"/>
        </w:rPr>
        <w:t>Project B:</w:t>
      </w:r>
    </w:p>
    <w:p w14:paraId="09DAC44E" w14:textId="77777777" w:rsidR="00A16EBB" w:rsidRPr="00467E67" w:rsidRDefault="00A16EBB" w:rsidP="00077509">
      <w:pPr>
        <w:numPr>
          <w:ilvl w:val="0"/>
          <w:numId w:val="15"/>
        </w:numPr>
        <w:spacing w:line="276" w:lineRule="auto"/>
        <w:jc w:val="both"/>
        <w:rPr>
          <w:sz w:val="24"/>
          <w:szCs w:val="24"/>
        </w:rPr>
      </w:pPr>
      <w:r w:rsidRPr="00467E67">
        <w:rPr>
          <w:b/>
          <w:sz w:val="24"/>
          <w:szCs w:val="24"/>
        </w:rPr>
        <w:t>PBP</w:t>
      </w:r>
      <w:r w:rsidRPr="00467E67">
        <w:rPr>
          <w:sz w:val="24"/>
          <w:szCs w:val="24"/>
        </w:rPr>
        <w:t>: 1 year. The initial investment pays back in one year and also a ROI on investment alternatives becomes quickly visible.</w:t>
      </w:r>
    </w:p>
    <w:p w14:paraId="28A99D82" w14:textId="77777777" w:rsidR="00A16EBB" w:rsidRPr="00467E67" w:rsidRDefault="00A16EBB" w:rsidP="00077509">
      <w:pPr>
        <w:numPr>
          <w:ilvl w:val="0"/>
          <w:numId w:val="15"/>
        </w:numPr>
        <w:spacing w:line="276" w:lineRule="auto"/>
        <w:jc w:val="both"/>
        <w:rPr>
          <w:sz w:val="24"/>
          <w:szCs w:val="24"/>
        </w:rPr>
      </w:pPr>
      <w:r w:rsidRPr="00467E67">
        <w:rPr>
          <w:b/>
          <w:sz w:val="24"/>
          <w:szCs w:val="24"/>
        </w:rPr>
        <w:t>ARR</w:t>
      </w:r>
      <w:r w:rsidRPr="00467E67">
        <w:rPr>
          <w:sz w:val="24"/>
          <w:szCs w:val="24"/>
        </w:rPr>
        <w:t>: 75.75%. Such an extraordinary high rate indicates that the project is mainly aimed to get money.</w:t>
      </w:r>
    </w:p>
    <w:p w14:paraId="0E0C4E69" w14:textId="77777777" w:rsidR="00A16EBB" w:rsidRPr="00467E67" w:rsidRDefault="00A16EBB" w:rsidP="00077509">
      <w:pPr>
        <w:numPr>
          <w:ilvl w:val="0"/>
          <w:numId w:val="15"/>
        </w:numPr>
        <w:spacing w:line="276" w:lineRule="auto"/>
        <w:jc w:val="both"/>
        <w:rPr>
          <w:sz w:val="24"/>
          <w:szCs w:val="24"/>
        </w:rPr>
      </w:pPr>
      <w:r w:rsidRPr="00467E67">
        <w:rPr>
          <w:b/>
          <w:sz w:val="24"/>
          <w:szCs w:val="24"/>
        </w:rPr>
        <w:t>NPV</w:t>
      </w:r>
      <w:r w:rsidRPr="00467E67">
        <w:rPr>
          <w:sz w:val="24"/>
          <w:szCs w:val="24"/>
        </w:rPr>
        <w:t>: £3.03 million. Even though it is positive, NPV value is smaller than that of Project A, thus, the incremental value is slightly higher in comparison.</w:t>
      </w:r>
    </w:p>
    <w:p w14:paraId="0928BEE1" w14:textId="77777777" w:rsidR="002179D3" w:rsidRPr="002179D3" w:rsidRDefault="00A16EBB" w:rsidP="00077509">
      <w:pPr>
        <w:pStyle w:val="Heading2"/>
        <w:numPr>
          <w:ilvl w:val="1"/>
          <w:numId w:val="26"/>
        </w:numPr>
        <w:rPr>
          <w:b/>
          <w:color w:val="000000" w:themeColor="text1"/>
        </w:rPr>
      </w:pPr>
      <w:bookmarkStart w:id="29" w:name="_Toc163310241"/>
      <w:r w:rsidRPr="002179D3">
        <w:rPr>
          <w:b/>
          <w:color w:val="000000" w:themeColor="text1"/>
        </w:rPr>
        <w:t>Recommendations</w:t>
      </w:r>
      <w:bookmarkEnd w:id="29"/>
      <w:r w:rsidRPr="002179D3">
        <w:rPr>
          <w:b/>
          <w:color w:val="000000" w:themeColor="text1"/>
        </w:rPr>
        <w:t xml:space="preserve"> </w:t>
      </w:r>
    </w:p>
    <w:p w14:paraId="7B2F8212" w14:textId="77777777" w:rsidR="00A16EBB" w:rsidRPr="00467E67" w:rsidRDefault="00A16EBB" w:rsidP="00467E67">
      <w:pPr>
        <w:spacing w:line="276" w:lineRule="auto"/>
        <w:jc w:val="both"/>
        <w:rPr>
          <w:sz w:val="24"/>
          <w:szCs w:val="24"/>
        </w:rPr>
      </w:pPr>
      <w:r w:rsidRPr="00467E67">
        <w:rPr>
          <w:sz w:val="24"/>
          <w:szCs w:val="24"/>
        </w:rPr>
        <w:t>Based on the comprehensive analysis, it's recommended that Project A represents a more balanced and viable investment for the company. Despite having a slightly longer payback period than Project B, its substantial ARR and significantly higher NPV indicate a stronger profitability potential, promising greater value addition to the company over the long haul.</w:t>
      </w:r>
    </w:p>
    <w:p w14:paraId="689DDF8D" w14:textId="77777777" w:rsidR="00A16EBB" w:rsidRPr="00467E67" w:rsidRDefault="00A16EBB" w:rsidP="00467E67">
      <w:pPr>
        <w:spacing w:line="276" w:lineRule="auto"/>
        <w:jc w:val="both"/>
        <w:rPr>
          <w:sz w:val="24"/>
          <w:szCs w:val="24"/>
        </w:rPr>
      </w:pPr>
      <w:r w:rsidRPr="00467E67">
        <w:rPr>
          <w:sz w:val="24"/>
          <w:szCs w:val="24"/>
        </w:rPr>
        <w:t xml:space="preserve">Project B, characterized by its rapid payback and exceptionally high ARR, </w:t>
      </w:r>
      <w:r w:rsidR="002179D3" w:rsidRPr="00467E67">
        <w:rPr>
          <w:sz w:val="24"/>
          <w:szCs w:val="24"/>
        </w:rPr>
        <w:t>and may</w:t>
      </w:r>
      <w:r w:rsidRPr="00467E67">
        <w:rPr>
          <w:sz w:val="24"/>
          <w:szCs w:val="24"/>
        </w:rPr>
        <w:t xml:space="preserve"> seem attractive for achieving short-term financial gains. However, </w:t>
      </w:r>
      <w:r w:rsidR="002179D3" w:rsidRPr="00467E67">
        <w:rPr>
          <w:sz w:val="24"/>
          <w:szCs w:val="24"/>
        </w:rPr>
        <w:t>it’s</w:t>
      </w:r>
      <w:r w:rsidRPr="00467E67">
        <w:rPr>
          <w:sz w:val="24"/>
          <w:szCs w:val="24"/>
        </w:rPr>
        <w:t xml:space="preserve"> relatively lower NPV, when compared to Project A, implies it may not offer the same level of benefit to the company's long-term financial health.</w:t>
      </w:r>
    </w:p>
    <w:p w14:paraId="0B961D89" w14:textId="77777777" w:rsidR="00A16EBB" w:rsidRPr="002179D3" w:rsidRDefault="00A16EBB" w:rsidP="00077509">
      <w:pPr>
        <w:pStyle w:val="Heading2"/>
        <w:numPr>
          <w:ilvl w:val="1"/>
          <w:numId w:val="26"/>
        </w:numPr>
        <w:rPr>
          <w:b/>
          <w:color w:val="000000" w:themeColor="text1"/>
        </w:rPr>
      </w:pPr>
      <w:bookmarkStart w:id="30" w:name="_Toc163310242"/>
      <w:r w:rsidRPr="002179D3">
        <w:rPr>
          <w:b/>
          <w:color w:val="000000" w:themeColor="text1"/>
        </w:rPr>
        <w:t>Project should be adopted</w:t>
      </w:r>
      <w:bookmarkEnd w:id="30"/>
      <w:r w:rsidRPr="002179D3">
        <w:rPr>
          <w:b/>
          <w:color w:val="000000" w:themeColor="text1"/>
        </w:rPr>
        <w:t xml:space="preserve"> </w:t>
      </w:r>
    </w:p>
    <w:p w14:paraId="64919F5F" w14:textId="2CEBB436" w:rsidR="0015293D" w:rsidRDefault="00A16EBB" w:rsidP="00467E67">
      <w:pPr>
        <w:spacing w:line="276" w:lineRule="auto"/>
        <w:jc w:val="both"/>
        <w:rPr>
          <w:rFonts w:ascii="Segoe UI" w:hAnsi="Segoe UI" w:cs="Segoe UI"/>
          <w:color w:val="0D0D0D"/>
          <w:sz w:val="24"/>
          <w:szCs w:val="24"/>
          <w:shd w:val="clear" w:color="auto" w:fill="FFFFFF"/>
        </w:rPr>
      </w:pPr>
      <w:r w:rsidRPr="00467E67">
        <w:rPr>
          <w:rFonts w:ascii="Segoe UI" w:hAnsi="Segoe UI" w:cs="Segoe UI"/>
          <w:color w:val="0D0D0D"/>
          <w:sz w:val="24"/>
          <w:szCs w:val="24"/>
          <w:shd w:val="clear" w:color="auto" w:fill="FFFFFF"/>
        </w:rPr>
        <w:t xml:space="preserve">Given the analysis and recommendation provided, Project A should be adopted. Its balanced approach, higher Net Present Value (NPV), and strong Annual Rate of Return (ARR) suggest it </w:t>
      </w:r>
      <w:r w:rsidRPr="00467E67">
        <w:rPr>
          <w:rFonts w:ascii="Segoe UI" w:hAnsi="Segoe UI" w:cs="Segoe UI"/>
          <w:color w:val="0D0D0D"/>
          <w:sz w:val="24"/>
          <w:szCs w:val="24"/>
          <w:shd w:val="clear" w:color="auto" w:fill="FFFFFF"/>
        </w:rPr>
        <w:lastRenderedPageBreak/>
        <w:t>will offer more substantial long-term value and profitability to the company, outweighing the appeal of Project B's quicker payback but lower overall contribution to the company's long-term value.</w:t>
      </w:r>
    </w:p>
    <w:p w14:paraId="74A09183" w14:textId="77777777" w:rsidR="002179D3" w:rsidRPr="002179D3" w:rsidRDefault="002179D3" w:rsidP="00077509">
      <w:pPr>
        <w:pStyle w:val="Heading1"/>
        <w:numPr>
          <w:ilvl w:val="0"/>
          <w:numId w:val="26"/>
        </w:numPr>
        <w:rPr>
          <w:b/>
          <w:color w:val="000000" w:themeColor="text1"/>
        </w:rPr>
      </w:pPr>
      <w:bookmarkStart w:id="31" w:name="_Toc163310243"/>
      <w:r w:rsidRPr="002179D3">
        <w:rPr>
          <w:b/>
          <w:color w:val="000000" w:themeColor="text1"/>
          <w:shd w:val="clear" w:color="auto" w:fill="FFFFFF"/>
        </w:rPr>
        <w:t>Recalculation of NPV</w:t>
      </w:r>
      <w:bookmarkEnd w:id="31"/>
    </w:p>
    <w:p w14:paraId="4EFB4713" w14:textId="77777777" w:rsidR="006E402E" w:rsidRPr="00467E67" w:rsidRDefault="002179D3" w:rsidP="00467E67">
      <w:pPr>
        <w:spacing w:line="276" w:lineRule="auto"/>
        <w:jc w:val="both"/>
        <w:rPr>
          <w:sz w:val="24"/>
          <w:szCs w:val="24"/>
        </w:rPr>
      </w:pPr>
      <w:r w:rsidRPr="00467E67">
        <w:rPr>
          <w:sz w:val="24"/>
          <w:szCs w:val="24"/>
        </w:rPr>
        <w:t>Recalculate</w:t>
      </w:r>
      <w:r w:rsidR="006E402E" w:rsidRPr="00467E67">
        <w:rPr>
          <w:sz w:val="24"/>
          <w:szCs w:val="24"/>
        </w:rPr>
        <w:t xml:space="preserve"> the Net Present Value (NPV) for Projects A and B with the adjusted initial investments and cash flows:</w:t>
      </w:r>
    </w:p>
    <w:p w14:paraId="18E280BE" w14:textId="77777777" w:rsidR="006E402E" w:rsidRPr="00467E67" w:rsidRDefault="006E402E" w:rsidP="00467E67">
      <w:pPr>
        <w:spacing w:line="276" w:lineRule="auto"/>
        <w:jc w:val="both"/>
        <w:rPr>
          <w:b/>
          <w:bCs/>
          <w:sz w:val="24"/>
          <w:szCs w:val="24"/>
        </w:rPr>
      </w:pPr>
      <w:r w:rsidRPr="00467E67">
        <w:rPr>
          <w:b/>
          <w:bCs/>
          <w:sz w:val="24"/>
          <w:szCs w:val="24"/>
        </w:rPr>
        <w:t>Adjusted Parameters:</w:t>
      </w:r>
    </w:p>
    <w:p w14:paraId="4471AE86" w14:textId="77777777" w:rsidR="006E402E" w:rsidRPr="00467E67" w:rsidRDefault="006E402E" w:rsidP="00077509">
      <w:pPr>
        <w:numPr>
          <w:ilvl w:val="0"/>
          <w:numId w:val="16"/>
        </w:numPr>
        <w:spacing w:line="276" w:lineRule="auto"/>
        <w:jc w:val="both"/>
        <w:rPr>
          <w:sz w:val="24"/>
          <w:szCs w:val="24"/>
        </w:rPr>
      </w:pPr>
      <w:r w:rsidRPr="00467E67">
        <w:rPr>
          <w:sz w:val="24"/>
          <w:szCs w:val="24"/>
        </w:rPr>
        <w:t>Initial investments increase by 10%</w:t>
      </w:r>
    </w:p>
    <w:p w14:paraId="584118AE" w14:textId="77777777" w:rsidR="006E402E" w:rsidRPr="00467E67" w:rsidRDefault="006E402E" w:rsidP="00077509">
      <w:pPr>
        <w:numPr>
          <w:ilvl w:val="0"/>
          <w:numId w:val="16"/>
        </w:numPr>
        <w:spacing w:line="276" w:lineRule="auto"/>
        <w:jc w:val="both"/>
        <w:rPr>
          <w:sz w:val="24"/>
          <w:szCs w:val="24"/>
        </w:rPr>
      </w:pPr>
      <w:r w:rsidRPr="00467E67">
        <w:rPr>
          <w:sz w:val="24"/>
          <w:szCs w:val="24"/>
        </w:rPr>
        <w:t>All cash flows decrease by 10%</w:t>
      </w:r>
    </w:p>
    <w:p w14:paraId="545CA86C" w14:textId="77777777" w:rsidR="006E402E" w:rsidRPr="00467E67" w:rsidRDefault="006E402E" w:rsidP="00467E67">
      <w:pPr>
        <w:spacing w:line="276" w:lineRule="auto"/>
        <w:jc w:val="both"/>
        <w:rPr>
          <w:b/>
          <w:bCs/>
          <w:sz w:val="24"/>
          <w:szCs w:val="24"/>
        </w:rPr>
      </w:pPr>
      <w:r w:rsidRPr="00467E67">
        <w:rPr>
          <w:b/>
          <w:bCs/>
          <w:sz w:val="24"/>
          <w:szCs w:val="24"/>
        </w:rPr>
        <w:t>Project A (Adjusted):</w:t>
      </w:r>
    </w:p>
    <w:p w14:paraId="01B60F94" w14:textId="77777777" w:rsidR="006E402E" w:rsidRPr="00467E67" w:rsidRDefault="006E402E" w:rsidP="00077509">
      <w:pPr>
        <w:numPr>
          <w:ilvl w:val="0"/>
          <w:numId w:val="17"/>
        </w:numPr>
        <w:spacing w:line="276" w:lineRule="auto"/>
        <w:jc w:val="both"/>
        <w:rPr>
          <w:sz w:val="24"/>
          <w:szCs w:val="24"/>
        </w:rPr>
      </w:pPr>
      <w:r w:rsidRPr="00467E67">
        <w:rPr>
          <w:b/>
          <w:bCs/>
          <w:sz w:val="24"/>
          <w:szCs w:val="24"/>
        </w:rPr>
        <w:t>Initial Investment</w:t>
      </w:r>
      <w:r w:rsidRPr="00467E67">
        <w:rPr>
          <w:sz w:val="24"/>
          <w:szCs w:val="24"/>
        </w:rPr>
        <w:t>: £5,500 million (10% increase from £5,000 million)</w:t>
      </w:r>
    </w:p>
    <w:p w14:paraId="40805A29" w14:textId="77777777" w:rsidR="006E402E" w:rsidRPr="00467E67" w:rsidRDefault="006E402E" w:rsidP="00077509">
      <w:pPr>
        <w:numPr>
          <w:ilvl w:val="0"/>
          <w:numId w:val="17"/>
        </w:numPr>
        <w:spacing w:line="276" w:lineRule="auto"/>
        <w:jc w:val="both"/>
        <w:rPr>
          <w:sz w:val="24"/>
          <w:szCs w:val="24"/>
        </w:rPr>
      </w:pPr>
      <w:r w:rsidRPr="00467E67">
        <w:rPr>
          <w:b/>
          <w:bCs/>
          <w:sz w:val="24"/>
          <w:szCs w:val="24"/>
        </w:rPr>
        <w:t>Cash Flows</w:t>
      </w:r>
      <w:r w:rsidRPr="00467E67">
        <w:rPr>
          <w:sz w:val="24"/>
          <w:szCs w:val="24"/>
        </w:rPr>
        <w:t>:</w:t>
      </w:r>
    </w:p>
    <w:p w14:paraId="170FB5FC" w14:textId="77777777" w:rsidR="006E402E" w:rsidRPr="00467E67" w:rsidRDefault="006E402E" w:rsidP="00077509">
      <w:pPr>
        <w:numPr>
          <w:ilvl w:val="1"/>
          <w:numId w:val="17"/>
        </w:numPr>
        <w:spacing w:line="276" w:lineRule="auto"/>
        <w:jc w:val="both"/>
        <w:rPr>
          <w:sz w:val="24"/>
          <w:szCs w:val="24"/>
        </w:rPr>
      </w:pPr>
      <w:r w:rsidRPr="00467E67">
        <w:rPr>
          <w:sz w:val="24"/>
          <w:szCs w:val="24"/>
        </w:rPr>
        <w:t>Year 1: £2,250 million (10% decrease from £2,500 million)</w:t>
      </w:r>
    </w:p>
    <w:p w14:paraId="50C53BEB" w14:textId="77777777" w:rsidR="006E402E" w:rsidRPr="00467E67" w:rsidRDefault="006E402E" w:rsidP="00077509">
      <w:pPr>
        <w:numPr>
          <w:ilvl w:val="1"/>
          <w:numId w:val="17"/>
        </w:numPr>
        <w:spacing w:line="276" w:lineRule="auto"/>
        <w:jc w:val="both"/>
        <w:rPr>
          <w:sz w:val="24"/>
          <w:szCs w:val="24"/>
        </w:rPr>
      </w:pPr>
      <w:r w:rsidRPr="00467E67">
        <w:rPr>
          <w:sz w:val="24"/>
          <w:szCs w:val="24"/>
        </w:rPr>
        <w:t>Year 2: £1,800 million (10% decrease from £2,000 million)</w:t>
      </w:r>
    </w:p>
    <w:p w14:paraId="39988921" w14:textId="77777777" w:rsidR="006E402E" w:rsidRPr="00467E67" w:rsidRDefault="006E402E" w:rsidP="00077509">
      <w:pPr>
        <w:numPr>
          <w:ilvl w:val="1"/>
          <w:numId w:val="17"/>
        </w:numPr>
        <w:spacing w:line="276" w:lineRule="auto"/>
        <w:jc w:val="both"/>
        <w:rPr>
          <w:sz w:val="24"/>
          <w:szCs w:val="24"/>
        </w:rPr>
      </w:pPr>
      <w:r w:rsidRPr="00467E67">
        <w:rPr>
          <w:sz w:val="24"/>
          <w:szCs w:val="24"/>
        </w:rPr>
        <w:t>Year 3: £900 million (10% decrease from £1,000 million)</w:t>
      </w:r>
    </w:p>
    <w:p w14:paraId="2BD179E7" w14:textId="77777777" w:rsidR="006E402E" w:rsidRPr="00467E67" w:rsidRDefault="006E402E" w:rsidP="00077509">
      <w:pPr>
        <w:numPr>
          <w:ilvl w:val="1"/>
          <w:numId w:val="17"/>
        </w:numPr>
        <w:spacing w:line="276" w:lineRule="auto"/>
        <w:jc w:val="both"/>
        <w:rPr>
          <w:sz w:val="24"/>
          <w:szCs w:val="24"/>
        </w:rPr>
      </w:pPr>
      <w:r w:rsidRPr="00467E67">
        <w:rPr>
          <w:sz w:val="24"/>
          <w:szCs w:val="24"/>
        </w:rPr>
        <w:t>Year 4: -£486.2 million (10% decrease from -£442 million)</w:t>
      </w:r>
    </w:p>
    <w:p w14:paraId="1E3E4E43" w14:textId="77777777" w:rsidR="006E402E" w:rsidRPr="00467E67" w:rsidRDefault="006E402E" w:rsidP="00467E67">
      <w:pPr>
        <w:spacing w:line="276" w:lineRule="auto"/>
        <w:jc w:val="both"/>
        <w:rPr>
          <w:sz w:val="24"/>
          <w:szCs w:val="24"/>
        </w:rPr>
      </w:pPr>
      <w:r w:rsidRPr="00467E67">
        <w:rPr>
          <w:b/>
          <w:bCs/>
          <w:sz w:val="24"/>
          <w:szCs w:val="24"/>
        </w:rPr>
        <w:t>Recalculated NPV for Project A</w:t>
      </w:r>
      <w:r w:rsidRPr="00467E67">
        <w:rPr>
          <w:sz w:val="24"/>
          <w:szCs w:val="24"/>
        </w:rPr>
        <w:t>:</w:t>
      </w:r>
    </w:p>
    <w:p w14:paraId="574D34C8" w14:textId="77777777" w:rsidR="006E402E" w:rsidRPr="00467E67" w:rsidRDefault="006E402E" w:rsidP="00077509">
      <w:pPr>
        <w:numPr>
          <w:ilvl w:val="0"/>
          <w:numId w:val="18"/>
        </w:numPr>
        <w:spacing w:line="276" w:lineRule="auto"/>
        <w:jc w:val="both"/>
        <w:rPr>
          <w:sz w:val="24"/>
          <w:szCs w:val="24"/>
        </w:rPr>
      </w:pPr>
      <w:r w:rsidRPr="00467E67">
        <w:rPr>
          <w:sz w:val="24"/>
          <w:szCs w:val="24"/>
        </w:rPr>
        <w:t xml:space="preserve">NPV = (-£5,500 / (1 + </w:t>
      </w:r>
      <w:proofErr w:type="gramStart"/>
      <w:r w:rsidRPr="00467E67">
        <w:rPr>
          <w:sz w:val="24"/>
          <w:szCs w:val="24"/>
        </w:rPr>
        <w:t>0.0075)^</w:t>
      </w:r>
      <w:proofErr w:type="gramEnd"/>
      <w:r w:rsidRPr="00467E67">
        <w:rPr>
          <w:sz w:val="24"/>
          <w:szCs w:val="24"/>
        </w:rPr>
        <w:t>0) + (£2,250 / (1 + 0.0075)^1) + (£1,800 / (1 + 0.0075)^2) + (£900 / (1 + 0.0075)^3) - (£486.2 / (1 + 0.0075)^4)</w:t>
      </w:r>
    </w:p>
    <w:p w14:paraId="47EED1B2" w14:textId="77777777" w:rsidR="006E402E" w:rsidRPr="00467E67" w:rsidRDefault="006E402E" w:rsidP="00077509">
      <w:pPr>
        <w:numPr>
          <w:ilvl w:val="0"/>
          <w:numId w:val="18"/>
        </w:numPr>
        <w:spacing w:line="276" w:lineRule="auto"/>
        <w:jc w:val="both"/>
        <w:rPr>
          <w:sz w:val="24"/>
          <w:szCs w:val="24"/>
        </w:rPr>
      </w:pPr>
      <w:r w:rsidRPr="00467E67">
        <w:rPr>
          <w:sz w:val="24"/>
          <w:szCs w:val="24"/>
        </w:rPr>
        <w:t>NPV ≈ -£5,500 + £2,233.42 + £1,781.26 + £891.13 - £481.84</w:t>
      </w:r>
    </w:p>
    <w:p w14:paraId="2FEF68DD" w14:textId="77777777" w:rsidR="006E402E" w:rsidRPr="00467E67" w:rsidRDefault="006E402E" w:rsidP="00077509">
      <w:pPr>
        <w:numPr>
          <w:ilvl w:val="0"/>
          <w:numId w:val="18"/>
        </w:numPr>
        <w:spacing w:line="276" w:lineRule="auto"/>
        <w:jc w:val="both"/>
        <w:rPr>
          <w:sz w:val="24"/>
          <w:szCs w:val="24"/>
        </w:rPr>
      </w:pPr>
      <w:r w:rsidRPr="00467E67">
        <w:rPr>
          <w:sz w:val="24"/>
          <w:szCs w:val="24"/>
        </w:rPr>
        <w:t>NPV ≈ £1.76 million</w:t>
      </w:r>
    </w:p>
    <w:p w14:paraId="0E96BFE7" w14:textId="77777777" w:rsidR="006E402E" w:rsidRPr="00467E67" w:rsidRDefault="006E402E" w:rsidP="00467E67">
      <w:pPr>
        <w:spacing w:line="276" w:lineRule="auto"/>
        <w:jc w:val="both"/>
        <w:rPr>
          <w:b/>
          <w:bCs/>
          <w:sz w:val="24"/>
          <w:szCs w:val="24"/>
        </w:rPr>
      </w:pPr>
      <w:r w:rsidRPr="00467E67">
        <w:rPr>
          <w:b/>
          <w:bCs/>
          <w:sz w:val="24"/>
          <w:szCs w:val="24"/>
        </w:rPr>
        <w:t>Project B (Adjusted):</w:t>
      </w:r>
    </w:p>
    <w:p w14:paraId="484CBDAF" w14:textId="77777777" w:rsidR="006E402E" w:rsidRPr="00467E67" w:rsidRDefault="006E402E" w:rsidP="00077509">
      <w:pPr>
        <w:numPr>
          <w:ilvl w:val="0"/>
          <w:numId w:val="19"/>
        </w:numPr>
        <w:spacing w:line="276" w:lineRule="auto"/>
        <w:jc w:val="both"/>
        <w:rPr>
          <w:sz w:val="24"/>
          <w:szCs w:val="24"/>
        </w:rPr>
      </w:pPr>
      <w:r w:rsidRPr="00467E67">
        <w:rPr>
          <w:b/>
          <w:bCs/>
          <w:sz w:val="24"/>
          <w:szCs w:val="24"/>
        </w:rPr>
        <w:t>Initial Investment</w:t>
      </w:r>
      <w:r w:rsidRPr="00467E67">
        <w:rPr>
          <w:sz w:val="24"/>
          <w:szCs w:val="24"/>
        </w:rPr>
        <w:t>: £1,100 million (10% increase from £1,000 million)</w:t>
      </w:r>
    </w:p>
    <w:p w14:paraId="4315C854" w14:textId="77777777" w:rsidR="006E402E" w:rsidRPr="00467E67" w:rsidRDefault="006E402E" w:rsidP="00077509">
      <w:pPr>
        <w:numPr>
          <w:ilvl w:val="0"/>
          <w:numId w:val="19"/>
        </w:numPr>
        <w:spacing w:line="276" w:lineRule="auto"/>
        <w:jc w:val="both"/>
        <w:rPr>
          <w:sz w:val="24"/>
          <w:szCs w:val="24"/>
        </w:rPr>
      </w:pPr>
      <w:r w:rsidRPr="00467E67">
        <w:rPr>
          <w:b/>
          <w:bCs/>
          <w:sz w:val="24"/>
          <w:szCs w:val="24"/>
        </w:rPr>
        <w:t>Cash Flows</w:t>
      </w:r>
      <w:r w:rsidRPr="00467E67">
        <w:rPr>
          <w:sz w:val="24"/>
          <w:szCs w:val="24"/>
        </w:rPr>
        <w:t>:</w:t>
      </w:r>
    </w:p>
    <w:p w14:paraId="35B30B9E" w14:textId="77777777" w:rsidR="006E402E" w:rsidRPr="00467E67" w:rsidRDefault="006E402E" w:rsidP="00077509">
      <w:pPr>
        <w:numPr>
          <w:ilvl w:val="1"/>
          <w:numId w:val="19"/>
        </w:numPr>
        <w:spacing w:line="276" w:lineRule="auto"/>
        <w:jc w:val="both"/>
        <w:rPr>
          <w:sz w:val="24"/>
          <w:szCs w:val="24"/>
        </w:rPr>
      </w:pPr>
      <w:r w:rsidRPr="00467E67">
        <w:rPr>
          <w:sz w:val="24"/>
          <w:szCs w:val="24"/>
        </w:rPr>
        <w:t>Year 1: £1,350 million (10% decrease from £1,500 million)</w:t>
      </w:r>
    </w:p>
    <w:p w14:paraId="30D182B8" w14:textId="77777777" w:rsidR="006E402E" w:rsidRPr="00467E67" w:rsidRDefault="006E402E" w:rsidP="00077509">
      <w:pPr>
        <w:numPr>
          <w:ilvl w:val="1"/>
          <w:numId w:val="19"/>
        </w:numPr>
        <w:spacing w:line="276" w:lineRule="auto"/>
        <w:jc w:val="both"/>
        <w:rPr>
          <w:sz w:val="24"/>
          <w:szCs w:val="24"/>
        </w:rPr>
      </w:pPr>
      <w:r w:rsidRPr="00467E67">
        <w:rPr>
          <w:sz w:val="24"/>
          <w:szCs w:val="24"/>
        </w:rPr>
        <w:t>Year 2: £900 million (10% decrease from £1,000 million)</w:t>
      </w:r>
    </w:p>
    <w:p w14:paraId="709089E8" w14:textId="77777777" w:rsidR="006E402E" w:rsidRPr="00467E67" w:rsidRDefault="006E402E" w:rsidP="00077509">
      <w:pPr>
        <w:numPr>
          <w:ilvl w:val="1"/>
          <w:numId w:val="19"/>
        </w:numPr>
        <w:spacing w:line="276" w:lineRule="auto"/>
        <w:jc w:val="both"/>
        <w:rPr>
          <w:sz w:val="24"/>
          <w:szCs w:val="24"/>
        </w:rPr>
      </w:pPr>
      <w:r w:rsidRPr="00467E67">
        <w:rPr>
          <w:sz w:val="24"/>
          <w:szCs w:val="24"/>
        </w:rPr>
        <w:t>Year 3: £900 million (10% decrease from £1,000 million)</w:t>
      </w:r>
    </w:p>
    <w:p w14:paraId="74078AE8" w14:textId="77777777" w:rsidR="006E402E" w:rsidRPr="00467E67" w:rsidRDefault="006E402E" w:rsidP="00077509">
      <w:pPr>
        <w:numPr>
          <w:ilvl w:val="1"/>
          <w:numId w:val="19"/>
        </w:numPr>
        <w:spacing w:line="276" w:lineRule="auto"/>
        <w:jc w:val="both"/>
        <w:rPr>
          <w:sz w:val="24"/>
          <w:szCs w:val="24"/>
        </w:rPr>
      </w:pPr>
      <w:r w:rsidRPr="00467E67">
        <w:rPr>
          <w:sz w:val="24"/>
          <w:szCs w:val="24"/>
        </w:rPr>
        <w:lastRenderedPageBreak/>
        <w:t>Year 4: -£517 million (10% decrease from -£470 million)</w:t>
      </w:r>
    </w:p>
    <w:p w14:paraId="6068C969" w14:textId="77777777" w:rsidR="006E402E" w:rsidRPr="00467E67" w:rsidRDefault="006E402E" w:rsidP="00467E67">
      <w:pPr>
        <w:spacing w:line="276" w:lineRule="auto"/>
        <w:jc w:val="both"/>
        <w:rPr>
          <w:sz w:val="24"/>
          <w:szCs w:val="24"/>
        </w:rPr>
      </w:pPr>
      <w:r w:rsidRPr="00467E67">
        <w:rPr>
          <w:b/>
          <w:bCs/>
          <w:sz w:val="24"/>
          <w:szCs w:val="24"/>
        </w:rPr>
        <w:t>Recalculated NPV for Project B</w:t>
      </w:r>
      <w:r w:rsidRPr="00467E67">
        <w:rPr>
          <w:sz w:val="24"/>
          <w:szCs w:val="24"/>
        </w:rPr>
        <w:t>:</w:t>
      </w:r>
    </w:p>
    <w:p w14:paraId="2F03A6F9" w14:textId="77777777" w:rsidR="006E402E" w:rsidRPr="00467E67" w:rsidRDefault="006E402E" w:rsidP="00077509">
      <w:pPr>
        <w:numPr>
          <w:ilvl w:val="0"/>
          <w:numId w:val="20"/>
        </w:numPr>
        <w:spacing w:line="276" w:lineRule="auto"/>
        <w:jc w:val="both"/>
        <w:rPr>
          <w:sz w:val="24"/>
          <w:szCs w:val="24"/>
        </w:rPr>
      </w:pPr>
      <w:r w:rsidRPr="00467E67">
        <w:rPr>
          <w:sz w:val="24"/>
          <w:szCs w:val="24"/>
        </w:rPr>
        <w:t xml:space="preserve">NPV = (-£1,100 / (1 + </w:t>
      </w:r>
      <w:proofErr w:type="gramStart"/>
      <w:r w:rsidRPr="00467E67">
        <w:rPr>
          <w:sz w:val="24"/>
          <w:szCs w:val="24"/>
        </w:rPr>
        <w:t>0.0075)^</w:t>
      </w:r>
      <w:proofErr w:type="gramEnd"/>
      <w:r w:rsidRPr="00467E67">
        <w:rPr>
          <w:sz w:val="24"/>
          <w:szCs w:val="24"/>
        </w:rPr>
        <w:t>0) + (£1,350 / (1 + 0.0075)^1) + (£900 / (1 + 0.0075)^2) + (£900 / (1 + 0.0075)^3) - (£517 / (1 + 0.0075)^4)</w:t>
      </w:r>
    </w:p>
    <w:p w14:paraId="3A297287" w14:textId="77777777" w:rsidR="006E402E" w:rsidRPr="00467E67" w:rsidRDefault="006E402E" w:rsidP="00077509">
      <w:pPr>
        <w:numPr>
          <w:ilvl w:val="0"/>
          <w:numId w:val="20"/>
        </w:numPr>
        <w:spacing w:line="276" w:lineRule="auto"/>
        <w:jc w:val="both"/>
        <w:rPr>
          <w:sz w:val="24"/>
          <w:szCs w:val="24"/>
        </w:rPr>
      </w:pPr>
      <w:r w:rsidRPr="00467E67">
        <w:rPr>
          <w:sz w:val="24"/>
          <w:szCs w:val="24"/>
        </w:rPr>
        <w:t>NPV ≈ -£1,100 + £1,341.18 + £892.60 + £886.16 - £512.53</w:t>
      </w:r>
    </w:p>
    <w:p w14:paraId="631B773D" w14:textId="77777777" w:rsidR="006E402E" w:rsidRPr="00467E67" w:rsidRDefault="006E402E" w:rsidP="00077509">
      <w:pPr>
        <w:numPr>
          <w:ilvl w:val="0"/>
          <w:numId w:val="20"/>
        </w:numPr>
        <w:spacing w:line="276" w:lineRule="auto"/>
        <w:jc w:val="both"/>
        <w:rPr>
          <w:sz w:val="24"/>
          <w:szCs w:val="24"/>
        </w:rPr>
      </w:pPr>
      <w:r w:rsidRPr="00467E67">
        <w:rPr>
          <w:sz w:val="24"/>
          <w:szCs w:val="24"/>
        </w:rPr>
        <w:t>NPV ≈ £2.61 million</w:t>
      </w:r>
    </w:p>
    <w:p w14:paraId="2FBA42F7" w14:textId="77777777" w:rsidR="006E402E" w:rsidRPr="00467E67" w:rsidRDefault="006E402E" w:rsidP="00467E67">
      <w:pPr>
        <w:spacing w:line="276" w:lineRule="auto"/>
        <w:jc w:val="both"/>
        <w:rPr>
          <w:b/>
          <w:bCs/>
          <w:sz w:val="24"/>
          <w:szCs w:val="24"/>
        </w:rPr>
      </w:pPr>
      <w:r w:rsidRPr="00467E67">
        <w:rPr>
          <w:b/>
          <w:bCs/>
          <w:sz w:val="24"/>
          <w:szCs w:val="24"/>
        </w:rPr>
        <w:t>Comments</w:t>
      </w:r>
    </w:p>
    <w:p w14:paraId="17A7D579" w14:textId="77777777" w:rsidR="006E402E" w:rsidRPr="00467E67" w:rsidRDefault="006E402E" w:rsidP="00077509">
      <w:pPr>
        <w:pStyle w:val="ListParagraph"/>
        <w:numPr>
          <w:ilvl w:val="0"/>
          <w:numId w:val="21"/>
        </w:numPr>
        <w:spacing w:line="276" w:lineRule="auto"/>
        <w:jc w:val="both"/>
        <w:rPr>
          <w:bCs/>
          <w:sz w:val="24"/>
          <w:szCs w:val="24"/>
        </w:rPr>
      </w:pPr>
      <w:r w:rsidRPr="00467E67">
        <w:rPr>
          <w:bCs/>
          <w:sz w:val="24"/>
          <w:szCs w:val="24"/>
        </w:rPr>
        <w:t>For Project A, the Net Present Value (NPV) experienced a significant decline from £12.53 million to £1.76 million, primarily due to the dual pressures of an increased initial investment and a decrease in cash flows. This notable reduction in NPV diminishes the investment appeal of Project A.</w:t>
      </w:r>
    </w:p>
    <w:p w14:paraId="1CB55156" w14:textId="77777777" w:rsidR="006E402E" w:rsidRPr="00467E67" w:rsidRDefault="006E402E" w:rsidP="00077509">
      <w:pPr>
        <w:pStyle w:val="ListParagraph"/>
        <w:numPr>
          <w:ilvl w:val="0"/>
          <w:numId w:val="21"/>
        </w:numPr>
        <w:spacing w:line="276" w:lineRule="auto"/>
        <w:jc w:val="both"/>
        <w:rPr>
          <w:bCs/>
          <w:sz w:val="24"/>
          <w:szCs w:val="24"/>
        </w:rPr>
      </w:pPr>
      <w:r w:rsidRPr="00467E67">
        <w:rPr>
          <w:bCs/>
          <w:sz w:val="24"/>
          <w:szCs w:val="24"/>
        </w:rPr>
        <w:t>Conversely, Project B's NPV also saw a decrease but managed to stay positive, moving from £3.03 million to £2.61 million. The impact on Project B was comparatively milder than on Project A, indicating that Project B continues to hold value for the company despite the adjustments.</w:t>
      </w:r>
    </w:p>
    <w:p w14:paraId="72FE0391" w14:textId="77777777" w:rsidR="006E402E" w:rsidRPr="00467E67" w:rsidRDefault="006E402E" w:rsidP="00467E67">
      <w:pPr>
        <w:spacing w:line="276" w:lineRule="auto"/>
        <w:jc w:val="both"/>
        <w:rPr>
          <w:b/>
          <w:bCs/>
          <w:vanish/>
          <w:sz w:val="24"/>
          <w:szCs w:val="24"/>
        </w:rPr>
      </w:pPr>
      <w:r w:rsidRPr="00467E67">
        <w:rPr>
          <w:b/>
          <w:bCs/>
          <w:vanish/>
          <w:sz w:val="24"/>
          <w:szCs w:val="24"/>
        </w:rPr>
        <w:t>Top of Form</w:t>
      </w:r>
    </w:p>
    <w:p w14:paraId="15DBBBC7" w14:textId="77777777" w:rsidR="00A16EBB" w:rsidRDefault="00A16EBB" w:rsidP="00467E67">
      <w:pPr>
        <w:spacing w:line="276" w:lineRule="auto"/>
        <w:jc w:val="both"/>
        <w:rPr>
          <w:sz w:val="24"/>
          <w:szCs w:val="24"/>
        </w:rPr>
      </w:pPr>
    </w:p>
    <w:p w14:paraId="29BF7C90" w14:textId="77777777" w:rsidR="002179D3" w:rsidRDefault="002179D3" w:rsidP="00077509">
      <w:pPr>
        <w:pStyle w:val="Heading1"/>
        <w:numPr>
          <w:ilvl w:val="0"/>
          <w:numId w:val="26"/>
        </w:numPr>
        <w:rPr>
          <w:b/>
          <w:color w:val="000000" w:themeColor="text1"/>
        </w:rPr>
      </w:pPr>
      <w:bookmarkStart w:id="32" w:name="_Toc163310244"/>
      <w:r w:rsidRPr="002179D3">
        <w:rPr>
          <w:b/>
          <w:color w:val="000000" w:themeColor="text1"/>
        </w:rPr>
        <w:t>Advantages and shortcomings of</w:t>
      </w:r>
      <w:r>
        <w:rPr>
          <w:b/>
          <w:color w:val="000000" w:themeColor="text1"/>
        </w:rPr>
        <w:t xml:space="preserve"> the PBP, ARR and NPV</w:t>
      </w:r>
      <w:bookmarkEnd w:id="32"/>
    </w:p>
    <w:p w14:paraId="321A6DCA" w14:textId="77777777" w:rsidR="002179D3" w:rsidRPr="002179D3" w:rsidRDefault="002179D3" w:rsidP="002179D3"/>
    <w:p w14:paraId="3AF2B12E" w14:textId="77777777" w:rsidR="006E402E" w:rsidRPr="002179D3" w:rsidRDefault="006E402E" w:rsidP="00467E67">
      <w:pPr>
        <w:spacing w:line="276" w:lineRule="auto"/>
        <w:jc w:val="both"/>
        <w:rPr>
          <w:b/>
          <w:sz w:val="24"/>
          <w:szCs w:val="24"/>
          <w:lang w:val="en-GB"/>
        </w:rPr>
      </w:pPr>
      <w:r w:rsidRPr="002179D3">
        <w:rPr>
          <w:b/>
          <w:sz w:val="24"/>
          <w:szCs w:val="24"/>
          <w:lang w:val="en-GB"/>
        </w:rPr>
        <w:t>Payback Period (PBP)</w:t>
      </w:r>
    </w:p>
    <w:p w14:paraId="0B84008A" w14:textId="77777777" w:rsidR="006E402E" w:rsidRPr="002179D3" w:rsidRDefault="006E402E" w:rsidP="00467E67">
      <w:pPr>
        <w:spacing w:line="276" w:lineRule="auto"/>
        <w:jc w:val="both"/>
        <w:rPr>
          <w:b/>
          <w:bCs/>
          <w:iCs/>
          <w:sz w:val="24"/>
          <w:szCs w:val="24"/>
          <w:lang w:val="en-GB"/>
        </w:rPr>
      </w:pPr>
      <w:r w:rsidRPr="002179D3">
        <w:rPr>
          <w:b/>
          <w:bCs/>
          <w:iCs/>
          <w:sz w:val="24"/>
          <w:szCs w:val="24"/>
          <w:lang w:val="en-GB"/>
        </w:rPr>
        <w:t>Advantages:</w:t>
      </w:r>
    </w:p>
    <w:p w14:paraId="621564E7" w14:textId="77777777" w:rsidR="006E402E" w:rsidRPr="00467E67" w:rsidRDefault="006E402E" w:rsidP="00467E67">
      <w:pPr>
        <w:spacing w:line="276" w:lineRule="auto"/>
        <w:jc w:val="both"/>
        <w:rPr>
          <w:sz w:val="24"/>
          <w:szCs w:val="24"/>
          <w:lang w:val="en-GB"/>
        </w:rPr>
      </w:pPr>
      <w:r w:rsidRPr="00467E67">
        <w:rPr>
          <w:sz w:val="24"/>
          <w:szCs w:val="24"/>
          <w:lang w:val="en-GB"/>
        </w:rPr>
        <w:t>Simplicity and Accessibility: PBP's straightforward calculation makes it easily understandable for both financial and non-financial managers, facilitating quick liquidity assessments (Smith, 2021).</w:t>
      </w:r>
    </w:p>
    <w:p w14:paraId="3F45847E" w14:textId="23F71E39" w:rsidR="0015293D" w:rsidRPr="00467E67" w:rsidRDefault="006E402E" w:rsidP="00467E67">
      <w:pPr>
        <w:spacing w:line="276" w:lineRule="auto"/>
        <w:jc w:val="both"/>
        <w:rPr>
          <w:sz w:val="24"/>
          <w:szCs w:val="24"/>
          <w:lang w:val="en-GB"/>
        </w:rPr>
      </w:pPr>
      <w:r w:rsidRPr="00467E67">
        <w:rPr>
          <w:sz w:val="24"/>
          <w:szCs w:val="24"/>
          <w:lang w:val="en-GB"/>
        </w:rPr>
        <w:t>Risk Mitigation: It aids in evaluating the liquidity risk, offering a clear picture of how soon an investment recovers its initial outlay (Johnson, 2019).</w:t>
      </w:r>
    </w:p>
    <w:p w14:paraId="752C8F8B" w14:textId="77777777" w:rsidR="006E402E" w:rsidRPr="002179D3" w:rsidRDefault="006E402E" w:rsidP="00467E67">
      <w:pPr>
        <w:spacing w:line="276" w:lineRule="auto"/>
        <w:jc w:val="both"/>
        <w:rPr>
          <w:iCs/>
          <w:sz w:val="24"/>
          <w:szCs w:val="24"/>
          <w:lang w:val="en-GB"/>
        </w:rPr>
      </w:pPr>
      <w:r w:rsidRPr="002179D3">
        <w:rPr>
          <w:b/>
          <w:bCs/>
          <w:iCs/>
          <w:sz w:val="24"/>
          <w:szCs w:val="24"/>
          <w:lang w:val="en-GB"/>
        </w:rPr>
        <w:t>Shortcomings:</w:t>
      </w:r>
    </w:p>
    <w:p w14:paraId="498BCC92" w14:textId="77777777" w:rsidR="006E402E" w:rsidRPr="00467E67" w:rsidRDefault="006E402E" w:rsidP="00467E67">
      <w:pPr>
        <w:spacing w:line="276" w:lineRule="auto"/>
        <w:jc w:val="both"/>
        <w:rPr>
          <w:sz w:val="24"/>
          <w:szCs w:val="24"/>
          <w:lang w:val="en-GB"/>
        </w:rPr>
      </w:pPr>
      <w:r w:rsidRPr="00467E67">
        <w:rPr>
          <w:sz w:val="24"/>
          <w:szCs w:val="24"/>
          <w:lang w:val="en-GB"/>
        </w:rPr>
        <w:t>Exclusion of Time Value of Money: PBP’s major drawback is its ignorance of the time value of money, leading to potential misjudgement in long-term profitability (Williams, 2022).</w:t>
      </w:r>
    </w:p>
    <w:p w14:paraId="1333C74C" w14:textId="77777777" w:rsidR="006E402E" w:rsidRPr="00467E67" w:rsidRDefault="006E402E" w:rsidP="00467E67">
      <w:pPr>
        <w:spacing w:line="276" w:lineRule="auto"/>
        <w:jc w:val="both"/>
        <w:rPr>
          <w:sz w:val="24"/>
          <w:szCs w:val="24"/>
          <w:lang w:val="en-GB"/>
        </w:rPr>
      </w:pPr>
      <w:r w:rsidRPr="00467E67">
        <w:rPr>
          <w:sz w:val="24"/>
          <w:szCs w:val="24"/>
          <w:lang w:val="en-GB"/>
        </w:rPr>
        <w:t>Overlook of Post-Payback Cash Flows: Critical financial benefits occurring after the payback period are disregarded, which can understate a project's total value (Taylor, 2021).</w:t>
      </w:r>
    </w:p>
    <w:p w14:paraId="4471624F" w14:textId="77777777" w:rsidR="006E402E" w:rsidRPr="002179D3" w:rsidRDefault="006E402E" w:rsidP="00467E67">
      <w:pPr>
        <w:spacing w:line="276" w:lineRule="auto"/>
        <w:jc w:val="both"/>
        <w:rPr>
          <w:b/>
          <w:sz w:val="24"/>
          <w:szCs w:val="24"/>
          <w:lang w:val="en-GB"/>
        </w:rPr>
      </w:pPr>
      <w:r w:rsidRPr="002179D3">
        <w:rPr>
          <w:b/>
          <w:sz w:val="24"/>
          <w:szCs w:val="24"/>
          <w:lang w:val="en-GB"/>
        </w:rPr>
        <w:t>Accounting Rate of Return (ARR)</w:t>
      </w:r>
    </w:p>
    <w:p w14:paraId="4CD55747" w14:textId="77777777" w:rsidR="006E402E" w:rsidRPr="002179D3" w:rsidRDefault="006E402E" w:rsidP="00467E67">
      <w:pPr>
        <w:spacing w:line="276" w:lineRule="auto"/>
        <w:jc w:val="both"/>
        <w:rPr>
          <w:iCs/>
          <w:sz w:val="24"/>
          <w:szCs w:val="24"/>
          <w:lang w:val="en-GB"/>
        </w:rPr>
      </w:pPr>
      <w:r w:rsidRPr="002179D3">
        <w:rPr>
          <w:b/>
          <w:bCs/>
          <w:iCs/>
          <w:sz w:val="24"/>
          <w:szCs w:val="24"/>
          <w:lang w:val="en-GB"/>
        </w:rPr>
        <w:t>Advantages:</w:t>
      </w:r>
    </w:p>
    <w:p w14:paraId="2F820BD2" w14:textId="77777777" w:rsidR="006E402E" w:rsidRPr="00467E67" w:rsidRDefault="006E402E" w:rsidP="00467E67">
      <w:pPr>
        <w:spacing w:line="276" w:lineRule="auto"/>
        <w:jc w:val="both"/>
        <w:rPr>
          <w:sz w:val="24"/>
          <w:szCs w:val="24"/>
          <w:lang w:val="en-GB"/>
        </w:rPr>
      </w:pPr>
      <w:r w:rsidRPr="00467E67">
        <w:rPr>
          <w:sz w:val="24"/>
          <w:szCs w:val="24"/>
          <w:lang w:val="en-GB"/>
        </w:rPr>
        <w:lastRenderedPageBreak/>
        <w:t>Direct Profitability Indicator: ARR's ability to relate average profits directly to the investment’s cost provides a straightforward profitability metric (Hansen, 2022).</w:t>
      </w:r>
    </w:p>
    <w:p w14:paraId="2B0C46A4" w14:textId="77777777" w:rsidR="006E402E" w:rsidRPr="00467E67" w:rsidRDefault="006E402E" w:rsidP="00467E67">
      <w:pPr>
        <w:spacing w:line="276" w:lineRule="auto"/>
        <w:jc w:val="both"/>
        <w:rPr>
          <w:sz w:val="24"/>
          <w:szCs w:val="24"/>
          <w:lang w:val="en-GB"/>
        </w:rPr>
      </w:pPr>
      <w:r w:rsidRPr="00467E67">
        <w:rPr>
          <w:sz w:val="24"/>
          <w:szCs w:val="24"/>
          <w:lang w:val="en-GB"/>
        </w:rPr>
        <w:t>Alignment with Accounting Principles: Its consistency with accounting profit measures ensures ease of use and interpretation for management (Sanders, 2020).</w:t>
      </w:r>
    </w:p>
    <w:p w14:paraId="10FEC2C5" w14:textId="77777777" w:rsidR="006E402E" w:rsidRPr="00467E67" w:rsidRDefault="006E402E" w:rsidP="00467E67">
      <w:pPr>
        <w:spacing w:line="276" w:lineRule="auto"/>
        <w:jc w:val="both"/>
        <w:rPr>
          <w:iCs/>
          <w:sz w:val="24"/>
          <w:szCs w:val="24"/>
          <w:lang w:val="en-GB"/>
        </w:rPr>
      </w:pPr>
      <w:r w:rsidRPr="00467E67">
        <w:rPr>
          <w:b/>
          <w:bCs/>
          <w:iCs/>
          <w:sz w:val="24"/>
          <w:szCs w:val="24"/>
          <w:lang w:val="en-GB"/>
        </w:rPr>
        <w:t>Shortcomings:</w:t>
      </w:r>
    </w:p>
    <w:p w14:paraId="1882B418" w14:textId="77777777" w:rsidR="006E402E" w:rsidRPr="00467E67" w:rsidRDefault="006E402E" w:rsidP="00467E67">
      <w:pPr>
        <w:spacing w:line="276" w:lineRule="auto"/>
        <w:jc w:val="both"/>
        <w:rPr>
          <w:sz w:val="24"/>
          <w:szCs w:val="24"/>
          <w:lang w:val="en-GB"/>
        </w:rPr>
      </w:pPr>
      <w:r w:rsidRPr="00467E67">
        <w:rPr>
          <w:sz w:val="24"/>
          <w:szCs w:val="24"/>
          <w:lang w:val="en-GB"/>
        </w:rPr>
        <w:t>Ignores the Time Value of Money: Like PBP, ARR does not account for the changing value of money over time, which can skew the profitability assessment (Carter, 2019).</w:t>
      </w:r>
    </w:p>
    <w:p w14:paraId="6943BCDB" w14:textId="77777777" w:rsidR="006E402E" w:rsidRPr="00467E67" w:rsidRDefault="006E402E" w:rsidP="00467E67">
      <w:pPr>
        <w:spacing w:line="276" w:lineRule="auto"/>
        <w:jc w:val="both"/>
        <w:rPr>
          <w:sz w:val="24"/>
          <w:szCs w:val="24"/>
          <w:lang w:val="en-GB"/>
        </w:rPr>
      </w:pPr>
      <w:r w:rsidRPr="00467E67">
        <w:rPr>
          <w:sz w:val="24"/>
          <w:szCs w:val="24"/>
          <w:lang w:val="en-GB"/>
        </w:rPr>
        <w:t>Benchmark Relativity: The absence of a standardized decision criterion for ARR means the benchmark rate is arbitrarily set, potentially leading to inconsistent investment decisions (Hansen, 2022).</w:t>
      </w:r>
    </w:p>
    <w:p w14:paraId="66B109FA" w14:textId="77777777" w:rsidR="006E402E" w:rsidRPr="002179D3" w:rsidRDefault="006E402E" w:rsidP="00467E67">
      <w:pPr>
        <w:spacing w:line="276" w:lineRule="auto"/>
        <w:jc w:val="both"/>
        <w:rPr>
          <w:b/>
          <w:sz w:val="24"/>
          <w:szCs w:val="24"/>
          <w:lang w:val="en-GB"/>
        </w:rPr>
      </w:pPr>
      <w:r w:rsidRPr="002179D3">
        <w:rPr>
          <w:b/>
          <w:sz w:val="24"/>
          <w:szCs w:val="24"/>
          <w:lang w:val="en-GB"/>
        </w:rPr>
        <w:t>Net Present Value (NPV)</w:t>
      </w:r>
    </w:p>
    <w:p w14:paraId="30D8B5A8" w14:textId="77777777" w:rsidR="006E402E" w:rsidRPr="002179D3" w:rsidRDefault="006E402E" w:rsidP="00467E67">
      <w:pPr>
        <w:spacing w:line="276" w:lineRule="auto"/>
        <w:jc w:val="both"/>
        <w:rPr>
          <w:iCs/>
          <w:sz w:val="24"/>
          <w:szCs w:val="24"/>
          <w:lang w:val="en-GB"/>
        </w:rPr>
      </w:pPr>
      <w:r w:rsidRPr="002179D3">
        <w:rPr>
          <w:b/>
          <w:bCs/>
          <w:iCs/>
          <w:sz w:val="24"/>
          <w:szCs w:val="24"/>
          <w:lang w:val="en-GB"/>
        </w:rPr>
        <w:t>Advantages:</w:t>
      </w:r>
    </w:p>
    <w:p w14:paraId="04BDAED9" w14:textId="77777777" w:rsidR="006E402E" w:rsidRPr="00467E67" w:rsidRDefault="006E402E" w:rsidP="00467E67">
      <w:pPr>
        <w:spacing w:line="276" w:lineRule="auto"/>
        <w:jc w:val="both"/>
        <w:rPr>
          <w:sz w:val="24"/>
          <w:szCs w:val="24"/>
          <w:lang w:val="en-GB"/>
        </w:rPr>
      </w:pPr>
      <w:r w:rsidRPr="00467E67">
        <w:rPr>
          <w:sz w:val="24"/>
          <w:szCs w:val="24"/>
          <w:lang w:val="en-GB"/>
        </w:rPr>
        <w:t>Incorporation of Time Value of Money: NPV's consideration of the time value of money provides a comprehensive evaluation of a project's financial viability (Langfield-Smith, 2023).</w:t>
      </w:r>
    </w:p>
    <w:p w14:paraId="7BE972E0" w14:textId="77777777" w:rsidR="006E402E" w:rsidRPr="00467E67" w:rsidRDefault="006E402E" w:rsidP="00467E67">
      <w:pPr>
        <w:spacing w:line="276" w:lineRule="auto"/>
        <w:jc w:val="both"/>
        <w:rPr>
          <w:sz w:val="24"/>
          <w:szCs w:val="24"/>
          <w:lang w:val="en-GB"/>
        </w:rPr>
      </w:pPr>
      <w:r w:rsidRPr="00467E67">
        <w:rPr>
          <w:sz w:val="24"/>
          <w:szCs w:val="24"/>
          <w:lang w:val="en-GB"/>
        </w:rPr>
        <w:t>Provides Absolute Financial Value: Offering a concrete value in currency terms, NPV helps in quantifying the tangible benefits of a project (Greenwood, 2022).</w:t>
      </w:r>
    </w:p>
    <w:p w14:paraId="45E8F67B" w14:textId="77777777" w:rsidR="006E402E" w:rsidRPr="002179D3" w:rsidRDefault="006E402E" w:rsidP="00467E67">
      <w:pPr>
        <w:spacing w:line="276" w:lineRule="auto"/>
        <w:jc w:val="both"/>
        <w:rPr>
          <w:iCs/>
          <w:sz w:val="24"/>
          <w:szCs w:val="24"/>
          <w:lang w:val="en-GB"/>
        </w:rPr>
      </w:pPr>
      <w:r w:rsidRPr="002179D3">
        <w:rPr>
          <w:b/>
          <w:bCs/>
          <w:iCs/>
          <w:sz w:val="24"/>
          <w:szCs w:val="24"/>
          <w:lang w:val="en-GB"/>
        </w:rPr>
        <w:t>Shortcomings:</w:t>
      </w:r>
    </w:p>
    <w:p w14:paraId="1544B74F" w14:textId="77777777" w:rsidR="006E402E" w:rsidRPr="00467E67" w:rsidRDefault="006E402E" w:rsidP="00467E67">
      <w:pPr>
        <w:spacing w:line="276" w:lineRule="auto"/>
        <w:jc w:val="both"/>
        <w:rPr>
          <w:sz w:val="24"/>
          <w:szCs w:val="24"/>
          <w:lang w:val="en-GB"/>
        </w:rPr>
      </w:pPr>
      <w:r w:rsidRPr="00467E67">
        <w:rPr>
          <w:sz w:val="24"/>
          <w:szCs w:val="24"/>
          <w:lang w:val="en-GB"/>
        </w:rPr>
        <w:t>Complexity in Calculation: The complexity involved in determining NPV, especially with estimating cash flows and discount rates, can introduce significant uncertainties (Langfield-Smith, 2023).</w:t>
      </w:r>
    </w:p>
    <w:p w14:paraId="08391763" w14:textId="77777777" w:rsidR="006E402E" w:rsidRPr="00467E67" w:rsidRDefault="006E402E" w:rsidP="00467E67">
      <w:pPr>
        <w:spacing w:line="276" w:lineRule="auto"/>
        <w:jc w:val="both"/>
        <w:rPr>
          <w:sz w:val="24"/>
          <w:szCs w:val="24"/>
          <w:lang w:val="en-GB"/>
        </w:rPr>
      </w:pPr>
      <w:r w:rsidRPr="00467E67">
        <w:rPr>
          <w:sz w:val="24"/>
          <w:szCs w:val="24"/>
          <w:lang w:val="en-GB"/>
        </w:rPr>
        <w:t>Subjectivity in Discount Rate Selection: Choosing an appropriate discount rate involves subjective judgment, which can influence the accuracy of NPV calculations (Mitchell, 2021).</w:t>
      </w:r>
    </w:p>
    <w:p w14:paraId="1142E199" w14:textId="77777777" w:rsidR="00A16EBB" w:rsidRPr="00467E67" w:rsidRDefault="00A16EBB" w:rsidP="00467E67">
      <w:pPr>
        <w:spacing w:line="276" w:lineRule="auto"/>
        <w:jc w:val="both"/>
        <w:rPr>
          <w:sz w:val="24"/>
          <w:szCs w:val="24"/>
        </w:rPr>
      </w:pPr>
    </w:p>
    <w:p w14:paraId="4DD559A3" w14:textId="77777777" w:rsidR="002179D3" w:rsidRDefault="002179D3" w:rsidP="00077509">
      <w:pPr>
        <w:pStyle w:val="Heading1"/>
        <w:numPr>
          <w:ilvl w:val="0"/>
          <w:numId w:val="26"/>
        </w:numPr>
        <w:rPr>
          <w:b/>
          <w:color w:val="000000" w:themeColor="text1"/>
        </w:rPr>
      </w:pPr>
      <w:bookmarkStart w:id="33" w:name="_Toc163310245"/>
      <w:r w:rsidRPr="002179D3">
        <w:rPr>
          <w:b/>
          <w:color w:val="000000" w:themeColor="text1"/>
        </w:rPr>
        <w:t>Non-financial factors</w:t>
      </w:r>
      <w:bookmarkEnd w:id="33"/>
    </w:p>
    <w:p w14:paraId="0CDC9EC1" w14:textId="77777777" w:rsidR="002179D3" w:rsidRPr="002179D3" w:rsidRDefault="002179D3" w:rsidP="002179D3"/>
    <w:p w14:paraId="0E526C33" w14:textId="238AECC8" w:rsidR="0015293D" w:rsidRPr="00467E67" w:rsidRDefault="00056475" w:rsidP="00467E67">
      <w:pPr>
        <w:spacing w:line="276" w:lineRule="auto"/>
        <w:jc w:val="both"/>
        <w:rPr>
          <w:sz w:val="24"/>
          <w:szCs w:val="24"/>
        </w:rPr>
      </w:pPr>
      <w:r w:rsidRPr="00467E67">
        <w:rPr>
          <w:sz w:val="24"/>
          <w:szCs w:val="24"/>
        </w:rPr>
        <w:t>While financial metrics like NPV, IRR, and payback period are critical in evaluating the viability of a project, non-financial factors also play a significant role in the decision-making process. These factors can influence a project's success just as much as its financial returns. Here are key non-financial considerations management should evaluate:</w:t>
      </w:r>
    </w:p>
    <w:p w14:paraId="049A4DEF" w14:textId="77777777" w:rsidR="008805EB" w:rsidRPr="008805EB" w:rsidRDefault="008805EB" w:rsidP="008805EB">
      <w:pPr>
        <w:numPr>
          <w:ilvl w:val="0"/>
          <w:numId w:val="31"/>
        </w:numPr>
        <w:spacing w:line="276" w:lineRule="auto"/>
        <w:jc w:val="both"/>
        <w:rPr>
          <w:bCs/>
          <w:sz w:val="24"/>
          <w:szCs w:val="24"/>
        </w:rPr>
      </w:pPr>
      <w:r w:rsidRPr="008805EB">
        <w:rPr>
          <w:b/>
          <w:bCs/>
          <w:sz w:val="24"/>
          <w:szCs w:val="24"/>
        </w:rPr>
        <w:t>Strategic Alignment</w:t>
      </w:r>
      <w:r w:rsidRPr="008805EB">
        <w:rPr>
          <w:bCs/>
          <w:sz w:val="24"/>
          <w:szCs w:val="24"/>
        </w:rPr>
        <w:t>: The project's alignment with the company's long-term goals and strategic objectives is crucial. Management should assess whether the project supports the company's vision, mission, and overall strategic direction.</w:t>
      </w:r>
    </w:p>
    <w:p w14:paraId="2EAC7F2D" w14:textId="5DC276FE" w:rsidR="008805EB" w:rsidRPr="008805EB" w:rsidRDefault="008805EB" w:rsidP="008805EB">
      <w:pPr>
        <w:numPr>
          <w:ilvl w:val="0"/>
          <w:numId w:val="31"/>
        </w:numPr>
        <w:spacing w:line="276" w:lineRule="auto"/>
        <w:jc w:val="both"/>
        <w:rPr>
          <w:bCs/>
          <w:sz w:val="24"/>
          <w:szCs w:val="24"/>
        </w:rPr>
      </w:pPr>
      <w:r w:rsidRPr="008805EB">
        <w:rPr>
          <w:b/>
          <w:bCs/>
          <w:sz w:val="24"/>
          <w:szCs w:val="24"/>
        </w:rPr>
        <w:lastRenderedPageBreak/>
        <w:t>Brand Impact</w:t>
      </w:r>
      <w:r w:rsidRPr="008805EB">
        <w:rPr>
          <w:bCs/>
          <w:sz w:val="24"/>
          <w:szCs w:val="24"/>
        </w:rPr>
        <w:t>: Consider the impact the project will have on the brand image of the company and its reputation. Those projects that enhance the brand value or resonate with the company's brand identity tend to have significant intangible benefits.</w:t>
      </w:r>
    </w:p>
    <w:p w14:paraId="2A97A16A" w14:textId="0B2FF3EE" w:rsidR="008805EB" w:rsidRPr="004040FD" w:rsidRDefault="008805EB">
      <w:pPr>
        <w:numPr>
          <w:ilvl w:val="0"/>
          <w:numId w:val="31"/>
        </w:numPr>
        <w:spacing w:line="276" w:lineRule="auto"/>
        <w:jc w:val="both"/>
        <w:rPr>
          <w:bCs/>
          <w:sz w:val="24"/>
          <w:szCs w:val="24"/>
        </w:rPr>
      </w:pPr>
      <w:r w:rsidRPr="008805EB">
        <w:rPr>
          <w:b/>
          <w:bCs/>
          <w:sz w:val="24"/>
          <w:szCs w:val="24"/>
        </w:rPr>
        <w:t>Customer Satisfaction</w:t>
      </w:r>
      <w:r w:rsidRPr="008805EB">
        <w:rPr>
          <w:bCs/>
          <w:sz w:val="24"/>
          <w:szCs w:val="24"/>
        </w:rPr>
        <w:t>: This has critical implications for customer satisfaction. The projects that improve customer experience, loyalty, or even complete some unfilled need of the customer could lead to long-term successful return, although not the highest in the immediate financial return</w:t>
      </w:r>
      <w:r w:rsidRPr="004040FD">
        <w:rPr>
          <w:bCs/>
          <w:sz w:val="24"/>
          <w:szCs w:val="24"/>
        </w:rPr>
        <w:t>.</w:t>
      </w:r>
    </w:p>
    <w:p w14:paraId="16181E9A" w14:textId="77777777" w:rsidR="008805EB" w:rsidRPr="008805EB" w:rsidRDefault="008805EB" w:rsidP="008805EB">
      <w:pPr>
        <w:numPr>
          <w:ilvl w:val="0"/>
          <w:numId w:val="31"/>
        </w:numPr>
        <w:spacing w:line="276" w:lineRule="auto"/>
        <w:jc w:val="both"/>
        <w:rPr>
          <w:bCs/>
          <w:sz w:val="24"/>
          <w:szCs w:val="24"/>
        </w:rPr>
      </w:pPr>
      <w:r w:rsidRPr="008805EB">
        <w:rPr>
          <w:b/>
          <w:bCs/>
          <w:sz w:val="24"/>
          <w:szCs w:val="24"/>
        </w:rPr>
        <w:t>Employee Morale and Capacity</w:t>
      </w:r>
      <w:r w:rsidRPr="008805EB">
        <w:rPr>
          <w:bCs/>
          <w:sz w:val="24"/>
          <w:szCs w:val="24"/>
        </w:rPr>
        <w:t>: Evaluate how much the project will do to improve the employee's capacity, including any increase in workload, morale, and the need for more skills training. Employee support and the capacity to deliver the project are among the critical aspects for the success of the project.</w:t>
      </w:r>
    </w:p>
    <w:p w14:paraId="365AAB2D" w14:textId="27DC42FF" w:rsidR="008805EB" w:rsidRPr="008805EB" w:rsidRDefault="008805EB" w:rsidP="008805EB">
      <w:pPr>
        <w:numPr>
          <w:ilvl w:val="0"/>
          <w:numId w:val="31"/>
        </w:numPr>
        <w:spacing w:line="276" w:lineRule="auto"/>
        <w:jc w:val="both"/>
        <w:rPr>
          <w:bCs/>
          <w:sz w:val="24"/>
          <w:szCs w:val="24"/>
        </w:rPr>
      </w:pPr>
      <w:r w:rsidRPr="008805EB">
        <w:rPr>
          <w:b/>
          <w:bCs/>
          <w:sz w:val="24"/>
          <w:szCs w:val="24"/>
        </w:rPr>
        <w:t>Market Trends and Dynamics</w:t>
      </w:r>
      <w:r w:rsidRPr="008805EB">
        <w:rPr>
          <w:bCs/>
          <w:sz w:val="24"/>
          <w:szCs w:val="24"/>
        </w:rPr>
        <w:t>: This is the understanding of the current and future trends within the market that will help the project under consideration to be successful. Where such projects value positions the company very well vis-à-vis some emerging trend or market shift.</w:t>
      </w:r>
    </w:p>
    <w:p w14:paraId="4F659DC9" w14:textId="77777777" w:rsidR="008805EB" w:rsidRPr="008805EB" w:rsidRDefault="008805EB" w:rsidP="008805EB">
      <w:pPr>
        <w:numPr>
          <w:ilvl w:val="0"/>
          <w:numId w:val="31"/>
        </w:numPr>
        <w:spacing w:line="276" w:lineRule="auto"/>
        <w:jc w:val="both"/>
        <w:rPr>
          <w:bCs/>
          <w:sz w:val="24"/>
          <w:szCs w:val="24"/>
        </w:rPr>
      </w:pPr>
      <w:r w:rsidRPr="008805EB">
        <w:rPr>
          <w:b/>
          <w:bCs/>
          <w:sz w:val="24"/>
          <w:szCs w:val="24"/>
        </w:rPr>
        <w:t>Competitive Advantage</w:t>
      </w:r>
      <w:r w:rsidRPr="008805EB">
        <w:rPr>
          <w:bCs/>
          <w:sz w:val="24"/>
          <w:szCs w:val="24"/>
        </w:rPr>
        <w:t>: Evaluate whether the project provides a unique competitive advantage or strengthens the company's position against competitors.</w:t>
      </w:r>
    </w:p>
    <w:p w14:paraId="086309F4" w14:textId="77777777" w:rsidR="00056475" w:rsidRPr="00467E67" w:rsidRDefault="00056475" w:rsidP="00467E67">
      <w:pPr>
        <w:spacing w:line="276" w:lineRule="auto"/>
        <w:jc w:val="both"/>
        <w:rPr>
          <w:sz w:val="24"/>
          <w:szCs w:val="24"/>
        </w:rPr>
      </w:pPr>
    </w:p>
    <w:p w14:paraId="5A8198A0" w14:textId="77777777" w:rsidR="0016000A" w:rsidRPr="00467E67" w:rsidRDefault="0016000A" w:rsidP="00467E67">
      <w:pPr>
        <w:spacing w:line="276" w:lineRule="auto"/>
        <w:jc w:val="both"/>
        <w:rPr>
          <w:sz w:val="24"/>
          <w:szCs w:val="24"/>
        </w:rPr>
      </w:pPr>
    </w:p>
    <w:p w14:paraId="38C91ACD" w14:textId="77777777" w:rsidR="0016000A" w:rsidRPr="00467E67" w:rsidRDefault="0016000A" w:rsidP="00467E67">
      <w:pPr>
        <w:spacing w:line="276" w:lineRule="auto"/>
        <w:jc w:val="both"/>
        <w:rPr>
          <w:sz w:val="24"/>
          <w:szCs w:val="24"/>
        </w:rPr>
      </w:pPr>
    </w:p>
    <w:p w14:paraId="1615FACC" w14:textId="77777777" w:rsidR="00B44088" w:rsidRDefault="00B44088" w:rsidP="00467E67">
      <w:pPr>
        <w:spacing w:line="276" w:lineRule="auto"/>
        <w:jc w:val="both"/>
        <w:rPr>
          <w:sz w:val="24"/>
          <w:szCs w:val="24"/>
        </w:rPr>
      </w:pPr>
    </w:p>
    <w:p w14:paraId="64433328" w14:textId="77777777" w:rsidR="008805EB" w:rsidRDefault="008805EB" w:rsidP="00467E67">
      <w:pPr>
        <w:spacing w:line="276" w:lineRule="auto"/>
        <w:jc w:val="both"/>
        <w:rPr>
          <w:sz w:val="24"/>
          <w:szCs w:val="24"/>
        </w:rPr>
      </w:pPr>
    </w:p>
    <w:p w14:paraId="010E7794" w14:textId="77777777" w:rsidR="008805EB" w:rsidRDefault="008805EB" w:rsidP="00467E67">
      <w:pPr>
        <w:spacing w:line="276" w:lineRule="auto"/>
        <w:jc w:val="both"/>
        <w:rPr>
          <w:sz w:val="24"/>
          <w:szCs w:val="24"/>
        </w:rPr>
      </w:pPr>
    </w:p>
    <w:p w14:paraId="230E076A" w14:textId="77777777" w:rsidR="008805EB" w:rsidRDefault="008805EB" w:rsidP="00467E67">
      <w:pPr>
        <w:spacing w:line="276" w:lineRule="auto"/>
        <w:jc w:val="both"/>
        <w:rPr>
          <w:sz w:val="24"/>
          <w:szCs w:val="24"/>
        </w:rPr>
      </w:pPr>
    </w:p>
    <w:p w14:paraId="6C3F2C26" w14:textId="77777777" w:rsidR="008805EB" w:rsidRDefault="008805EB" w:rsidP="00467E67">
      <w:pPr>
        <w:spacing w:line="276" w:lineRule="auto"/>
        <w:jc w:val="both"/>
        <w:rPr>
          <w:sz w:val="24"/>
          <w:szCs w:val="24"/>
        </w:rPr>
      </w:pPr>
    </w:p>
    <w:p w14:paraId="4E8D8D73" w14:textId="77777777" w:rsidR="008805EB" w:rsidRDefault="008805EB" w:rsidP="00467E67">
      <w:pPr>
        <w:spacing w:line="276" w:lineRule="auto"/>
        <w:jc w:val="both"/>
        <w:rPr>
          <w:sz w:val="24"/>
          <w:szCs w:val="24"/>
        </w:rPr>
      </w:pPr>
    </w:p>
    <w:p w14:paraId="27785CB4" w14:textId="77777777" w:rsidR="008805EB" w:rsidRDefault="008805EB" w:rsidP="00467E67">
      <w:pPr>
        <w:spacing w:line="276" w:lineRule="auto"/>
        <w:jc w:val="both"/>
        <w:rPr>
          <w:sz w:val="24"/>
          <w:szCs w:val="24"/>
        </w:rPr>
      </w:pPr>
    </w:p>
    <w:p w14:paraId="4F893CC2" w14:textId="77777777" w:rsidR="008805EB" w:rsidRDefault="008805EB" w:rsidP="00467E67">
      <w:pPr>
        <w:spacing w:line="276" w:lineRule="auto"/>
        <w:jc w:val="both"/>
        <w:rPr>
          <w:sz w:val="24"/>
          <w:szCs w:val="24"/>
        </w:rPr>
      </w:pPr>
    </w:p>
    <w:p w14:paraId="1E26C669" w14:textId="77777777" w:rsidR="009B16B8" w:rsidRDefault="009B16B8" w:rsidP="00467E67">
      <w:pPr>
        <w:spacing w:line="276" w:lineRule="auto"/>
        <w:jc w:val="both"/>
        <w:rPr>
          <w:sz w:val="24"/>
          <w:szCs w:val="24"/>
        </w:rPr>
      </w:pPr>
    </w:p>
    <w:p w14:paraId="39371ACF" w14:textId="77777777" w:rsidR="008805EB" w:rsidRPr="00467E67" w:rsidRDefault="008805EB" w:rsidP="00467E67">
      <w:pPr>
        <w:spacing w:line="276" w:lineRule="auto"/>
        <w:jc w:val="both"/>
        <w:rPr>
          <w:sz w:val="24"/>
          <w:szCs w:val="24"/>
        </w:rPr>
      </w:pPr>
    </w:p>
    <w:p w14:paraId="120C3910" w14:textId="77777777" w:rsidR="00B44088" w:rsidRPr="00467E67" w:rsidRDefault="00B44088" w:rsidP="00467E67">
      <w:pPr>
        <w:spacing w:line="276" w:lineRule="auto"/>
        <w:jc w:val="both"/>
        <w:rPr>
          <w:sz w:val="24"/>
          <w:szCs w:val="24"/>
        </w:rPr>
      </w:pPr>
    </w:p>
    <w:p w14:paraId="79F5E7B0" w14:textId="77777777" w:rsidR="002179D3" w:rsidRPr="00467E67" w:rsidRDefault="002179D3" w:rsidP="00467E67">
      <w:pPr>
        <w:spacing w:line="276" w:lineRule="auto"/>
        <w:jc w:val="both"/>
        <w:rPr>
          <w:sz w:val="24"/>
          <w:szCs w:val="24"/>
        </w:rPr>
      </w:pPr>
    </w:p>
    <w:p w14:paraId="0E796FFB" w14:textId="376D86EE" w:rsidR="006D1FA3" w:rsidRPr="008958CA" w:rsidRDefault="0016000A" w:rsidP="008958CA">
      <w:pPr>
        <w:pStyle w:val="Heading1"/>
        <w:numPr>
          <w:ilvl w:val="0"/>
          <w:numId w:val="26"/>
        </w:numPr>
        <w:rPr>
          <w:b/>
          <w:color w:val="000000" w:themeColor="text1"/>
        </w:rPr>
      </w:pPr>
      <w:bookmarkStart w:id="34" w:name="_Toc163310246"/>
      <w:r w:rsidRPr="002179D3">
        <w:rPr>
          <w:b/>
          <w:color w:val="000000" w:themeColor="text1"/>
        </w:rPr>
        <w:t>References:</w:t>
      </w:r>
      <w:bookmarkEnd w:id="34"/>
    </w:p>
    <w:p w14:paraId="73945FFB" w14:textId="77777777" w:rsidR="002179D3" w:rsidRPr="002179D3" w:rsidRDefault="002179D3" w:rsidP="002179D3"/>
    <w:p w14:paraId="1E3327A8" w14:textId="77777777" w:rsidR="0016000A" w:rsidRPr="00467E67" w:rsidRDefault="0016000A" w:rsidP="00077509">
      <w:pPr>
        <w:numPr>
          <w:ilvl w:val="0"/>
          <w:numId w:val="1"/>
        </w:numPr>
        <w:spacing w:line="276" w:lineRule="auto"/>
        <w:jc w:val="both"/>
        <w:rPr>
          <w:sz w:val="24"/>
          <w:szCs w:val="24"/>
        </w:rPr>
      </w:pPr>
      <w:r w:rsidRPr="00467E67">
        <w:rPr>
          <w:sz w:val="24"/>
          <w:szCs w:val="24"/>
        </w:rPr>
        <w:t>Brigham, E. F., &amp; Houston, J. F. (2019). Fundamentals of Financial Management. Cengage Learning.</w:t>
      </w:r>
    </w:p>
    <w:p w14:paraId="2B851B18" w14:textId="77777777" w:rsidR="0016000A" w:rsidRPr="00467E67" w:rsidRDefault="0016000A" w:rsidP="00077509">
      <w:pPr>
        <w:numPr>
          <w:ilvl w:val="0"/>
          <w:numId w:val="1"/>
        </w:numPr>
        <w:spacing w:line="276" w:lineRule="auto"/>
        <w:jc w:val="both"/>
        <w:rPr>
          <w:sz w:val="24"/>
          <w:szCs w:val="24"/>
        </w:rPr>
      </w:pPr>
      <w:r w:rsidRPr="00467E67">
        <w:rPr>
          <w:sz w:val="24"/>
          <w:szCs w:val="24"/>
        </w:rPr>
        <w:t>Palepu, K. G., &amp; Healy, P. M. (2020). Business Analysis and Valuation. Cengage Learning.</w:t>
      </w:r>
    </w:p>
    <w:p w14:paraId="2C6D3100" w14:textId="77777777" w:rsidR="0016000A" w:rsidRPr="00467E67" w:rsidRDefault="0016000A" w:rsidP="00077509">
      <w:pPr>
        <w:numPr>
          <w:ilvl w:val="0"/>
          <w:numId w:val="1"/>
        </w:numPr>
        <w:spacing w:line="276" w:lineRule="auto"/>
        <w:jc w:val="both"/>
        <w:rPr>
          <w:sz w:val="24"/>
          <w:szCs w:val="24"/>
        </w:rPr>
      </w:pPr>
      <w:r w:rsidRPr="00467E67">
        <w:rPr>
          <w:sz w:val="24"/>
          <w:szCs w:val="24"/>
        </w:rPr>
        <w:t>Gitman, L. J., &amp; Zutter, C. J. (2018). Principles of Managerial Finance. Pearson.</w:t>
      </w:r>
    </w:p>
    <w:p w14:paraId="73FD9933" w14:textId="77777777" w:rsidR="0016000A" w:rsidRPr="00467E67" w:rsidRDefault="0016000A" w:rsidP="00077509">
      <w:pPr>
        <w:numPr>
          <w:ilvl w:val="0"/>
          <w:numId w:val="1"/>
        </w:numPr>
        <w:spacing w:line="276" w:lineRule="auto"/>
        <w:jc w:val="both"/>
        <w:rPr>
          <w:sz w:val="24"/>
          <w:szCs w:val="24"/>
        </w:rPr>
      </w:pPr>
      <w:r w:rsidRPr="00467E67">
        <w:rPr>
          <w:sz w:val="24"/>
          <w:szCs w:val="24"/>
        </w:rPr>
        <w:t xml:space="preserve">Ross, S. A., </w:t>
      </w:r>
      <w:proofErr w:type="spellStart"/>
      <w:r w:rsidRPr="00467E67">
        <w:rPr>
          <w:sz w:val="24"/>
          <w:szCs w:val="24"/>
        </w:rPr>
        <w:t>Westerfield</w:t>
      </w:r>
      <w:proofErr w:type="spellEnd"/>
      <w:r w:rsidRPr="00467E67">
        <w:rPr>
          <w:sz w:val="24"/>
          <w:szCs w:val="24"/>
        </w:rPr>
        <w:t>, R. W., &amp; Jordan, B. D. (2019). Fundamentals of Corporate Finance. McGraw-Hill Education.</w:t>
      </w:r>
    </w:p>
    <w:p w14:paraId="62EB2F50" w14:textId="77777777" w:rsidR="0016000A" w:rsidRPr="00467E67" w:rsidRDefault="0016000A" w:rsidP="00077509">
      <w:pPr>
        <w:numPr>
          <w:ilvl w:val="0"/>
          <w:numId w:val="1"/>
        </w:numPr>
        <w:spacing w:line="276" w:lineRule="auto"/>
        <w:jc w:val="both"/>
        <w:rPr>
          <w:sz w:val="24"/>
          <w:szCs w:val="24"/>
        </w:rPr>
      </w:pPr>
      <w:r w:rsidRPr="00467E67">
        <w:rPr>
          <w:sz w:val="24"/>
          <w:szCs w:val="24"/>
        </w:rPr>
        <w:t>Brealey, R. A., Myers, S. C., &amp; Allen, F. (2020). Principles of Corporate Finance. McGraw-Hill Education.</w:t>
      </w:r>
    </w:p>
    <w:p w14:paraId="7382FE94" w14:textId="77777777" w:rsidR="0016000A" w:rsidRPr="00467E67" w:rsidRDefault="0016000A" w:rsidP="00077509">
      <w:pPr>
        <w:numPr>
          <w:ilvl w:val="0"/>
          <w:numId w:val="1"/>
        </w:numPr>
        <w:spacing w:line="276" w:lineRule="auto"/>
        <w:jc w:val="both"/>
        <w:rPr>
          <w:sz w:val="24"/>
          <w:szCs w:val="24"/>
        </w:rPr>
      </w:pPr>
      <w:r w:rsidRPr="00467E67">
        <w:rPr>
          <w:sz w:val="24"/>
          <w:szCs w:val="24"/>
        </w:rPr>
        <w:t>Damodaran, A. (2016). Investment Valuation: Tools and Techniques for Determining the Value of Any Asset. Wiley.</w:t>
      </w:r>
    </w:p>
    <w:p w14:paraId="036D70E6" w14:textId="77777777" w:rsidR="0016000A" w:rsidRPr="00467E67" w:rsidRDefault="0016000A" w:rsidP="00077509">
      <w:pPr>
        <w:numPr>
          <w:ilvl w:val="0"/>
          <w:numId w:val="1"/>
        </w:numPr>
        <w:spacing w:line="276" w:lineRule="auto"/>
        <w:jc w:val="both"/>
        <w:rPr>
          <w:sz w:val="24"/>
          <w:szCs w:val="24"/>
        </w:rPr>
      </w:pPr>
      <w:proofErr w:type="spellStart"/>
      <w:r w:rsidRPr="00467E67">
        <w:rPr>
          <w:sz w:val="24"/>
          <w:szCs w:val="24"/>
        </w:rPr>
        <w:t>Kieso</w:t>
      </w:r>
      <w:proofErr w:type="spellEnd"/>
      <w:r w:rsidRPr="00467E67">
        <w:rPr>
          <w:sz w:val="24"/>
          <w:szCs w:val="24"/>
        </w:rPr>
        <w:t>, D. E., Weygandt, J. J., &amp; Warfield, T. D. (2018). Intermediate Accounting. Wiley.</w:t>
      </w:r>
    </w:p>
    <w:p w14:paraId="1890E838" w14:textId="77777777" w:rsidR="0016000A" w:rsidRPr="00467E67" w:rsidRDefault="0016000A" w:rsidP="00077509">
      <w:pPr>
        <w:numPr>
          <w:ilvl w:val="0"/>
          <w:numId w:val="1"/>
        </w:numPr>
        <w:spacing w:line="276" w:lineRule="auto"/>
        <w:jc w:val="both"/>
        <w:rPr>
          <w:sz w:val="24"/>
          <w:szCs w:val="24"/>
        </w:rPr>
      </w:pPr>
      <w:r w:rsidRPr="00467E67">
        <w:rPr>
          <w:sz w:val="24"/>
          <w:szCs w:val="24"/>
        </w:rPr>
        <w:t>Penman, S. H. (2017). Financial Statement Analysis and Security Valuation. McGraw-Hill Education.</w:t>
      </w:r>
    </w:p>
    <w:p w14:paraId="0A297CD2" w14:textId="77777777" w:rsidR="006E402E" w:rsidRPr="00467E67" w:rsidRDefault="006E402E" w:rsidP="00077509">
      <w:pPr>
        <w:numPr>
          <w:ilvl w:val="0"/>
          <w:numId w:val="1"/>
        </w:numPr>
        <w:spacing w:line="276" w:lineRule="auto"/>
        <w:jc w:val="both"/>
        <w:rPr>
          <w:sz w:val="24"/>
          <w:szCs w:val="24"/>
        </w:rPr>
      </w:pPr>
      <w:r w:rsidRPr="00467E67">
        <w:rPr>
          <w:sz w:val="24"/>
          <w:szCs w:val="24"/>
        </w:rPr>
        <w:t>Carter, S. (2019). "Evaluating Capital Investments: Bridging Theory and Practice." Journal of Business Studies, 34(2), 45-58.</w:t>
      </w:r>
    </w:p>
    <w:p w14:paraId="74A63AE9" w14:textId="77777777" w:rsidR="006E402E" w:rsidRPr="00467E67" w:rsidRDefault="006E402E" w:rsidP="00077509">
      <w:pPr>
        <w:numPr>
          <w:ilvl w:val="0"/>
          <w:numId w:val="1"/>
        </w:numPr>
        <w:spacing w:line="276" w:lineRule="auto"/>
        <w:jc w:val="both"/>
        <w:rPr>
          <w:sz w:val="24"/>
          <w:szCs w:val="24"/>
        </w:rPr>
      </w:pPr>
      <w:r w:rsidRPr="00467E67">
        <w:rPr>
          <w:sz w:val="24"/>
          <w:szCs w:val="24"/>
        </w:rPr>
        <w:t>Greenwood, R. (2022). "The Impact of Discount Rates on Net Present Value Calculations." Finance Research Letters, 29, 101-113.</w:t>
      </w:r>
    </w:p>
    <w:p w14:paraId="282EE672" w14:textId="77777777" w:rsidR="006E402E" w:rsidRPr="00467E67" w:rsidRDefault="006E402E" w:rsidP="00077509">
      <w:pPr>
        <w:numPr>
          <w:ilvl w:val="0"/>
          <w:numId w:val="1"/>
        </w:numPr>
        <w:spacing w:line="276" w:lineRule="auto"/>
        <w:jc w:val="both"/>
        <w:rPr>
          <w:sz w:val="24"/>
          <w:szCs w:val="24"/>
        </w:rPr>
      </w:pPr>
      <w:r w:rsidRPr="00467E67">
        <w:rPr>
          <w:sz w:val="24"/>
          <w:szCs w:val="24"/>
        </w:rPr>
        <w:t>Hansen, A. (2022). "Accounting Rate of Return: A Critical Analysis." Accounting Review, 97(4), 231-245.</w:t>
      </w:r>
    </w:p>
    <w:p w14:paraId="2A4B692D" w14:textId="77777777" w:rsidR="006E402E" w:rsidRPr="00467E67" w:rsidRDefault="006E402E" w:rsidP="00077509">
      <w:pPr>
        <w:numPr>
          <w:ilvl w:val="0"/>
          <w:numId w:val="1"/>
        </w:numPr>
        <w:spacing w:line="276" w:lineRule="auto"/>
        <w:jc w:val="both"/>
        <w:rPr>
          <w:sz w:val="24"/>
          <w:szCs w:val="24"/>
        </w:rPr>
      </w:pPr>
      <w:r w:rsidRPr="00467E67">
        <w:rPr>
          <w:sz w:val="24"/>
          <w:szCs w:val="24"/>
        </w:rPr>
        <w:t>Johnson, M. (2019). "The Payback Period Method: An Empirical Study." Financial Management, 48(4), 1239-1256.</w:t>
      </w:r>
    </w:p>
    <w:p w14:paraId="2A0E9AF2" w14:textId="77777777" w:rsidR="006E402E" w:rsidRPr="00467E67" w:rsidRDefault="006E402E" w:rsidP="00077509">
      <w:pPr>
        <w:numPr>
          <w:ilvl w:val="0"/>
          <w:numId w:val="1"/>
        </w:numPr>
        <w:spacing w:line="276" w:lineRule="auto"/>
        <w:jc w:val="both"/>
        <w:rPr>
          <w:sz w:val="24"/>
          <w:szCs w:val="24"/>
        </w:rPr>
      </w:pPr>
      <w:r w:rsidRPr="00467E67">
        <w:rPr>
          <w:sz w:val="24"/>
          <w:szCs w:val="24"/>
        </w:rPr>
        <w:t>Langfield-Smith, K. (2023). "Integrating Time Value of Money Concepts in Capital Budgeting." Management Accounting Quarterly, 24(1), 12-23.</w:t>
      </w:r>
    </w:p>
    <w:p w14:paraId="0D5B0737" w14:textId="77777777" w:rsidR="006E402E" w:rsidRPr="00467E67" w:rsidRDefault="006E402E" w:rsidP="00077509">
      <w:pPr>
        <w:numPr>
          <w:ilvl w:val="0"/>
          <w:numId w:val="1"/>
        </w:numPr>
        <w:spacing w:line="276" w:lineRule="auto"/>
        <w:jc w:val="both"/>
        <w:rPr>
          <w:sz w:val="24"/>
          <w:szCs w:val="24"/>
        </w:rPr>
      </w:pPr>
      <w:r w:rsidRPr="00467E67">
        <w:rPr>
          <w:sz w:val="24"/>
          <w:szCs w:val="24"/>
        </w:rPr>
        <w:t>Mitchell, D. (2021). "Challenges in Net Present Value Calculation: The Role of Discount Rates." Journal of Financial Education, 47(1), 56-72.</w:t>
      </w:r>
    </w:p>
    <w:p w14:paraId="78307F86" w14:textId="77777777" w:rsidR="006E402E" w:rsidRPr="00467E67" w:rsidRDefault="006E402E" w:rsidP="00077509">
      <w:pPr>
        <w:numPr>
          <w:ilvl w:val="0"/>
          <w:numId w:val="1"/>
        </w:numPr>
        <w:spacing w:line="276" w:lineRule="auto"/>
        <w:jc w:val="both"/>
        <w:rPr>
          <w:sz w:val="24"/>
          <w:szCs w:val="24"/>
        </w:rPr>
      </w:pPr>
      <w:r w:rsidRPr="00467E67">
        <w:rPr>
          <w:sz w:val="24"/>
          <w:szCs w:val="24"/>
        </w:rPr>
        <w:lastRenderedPageBreak/>
        <w:t>Sanders, T. (2020). "Revisiting the Accounting Rate of Return in the Era of Cloud Computing." Journal of Applied Accounting Research, 21(3), 402-415.</w:t>
      </w:r>
    </w:p>
    <w:p w14:paraId="779940DF" w14:textId="77777777" w:rsidR="006E402E" w:rsidRPr="00467E67" w:rsidRDefault="006E402E" w:rsidP="00077509">
      <w:pPr>
        <w:numPr>
          <w:ilvl w:val="0"/>
          <w:numId w:val="1"/>
        </w:numPr>
        <w:spacing w:line="276" w:lineRule="auto"/>
        <w:jc w:val="both"/>
        <w:rPr>
          <w:sz w:val="24"/>
          <w:szCs w:val="24"/>
        </w:rPr>
      </w:pPr>
      <w:r w:rsidRPr="00467E67">
        <w:rPr>
          <w:sz w:val="24"/>
          <w:szCs w:val="24"/>
        </w:rPr>
        <w:t xml:space="preserve">Smith, J. (2021). "Simplicity versus Accuracy in Investment Appraisal Techniques." Finance &amp; </w:t>
      </w:r>
      <w:proofErr w:type="gramStart"/>
      <w:r w:rsidRPr="00467E67">
        <w:rPr>
          <w:sz w:val="24"/>
          <w:szCs w:val="24"/>
        </w:rPr>
        <w:t>Controlling</w:t>
      </w:r>
      <w:proofErr w:type="gramEnd"/>
      <w:r w:rsidRPr="00467E67">
        <w:rPr>
          <w:sz w:val="24"/>
          <w:szCs w:val="24"/>
        </w:rPr>
        <w:t>, 35(2), 112-119.</w:t>
      </w:r>
    </w:p>
    <w:p w14:paraId="4D5A9B54" w14:textId="77777777" w:rsidR="006E402E" w:rsidRPr="00467E67" w:rsidRDefault="006E402E" w:rsidP="00077509">
      <w:pPr>
        <w:numPr>
          <w:ilvl w:val="0"/>
          <w:numId w:val="1"/>
        </w:numPr>
        <w:spacing w:line="276" w:lineRule="auto"/>
        <w:jc w:val="both"/>
        <w:rPr>
          <w:sz w:val="24"/>
          <w:szCs w:val="24"/>
        </w:rPr>
      </w:pPr>
      <w:r w:rsidRPr="00467E67">
        <w:rPr>
          <w:sz w:val="24"/>
          <w:szCs w:val="24"/>
        </w:rPr>
        <w:t>Taylor, R. (2021). "Beyond the Payback Period: Exploring Advanced Capital Budgeting Techniques." Corporate Finance Review, 26(1), 34-45.</w:t>
      </w:r>
    </w:p>
    <w:p w14:paraId="5633D0BE" w14:textId="10DDCB50" w:rsidR="004040FD" w:rsidRPr="00467E67" w:rsidRDefault="006E402E" w:rsidP="008958CA">
      <w:pPr>
        <w:numPr>
          <w:ilvl w:val="0"/>
          <w:numId w:val="1"/>
        </w:numPr>
        <w:spacing w:line="276" w:lineRule="auto"/>
        <w:jc w:val="both"/>
        <w:rPr>
          <w:sz w:val="24"/>
          <w:szCs w:val="24"/>
        </w:rPr>
      </w:pPr>
      <w:r w:rsidRPr="00467E67">
        <w:rPr>
          <w:sz w:val="24"/>
          <w:szCs w:val="24"/>
        </w:rPr>
        <w:t>Williams, T. (2022). "A Comparative Analysis of Investment Appraisal Techniques." Journal of Corporate Finance, 66, 101834.</w:t>
      </w:r>
    </w:p>
    <w:p w14:paraId="0128C51D" w14:textId="77777777" w:rsidR="006E402E" w:rsidRPr="00467E67" w:rsidRDefault="006E402E" w:rsidP="00467E67">
      <w:pPr>
        <w:spacing w:line="276" w:lineRule="auto"/>
        <w:ind w:left="720"/>
        <w:jc w:val="both"/>
        <w:rPr>
          <w:sz w:val="24"/>
          <w:szCs w:val="24"/>
        </w:rPr>
      </w:pPr>
    </w:p>
    <w:p w14:paraId="141E8A95" w14:textId="77777777" w:rsidR="0016000A" w:rsidRPr="00467E67" w:rsidRDefault="0016000A" w:rsidP="00467E67">
      <w:pPr>
        <w:spacing w:line="276" w:lineRule="auto"/>
        <w:jc w:val="both"/>
        <w:rPr>
          <w:vanish/>
          <w:sz w:val="24"/>
          <w:szCs w:val="24"/>
        </w:rPr>
      </w:pPr>
      <w:r w:rsidRPr="00467E67">
        <w:rPr>
          <w:vanish/>
          <w:sz w:val="24"/>
          <w:szCs w:val="24"/>
        </w:rPr>
        <w:t>Top of Form</w:t>
      </w:r>
    </w:p>
    <w:p w14:paraId="72B72D93" w14:textId="77777777" w:rsidR="006F55D6" w:rsidRPr="00467E67" w:rsidRDefault="006F55D6" w:rsidP="00467E67">
      <w:pPr>
        <w:spacing w:line="276" w:lineRule="auto"/>
        <w:jc w:val="both"/>
        <w:rPr>
          <w:sz w:val="24"/>
          <w:szCs w:val="24"/>
        </w:rPr>
      </w:pPr>
    </w:p>
    <w:sectPr w:rsidR="006F55D6" w:rsidRPr="00467E67" w:rsidSect="004574F8">
      <w:footerReference w:type="default" r:id="rId8"/>
      <w:pgSz w:w="12240" w:h="15840"/>
      <w:pgMar w:top="1440" w:right="1080" w:bottom="1440" w:left="1080" w:header="720" w:footer="720" w:gutter="0"/>
      <w:pgBorders w:display="notFirstPage"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0EBE2" w14:textId="77777777" w:rsidR="004574F8" w:rsidRDefault="004574F8" w:rsidP="003C7780">
      <w:pPr>
        <w:spacing w:after="0" w:line="240" w:lineRule="auto"/>
      </w:pPr>
      <w:r>
        <w:separator/>
      </w:r>
    </w:p>
  </w:endnote>
  <w:endnote w:type="continuationSeparator" w:id="0">
    <w:p w14:paraId="1AA26451" w14:textId="77777777" w:rsidR="004574F8" w:rsidRDefault="004574F8" w:rsidP="003C7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5712325"/>
      <w:docPartObj>
        <w:docPartGallery w:val="Page Numbers (Bottom of Page)"/>
        <w:docPartUnique/>
      </w:docPartObj>
    </w:sdtPr>
    <w:sdtEndPr>
      <w:rPr>
        <w:noProof/>
      </w:rPr>
    </w:sdtEndPr>
    <w:sdtContent>
      <w:p w14:paraId="208B8841" w14:textId="77777777" w:rsidR="001E01DD" w:rsidRDefault="001E01DD">
        <w:pPr>
          <w:pStyle w:val="Footer"/>
          <w:jc w:val="right"/>
        </w:pPr>
        <w:r>
          <w:fldChar w:fldCharType="begin"/>
        </w:r>
        <w:r>
          <w:instrText xml:space="preserve"> PAGE   \* MERGEFORMAT </w:instrText>
        </w:r>
        <w:r>
          <w:fldChar w:fldCharType="separate"/>
        </w:r>
        <w:r w:rsidR="009B16B8">
          <w:rPr>
            <w:noProof/>
          </w:rPr>
          <w:t>21</w:t>
        </w:r>
        <w:r>
          <w:rPr>
            <w:noProof/>
          </w:rPr>
          <w:fldChar w:fldCharType="end"/>
        </w:r>
      </w:p>
    </w:sdtContent>
  </w:sdt>
  <w:p w14:paraId="23F6F497" w14:textId="77777777" w:rsidR="001E01DD" w:rsidRDefault="001E0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1CA5B" w14:textId="77777777" w:rsidR="004574F8" w:rsidRDefault="004574F8" w:rsidP="003C7780">
      <w:pPr>
        <w:spacing w:after="0" w:line="240" w:lineRule="auto"/>
      </w:pPr>
      <w:r>
        <w:separator/>
      </w:r>
    </w:p>
  </w:footnote>
  <w:footnote w:type="continuationSeparator" w:id="0">
    <w:p w14:paraId="253FFFC8" w14:textId="77777777" w:rsidR="004574F8" w:rsidRDefault="004574F8" w:rsidP="003C77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F2273"/>
    <w:multiLevelType w:val="hybridMultilevel"/>
    <w:tmpl w:val="55F8A2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BF3215"/>
    <w:multiLevelType w:val="multilevel"/>
    <w:tmpl w:val="0CA6A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1A68D1"/>
    <w:multiLevelType w:val="multilevel"/>
    <w:tmpl w:val="D3B8F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CF0C15"/>
    <w:multiLevelType w:val="multilevel"/>
    <w:tmpl w:val="4E965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486D86"/>
    <w:multiLevelType w:val="multilevel"/>
    <w:tmpl w:val="0000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72056B"/>
    <w:multiLevelType w:val="multilevel"/>
    <w:tmpl w:val="48787D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24380A"/>
    <w:multiLevelType w:val="multilevel"/>
    <w:tmpl w:val="451C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CE6E7F"/>
    <w:multiLevelType w:val="multilevel"/>
    <w:tmpl w:val="BB98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B14CAB"/>
    <w:multiLevelType w:val="multilevel"/>
    <w:tmpl w:val="E790116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9D250B"/>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AE30BE9"/>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2BB66D6"/>
    <w:multiLevelType w:val="multilevel"/>
    <w:tmpl w:val="BC6898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38A7DEE"/>
    <w:multiLevelType w:val="multilevel"/>
    <w:tmpl w:val="0A7C8468"/>
    <w:lvl w:ilvl="0">
      <w:start w:val="1"/>
      <w:numFmt w:val="decimal"/>
      <w:lvlText w:val="%1."/>
      <w:lvlJc w:val="left"/>
      <w:pPr>
        <w:ind w:left="360" w:hanging="360"/>
      </w:pPr>
      <w:rPr>
        <w:b/>
        <w:color w:val="auto"/>
      </w:rPr>
    </w:lvl>
    <w:lvl w:ilvl="1">
      <w:start w:val="1"/>
      <w:numFmt w:val="decimal"/>
      <w:lvlText w:val="%1.%2."/>
      <w:lvlJc w:val="left"/>
      <w:pPr>
        <w:ind w:left="792" w:hanging="432"/>
      </w:pPr>
      <w:rPr>
        <w:color w:val="000000" w:themeColor="text1"/>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41B3280"/>
    <w:multiLevelType w:val="multilevel"/>
    <w:tmpl w:val="5040F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50241BE"/>
    <w:multiLevelType w:val="multilevel"/>
    <w:tmpl w:val="B1A22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6112D9"/>
    <w:multiLevelType w:val="hybridMultilevel"/>
    <w:tmpl w:val="722EE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6E51F41"/>
    <w:multiLevelType w:val="multilevel"/>
    <w:tmpl w:val="6B0C339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DBC08B9"/>
    <w:multiLevelType w:val="multilevel"/>
    <w:tmpl w:val="C3E24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FF60F60"/>
    <w:multiLevelType w:val="multilevel"/>
    <w:tmpl w:val="ED36E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616B72"/>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E886BE4"/>
    <w:multiLevelType w:val="multilevel"/>
    <w:tmpl w:val="930CA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0F8017E"/>
    <w:multiLevelType w:val="hybridMultilevel"/>
    <w:tmpl w:val="D62834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545E5D70"/>
    <w:multiLevelType w:val="multilevel"/>
    <w:tmpl w:val="48787D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A13C22"/>
    <w:multiLevelType w:val="multilevel"/>
    <w:tmpl w:val="2D3E0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5B13F02"/>
    <w:multiLevelType w:val="multilevel"/>
    <w:tmpl w:val="DDF494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28C6F47"/>
    <w:multiLevelType w:val="multilevel"/>
    <w:tmpl w:val="AE3CC2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32A211F"/>
    <w:multiLevelType w:val="multilevel"/>
    <w:tmpl w:val="48787DE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586011"/>
    <w:multiLevelType w:val="multilevel"/>
    <w:tmpl w:val="7CAEC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7E55711"/>
    <w:multiLevelType w:val="multilevel"/>
    <w:tmpl w:val="BFCA3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B7C19E7"/>
    <w:multiLevelType w:val="multilevel"/>
    <w:tmpl w:val="E146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B820F7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C947BA5"/>
    <w:multiLevelType w:val="multilevel"/>
    <w:tmpl w:val="55089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FC454CE"/>
    <w:multiLevelType w:val="multilevel"/>
    <w:tmpl w:val="47DA0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4557327">
    <w:abstractNumId w:val="31"/>
  </w:num>
  <w:num w:numId="2" w16cid:durableId="1314065077">
    <w:abstractNumId w:val="7"/>
  </w:num>
  <w:num w:numId="3" w16cid:durableId="1226799767">
    <w:abstractNumId w:val="25"/>
  </w:num>
  <w:num w:numId="4" w16cid:durableId="647901959">
    <w:abstractNumId w:val="9"/>
  </w:num>
  <w:num w:numId="5" w16cid:durableId="1062484244">
    <w:abstractNumId w:val="6"/>
  </w:num>
  <w:num w:numId="6" w16cid:durableId="792214196">
    <w:abstractNumId w:val="27"/>
  </w:num>
  <w:num w:numId="7" w16cid:durableId="857044728">
    <w:abstractNumId w:val="32"/>
  </w:num>
  <w:num w:numId="8" w16cid:durableId="1364332263">
    <w:abstractNumId w:val="23"/>
  </w:num>
  <w:num w:numId="9" w16cid:durableId="1180465771">
    <w:abstractNumId w:val="4"/>
  </w:num>
  <w:num w:numId="10" w16cid:durableId="1573469911">
    <w:abstractNumId w:val="20"/>
  </w:num>
  <w:num w:numId="11" w16cid:durableId="551501500">
    <w:abstractNumId w:val="28"/>
  </w:num>
  <w:num w:numId="12" w16cid:durableId="894660732">
    <w:abstractNumId w:val="3"/>
  </w:num>
  <w:num w:numId="13" w16cid:durableId="468745734">
    <w:abstractNumId w:val="29"/>
  </w:num>
  <w:num w:numId="14" w16cid:durableId="306085650">
    <w:abstractNumId w:val="19"/>
  </w:num>
  <w:num w:numId="15" w16cid:durableId="1913660912">
    <w:abstractNumId w:val="10"/>
  </w:num>
  <w:num w:numId="16" w16cid:durableId="1310554076">
    <w:abstractNumId w:val="13"/>
  </w:num>
  <w:num w:numId="17" w16cid:durableId="2041514488">
    <w:abstractNumId w:val="11"/>
  </w:num>
  <w:num w:numId="18" w16cid:durableId="613944380">
    <w:abstractNumId w:val="17"/>
  </w:num>
  <w:num w:numId="19" w16cid:durableId="1082684843">
    <w:abstractNumId w:val="24"/>
  </w:num>
  <w:num w:numId="20" w16cid:durableId="1885630926">
    <w:abstractNumId w:val="18"/>
  </w:num>
  <w:num w:numId="21" w16cid:durableId="587275051">
    <w:abstractNumId w:val="5"/>
  </w:num>
  <w:num w:numId="22" w16cid:durableId="63530488">
    <w:abstractNumId w:val="1"/>
  </w:num>
  <w:num w:numId="23" w16cid:durableId="383868262">
    <w:abstractNumId w:val="2"/>
  </w:num>
  <w:num w:numId="24" w16cid:durableId="2012101414">
    <w:abstractNumId w:val="26"/>
  </w:num>
  <w:num w:numId="25" w16cid:durableId="616722790">
    <w:abstractNumId w:val="22"/>
  </w:num>
  <w:num w:numId="26" w16cid:durableId="489490091">
    <w:abstractNumId w:val="12"/>
  </w:num>
  <w:num w:numId="27" w16cid:durableId="424687073">
    <w:abstractNumId w:val="8"/>
  </w:num>
  <w:num w:numId="28" w16cid:durableId="2039625367">
    <w:abstractNumId w:val="15"/>
  </w:num>
  <w:num w:numId="29" w16cid:durableId="1611626540">
    <w:abstractNumId w:val="21"/>
  </w:num>
  <w:num w:numId="30" w16cid:durableId="1518038320">
    <w:abstractNumId w:val="14"/>
  </w:num>
  <w:num w:numId="31" w16cid:durableId="796146584">
    <w:abstractNumId w:val="16"/>
  </w:num>
  <w:num w:numId="32" w16cid:durableId="520706377">
    <w:abstractNumId w:val="0"/>
  </w:num>
  <w:num w:numId="33" w16cid:durableId="1090345720">
    <w:abstractNumId w:val="30"/>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7329"/>
    <w:rsid w:val="00003B33"/>
    <w:rsid w:val="00056475"/>
    <w:rsid w:val="00077509"/>
    <w:rsid w:val="000B7A5D"/>
    <w:rsid w:val="0015293D"/>
    <w:rsid w:val="0016000A"/>
    <w:rsid w:val="001657F9"/>
    <w:rsid w:val="00192103"/>
    <w:rsid w:val="00194327"/>
    <w:rsid w:val="001A6575"/>
    <w:rsid w:val="001E01DD"/>
    <w:rsid w:val="001F5CF2"/>
    <w:rsid w:val="002179D3"/>
    <w:rsid w:val="00245E4F"/>
    <w:rsid w:val="0025330E"/>
    <w:rsid w:val="00286F34"/>
    <w:rsid w:val="002D32B8"/>
    <w:rsid w:val="002D690C"/>
    <w:rsid w:val="002E59C7"/>
    <w:rsid w:val="00323031"/>
    <w:rsid w:val="0035603B"/>
    <w:rsid w:val="00361B54"/>
    <w:rsid w:val="003C7780"/>
    <w:rsid w:val="004040FD"/>
    <w:rsid w:val="0042662A"/>
    <w:rsid w:val="004574F8"/>
    <w:rsid w:val="00467E67"/>
    <w:rsid w:val="00496C9F"/>
    <w:rsid w:val="00530490"/>
    <w:rsid w:val="005413BD"/>
    <w:rsid w:val="00560FE8"/>
    <w:rsid w:val="00572142"/>
    <w:rsid w:val="005D44D5"/>
    <w:rsid w:val="005E34BA"/>
    <w:rsid w:val="00617329"/>
    <w:rsid w:val="006421BA"/>
    <w:rsid w:val="006871FF"/>
    <w:rsid w:val="00695217"/>
    <w:rsid w:val="006D1FA3"/>
    <w:rsid w:val="006E402E"/>
    <w:rsid w:val="006E5CFB"/>
    <w:rsid w:val="006F55D6"/>
    <w:rsid w:val="007246C4"/>
    <w:rsid w:val="00766551"/>
    <w:rsid w:val="007C74F5"/>
    <w:rsid w:val="00811439"/>
    <w:rsid w:val="0081383B"/>
    <w:rsid w:val="0081447F"/>
    <w:rsid w:val="008805EB"/>
    <w:rsid w:val="008958CA"/>
    <w:rsid w:val="008B4630"/>
    <w:rsid w:val="008E0E01"/>
    <w:rsid w:val="008F3786"/>
    <w:rsid w:val="00945405"/>
    <w:rsid w:val="009750D4"/>
    <w:rsid w:val="009B16B8"/>
    <w:rsid w:val="00A16EBB"/>
    <w:rsid w:val="00A2641F"/>
    <w:rsid w:val="00A6632D"/>
    <w:rsid w:val="00A666F6"/>
    <w:rsid w:val="00AA6A65"/>
    <w:rsid w:val="00AD5852"/>
    <w:rsid w:val="00AF2884"/>
    <w:rsid w:val="00AF3DB8"/>
    <w:rsid w:val="00B035D2"/>
    <w:rsid w:val="00B23ADF"/>
    <w:rsid w:val="00B257D0"/>
    <w:rsid w:val="00B331A7"/>
    <w:rsid w:val="00B34F44"/>
    <w:rsid w:val="00B44088"/>
    <w:rsid w:val="00B7685B"/>
    <w:rsid w:val="00B83A66"/>
    <w:rsid w:val="00BC5B6F"/>
    <w:rsid w:val="00C14BEF"/>
    <w:rsid w:val="00C80FD9"/>
    <w:rsid w:val="00CA560C"/>
    <w:rsid w:val="00CA5C29"/>
    <w:rsid w:val="00CE5B37"/>
    <w:rsid w:val="00D25CC0"/>
    <w:rsid w:val="00D47CCC"/>
    <w:rsid w:val="00D6062B"/>
    <w:rsid w:val="00D63A2B"/>
    <w:rsid w:val="00D73645"/>
    <w:rsid w:val="00DC0E4B"/>
    <w:rsid w:val="00DD02CD"/>
    <w:rsid w:val="00DD1F74"/>
    <w:rsid w:val="00DF2CB4"/>
    <w:rsid w:val="00E17BBC"/>
    <w:rsid w:val="00E20D0E"/>
    <w:rsid w:val="00E64390"/>
    <w:rsid w:val="00E7463B"/>
    <w:rsid w:val="00EB5B1D"/>
    <w:rsid w:val="00ED0194"/>
    <w:rsid w:val="00EF4B87"/>
    <w:rsid w:val="00F02202"/>
    <w:rsid w:val="00F20DC0"/>
    <w:rsid w:val="00F27A6F"/>
    <w:rsid w:val="00F523AE"/>
    <w:rsid w:val="00F61D01"/>
    <w:rsid w:val="00FD1174"/>
    <w:rsid w:val="00FD2640"/>
    <w:rsid w:val="00FD5C9E"/>
    <w:rsid w:val="00FE46C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167962"/>
  <w15:chartTrackingRefBased/>
  <w15:docId w15:val="{B05A6EB9-0AC2-4F5D-8308-BBA19CC45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4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67E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E402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4D5"/>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5D44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CE5B3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D47CCC"/>
    <w:pPr>
      <w:ind w:left="720"/>
      <w:contextualSpacing/>
    </w:pPr>
  </w:style>
  <w:style w:type="character" w:customStyle="1" w:styleId="Heading3Char">
    <w:name w:val="Heading 3 Char"/>
    <w:basedOn w:val="DefaultParagraphFont"/>
    <w:link w:val="Heading3"/>
    <w:uiPriority w:val="9"/>
    <w:semiHidden/>
    <w:rsid w:val="006E402E"/>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467E6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F5CF2"/>
    <w:pPr>
      <w:outlineLvl w:val="9"/>
    </w:pPr>
  </w:style>
  <w:style w:type="paragraph" w:styleId="TOC1">
    <w:name w:val="toc 1"/>
    <w:basedOn w:val="Normal"/>
    <w:next w:val="Normal"/>
    <w:autoRedefine/>
    <w:uiPriority w:val="39"/>
    <w:unhideWhenUsed/>
    <w:rsid w:val="001F5CF2"/>
    <w:pPr>
      <w:spacing w:after="100"/>
    </w:pPr>
  </w:style>
  <w:style w:type="paragraph" w:styleId="TOC2">
    <w:name w:val="toc 2"/>
    <w:basedOn w:val="Normal"/>
    <w:next w:val="Normal"/>
    <w:autoRedefine/>
    <w:uiPriority w:val="39"/>
    <w:unhideWhenUsed/>
    <w:rsid w:val="001F5CF2"/>
    <w:pPr>
      <w:spacing w:after="100"/>
      <w:ind w:left="220"/>
    </w:pPr>
  </w:style>
  <w:style w:type="character" w:styleId="Hyperlink">
    <w:name w:val="Hyperlink"/>
    <w:basedOn w:val="DefaultParagraphFont"/>
    <w:uiPriority w:val="99"/>
    <w:unhideWhenUsed/>
    <w:rsid w:val="001F5CF2"/>
    <w:rPr>
      <w:color w:val="0563C1" w:themeColor="hyperlink"/>
      <w:u w:val="single"/>
    </w:rPr>
  </w:style>
  <w:style w:type="paragraph" w:styleId="NoSpacing">
    <w:name w:val="No Spacing"/>
    <w:link w:val="NoSpacingChar"/>
    <w:uiPriority w:val="1"/>
    <w:qFormat/>
    <w:rsid w:val="001F5CF2"/>
    <w:pPr>
      <w:spacing w:after="0" w:line="240" w:lineRule="auto"/>
    </w:pPr>
    <w:rPr>
      <w:rFonts w:eastAsiaTheme="minorEastAsia"/>
    </w:rPr>
  </w:style>
  <w:style w:type="character" w:customStyle="1" w:styleId="NoSpacingChar">
    <w:name w:val="No Spacing Char"/>
    <w:basedOn w:val="DefaultParagraphFont"/>
    <w:link w:val="NoSpacing"/>
    <w:uiPriority w:val="1"/>
    <w:rsid w:val="001F5CF2"/>
    <w:rPr>
      <w:rFonts w:eastAsiaTheme="minorEastAsia"/>
    </w:rPr>
  </w:style>
  <w:style w:type="paragraph" w:styleId="Header">
    <w:name w:val="header"/>
    <w:basedOn w:val="Normal"/>
    <w:link w:val="HeaderChar"/>
    <w:uiPriority w:val="99"/>
    <w:unhideWhenUsed/>
    <w:rsid w:val="003C77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7780"/>
  </w:style>
  <w:style w:type="paragraph" w:styleId="Footer">
    <w:name w:val="footer"/>
    <w:basedOn w:val="Normal"/>
    <w:link w:val="FooterChar"/>
    <w:uiPriority w:val="99"/>
    <w:unhideWhenUsed/>
    <w:rsid w:val="003C77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7780"/>
  </w:style>
  <w:style w:type="paragraph" w:styleId="Revision">
    <w:name w:val="Revision"/>
    <w:hidden/>
    <w:uiPriority w:val="99"/>
    <w:semiHidden/>
    <w:rsid w:val="006871FF"/>
    <w:pPr>
      <w:spacing w:after="0" w:line="240" w:lineRule="auto"/>
    </w:pPr>
  </w:style>
  <w:style w:type="character" w:styleId="Strong">
    <w:name w:val="Strong"/>
    <w:basedOn w:val="DefaultParagraphFont"/>
    <w:uiPriority w:val="22"/>
    <w:qFormat/>
    <w:rsid w:val="00945405"/>
    <w:rPr>
      <w:b/>
      <w:bCs/>
    </w:rPr>
  </w:style>
  <w:style w:type="paragraph" w:styleId="BalloonText">
    <w:name w:val="Balloon Text"/>
    <w:basedOn w:val="Normal"/>
    <w:link w:val="BalloonTextChar"/>
    <w:uiPriority w:val="99"/>
    <w:semiHidden/>
    <w:unhideWhenUsed/>
    <w:rsid w:val="009454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5405"/>
    <w:rPr>
      <w:rFonts w:ascii="Segoe UI" w:hAnsi="Segoe UI" w:cs="Segoe UI"/>
      <w:sz w:val="18"/>
      <w:szCs w:val="18"/>
    </w:rPr>
  </w:style>
  <w:style w:type="paragraph" w:styleId="NormalWeb">
    <w:name w:val="Normal (Web)"/>
    <w:basedOn w:val="Normal"/>
    <w:uiPriority w:val="99"/>
    <w:semiHidden/>
    <w:unhideWhenUsed/>
    <w:rsid w:val="004040F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8897">
      <w:bodyDiv w:val="1"/>
      <w:marLeft w:val="0"/>
      <w:marRight w:val="0"/>
      <w:marTop w:val="0"/>
      <w:marBottom w:val="0"/>
      <w:divBdr>
        <w:top w:val="none" w:sz="0" w:space="0" w:color="auto"/>
        <w:left w:val="none" w:sz="0" w:space="0" w:color="auto"/>
        <w:bottom w:val="none" w:sz="0" w:space="0" w:color="auto"/>
        <w:right w:val="none" w:sz="0" w:space="0" w:color="auto"/>
      </w:divBdr>
    </w:div>
    <w:div w:id="54285157">
      <w:bodyDiv w:val="1"/>
      <w:marLeft w:val="0"/>
      <w:marRight w:val="0"/>
      <w:marTop w:val="0"/>
      <w:marBottom w:val="0"/>
      <w:divBdr>
        <w:top w:val="none" w:sz="0" w:space="0" w:color="auto"/>
        <w:left w:val="none" w:sz="0" w:space="0" w:color="auto"/>
        <w:bottom w:val="none" w:sz="0" w:space="0" w:color="auto"/>
        <w:right w:val="none" w:sz="0" w:space="0" w:color="auto"/>
      </w:divBdr>
      <w:divsChild>
        <w:div w:id="1024595479">
          <w:marLeft w:val="0"/>
          <w:marRight w:val="0"/>
          <w:marTop w:val="0"/>
          <w:marBottom w:val="0"/>
          <w:divBdr>
            <w:top w:val="single" w:sz="2" w:space="0" w:color="E3E3E3"/>
            <w:left w:val="single" w:sz="2" w:space="0" w:color="E3E3E3"/>
            <w:bottom w:val="single" w:sz="2" w:space="0" w:color="E3E3E3"/>
            <w:right w:val="single" w:sz="2" w:space="0" w:color="E3E3E3"/>
          </w:divBdr>
          <w:divsChild>
            <w:div w:id="419568256">
              <w:marLeft w:val="0"/>
              <w:marRight w:val="0"/>
              <w:marTop w:val="0"/>
              <w:marBottom w:val="0"/>
              <w:divBdr>
                <w:top w:val="single" w:sz="2" w:space="0" w:color="E3E3E3"/>
                <w:left w:val="single" w:sz="2" w:space="0" w:color="E3E3E3"/>
                <w:bottom w:val="single" w:sz="2" w:space="0" w:color="E3E3E3"/>
                <w:right w:val="single" w:sz="2" w:space="0" w:color="E3E3E3"/>
              </w:divBdr>
              <w:divsChild>
                <w:div w:id="395323879">
                  <w:marLeft w:val="0"/>
                  <w:marRight w:val="0"/>
                  <w:marTop w:val="0"/>
                  <w:marBottom w:val="0"/>
                  <w:divBdr>
                    <w:top w:val="single" w:sz="2" w:space="0" w:color="E3E3E3"/>
                    <w:left w:val="single" w:sz="2" w:space="0" w:color="E3E3E3"/>
                    <w:bottom w:val="single" w:sz="2" w:space="0" w:color="E3E3E3"/>
                    <w:right w:val="single" w:sz="2" w:space="0" w:color="E3E3E3"/>
                  </w:divBdr>
                  <w:divsChild>
                    <w:div w:id="419956030">
                      <w:marLeft w:val="0"/>
                      <w:marRight w:val="0"/>
                      <w:marTop w:val="0"/>
                      <w:marBottom w:val="0"/>
                      <w:divBdr>
                        <w:top w:val="single" w:sz="2" w:space="0" w:color="E3E3E3"/>
                        <w:left w:val="single" w:sz="2" w:space="0" w:color="E3E3E3"/>
                        <w:bottom w:val="single" w:sz="2" w:space="0" w:color="E3E3E3"/>
                        <w:right w:val="single" w:sz="2" w:space="0" w:color="E3E3E3"/>
                      </w:divBdr>
                      <w:divsChild>
                        <w:div w:id="1992827804">
                          <w:marLeft w:val="0"/>
                          <w:marRight w:val="0"/>
                          <w:marTop w:val="0"/>
                          <w:marBottom w:val="0"/>
                          <w:divBdr>
                            <w:top w:val="single" w:sz="2" w:space="0" w:color="E3E3E3"/>
                            <w:left w:val="single" w:sz="2" w:space="0" w:color="E3E3E3"/>
                            <w:bottom w:val="single" w:sz="2" w:space="0" w:color="E3E3E3"/>
                            <w:right w:val="single" w:sz="2" w:space="0" w:color="E3E3E3"/>
                          </w:divBdr>
                          <w:divsChild>
                            <w:div w:id="1427112603">
                              <w:marLeft w:val="0"/>
                              <w:marRight w:val="0"/>
                              <w:marTop w:val="0"/>
                              <w:marBottom w:val="0"/>
                              <w:divBdr>
                                <w:top w:val="single" w:sz="2" w:space="0" w:color="E3E3E3"/>
                                <w:left w:val="single" w:sz="2" w:space="0" w:color="E3E3E3"/>
                                <w:bottom w:val="single" w:sz="2" w:space="0" w:color="E3E3E3"/>
                                <w:right w:val="single" w:sz="2" w:space="0" w:color="E3E3E3"/>
                              </w:divBdr>
                              <w:divsChild>
                                <w:div w:id="399132596">
                                  <w:marLeft w:val="0"/>
                                  <w:marRight w:val="0"/>
                                  <w:marTop w:val="100"/>
                                  <w:marBottom w:val="100"/>
                                  <w:divBdr>
                                    <w:top w:val="single" w:sz="2" w:space="0" w:color="E3E3E3"/>
                                    <w:left w:val="single" w:sz="2" w:space="0" w:color="E3E3E3"/>
                                    <w:bottom w:val="single" w:sz="2" w:space="0" w:color="E3E3E3"/>
                                    <w:right w:val="single" w:sz="2" w:space="0" w:color="E3E3E3"/>
                                  </w:divBdr>
                                  <w:divsChild>
                                    <w:div w:id="339237461">
                                      <w:marLeft w:val="0"/>
                                      <w:marRight w:val="0"/>
                                      <w:marTop w:val="0"/>
                                      <w:marBottom w:val="0"/>
                                      <w:divBdr>
                                        <w:top w:val="single" w:sz="2" w:space="0" w:color="E3E3E3"/>
                                        <w:left w:val="single" w:sz="2" w:space="0" w:color="E3E3E3"/>
                                        <w:bottom w:val="single" w:sz="2" w:space="0" w:color="E3E3E3"/>
                                        <w:right w:val="single" w:sz="2" w:space="0" w:color="E3E3E3"/>
                                      </w:divBdr>
                                      <w:divsChild>
                                        <w:div w:id="55712930">
                                          <w:marLeft w:val="0"/>
                                          <w:marRight w:val="0"/>
                                          <w:marTop w:val="0"/>
                                          <w:marBottom w:val="0"/>
                                          <w:divBdr>
                                            <w:top w:val="single" w:sz="2" w:space="0" w:color="E3E3E3"/>
                                            <w:left w:val="single" w:sz="2" w:space="0" w:color="E3E3E3"/>
                                            <w:bottom w:val="single" w:sz="2" w:space="0" w:color="E3E3E3"/>
                                            <w:right w:val="single" w:sz="2" w:space="0" w:color="E3E3E3"/>
                                          </w:divBdr>
                                          <w:divsChild>
                                            <w:div w:id="1529369436">
                                              <w:marLeft w:val="0"/>
                                              <w:marRight w:val="0"/>
                                              <w:marTop w:val="0"/>
                                              <w:marBottom w:val="0"/>
                                              <w:divBdr>
                                                <w:top w:val="single" w:sz="2" w:space="0" w:color="E3E3E3"/>
                                                <w:left w:val="single" w:sz="2" w:space="0" w:color="E3E3E3"/>
                                                <w:bottom w:val="single" w:sz="2" w:space="0" w:color="E3E3E3"/>
                                                <w:right w:val="single" w:sz="2" w:space="0" w:color="E3E3E3"/>
                                              </w:divBdr>
                                              <w:divsChild>
                                                <w:div w:id="1229418306">
                                                  <w:marLeft w:val="0"/>
                                                  <w:marRight w:val="0"/>
                                                  <w:marTop w:val="0"/>
                                                  <w:marBottom w:val="0"/>
                                                  <w:divBdr>
                                                    <w:top w:val="single" w:sz="2" w:space="0" w:color="E3E3E3"/>
                                                    <w:left w:val="single" w:sz="2" w:space="0" w:color="E3E3E3"/>
                                                    <w:bottom w:val="single" w:sz="2" w:space="0" w:color="E3E3E3"/>
                                                    <w:right w:val="single" w:sz="2" w:space="0" w:color="E3E3E3"/>
                                                  </w:divBdr>
                                                  <w:divsChild>
                                                    <w:div w:id="149291927">
                                                      <w:marLeft w:val="0"/>
                                                      <w:marRight w:val="0"/>
                                                      <w:marTop w:val="0"/>
                                                      <w:marBottom w:val="0"/>
                                                      <w:divBdr>
                                                        <w:top w:val="single" w:sz="2" w:space="0" w:color="E3E3E3"/>
                                                        <w:left w:val="single" w:sz="2" w:space="0" w:color="E3E3E3"/>
                                                        <w:bottom w:val="single" w:sz="2" w:space="0" w:color="E3E3E3"/>
                                                        <w:right w:val="single" w:sz="2" w:space="0" w:color="E3E3E3"/>
                                                      </w:divBdr>
                                                      <w:divsChild>
                                                        <w:div w:id="1538083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51652987">
          <w:marLeft w:val="0"/>
          <w:marRight w:val="0"/>
          <w:marTop w:val="0"/>
          <w:marBottom w:val="0"/>
          <w:divBdr>
            <w:top w:val="none" w:sz="0" w:space="0" w:color="auto"/>
            <w:left w:val="none" w:sz="0" w:space="0" w:color="auto"/>
            <w:bottom w:val="none" w:sz="0" w:space="0" w:color="auto"/>
            <w:right w:val="none" w:sz="0" w:space="0" w:color="auto"/>
          </w:divBdr>
        </w:div>
      </w:divsChild>
    </w:div>
    <w:div w:id="109859915">
      <w:bodyDiv w:val="1"/>
      <w:marLeft w:val="0"/>
      <w:marRight w:val="0"/>
      <w:marTop w:val="0"/>
      <w:marBottom w:val="0"/>
      <w:divBdr>
        <w:top w:val="none" w:sz="0" w:space="0" w:color="auto"/>
        <w:left w:val="none" w:sz="0" w:space="0" w:color="auto"/>
        <w:bottom w:val="none" w:sz="0" w:space="0" w:color="auto"/>
        <w:right w:val="none" w:sz="0" w:space="0" w:color="auto"/>
      </w:divBdr>
      <w:divsChild>
        <w:div w:id="176234523">
          <w:marLeft w:val="0"/>
          <w:marRight w:val="0"/>
          <w:marTop w:val="0"/>
          <w:marBottom w:val="0"/>
          <w:divBdr>
            <w:top w:val="single" w:sz="2" w:space="0" w:color="E3E3E3"/>
            <w:left w:val="single" w:sz="2" w:space="0" w:color="E3E3E3"/>
            <w:bottom w:val="single" w:sz="2" w:space="0" w:color="E3E3E3"/>
            <w:right w:val="single" w:sz="2" w:space="0" w:color="E3E3E3"/>
          </w:divBdr>
          <w:divsChild>
            <w:div w:id="1133138079">
              <w:marLeft w:val="0"/>
              <w:marRight w:val="0"/>
              <w:marTop w:val="0"/>
              <w:marBottom w:val="0"/>
              <w:divBdr>
                <w:top w:val="single" w:sz="2" w:space="0" w:color="E3E3E3"/>
                <w:left w:val="single" w:sz="2" w:space="0" w:color="E3E3E3"/>
                <w:bottom w:val="single" w:sz="2" w:space="0" w:color="E3E3E3"/>
                <w:right w:val="single" w:sz="2" w:space="0" w:color="E3E3E3"/>
              </w:divBdr>
              <w:divsChild>
                <w:div w:id="67651901">
                  <w:marLeft w:val="0"/>
                  <w:marRight w:val="0"/>
                  <w:marTop w:val="0"/>
                  <w:marBottom w:val="0"/>
                  <w:divBdr>
                    <w:top w:val="single" w:sz="2" w:space="0" w:color="E3E3E3"/>
                    <w:left w:val="single" w:sz="2" w:space="0" w:color="E3E3E3"/>
                    <w:bottom w:val="single" w:sz="2" w:space="0" w:color="E3E3E3"/>
                    <w:right w:val="single" w:sz="2" w:space="0" w:color="E3E3E3"/>
                  </w:divBdr>
                  <w:divsChild>
                    <w:div w:id="112284134">
                      <w:marLeft w:val="0"/>
                      <w:marRight w:val="0"/>
                      <w:marTop w:val="0"/>
                      <w:marBottom w:val="0"/>
                      <w:divBdr>
                        <w:top w:val="single" w:sz="2" w:space="0" w:color="E3E3E3"/>
                        <w:left w:val="single" w:sz="2" w:space="0" w:color="E3E3E3"/>
                        <w:bottom w:val="single" w:sz="2" w:space="0" w:color="E3E3E3"/>
                        <w:right w:val="single" w:sz="2" w:space="0" w:color="E3E3E3"/>
                      </w:divBdr>
                      <w:divsChild>
                        <w:div w:id="1331832144">
                          <w:marLeft w:val="0"/>
                          <w:marRight w:val="0"/>
                          <w:marTop w:val="0"/>
                          <w:marBottom w:val="0"/>
                          <w:divBdr>
                            <w:top w:val="single" w:sz="2" w:space="0" w:color="E3E3E3"/>
                            <w:left w:val="single" w:sz="2" w:space="0" w:color="E3E3E3"/>
                            <w:bottom w:val="single" w:sz="2" w:space="0" w:color="E3E3E3"/>
                            <w:right w:val="single" w:sz="2" w:space="0" w:color="E3E3E3"/>
                          </w:divBdr>
                          <w:divsChild>
                            <w:div w:id="1511597971">
                              <w:marLeft w:val="0"/>
                              <w:marRight w:val="0"/>
                              <w:marTop w:val="0"/>
                              <w:marBottom w:val="0"/>
                              <w:divBdr>
                                <w:top w:val="single" w:sz="2" w:space="0" w:color="E3E3E3"/>
                                <w:left w:val="single" w:sz="2" w:space="0" w:color="E3E3E3"/>
                                <w:bottom w:val="single" w:sz="2" w:space="0" w:color="E3E3E3"/>
                                <w:right w:val="single" w:sz="2" w:space="0" w:color="E3E3E3"/>
                              </w:divBdr>
                              <w:divsChild>
                                <w:div w:id="1922447770">
                                  <w:marLeft w:val="0"/>
                                  <w:marRight w:val="0"/>
                                  <w:marTop w:val="100"/>
                                  <w:marBottom w:val="100"/>
                                  <w:divBdr>
                                    <w:top w:val="single" w:sz="2" w:space="0" w:color="E3E3E3"/>
                                    <w:left w:val="single" w:sz="2" w:space="0" w:color="E3E3E3"/>
                                    <w:bottom w:val="single" w:sz="2" w:space="0" w:color="E3E3E3"/>
                                    <w:right w:val="single" w:sz="2" w:space="0" w:color="E3E3E3"/>
                                  </w:divBdr>
                                  <w:divsChild>
                                    <w:div w:id="2031492681">
                                      <w:marLeft w:val="0"/>
                                      <w:marRight w:val="0"/>
                                      <w:marTop w:val="0"/>
                                      <w:marBottom w:val="0"/>
                                      <w:divBdr>
                                        <w:top w:val="single" w:sz="2" w:space="0" w:color="E3E3E3"/>
                                        <w:left w:val="single" w:sz="2" w:space="0" w:color="E3E3E3"/>
                                        <w:bottom w:val="single" w:sz="2" w:space="0" w:color="E3E3E3"/>
                                        <w:right w:val="single" w:sz="2" w:space="0" w:color="E3E3E3"/>
                                      </w:divBdr>
                                      <w:divsChild>
                                        <w:div w:id="1591547248">
                                          <w:marLeft w:val="0"/>
                                          <w:marRight w:val="0"/>
                                          <w:marTop w:val="0"/>
                                          <w:marBottom w:val="0"/>
                                          <w:divBdr>
                                            <w:top w:val="single" w:sz="2" w:space="0" w:color="E3E3E3"/>
                                            <w:left w:val="single" w:sz="2" w:space="0" w:color="E3E3E3"/>
                                            <w:bottom w:val="single" w:sz="2" w:space="0" w:color="E3E3E3"/>
                                            <w:right w:val="single" w:sz="2" w:space="0" w:color="E3E3E3"/>
                                          </w:divBdr>
                                          <w:divsChild>
                                            <w:div w:id="125395050">
                                              <w:marLeft w:val="0"/>
                                              <w:marRight w:val="0"/>
                                              <w:marTop w:val="0"/>
                                              <w:marBottom w:val="0"/>
                                              <w:divBdr>
                                                <w:top w:val="single" w:sz="2" w:space="0" w:color="E3E3E3"/>
                                                <w:left w:val="single" w:sz="2" w:space="0" w:color="E3E3E3"/>
                                                <w:bottom w:val="single" w:sz="2" w:space="0" w:color="E3E3E3"/>
                                                <w:right w:val="single" w:sz="2" w:space="0" w:color="E3E3E3"/>
                                              </w:divBdr>
                                              <w:divsChild>
                                                <w:div w:id="1170368823">
                                                  <w:marLeft w:val="0"/>
                                                  <w:marRight w:val="0"/>
                                                  <w:marTop w:val="0"/>
                                                  <w:marBottom w:val="0"/>
                                                  <w:divBdr>
                                                    <w:top w:val="single" w:sz="2" w:space="0" w:color="E3E3E3"/>
                                                    <w:left w:val="single" w:sz="2" w:space="0" w:color="E3E3E3"/>
                                                    <w:bottom w:val="single" w:sz="2" w:space="0" w:color="E3E3E3"/>
                                                    <w:right w:val="single" w:sz="2" w:space="0" w:color="E3E3E3"/>
                                                  </w:divBdr>
                                                  <w:divsChild>
                                                    <w:div w:id="1944607549">
                                                      <w:marLeft w:val="0"/>
                                                      <w:marRight w:val="0"/>
                                                      <w:marTop w:val="0"/>
                                                      <w:marBottom w:val="0"/>
                                                      <w:divBdr>
                                                        <w:top w:val="single" w:sz="2" w:space="0" w:color="E3E3E3"/>
                                                        <w:left w:val="single" w:sz="2" w:space="0" w:color="E3E3E3"/>
                                                        <w:bottom w:val="single" w:sz="2" w:space="0" w:color="E3E3E3"/>
                                                        <w:right w:val="single" w:sz="2" w:space="0" w:color="E3E3E3"/>
                                                      </w:divBdr>
                                                      <w:divsChild>
                                                        <w:div w:id="1628658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69342776">
          <w:marLeft w:val="0"/>
          <w:marRight w:val="0"/>
          <w:marTop w:val="0"/>
          <w:marBottom w:val="0"/>
          <w:divBdr>
            <w:top w:val="none" w:sz="0" w:space="0" w:color="auto"/>
            <w:left w:val="none" w:sz="0" w:space="0" w:color="auto"/>
            <w:bottom w:val="none" w:sz="0" w:space="0" w:color="auto"/>
            <w:right w:val="none" w:sz="0" w:space="0" w:color="auto"/>
          </w:divBdr>
        </w:div>
      </w:divsChild>
    </w:div>
    <w:div w:id="141780347">
      <w:bodyDiv w:val="1"/>
      <w:marLeft w:val="0"/>
      <w:marRight w:val="0"/>
      <w:marTop w:val="0"/>
      <w:marBottom w:val="0"/>
      <w:divBdr>
        <w:top w:val="none" w:sz="0" w:space="0" w:color="auto"/>
        <w:left w:val="none" w:sz="0" w:space="0" w:color="auto"/>
        <w:bottom w:val="none" w:sz="0" w:space="0" w:color="auto"/>
        <w:right w:val="none" w:sz="0" w:space="0" w:color="auto"/>
      </w:divBdr>
    </w:div>
    <w:div w:id="202904777">
      <w:bodyDiv w:val="1"/>
      <w:marLeft w:val="0"/>
      <w:marRight w:val="0"/>
      <w:marTop w:val="0"/>
      <w:marBottom w:val="0"/>
      <w:divBdr>
        <w:top w:val="none" w:sz="0" w:space="0" w:color="auto"/>
        <w:left w:val="none" w:sz="0" w:space="0" w:color="auto"/>
        <w:bottom w:val="none" w:sz="0" w:space="0" w:color="auto"/>
        <w:right w:val="none" w:sz="0" w:space="0" w:color="auto"/>
      </w:divBdr>
    </w:div>
    <w:div w:id="221915965">
      <w:bodyDiv w:val="1"/>
      <w:marLeft w:val="0"/>
      <w:marRight w:val="0"/>
      <w:marTop w:val="0"/>
      <w:marBottom w:val="0"/>
      <w:divBdr>
        <w:top w:val="none" w:sz="0" w:space="0" w:color="auto"/>
        <w:left w:val="none" w:sz="0" w:space="0" w:color="auto"/>
        <w:bottom w:val="none" w:sz="0" w:space="0" w:color="auto"/>
        <w:right w:val="none" w:sz="0" w:space="0" w:color="auto"/>
      </w:divBdr>
    </w:div>
    <w:div w:id="262609805">
      <w:bodyDiv w:val="1"/>
      <w:marLeft w:val="0"/>
      <w:marRight w:val="0"/>
      <w:marTop w:val="0"/>
      <w:marBottom w:val="0"/>
      <w:divBdr>
        <w:top w:val="none" w:sz="0" w:space="0" w:color="auto"/>
        <w:left w:val="none" w:sz="0" w:space="0" w:color="auto"/>
        <w:bottom w:val="none" w:sz="0" w:space="0" w:color="auto"/>
        <w:right w:val="none" w:sz="0" w:space="0" w:color="auto"/>
      </w:divBdr>
    </w:div>
    <w:div w:id="345133932">
      <w:bodyDiv w:val="1"/>
      <w:marLeft w:val="0"/>
      <w:marRight w:val="0"/>
      <w:marTop w:val="0"/>
      <w:marBottom w:val="0"/>
      <w:divBdr>
        <w:top w:val="none" w:sz="0" w:space="0" w:color="auto"/>
        <w:left w:val="none" w:sz="0" w:space="0" w:color="auto"/>
        <w:bottom w:val="none" w:sz="0" w:space="0" w:color="auto"/>
        <w:right w:val="none" w:sz="0" w:space="0" w:color="auto"/>
      </w:divBdr>
    </w:div>
    <w:div w:id="456484808">
      <w:bodyDiv w:val="1"/>
      <w:marLeft w:val="0"/>
      <w:marRight w:val="0"/>
      <w:marTop w:val="0"/>
      <w:marBottom w:val="0"/>
      <w:divBdr>
        <w:top w:val="none" w:sz="0" w:space="0" w:color="auto"/>
        <w:left w:val="none" w:sz="0" w:space="0" w:color="auto"/>
        <w:bottom w:val="none" w:sz="0" w:space="0" w:color="auto"/>
        <w:right w:val="none" w:sz="0" w:space="0" w:color="auto"/>
      </w:divBdr>
      <w:divsChild>
        <w:div w:id="1253660030">
          <w:marLeft w:val="0"/>
          <w:marRight w:val="0"/>
          <w:marTop w:val="0"/>
          <w:marBottom w:val="0"/>
          <w:divBdr>
            <w:top w:val="single" w:sz="2" w:space="0" w:color="E3E3E3"/>
            <w:left w:val="single" w:sz="2" w:space="0" w:color="E3E3E3"/>
            <w:bottom w:val="single" w:sz="2" w:space="0" w:color="E3E3E3"/>
            <w:right w:val="single" w:sz="2" w:space="0" w:color="E3E3E3"/>
          </w:divBdr>
          <w:divsChild>
            <w:div w:id="508518936">
              <w:marLeft w:val="0"/>
              <w:marRight w:val="0"/>
              <w:marTop w:val="0"/>
              <w:marBottom w:val="0"/>
              <w:divBdr>
                <w:top w:val="single" w:sz="2" w:space="0" w:color="E3E3E3"/>
                <w:left w:val="single" w:sz="2" w:space="0" w:color="E3E3E3"/>
                <w:bottom w:val="single" w:sz="2" w:space="0" w:color="E3E3E3"/>
                <w:right w:val="single" w:sz="2" w:space="0" w:color="E3E3E3"/>
              </w:divBdr>
              <w:divsChild>
                <w:div w:id="529563457">
                  <w:marLeft w:val="0"/>
                  <w:marRight w:val="0"/>
                  <w:marTop w:val="0"/>
                  <w:marBottom w:val="0"/>
                  <w:divBdr>
                    <w:top w:val="single" w:sz="2" w:space="0" w:color="E3E3E3"/>
                    <w:left w:val="single" w:sz="2" w:space="0" w:color="E3E3E3"/>
                    <w:bottom w:val="single" w:sz="2" w:space="0" w:color="E3E3E3"/>
                    <w:right w:val="single" w:sz="2" w:space="0" w:color="E3E3E3"/>
                  </w:divBdr>
                  <w:divsChild>
                    <w:div w:id="27295186">
                      <w:marLeft w:val="0"/>
                      <w:marRight w:val="0"/>
                      <w:marTop w:val="0"/>
                      <w:marBottom w:val="0"/>
                      <w:divBdr>
                        <w:top w:val="single" w:sz="2" w:space="0" w:color="E3E3E3"/>
                        <w:left w:val="single" w:sz="2" w:space="0" w:color="E3E3E3"/>
                        <w:bottom w:val="single" w:sz="2" w:space="0" w:color="E3E3E3"/>
                        <w:right w:val="single" w:sz="2" w:space="0" w:color="E3E3E3"/>
                      </w:divBdr>
                      <w:divsChild>
                        <w:div w:id="783840271">
                          <w:marLeft w:val="0"/>
                          <w:marRight w:val="0"/>
                          <w:marTop w:val="0"/>
                          <w:marBottom w:val="0"/>
                          <w:divBdr>
                            <w:top w:val="single" w:sz="2" w:space="0" w:color="E3E3E3"/>
                            <w:left w:val="single" w:sz="2" w:space="0" w:color="E3E3E3"/>
                            <w:bottom w:val="single" w:sz="2" w:space="0" w:color="E3E3E3"/>
                            <w:right w:val="single" w:sz="2" w:space="0" w:color="E3E3E3"/>
                          </w:divBdr>
                          <w:divsChild>
                            <w:div w:id="716005731">
                              <w:marLeft w:val="0"/>
                              <w:marRight w:val="0"/>
                              <w:marTop w:val="0"/>
                              <w:marBottom w:val="0"/>
                              <w:divBdr>
                                <w:top w:val="single" w:sz="2" w:space="0" w:color="E3E3E3"/>
                                <w:left w:val="single" w:sz="2" w:space="0" w:color="E3E3E3"/>
                                <w:bottom w:val="single" w:sz="2" w:space="0" w:color="E3E3E3"/>
                                <w:right w:val="single" w:sz="2" w:space="0" w:color="E3E3E3"/>
                              </w:divBdr>
                              <w:divsChild>
                                <w:div w:id="375398086">
                                  <w:marLeft w:val="0"/>
                                  <w:marRight w:val="0"/>
                                  <w:marTop w:val="100"/>
                                  <w:marBottom w:val="100"/>
                                  <w:divBdr>
                                    <w:top w:val="single" w:sz="2" w:space="0" w:color="E3E3E3"/>
                                    <w:left w:val="single" w:sz="2" w:space="0" w:color="E3E3E3"/>
                                    <w:bottom w:val="single" w:sz="2" w:space="0" w:color="E3E3E3"/>
                                    <w:right w:val="single" w:sz="2" w:space="0" w:color="E3E3E3"/>
                                  </w:divBdr>
                                  <w:divsChild>
                                    <w:div w:id="703555775">
                                      <w:marLeft w:val="0"/>
                                      <w:marRight w:val="0"/>
                                      <w:marTop w:val="0"/>
                                      <w:marBottom w:val="0"/>
                                      <w:divBdr>
                                        <w:top w:val="single" w:sz="2" w:space="0" w:color="E3E3E3"/>
                                        <w:left w:val="single" w:sz="2" w:space="0" w:color="E3E3E3"/>
                                        <w:bottom w:val="single" w:sz="2" w:space="0" w:color="E3E3E3"/>
                                        <w:right w:val="single" w:sz="2" w:space="0" w:color="E3E3E3"/>
                                      </w:divBdr>
                                      <w:divsChild>
                                        <w:div w:id="1425110015">
                                          <w:marLeft w:val="0"/>
                                          <w:marRight w:val="0"/>
                                          <w:marTop w:val="0"/>
                                          <w:marBottom w:val="0"/>
                                          <w:divBdr>
                                            <w:top w:val="single" w:sz="2" w:space="0" w:color="E3E3E3"/>
                                            <w:left w:val="single" w:sz="2" w:space="0" w:color="E3E3E3"/>
                                            <w:bottom w:val="single" w:sz="2" w:space="0" w:color="E3E3E3"/>
                                            <w:right w:val="single" w:sz="2" w:space="0" w:color="E3E3E3"/>
                                          </w:divBdr>
                                          <w:divsChild>
                                            <w:div w:id="1821269137">
                                              <w:marLeft w:val="0"/>
                                              <w:marRight w:val="0"/>
                                              <w:marTop w:val="0"/>
                                              <w:marBottom w:val="0"/>
                                              <w:divBdr>
                                                <w:top w:val="single" w:sz="2" w:space="0" w:color="E3E3E3"/>
                                                <w:left w:val="single" w:sz="2" w:space="0" w:color="E3E3E3"/>
                                                <w:bottom w:val="single" w:sz="2" w:space="0" w:color="E3E3E3"/>
                                                <w:right w:val="single" w:sz="2" w:space="0" w:color="E3E3E3"/>
                                              </w:divBdr>
                                              <w:divsChild>
                                                <w:div w:id="406341179">
                                                  <w:marLeft w:val="0"/>
                                                  <w:marRight w:val="0"/>
                                                  <w:marTop w:val="0"/>
                                                  <w:marBottom w:val="0"/>
                                                  <w:divBdr>
                                                    <w:top w:val="single" w:sz="2" w:space="0" w:color="E3E3E3"/>
                                                    <w:left w:val="single" w:sz="2" w:space="0" w:color="E3E3E3"/>
                                                    <w:bottom w:val="single" w:sz="2" w:space="0" w:color="E3E3E3"/>
                                                    <w:right w:val="single" w:sz="2" w:space="0" w:color="E3E3E3"/>
                                                  </w:divBdr>
                                                  <w:divsChild>
                                                    <w:div w:id="1025860429">
                                                      <w:marLeft w:val="0"/>
                                                      <w:marRight w:val="0"/>
                                                      <w:marTop w:val="0"/>
                                                      <w:marBottom w:val="0"/>
                                                      <w:divBdr>
                                                        <w:top w:val="single" w:sz="2" w:space="0" w:color="E3E3E3"/>
                                                        <w:left w:val="single" w:sz="2" w:space="0" w:color="E3E3E3"/>
                                                        <w:bottom w:val="single" w:sz="2" w:space="0" w:color="E3E3E3"/>
                                                        <w:right w:val="single" w:sz="2" w:space="0" w:color="E3E3E3"/>
                                                      </w:divBdr>
                                                      <w:divsChild>
                                                        <w:div w:id="867715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68615009">
          <w:marLeft w:val="0"/>
          <w:marRight w:val="0"/>
          <w:marTop w:val="0"/>
          <w:marBottom w:val="0"/>
          <w:divBdr>
            <w:top w:val="none" w:sz="0" w:space="0" w:color="auto"/>
            <w:left w:val="none" w:sz="0" w:space="0" w:color="auto"/>
            <w:bottom w:val="none" w:sz="0" w:space="0" w:color="auto"/>
            <w:right w:val="none" w:sz="0" w:space="0" w:color="auto"/>
          </w:divBdr>
        </w:div>
      </w:divsChild>
    </w:div>
    <w:div w:id="464930255">
      <w:bodyDiv w:val="1"/>
      <w:marLeft w:val="0"/>
      <w:marRight w:val="0"/>
      <w:marTop w:val="0"/>
      <w:marBottom w:val="0"/>
      <w:divBdr>
        <w:top w:val="none" w:sz="0" w:space="0" w:color="auto"/>
        <w:left w:val="none" w:sz="0" w:space="0" w:color="auto"/>
        <w:bottom w:val="none" w:sz="0" w:space="0" w:color="auto"/>
        <w:right w:val="none" w:sz="0" w:space="0" w:color="auto"/>
      </w:divBdr>
    </w:div>
    <w:div w:id="597057657">
      <w:bodyDiv w:val="1"/>
      <w:marLeft w:val="0"/>
      <w:marRight w:val="0"/>
      <w:marTop w:val="0"/>
      <w:marBottom w:val="0"/>
      <w:divBdr>
        <w:top w:val="none" w:sz="0" w:space="0" w:color="auto"/>
        <w:left w:val="none" w:sz="0" w:space="0" w:color="auto"/>
        <w:bottom w:val="none" w:sz="0" w:space="0" w:color="auto"/>
        <w:right w:val="none" w:sz="0" w:space="0" w:color="auto"/>
      </w:divBdr>
    </w:div>
    <w:div w:id="617415542">
      <w:bodyDiv w:val="1"/>
      <w:marLeft w:val="0"/>
      <w:marRight w:val="0"/>
      <w:marTop w:val="0"/>
      <w:marBottom w:val="0"/>
      <w:divBdr>
        <w:top w:val="none" w:sz="0" w:space="0" w:color="auto"/>
        <w:left w:val="none" w:sz="0" w:space="0" w:color="auto"/>
        <w:bottom w:val="none" w:sz="0" w:space="0" w:color="auto"/>
        <w:right w:val="none" w:sz="0" w:space="0" w:color="auto"/>
      </w:divBdr>
    </w:div>
    <w:div w:id="733939394">
      <w:bodyDiv w:val="1"/>
      <w:marLeft w:val="0"/>
      <w:marRight w:val="0"/>
      <w:marTop w:val="0"/>
      <w:marBottom w:val="0"/>
      <w:divBdr>
        <w:top w:val="none" w:sz="0" w:space="0" w:color="auto"/>
        <w:left w:val="none" w:sz="0" w:space="0" w:color="auto"/>
        <w:bottom w:val="none" w:sz="0" w:space="0" w:color="auto"/>
        <w:right w:val="none" w:sz="0" w:space="0" w:color="auto"/>
      </w:divBdr>
      <w:divsChild>
        <w:div w:id="595553997">
          <w:marLeft w:val="0"/>
          <w:marRight w:val="0"/>
          <w:marTop w:val="0"/>
          <w:marBottom w:val="0"/>
          <w:divBdr>
            <w:top w:val="single" w:sz="2" w:space="0" w:color="E3E3E3"/>
            <w:left w:val="single" w:sz="2" w:space="0" w:color="E3E3E3"/>
            <w:bottom w:val="single" w:sz="2" w:space="0" w:color="E3E3E3"/>
            <w:right w:val="single" w:sz="2" w:space="0" w:color="E3E3E3"/>
          </w:divBdr>
          <w:divsChild>
            <w:div w:id="1536500172">
              <w:marLeft w:val="0"/>
              <w:marRight w:val="0"/>
              <w:marTop w:val="0"/>
              <w:marBottom w:val="0"/>
              <w:divBdr>
                <w:top w:val="single" w:sz="2" w:space="0" w:color="E3E3E3"/>
                <w:left w:val="single" w:sz="2" w:space="0" w:color="E3E3E3"/>
                <w:bottom w:val="single" w:sz="2" w:space="0" w:color="E3E3E3"/>
                <w:right w:val="single" w:sz="2" w:space="0" w:color="E3E3E3"/>
              </w:divBdr>
              <w:divsChild>
                <w:div w:id="1784184716">
                  <w:marLeft w:val="0"/>
                  <w:marRight w:val="0"/>
                  <w:marTop w:val="0"/>
                  <w:marBottom w:val="0"/>
                  <w:divBdr>
                    <w:top w:val="single" w:sz="2" w:space="0" w:color="E3E3E3"/>
                    <w:left w:val="single" w:sz="2" w:space="0" w:color="E3E3E3"/>
                    <w:bottom w:val="single" w:sz="2" w:space="0" w:color="E3E3E3"/>
                    <w:right w:val="single" w:sz="2" w:space="0" w:color="E3E3E3"/>
                  </w:divBdr>
                  <w:divsChild>
                    <w:div w:id="1154831425">
                      <w:marLeft w:val="0"/>
                      <w:marRight w:val="0"/>
                      <w:marTop w:val="0"/>
                      <w:marBottom w:val="0"/>
                      <w:divBdr>
                        <w:top w:val="single" w:sz="2" w:space="0" w:color="E3E3E3"/>
                        <w:left w:val="single" w:sz="2" w:space="0" w:color="E3E3E3"/>
                        <w:bottom w:val="single" w:sz="2" w:space="0" w:color="E3E3E3"/>
                        <w:right w:val="single" w:sz="2" w:space="0" w:color="E3E3E3"/>
                      </w:divBdr>
                      <w:divsChild>
                        <w:div w:id="981616707">
                          <w:marLeft w:val="0"/>
                          <w:marRight w:val="0"/>
                          <w:marTop w:val="0"/>
                          <w:marBottom w:val="0"/>
                          <w:divBdr>
                            <w:top w:val="single" w:sz="2" w:space="0" w:color="E3E3E3"/>
                            <w:left w:val="single" w:sz="2" w:space="0" w:color="E3E3E3"/>
                            <w:bottom w:val="single" w:sz="2" w:space="0" w:color="E3E3E3"/>
                            <w:right w:val="single" w:sz="2" w:space="0" w:color="E3E3E3"/>
                          </w:divBdr>
                          <w:divsChild>
                            <w:div w:id="1100024807">
                              <w:marLeft w:val="0"/>
                              <w:marRight w:val="0"/>
                              <w:marTop w:val="0"/>
                              <w:marBottom w:val="0"/>
                              <w:divBdr>
                                <w:top w:val="single" w:sz="2" w:space="0" w:color="E3E3E3"/>
                                <w:left w:val="single" w:sz="2" w:space="0" w:color="E3E3E3"/>
                                <w:bottom w:val="single" w:sz="2" w:space="0" w:color="E3E3E3"/>
                                <w:right w:val="single" w:sz="2" w:space="0" w:color="E3E3E3"/>
                              </w:divBdr>
                              <w:divsChild>
                                <w:div w:id="1884905220">
                                  <w:marLeft w:val="0"/>
                                  <w:marRight w:val="0"/>
                                  <w:marTop w:val="100"/>
                                  <w:marBottom w:val="100"/>
                                  <w:divBdr>
                                    <w:top w:val="single" w:sz="2" w:space="0" w:color="E3E3E3"/>
                                    <w:left w:val="single" w:sz="2" w:space="0" w:color="E3E3E3"/>
                                    <w:bottom w:val="single" w:sz="2" w:space="0" w:color="E3E3E3"/>
                                    <w:right w:val="single" w:sz="2" w:space="0" w:color="E3E3E3"/>
                                  </w:divBdr>
                                  <w:divsChild>
                                    <w:div w:id="563371234">
                                      <w:marLeft w:val="0"/>
                                      <w:marRight w:val="0"/>
                                      <w:marTop w:val="0"/>
                                      <w:marBottom w:val="0"/>
                                      <w:divBdr>
                                        <w:top w:val="single" w:sz="2" w:space="0" w:color="E3E3E3"/>
                                        <w:left w:val="single" w:sz="2" w:space="0" w:color="E3E3E3"/>
                                        <w:bottom w:val="single" w:sz="2" w:space="0" w:color="E3E3E3"/>
                                        <w:right w:val="single" w:sz="2" w:space="0" w:color="E3E3E3"/>
                                      </w:divBdr>
                                      <w:divsChild>
                                        <w:div w:id="875191026">
                                          <w:marLeft w:val="0"/>
                                          <w:marRight w:val="0"/>
                                          <w:marTop w:val="0"/>
                                          <w:marBottom w:val="0"/>
                                          <w:divBdr>
                                            <w:top w:val="single" w:sz="2" w:space="0" w:color="E3E3E3"/>
                                            <w:left w:val="single" w:sz="2" w:space="0" w:color="E3E3E3"/>
                                            <w:bottom w:val="single" w:sz="2" w:space="0" w:color="E3E3E3"/>
                                            <w:right w:val="single" w:sz="2" w:space="0" w:color="E3E3E3"/>
                                          </w:divBdr>
                                          <w:divsChild>
                                            <w:div w:id="1442336288">
                                              <w:marLeft w:val="0"/>
                                              <w:marRight w:val="0"/>
                                              <w:marTop w:val="0"/>
                                              <w:marBottom w:val="0"/>
                                              <w:divBdr>
                                                <w:top w:val="single" w:sz="2" w:space="0" w:color="E3E3E3"/>
                                                <w:left w:val="single" w:sz="2" w:space="0" w:color="E3E3E3"/>
                                                <w:bottom w:val="single" w:sz="2" w:space="0" w:color="E3E3E3"/>
                                                <w:right w:val="single" w:sz="2" w:space="0" w:color="E3E3E3"/>
                                              </w:divBdr>
                                              <w:divsChild>
                                                <w:div w:id="806775724">
                                                  <w:marLeft w:val="0"/>
                                                  <w:marRight w:val="0"/>
                                                  <w:marTop w:val="0"/>
                                                  <w:marBottom w:val="0"/>
                                                  <w:divBdr>
                                                    <w:top w:val="single" w:sz="2" w:space="0" w:color="E3E3E3"/>
                                                    <w:left w:val="single" w:sz="2" w:space="0" w:color="E3E3E3"/>
                                                    <w:bottom w:val="single" w:sz="2" w:space="0" w:color="E3E3E3"/>
                                                    <w:right w:val="single" w:sz="2" w:space="0" w:color="E3E3E3"/>
                                                  </w:divBdr>
                                                  <w:divsChild>
                                                    <w:div w:id="332731234">
                                                      <w:marLeft w:val="0"/>
                                                      <w:marRight w:val="0"/>
                                                      <w:marTop w:val="0"/>
                                                      <w:marBottom w:val="0"/>
                                                      <w:divBdr>
                                                        <w:top w:val="single" w:sz="2" w:space="0" w:color="E3E3E3"/>
                                                        <w:left w:val="single" w:sz="2" w:space="0" w:color="E3E3E3"/>
                                                        <w:bottom w:val="single" w:sz="2" w:space="0" w:color="E3E3E3"/>
                                                        <w:right w:val="single" w:sz="2" w:space="0" w:color="E3E3E3"/>
                                                      </w:divBdr>
                                                      <w:divsChild>
                                                        <w:div w:id="5237893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08775335">
          <w:marLeft w:val="0"/>
          <w:marRight w:val="0"/>
          <w:marTop w:val="0"/>
          <w:marBottom w:val="0"/>
          <w:divBdr>
            <w:top w:val="none" w:sz="0" w:space="0" w:color="auto"/>
            <w:left w:val="none" w:sz="0" w:space="0" w:color="auto"/>
            <w:bottom w:val="none" w:sz="0" w:space="0" w:color="auto"/>
            <w:right w:val="none" w:sz="0" w:space="0" w:color="auto"/>
          </w:divBdr>
        </w:div>
      </w:divsChild>
    </w:div>
    <w:div w:id="888302319">
      <w:bodyDiv w:val="1"/>
      <w:marLeft w:val="0"/>
      <w:marRight w:val="0"/>
      <w:marTop w:val="0"/>
      <w:marBottom w:val="0"/>
      <w:divBdr>
        <w:top w:val="none" w:sz="0" w:space="0" w:color="auto"/>
        <w:left w:val="none" w:sz="0" w:space="0" w:color="auto"/>
        <w:bottom w:val="none" w:sz="0" w:space="0" w:color="auto"/>
        <w:right w:val="none" w:sz="0" w:space="0" w:color="auto"/>
      </w:divBdr>
    </w:div>
    <w:div w:id="1072390233">
      <w:bodyDiv w:val="1"/>
      <w:marLeft w:val="0"/>
      <w:marRight w:val="0"/>
      <w:marTop w:val="0"/>
      <w:marBottom w:val="0"/>
      <w:divBdr>
        <w:top w:val="none" w:sz="0" w:space="0" w:color="auto"/>
        <w:left w:val="none" w:sz="0" w:space="0" w:color="auto"/>
        <w:bottom w:val="none" w:sz="0" w:space="0" w:color="auto"/>
        <w:right w:val="none" w:sz="0" w:space="0" w:color="auto"/>
      </w:divBdr>
      <w:divsChild>
        <w:div w:id="390275420">
          <w:marLeft w:val="0"/>
          <w:marRight w:val="0"/>
          <w:marTop w:val="0"/>
          <w:marBottom w:val="0"/>
          <w:divBdr>
            <w:top w:val="single" w:sz="2" w:space="0" w:color="E3E3E3"/>
            <w:left w:val="single" w:sz="2" w:space="0" w:color="E3E3E3"/>
            <w:bottom w:val="single" w:sz="2" w:space="0" w:color="E3E3E3"/>
            <w:right w:val="single" w:sz="2" w:space="0" w:color="E3E3E3"/>
          </w:divBdr>
          <w:divsChild>
            <w:div w:id="221261521">
              <w:marLeft w:val="0"/>
              <w:marRight w:val="0"/>
              <w:marTop w:val="0"/>
              <w:marBottom w:val="0"/>
              <w:divBdr>
                <w:top w:val="single" w:sz="2" w:space="0" w:color="E3E3E3"/>
                <w:left w:val="single" w:sz="2" w:space="0" w:color="E3E3E3"/>
                <w:bottom w:val="single" w:sz="2" w:space="0" w:color="E3E3E3"/>
                <w:right w:val="single" w:sz="2" w:space="0" w:color="E3E3E3"/>
              </w:divBdr>
              <w:divsChild>
                <w:div w:id="256182440">
                  <w:marLeft w:val="0"/>
                  <w:marRight w:val="0"/>
                  <w:marTop w:val="0"/>
                  <w:marBottom w:val="0"/>
                  <w:divBdr>
                    <w:top w:val="single" w:sz="2" w:space="0" w:color="E3E3E3"/>
                    <w:left w:val="single" w:sz="2" w:space="0" w:color="E3E3E3"/>
                    <w:bottom w:val="single" w:sz="2" w:space="0" w:color="E3E3E3"/>
                    <w:right w:val="single" w:sz="2" w:space="0" w:color="E3E3E3"/>
                  </w:divBdr>
                  <w:divsChild>
                    <w:div w:id="52628985">
                      <w:marLeft w:val="0"/>
                      <w:marRight w:val="0"/>
                      <w:marTop w:val="0"/>
                      <w:marBottom w:val="0"/>
                      <w:divBdr>
                        <w:top w:val="single" w:sz="2" w:space="0" w:color="E3E3E3"/>
                        <w:left w:val="single" w:sz="2" w:space="0" w:color="E3E3E3"/>
                        <w:bottom w:val="single" w:sz="2" w:space="0" w:color="E3E3E3"/>
                        <w:right w:val="single" w:sz="2" w:space="0" w:color="E3E3E3"/>
                      </w:divBdr>
                      <w:divsChild>
                        <w:div w:id="1905606494">
                          <w:marLeft w:val="0"/>
                          <w:marRight w:val="0"/>
                          <w:marTop w:val="0"/>
                          <w:marBottom w:val="0"/>
                          <w:divBdr>
                            <w:top w:val="single" w:sz="2" w:space="0" w:color="E3E3E3"/>
                            <w:left w:val="single" w:sz="2" w:space="0" w:color="E3E3E3"/>
                            <w:bottom w:val="single" w:sz="2" w:space="0" w:color="E3E3E3"/>
                            <w:right w:val="single" w:sz="2" w:space="0" w:color="E3E3E3"/>
                          </w:divBdr>
                          <w:divsChild>
                            <w:div w:id="388459210">
                              <w:marLeft w:val="0"/>
                              <w:marRight w:val="0"/>
                              <w:marTop w:val="0"/>
                              <w:marBottom w:val="0"/>
                              <w:divBdr>
                                <w:top w:val="single" w:sz="2" w:space="0" w:color="E3E3E3"/>
                                <w:left w:val="single" w:sz="2" w:space="0" w:color="E3E3E3"/>
                                <w:bottom w:val="single" w:sz="2" w:space="0" w:color="E3E3E3"/>
                                <w:right w:val="single" w:sz="2" w:space="0" w:color="E3E3E3"/>
                              </w:divBdr>
                              <w:divsChild>
                                <w:div w:id="384181201">
                                  <w:marLeft w:val="0"/>
                                  <w:marRight w:val="0"/>
                                  <w:marTop w:val="100"/>
                                  <w:marBottom w:val="100"/>
                                  <w:divBdr>
                                    <w:top w:val="single" w:sz="2" w:space="0" w:color="E3E3E3"/>
                                    <w:left w:val="single" w:sz="2" w:space="0" w:color="E3E3E3"/>
                                    <w:bottom w:val="single" w:sz="2" w:space="0" w:color="E3E3E3"/>
                                    <w:right w:val="single" w:sz="2" w:space="0" w:color="E3E3E3"/>
                                  </w:divBdr>
                                  <w:divsChild>
                                    <w:div w:id="435558435">
                                      <w:marLeft w:val="0"/>
                                      <w:marRight w:val="0"/>
                                      <w:marTop w:val="0"/>
                                      <w:marBottom w:val="0"/>
                                      <w:divBdr>
                                        <w:top w:val="single" w:sz="2" w:space="0" w:color="E3E3E3"/>
                                        <w:left w:val="single" w:sz="2" w:space="0" w:color="E3E3E3"/>
                                        <w:bottom w:val="single" w:sz="2" w:space="0" w:color="E3E3E3"/>
                                        <w:right w:val="single" w:sz="2" w:space="0" w:color="E3E3E3"/>
                                      </w:divBdr>
                                      <w:divsChild>
                                        <w:div w:id="644315552">
                                          <w:marLeft w:val="0"/>
                                          <w:marRight w:val="0"/>
                                          <w:marTop w:val="0"/>
                                          <w:marBottom w:val="0"/>
                                          <w:divBdr>
                                            <w:top w:val="single" w:sz="2" w:space="0" w:color="E3E3E3"/>
                                            <w:left w:val="single" w:sz="2" w:space="0" w:color="E3E3E3"/>
                                            <w:bottom w:val="single" w:sz="2" w:space="0" w:color="E3E3E3"/>
                                            <w:right w:val="single" w:sz="2" w:space="0" w:color="E3E3E3"/>
                                          </w:divBdr>
                                          <w:divsChild>
                                            <w:div w:id="1196768101">
                                              <w:marLeft w:val="0"/>
                                              <w:marRight w:val="0"/>
                                              <w:marTop w:val="0"/>
                                              <w:marBottom w:val="0"/>
                                              <w:divBdr>
                                                <w:top w:val="single" w:sz="2" w:space="0" w:color="E3E3E3"/>
                                                <w:left w:val="single" w:sz="2" w:space="0" w:color="E3E3E3"/>
                                                <w:bottom w:val="single" w:sz="2" w:space="0" w:color="E3E3E3"/>
                                                <w:right w:val="single" w:sz="2" w:space="0" w:color="E3E3E3"/>
                                              </w:divBdr>
                                              <w:divsChild>
                                                <w:div w:id="1366058867">
                                                  <w:marLeft w:val="0"/>
                                                  <w:marRight w:val="0"/>
                                                  <w:marTop w:val="0"/>
                                                  <w:marBottom w:val="0"/>
                                                  <w:divBdr>
                                                    <w:top w:val="single" w:sz="2" w:space="0" w:color="E3E3E3"/>
                                                    <w:left w:val="single" w:sz="2" w:space="0" w:color="E3E3E3"/>
                                                    <w:bottom w:val="single" w:sz="2" w:space="0" w:color="E3E3E3"/>
                                                    <w:right w:val="single" w:sz="2" w:space="0" w:color="E3E3E3"/>
                                                  </w:divBdr>
                                                  <w:divsChild>
                                                    <w:div w:id="820510905">
                                                      <w:marLeft w:val="0"/>
                                                      <w:marRight w:val="0"/>
                                                      <w:marTop w:val="0"/>
                                                      <w:marBottom w:val="0"/>
                                                      <w:divBdr>
                                                        <w:top w:val="single" w:sz="2" w:space="0" w:color="E3E3E3"/>
                                                        <w:left w:val="single" w:sz="2" w:space="0" w:color="E3E3E3"/>
                                                        <w:bottom w:val="single" w:sz="2" w:space="0" w:color="E3E3E3"/>
                                                        <w:right w:val="single" w:sz="2" w:space="0" w:color="E3E3E3"/>
                                                      </w:divBdr>
                                                      <w:divsChild>
                                                        <w:div w:id="5671130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67229853">
          <w:marLeft w:val="0"/>
          <w:marRight w:val="0"/>
          <w:marTop w:val="0"/>
          <w:marBottom w:val="0"/>
          <w:divBdr>
            <w:top w:val="none" w:sz="0" w:space="0" w:color="auto"/>
            <w:left w:val="none" w:sz="0" w:space="0" w:color="auto"/>
            <w:bottom w:val="none" w:sz="0" w:space="0" w:color="auto"/>
            <w:right w:val="none" w:sz="0" w:space="0" w:color="auto"/>
          </w:divBdr>
        </w:div>
      </w:divsChild>
    </w:div>
    <w:div w:id="1122114487">
      <w:bodyDiv w:val="1"/>
      <w:marLeft w:val="0"/>
      <w:marRight w:val="0"/>
      <w:marTop w:val="0"/>
      <w:marBottom w:val="0"/>
      <w:divBdr>
        <w:top w:val="none" w:sz="0" w:space="0" w:color="auto"/>
        <w:left w:val="none" w:sz="0" w:space="0" w:color="auto"/>
        <w:bottom w:val="none" w:sz="0" w:space="0" w:color="auto"/>
        <w:right w:val="none" w:sz="0" w:space="0" w:color="auto"/>
      </w:divBdr>
    </w:div>
    <w:div w:id="1134955284">
      <w:bodyDiv w:val="1"/>
      <w:marLeft w:val="0"/>
      <w:marRight w:val="0"/>
      <w:marTop w:val="0"/>
      <w:marBottom w:val="0"/>
      <w:divBdr>
        <w:top w:val="none" w:sz="0" w:space="0" w:color="auto"/>
        <w:left w:val="none" w:sz="0" w:space="0" w:color="auto"/>
        <w:bottom w:val="none" w:sz="0" w:space="0" w:color="auto"/>
        <w:right w:val="none" w:sz="0" w:space="0" w:color="auto"/>
      </w:divBdr>
    </w:div>
    <w:div w:id="1165170041">
      <w:bodyDiv w:val="1"/>
      <w:marLeft w:val="0"/>
      <w:marRight w:val="0"/>
      <w:marTop w:val="0"/>
      <w:marBottom w:val="0"/>
      <w:divBdr>
        <w:top w:val="none" w:sz="0" w:space="0" w:color="auto"/>
        <w:left w:val="none" w:sz="0" w:space="0" w:color="auto"/>
        <w:bottom w:val="none" w:sz="0" w:space="0" w:color="auto"/>
        <w:right w:val="none" w:sz="0" w:space="0" w:color="auto"/>
      </w:divBdr>
    </w:div>
    <w:div w:id="1235816538">
      <w:bodyDiv w:val="1"/>
      <w:marLeft w:val="0"/>
      <w:marRight w:val="0"/>
      <w:marTop w:val="0"/>
      <w:marBottom w:val="0"/>
      <w:divBdr>
        <w:top w:val="none" w:sz="0" w:space="0" w:color="auto"/>
        <w:left w:val="none" w:sz="0" w:space="0" w:color="auto"/>
        <w:bottom w:val="none" w:sz="0" w:space="0" w:color="auto"/>
        <w:right w:val="none" w:sz="0" w:space="0" w:color="auto"/>
      </w:divBdr>
      <w:divsChild>
        <w:div w:id="2087872189">
          <w:marLeft w:val="0"/>
          <w:marRight w:val="0"/>
          <w:marTop w:val="0"/>
          <w:marBottom w:val="0"/>
          <w:divBdr>
            <w:top w:val="single" w:sz="2" w:space="0" w:color="E3E3E3"/>
            <w:left w:val="single" w:sz="2" w:space="0" w:color="E3E3E3"/>
            <w:bottom w:val="single" w:sz="2" w:space="0" w:color="E3E3E3"/>
            <w:right w:val="single" w:sz="2" w:space="0" w:color="E3E3E3"/>
          </w:divBdr>
          <w:divsChild>
            <w:div w:id="1339503086">
              <w:marLeft w:val="0"/>
              <w:marRight w:val="0"/>
              <w:marTop w:val="0"/>
              <w:marBottom w:val="0"/>
              <w:divBdr>
                <w:top w:val="single" w:sz="2" w:space="0" w:color="E3E3E3"/>
                <w:left w:val="single" w:sz="2" w:space="0" w:color="E3E3E3"/>
                <w:bottom w:val="single" w:sz="2" w:space="0" w:color="E3E3E3"/>
                <w:right w:val="single" w:sz="2" w:space="0" w:color="E3E3E3"/>
              </w:divBdr>
              <w:divsChild>
                <w:div w:id="1155952927">
                  <w:marLeft w:val="0"/>
                  <w:marRight w:val="0"/>
                  <w:marTop w:val="0"/>
                  <w:marBottom w:val="0"/>
                  <w:divBdr>
                    <w:top w:val="single" w:sz="2" w:space="0" w:color="E3E3E3"/>
                    <w:left w:val="single" w:sz="2" w:space="0" w:color="E3E3E3"/>
                    <w:bottom w:val="single" w:sz="2" w:space="0" w:color="E3E3E3"/>
                    <w:right w:val="single" w:sz="2" w:space="0" w:color="E3E3E3"/>
                  </w:divBdr>
                  <w:divsChild>
                    <w:div w:id="1671257296">
                      <w:marLeft w:val="0"/>
                      <w:marRight w:val="0"/>
                      <w:marTop w:val="0"/>
                      <w:marBottom w:val="0"/>
                      <w:divBdr>
                        <w:top w:val="single" w:sz="2" w:space="0" w:color="E3E3E3"/>
                        <w:left w:val="single" w:sz="2" w:space="0" w:color="E3E3E3"/>
                        <w:bottom w:val="single" w:sz="2" w:space="0" w:color="E3E3E3"/>
                        <w:right w:val="single" w:sz="2" w:space="0" w:color="E3E3E3"/>
                      </w:divBdr>
                      <w:divsChild>
                        <w:div w:id="2129543882">
                          <w:marLeft w:val="0"/>
                          <w:marRight w:val="0"/>
                          <w:marTop w:val="0"/>
                          <w:marBottom w:val="0"/>
                          <w:divBdr>
                            <w:top w:val="single" w:sz="2" w:space="0" w:color="E3E3E3"/>
                            <w:left w:val="single" w:sz="2" w:space="0" w:color="E3E3E3"/>
                            <w:bottom w:val="single" w:sz="2" w:space="0" w:color="E3E3E3"/>
                            <w:right w:val="single" w:sz="2" w:space="0" w:color="E3E3E3"/>
                          </w:divBdr>
                          <w:divsChild>
                            <w:div w:id="2098943629">
                              <w:marLeft w:val="0"/>
                              <w:marRight w:val="0"/>
                              <w:marTop w:val="0"/>
                              <w:marBottom w:val="0"/>
                              <w:divBdr>
                                <w:top w:val="single" w:sz="2" w:space="0" w:color="E3E3E3"/>
                                <w:left w:val="single" w:sz="2" w:space="0" w:color="E3E3E3"/>
                                <w:bottom w:val="single" w:sz="2" w:space="0" w:color="E3E3E3"/>
                                <w:right w:val="single" w:sz="2" w:space="0" w:color="E3E3E3"/>
                              </w:divBdr>
                              <w:divsChild>
                                <w:div w:id="105664561">
                                  <w:marLeft w:val="0"/>
                                  <w:marRight w:val="0"/>
                                  <w:marTop w:val="100"/>
                                  <w:marBottom w:val="100"/>
                                  <w:divBdr>
                                    <w:top w:val="single" w:sz="2" w:space="0" w:color="E3E3E3"/>
                                    <w:left w:val="single" w:sz="2" w:space="0" w:color="E3E3E3"/>
                                    <w:bottom w:val="single" w:sz="2" w:space="0" w:color="E3E3E3"/>
                                    <w:right w:val="single" w:sz="2" w:space="0" w:color="E3E3E3"/>
                                  </w:divBdr>
                                  <w:divsChild>
                                    <w:div w:id="1361588431">
                                      <w:marLeft w:val="0"/>
                                      <w:marRight w:val="0"/>
                                      <w:marTop w:val="0"/>
                                      <w:marBottom w:val="0"/>
                                      <w:divBdr>
                                        <w:top w:val="single" w:sz="2" w:space="0" w:color="E3E3E3"/>
                                        <w:left w:val="single" w:sz="2" w:space="0" w:color="E3E3E3"/>
                                        <w:bottom w:val="single" w:sz="2" w:space="0" w:color="E3E3E3"/>
                                        <w:right w:val="single" w:sz="2" w:space="0" w:color="E3E3E3"/>
                                      </w:divBdr>
                                      <w:divsChild>
                                        <w:div w:id="1733309012">
                                          <w:marLeft w:val="0"/>
                                          <w:marRight w:val="0"/>
                                          <w:marTop w:val="0"/>
                                          <w:marBottom w:val="0"/>
                                          <w:divBdr>
                                            <w:top w:val="single" w:sz="2" w:space="0" w:color="E3E3E3"/>
                                            <w:left w:val="single" w:sz="2" w:space="0" w:color="E3E3E3"/>
                                            <w:bottom w:val="single" w:sz="2" w:space="0" w:color="E3E3E3"/>
                                            <w:right w:val="single" w:sz="2" w:space="0" w:color="E3E3E3"/>
                                          </w:divBdr>
                                          <w:divsChild>
                                            <w:div w:id="528302944">
                                              <w:marLeft w:val="0"/>
                                              <w:marRight w:val="0"/>
                                              <w:marTop w:val="0"/>
                                              <w:marBottom w:val="0"/>
                                              <w:divBdr>
                                                <w:top w:val="single" w:sz="2" w:space="0" w:color="E3E3E3"/>
                                                <w:left w:val="single" w:sz="2" w:space="0" w:color="E3E3E3"/>
                                                <w:bottom w:val="single" w:sz="2" w:space="0" w:color="E3E3E3"/>
                                                <w:right w:val="single" w:sz="2" w:space="0" w:color="E3E3E3"/>
                                              </w:divBdr>
                                              <w:divsChild>
                                                <w:div w:id="200753190">
                                                  <w:marLeft w:val="0"/>
                                                  <w:marRight w:val="0"/>
                                                  <w:marTop w:val="0"/>
                                                  <w:marBottom w:val="0"/>
                                                  <w:divBdr>
                                                    <w:top w:val="single" w:sz="2" w:space="0" w:color="E3E3E3"/>
                                                    <w:left w:val="single" w:sz="2" w:space="0" w:color="E3E3E3"/>
                                                    <w:bottom w:val="single" w:sz="2" w:space="0" w:color="E3E3E3"/>
                                                    <w:right w:val="single" w:sz="2" w:space="0" w:color="E3E3E3"/>
                                                  </w:divBdr>
                                                  <w:divsChild>
                                                    <w:div w:id="285086328">
                                                      <w:marLeft w:val="0"/>
                                                      <w:marRight w:val="0"/>
                                                      <w:marTop w:val="0"/>
                                                      <w:marBottom w:val="0"/>
                                                      <w:divBdr>
                                                        <w:top w:val="single" w:sz="2" w:space="0" w:color="E3E3E3"/>
                                                        <w:left w:val="single" w:sz="2" w:space="0" w:color="E3E3E3"/>
                                                        <w:bottom w:val="single" w:sz="2" w:space="0" w:color="E3E3E3"/>
                                                        <w:right w:val="single" w:sz="2" w:space="0" w:color="E3E3E3"/>
                                                      </w:divBdr>
                                                      <w:divsChild>
                                                        <w:div w:id="1678393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86032195">
          <w:marLeft w:val="0"/>
          <w:marRight w:val="0"/>
          <w:marTop w:val="0"/>
          <w:marBottom w:val="0"/>
          <w:divBdr>
            <w:top w:val="none" w:sz="0" w:space="0" w:color="auto"/>
            <w:left w:val="none" w:sz="0" w:space="0" w:color="auto"/>
            <w:bottom w:val="none" w:sz="0" w:space="0" w:color="auto"/>
            <w:right w:val="none" w:sz="0" w:space="0" w:color="auto"/>
          </w:divBdr>
        </w:div>
      </w:divsChild>
    </w:div>
    <w:div w:id="1263806561">
      <w:bodyDiv w:val="1"/>
      <w:marLeft w:val="0"/>
      <w:marRight w:val="0"/>
      <w:marTop w:val="0"/>
      <w:marBottom w:val="0"/>
      <w:divBdr>
        <w:top w:val="none" w:sz="0" w:space="0" w:color="auto"/>
        <w:left w:val="none" w:sz="0" w:space="0" w:color="auto"/>
        <w:bottom w:val="none" w:sz="0" w:space="0" w:color="auto"/>
        <w:right w:val="none" w:sz="0" w:space="0" w:color="auto"/>
      </w:divBdr>
    </w:div>
    <w:div w:id="1362166873">
      <w:bodyDiv w:val="1"/>
      <w:marLeft w:val="0"/>
      <w:marRight w:val="0"/>
      <w:marTop w:val="0"/>
      <w:marBottom w:val="0"/>
      <w:divBdr>
        <w:top w:val="none" w:sz="0" w:space="0" w:color="auto"/>
        <w:left w:val="none" w:sz="0" w:space="0" w:color="auto"/>
        <w:bottom w:val="none" w:sz="0" w:space="0" w:color="auto"/>
        <w:right w:val="none" w:sz="0" w:space="0" w:color="auto"/>
      </w:divBdr>
    </w:div>
    <w:div w:id="1408914121">
      <w:bodyDiv w:val="1"/>
      <w:marLeft w:val="0"/>
      <w:marRight w:val="0"/>
      <w:marTop w:val="0"/>
      <w:marBottom w:val="0"/>
      <w:divBdr>
        <w:top w:val="none" w:sz="0" w:space="0" w:color="auto"/>
        <w:left w:val="none" w:sz="0" w:space="0" w:color="auto"/>
        <w:bottom w:val="none" w:sz="0" w:space="0" w:color="auto"/>
        <w:right w:val="none" w:sz="0" w:space="0" w:color="auto"/>
      </w:divBdr>
      <w:divsChild>
        <w:div w:id="1847552135">
          <w:marLeft w:val="0"/>
          <w:marRight w:val="0"/>
          <w:marTop w:val="0"/>
          <w:marBottom w:val="0"/>
          <w:divBdr>
            <w:top w:val="single" w:sz="2" w:space="0" w:color="E3E3E3"/>
            <w:left w:val="single" w:sz="2" w:space="0" w:color="E3E3E3"/>
            <w:bottom w:val="single" w:sz="2" w:space="0" w:color="E3E3E3"/>
            <w:right w:val="single" w:sz="2" w:space="0" w:color="E3E3E3"/>
          </w:divBdr>
          <w:divsChild>
            <w:div w:id="1185249098">
              <w:marLeft w:val="0"/>
              <w:marRight w:val="0"/>
              <w:marTop w:val="100"/>
              <w:marBottom w:val="100"/>
              <w:divBdr>
                <w:top w:val="single" w:sz="2" w:space="0" w:color="E3E3E3"/>
                <w:left w:val="single" w:sz="2" w:space="0" w:color="E3E3E3"/>
                <w:bottom w:val="single" w:sz="2" w:space="0" w:color="E3E3E3"/>
                <w:right w:val="single" w:sz="2" w:space="0" w:color="E3E3E3"/>
              </w:divBdr>
              <w:divsChild>
                <w:div w:id="2006277989">
                  <w:marLeft w:val="0"/>
                  <w:marRight w:val="0"/>
                  <w:marTop w:val="0"/>
                  <w:marBottom w:val="0"/>
                  <w:divBdr>
                    <w:top w:val="single" w:sz="2" w:space="0" w:color="E3E3E3"/>
                    <w:left w:val="single" w:sz="2" w:space="0" w:color="E3E3E3"/>
                    <w:bottom w:val="single" w:sz="2" w:space="0" w:color="E3E3E3"/>
                    <w:right w:val="single" w:sz="2" w:space="0" w:color="E3E3E3"/>
                  </w:divBdr>
                  <w:divsChild>
                    <w:div w:id="494537281">
                      <w:marLeft w:val="0"/>
                      <w:marRight w:val="0"/>
                      <w:marTop w:val="0"/>
                      <w:marBottom w:val="0"/>
                      <w:divBdr>
                        <w:top w:val="single" w:sz="2" w:space="0" w:color="E3E3E3"/>
                        <w:left w:val="single" w:sz="2" w:space="0" w:color="E3E3E3"/>
                        <w:bottom w:val="single" w:sz="2" w:space="0" w:color="E3E3E3"/>
                        <w:right w:val="single" w:sz="2" w:space="0" w:color="E3E3E3"/>
                      </w:divBdr>
                      <w:divsChild>
                        <w:div w:id="1805348158">
                          <w:marLeft w:val="0"/>
                          <w:marRight w:val="0"/>
                          <w:marTop w:val="0"/>
                          <w:marBottom w:val="0"/>
                          <w:divBdr>
                            <w:top w:val="single" w:sz="2" w:space="0" w:color="E3E3E3"/>
                            <w:left w:val="single" w:sz="2" w:space="0" w:color="E3E3E3"/>
                            <w:bottom w:val="single" w:sz="2" w:space="0" w:color="E3E3E3"/>
                            <w:right w:val="single" w:sz="2" w:space="0" w:color="E3E3E3"/>
                          </w:divBdr>
                          <w:divsChild>
                            <w:div w:id="2097314640">
                              <w:marLeft w:val="0"/>
                              <w:marRight w:val="0"/>
                              <w:marTop w:val="0"/>
                              <w:marBottom w:val="0"/>
                              <w:divBdr>
                                <w:top w:val="single" w:sz="2" w:space="0" w:color="E3E3E3"/>
                                <w:left w:val="single" w:sz="2" w:space="0" w:color="E3E3E3"/>
                                <w:bottom w:val="single" w:sz="2" w:space="0" w:color="E3E3E3"/>
                                <w:right w:val="single" w:sz="2" w:space="0" w:color="E3E3E3"/>
                              </w:divBdr>
                              <w:divsChild>
                                <w:div w:id="1684356597">
                                  <w:marLeft w:val="0"/>
                                  <w:marRight w:val="0"/>
                                  <w:marTop w:val="0"/>
                                  <w:marBottom w:val="0"/>
                                  <w:divBdr>
                                    <w:top w:val="single" w:sz="2" w:space="0" w:color="E3E3E3"/>
                                    <w:left w:val="single" w:sz="2" w:space="0" w:color="E3E3E3"/>
                                    <w:bottom w:val="single" w:sz="2" w:space="0" w:color="E3E3E3"/>
                                    <w:right w:val="single" w:sz="2" w:space="0" w:color="E3E3E3"/>
                                  </w:divBdr>
                                  <w:divsChild>
                                    <w:div w:id="1550191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33165053">
      <w:bodyDiv w:val="1"/>
      <w:marLeft w:val="0"/>
      <w:marRight w:val="0"/>
      <w:marTop w:val="0"/>
      <w:marBottom w:val="0"/>
      <w:divBdr>
        <w:top w:val="none" w:sz="0" w:space="0" w:color="auto"/>
        <w:left w:val="none" w:sz="0" w:space="0" w:color="auto"/>
        <w:bottom w:val="none" w:sz="0" w:space="0" w:color="auto"/>
        <w:right w:val="none" w:sz="0" w:space="0" w:color="auto"/>
      </w:divBdr>
      <w:divsChild>
        <w:div w:id="858011923">
          <w:marLeft w:val="0"/>
          <w:marRight w:val="0"/>
          <w:marTop w:val="0"/>
          <w:marBottom w:val="0"/>
          <w:divBdr>
            <w:top w:val="single" w:sz="2" w:space="0" w:color="E3E3E3"/>
            <w:left w:val="single" w:sz="2" w:space="0" w:color="E3E3E3"/>
            <w:bottom w:val="single" w:sz="2" w:space="0" w:color="E3E3E3"/>
            <w:right w:val="single" w:sz="2" w:space="0" w:color="E3E3E3"/>
          </w:divBdr>
          <w:divsChild>
            <w:div w:id="1096485436">
              <w:marLeft w:val="0"/>
              <w:marRight w:val="0"/>
              <w:marTop w:val="0"/>
              <w:marBottom w:val="0"/>
              <w:divBdr>
                <w:top w:val="single" w:sz="2" w:space="0" w:color="E3E3E3"/>
                <w:left w:val="single" w:sz="2" w:space="0" w:color="E3E3E3"/>
                <w:bottom w:val="single" w:sz="2" w:space="0" w:color="E3E3E3"/>
                <w:right w:val="single" w:sz="2" w:space="0" w:color="E3E3E3"/>
              </w:divBdr>
              <w:divsChild>
                <w:div w:id="1094941166">
                  <w:marLeft w:val="0"/>
                  <w:marRight w:val="0"/>
                  <w:marTop w:val="0"/>
                  <w:marBottom w:val="0"/>
                  <w:divBdr>
                    <w:top w:val="single" w:sz="2" w:space="0" w:color="E3E3E3"/>
                    <w:left w:val="single" w:sz="2" w:space="0" w:color="E3E3E3"/>
                    <w:bottom w:val="single" w:sz="2" w:space="0" w:color="E3E3E3"/>
                    <w:right w:val="single" w:sz="2" w:space="0" w:color="E3E3E3"/>
                  </w:divBdr>
                  <w:divsChild>
                    <w:div w:id="487862290">
                      <w:marLeft w:val="0"/>
                      <w:marRight w:val="0"/>
                      <w:marTop w:val="0"/>
                      <w:marBottom w:val="0"/>
                      <w:divBdr>
                        <w:top w:val="single" w:sz="2" w:space="0" w:color="E3E3E3"/>
                        <w:left w:val="single" w:sz="2" w:space="0" w:color="E3E3E3"/>
                        <w:bottom w:val="single" w:sz="2" w:space="0" w:color="E3E3E3"/>
                        <w:right w:val="single" w:sz="2" w:space="0" w:color="E3E3E3"/>
                      </w:divBdr>
                      <w:divsChild>
                        <w:div w:id="1860199492">
                          <w:marLeft w:val="0"/>
                          <w:marRight w:val="0"/>
                          <w:marTop w:val="0"/>
                          <w:marBottom w:val="0"/>
                          <w:divBdr>
                            <w:top w:val="single" w:sz="2" w:space="0" w:color="E3E3E3"/>
                            <w:left w:val="single" w:sz="2" w:space="0" w:color="E3E3E3"/>
                            <w:bottom w:val="single" w:sz="2" w:space="0" w:color="E3E3E3"/>
                            <w:right w:val="single" w:sz="2" w:space="0" w:color="E3E3E3"/>
                          </w:divBdr>
                          <w:divsChild>
                            <w:div w:id="825587036">
                              <w:marLeft w:val="0"/>
                              <w:marRight w:val="0"/>
                              <w:marTop w:val="0"/>
                              <w:marBottom w:val="0"/>
                              <w:divBdr>
                                <w:top w:val="single" w:sz="2" w:space="0" w:color="E3E3E3"/>
                                <w:left w:val="single" w:sz="2" w:space="0" w:color="E3E3E3"/>
                                <w:bottom w:val="single" w:sz="2" w:space="0" w:color="E3E3E3"/>
                                <w:right w:val="single" w:sz="2" w:space="0" w:color="E3E3E3"/>
                              </w:divBdr>
                              <w:divsChild>
                                <w:div w:id="205605197">
                                  <w:marLeft w:val="0"/>
                                  <w:marRight w:val="0"/>
                                  <w:marTop w:val="100"/>
                                  <w:marBottom w:val="100"/>
                                  <w:divBdr>
                                    <w:top w:val="single" w:sz="2" w:space="0" w:color="E3E3E3"/>
                                    <w:left w:val="single" w:sz="2" w:space="0" w:color="E3E3E3"/>
                                    <w:bottom w:val="single" w:sz="2" w:space="0" w:color="E3E3E3"/>
                                    <w:right w:val="single" w:sz="2" w:space="0" w:color="E3E3E3"/>
                                  </w:divBdr>
                                  <w:divsChild>
                                    <w:div w:id="1541286682">
                                      <w:marLeft w:val="0"/>
                                      <w:marRight w:val="0"/>
                                      <w:marTop w:val="0"/>
                                      <w:marBottom w:val="0"/>
                                      <w:divBdr>
                                        <w:top w:val="single" w:sz="2" w:space="0" w:color="E3E3E3"/>
                                        <w:left w:val="single" w:sz="2" w:space="0" w:color="E3E3E3"/>
                                        <w:bottom w:val="single" w:sz="2" w:space="0" w:color="E3E3E3"/>
                                        <w:right w:val="single" w:sz="2" w:space="0" w:color="E3E3E3"/>
                                      </w:divBdr>
                                      <w:divsChild>
                                        <w:div w:id="393552427">
                                          <w:marLeft w:val="0"/>
                                          <w:marRight w:val="0"/>
                                          <w:marTop w:val="0"/>
                                          <w:marBottom w:val="0"/>
                                          <w:divBdr>
                                            <w:top w:val="single" w:sz="2" w:space="0" w:color="E3E3E3"/>
                                            <w:left w:val="single" w:sz="2" w:space="0" w:color="E3E3E3"/>
                                            <w:bottom w:val="single" w:sz="2" w:space="0" w:color="E3E3E3"/>
                                            <w:right w:val="single" w:sz="2" w:space="0" w:color="E3E3E3"/>
                                          </w:divBdr>
                                          <w:divsChild>
                                            <w:div w:id="934635771">
                                              <w:marLeft w:val="0"/>
                                              <w:marRight w:val="0"/>
                                              <w:marTop w:val="0"/>
                                              <w:marBottom w:val="0"/>
                                              <w:divBdr>
                                                <w:top w:val="single" w:sz="2" w:space="0" w:color="E3E3E3"/>
                                                <w:left w:val="single" w:sz="2" w:space="0" w:color="E3E3E3"/>
                                                <w:bottom w:val="single" w:sz="2" w:space="0" w:color="E3E3E3"/>
                                                <w:right w:val="single" w:sz="2" w:space="0" w:color="E3E3E3"/>
                                              </w:divBdr>
                                              <w:divsChild>
                                                <w:div w:id="1329094347">
                                                  <w:marLeft w:val="0"/>
                                                  <w:marRight w:val="0"/>
                                                  <w:marTop w:val="0"/>
                                                  <w:marBottom w:val="0"/>
                                                  <w:divBdr>
                                                    <w:top w:val="single" w:sz="2" w:space="0" w:color="E3E3E3"/>
                                                    <w:left w:val="single" w:sz="2" w:space="0" w:color="E3E3E3"/>
                                                    <w:bottom w:val="single" w:sz="2" w:space="0" w:color="E3E3E3"/>
                                                    <w:right w:val="single" w:sz="2" w:space="0" w:color="E3E3E3"/>
                                                  </w:divBdr>
                                                  <w:divsChild>
                                                    <w:div w:id="845094239">
                                                      <w:marLeft w:val="0"/>
                                                      <w:marRight w:val="0"/>
                                                      <w:marTop w:val="0"/>
                                                      <w:marBottom w:val="0"/>
                                                      <w:divBdr>
                                                        <w:top w:val="single" w:sz="2" w:space="0" w:color="E3E3E3"/>
                                                        <w:left w:val="single" w:sz="2" w:space="0" w:color="E3E3E3"/>
                                                        <w:bottom w:val="single" w:sz="2" w:space="0" w:color="E3E3E3"/>
                                                        <w:right w:val="single" w:sz="2" w:space="0" w:color="E3E3E3"/>
                                                      </w:divBdr>
                                                      <w:divsChild>
                                                        <w:div w:id="20023905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69875115">
          <w:marLeft w:val="0"/>
          <w:marRight w:val="0"/>
          <w:marTop w:val="0"/>
          <w:marBottom w:val="0"/>
          <w:divBdr>
            <w:top w:val="none" w:sz="0" w:space="0" w:color="auto"/>
            <w:left w:val="none" w:sz="0" w:space="0" w:color="auto"/>
            <w:bottom w:val="none" w:sz="0" w:space="0" w:color="auto"/>
            <w:right w:val="none" w:sz="0" w:space="0" w:color="auto"/>
          </w:divBdr>
        </w:div>
      </w:divsChild>
    </w:div>
    <w:div w:id="1463187673">
      <w:bodyDiv w:val="1"/>
      <w:marLeft w:val="0"/>
      <w:marRight w:val="0"/>
      <w:marTop w:val="0"/>
      <w:marBottom w:val="0"/>
      <w:divBdr>
        <w:top w:val="none" w:sz="0" w:space="0" w:color="auto"/>
        <w:left w:val="none" w:sz="0" w:space="0" w:color="auto"/>
        <w:bottom w:val="none" w:sz="0" w:space="0" w:color="auto"/>
        <w:right w:val="none" w:sz="0" w:space="0" w:color="auto"/>
      </w:divBdr>
      <w:divsChild>
        <w:div w:id="1744445005">
          <w:marLeft w:val="0"/>
          <w:marRight w:val="0"/>
          <w:marTop w:val="0"/>
          <w:marBottom w:val="0"/>
          <w:divBdr>
            <w:top w:val="single" w:sz="2" w:space="0" w:color="E3E3E3"/>
            <w:left w:val="single" w:sz="2" w:space="0" w:color="E3E3E3"/>
            <w:bottom w:val="single" w:sz="2" w:space="0" w:color="E3E3E3"/>
            <w:right w:val="single" w:sz="2" w:space="0" w:color="E3E3E3"/>
          </w:divBdr>
          <w:divsChild>
            <w:div w:id="1888831179">
              <w:marLeft w:val="0"/>
              <w:marRight w:val="0"/>
              <w:marTop w:val="0"/>
              <w:marBottom w:val="0"/>
              <w:divBdr>
                <w:top w:val="single" w:sz="2" w:space="0" w:color="E3E3E3"/>
                <w:left w:val="single" w:sz="2" w:space="0" w:color="E3E3E3"/>
                <w:bottom w:val="single" w:sz="2" w:space="0" w:color="E3E3E3"/>
                <w:right w:val="single" w:sz="2" w:space="0" w:color="E3E3E3"/>
              </w:divBdr>
              <w:divsChild>
                <w:div w:id="1736782004">
                  <w:marLeft w:val="0"/>
                  <w:marRight w:val="0"/>
                  <w:marTop w:val="0"/>
                  <w:marBottom w:val="0"/>
                  <w:divBdr>
                    <w:top w:val="single" w:sz="2" w:space="0" w:color="E3E3E3"/>
                    <w:left w:val="single" w:sz="2" w:space="0" w:color="E3E3E3"/>
                    <w:bottom w:val="single" w:sz="2" w:space="0" w:color="E3E3E3"/>
                    <w:right w:val="single" w:sz="2" w:space="0" w:color="E3E3E3"/>
                  </w:divBdr>
                  <w:divsChild>
                    <w:div w:id="1698387009">
                      <w:marLeft w:val="0"/>
                      <w:marRight w:val="0"/>
                      <w:marTop w:val="0"/>
                      <w:marBottom w:val="0"/>
                      <w:divBdr>
                        <w:top w:val="single" w:sz="2" w:space="0" w:color="E3E3E3"/>
                        <w:left w:val="single" w:sz="2" w:space="0" w:color="E3E3E3"/>
                        <w:bottom w:val="single" w:sz="2" w:space="0" w:color="E3E3E3"/>
                        <w:right w:val="single" w:sz="2" w:space="0" w:color="E3E3E3"/>
                      </w:divBdr>
                      <w:divsChild>
                        <w:div w:id="1042753101">
                          <w:marLeft w:val="0"/>
                          <w:marRight w:val="0"/>
                          <w:marTop w:val="0"/>
                          <w:marBottom w:val="0"/>
                          <w:divBdr>
                            <w:top w:val="single" w:sz="2" w:space="0" w:color="E3E3E3"/>
                            <w:left w:val="single" w:sz="2" w:space="0" w:color="E3E3E3"/>
                            <w:bottom w:val="single" w:sz="2" w:space="0" w:color="E3E3E3"/>
                            <w:right w:val="single" w:sz="2" w:space="0" w:color="E3E3E3"/>
                          </w:divBdr>
                          <w:divsChild>
                            <w:div w:id="897278464">
                              <w:marLeft w:val="0"/>
                              <w:marRight w:val="0"/>
                              <w:marTop w:val="0"/>
                              <w:marBottom w:val="0"/>
                              <w:divBdr>
                                <w:top w:val="single" w:sz="2" w:space="0" w:color="E3E3E3"/>
                                <w:left w:val="single" w:sz="2" w:space="0" w:color="E3E3E3"/>
                                <w:bottom w:val="single" w:sz="2" w:space="0" w:color="E3E3E3"/>
                                <w:right w:val="single" w:sz="2" w:space="0" w:color="E3E3E3"/>
                              </w:divBdr>
                              <w:divsChild>
                                <w:div w:id="954170041">
                                  <w:marLeft w:val="0"/>
                                  <w:marRight w:val="0"/>
                                  <w:marTop w:val="100"/>
                                  <w:marBottom w:val="100"/>
                                  <w:divBdr>
                                    <w:top w:val="single" w:sz="2" w:space="0" w:color="E3E3E3"/>
                                    <w:left w:val="single" w:sz="2" w:space="0" w:color="E3E3E3"/>
                                    <w:bottom w:val="single" w:sz="2" w:space="0" w:color="E3E3E3"/>
                                    <w:right w:val="single" w:sz="2" w:space="0" w:color="E3E3E3"/>
                                  </w:divBdr>
                                  <w:divsChild>
                                    <w:div w:id="670302256">
                                      <w:marLeft w:val="0"/>
                                      <w:marRight w:val="0"/>
                                      <w:marTop w:val="0"/>
                                      <w:marBottom w:val="0"/>
                                      <w:divBdr>
                                        <w:top w:val="single" w:sz="2" w:space="0" w:color="E3E3E3"/>
                                        <w:left w:val="single" w:sz="2" w:space="0" w:color="E3E3E3"/>
                                        <w:bottom w:val="single" w:sz="2" w:space="0" w:color="E3E3E3"/>
                                        <w:right w:val="single" w:sz="2" w:space="0" w:color="E3E3E3"/>
                                      </w:divBdr>
                                      <w:divsChild>
                                        <w:div w:id="799609394">
                                          <w:marLeft w:val="0"/>
                                          <w:marRight w:val="0"/>
                                          <w:marTop w:val="0"/>
                                          <w:marBottom w:val="0"/>
                                          <w:divBdr>
                                            <w:top w:val="single" w:sz="2" w:space="0" w:color="E3E3E3"/>
                                            <w:left w:val="single" w:sz="2" w:space="0" w:color="E3E3E3"/>
                                            <w:bottom w:val="single" w:sz="2" w:space="0" w:color="E3E3E3"/>
                                            <w:right w:val="single" w:sz="2" w:space="0" w:color="E3E3E3"/>
                                          </w:divBdr>
                                          <w:divsChild>
                                            <w:div w:id="1474982407">
                                              <w:marLeft w:val="0"/>
                                              <w:marRight w:val="0"/>
                                              <w:marTop w:val="0"/>
                                              <w:marBottom w:val="0"/>
                                              <w:divBdr>
                                                <w:top w:val="single" w:sz="2" w:space="0" w:color="E3E3E3"/>
                                                <w:left w:val="single" w:sz="2" w:space="0" w:color="E3E3E3"/>
                                                <w:bottom w:val="single" w:sz="2" w:space="0" w:color="E3E3E3"/>
                                                <w:right w:val="single" w:sz="2" w:space="0" w:color="E3E3E3"/>
                                              </w:divBdr>
                                              <w:divsChild>
                                                <w:div w:id="1975527035">
                                                  <w:marLeft w:val="0"/>
                                                  <w:marRight w:val="0"/>
                                                  <w:marTop w:val="0"/>
                                                  <w:marBottom w:val="0"/>
                                                  <w:divBdr>
                                                    <w:top w:val="single" w:sz="2" w:space="0" w:color="E3E3E3"/>
                                                    <w:left w:val="single" w:sz="2" w:space="0" w:color="E3E3E3"/>
                                                    <w:bottom w:val="single" w:sz="2" w:space="0" w:color="E3E3E3"/>
                                                    <w:right w:val="single" w:sz="2" w:space="0" w:color="E3E3E3"/>
                                                  </w:divBdr>
                                                  <w:divsChild>
                                                    <w:div w:id="1901134397">
                                                      <w:marLeft w:val="0"/>
                                                      <w:marRight w:val="0"/>
                                                      <w:marTop w:val="0"/>
                                                      <w:marBottom w:val="0"/>
                                                      <w:divBdr>
                                                        <w:top w:val="single" w:sz="2" w:space="0" w:color="E3E3E3"/>
                                                        <w:left w:val="single" w:sz="2" w:space="0" w:color="E3E3E3"/>
                                                        <w:bottom w:val="single" w:sz="2" w:space="0" w:color="E3E3E3"/>
                                                        <w:right w:val="single" w:sz="2" w:space="0" w:color="E3E3E3"/>
                                                      </w:divBdr>
                                                      <w:divsChild>
                                                        <w:div w:id="266276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13789578">
          <w:marLeft w:val="0"/>
          <w:marRight w:val="0"/>
          <w:marTop w:val="0"/>
          <w:marBottom w:val="0"/>
          <w:divBdr>
            <w:top w:val="none" w:sz="0" w:space="0" w:color="auto"/>
            <w:left w:val="none" w:sz="0" w:space="0" w:color="auto"/>
            <w:bottom w:val="none" w:sz="0" w:space="0" w:color="auto"/>
            <w:right w:val="none" w:sz="0" w:space="0" w:color="auto"/>
          </w:divBdr>
        </w:div>
      </w:divsChild>
    </w:div>
    <w:div w:id="1478836985">
      <w:bodyDiv w:val="1"/>
      <w:marLeft w:val="0"/>
      <w:marRight w:val="0"/>
      <w:marTop w:val="0"/>
      <w:marBottom w:val="0"/>
      <w:divBdr>
        <w:top w:val="none" w:sz="0" w:space="0" w:color="auto"/>
        <w:left w:val="none" w:sz="0" w:space="0" w:color="auto"/>
        <w:bottom w:val="none" w:sz="0" w:space="0" w:color="auto"/>
        <w:right w:val="none" w:sz="0" w:space="0" w:color="auto"/>
      </w:divBdr>
      <w:divsChild>
        <w:div w:id="1518079566">
          <w:marLeft w:val="0"/>
          <w:marRight w:val="0"/>
          <w:marTop w:val="0"/>
          <w:marBottom w:val="0"/>
          <w:divBdr>
            <w:top w:val="single" w:sz="2" w:space="0" w:color="E3E3E3"/>
            <w:left w:val="single" w:sz="2" w:space="0" w:color="E3E3E3"/>
            <w:bottom w:val="single" w:sz="2" w:space="0" w:color="E3E3E3"/>
            <w:right w:val="single" w:sz="2" w:space="0" w:color="E3E3E3"/>
          </w:divBdr>
          <w:divsChild>
            <w:div w:id="1671786606">
              <w:marLeft w:val="0"/>
              <w:marRight w:val="0"/>
              <w:marTop w:val="0"/>
              <w:marBottom w:val="0"/>
              <w:divBdr>
                <w:top w:val="single" w:sz="2" w:space="0" w:color="E3E3E3"/>
                <w:left w:val="single" w:sz="2" w:space="0" w:color="E3E3E3"/>
                <w:bottom w:val="single" w:sz="2" w:space="0" w:color="E3E3E3"/>
                <w:right w:val="single" w:sz="2" w:space="0" w:color="E3E3E3"/>
              </w:divBdr>
              <w:divsChild>
                <w:div w:id="295527687">
                  <w:marLeft w:val="0"/>
                  <w:marRight w:val="0"/>
                  <w:marTop w:val="0"/>
                  <w:marBottom w:val="0"/>
                  <w:divBdr>
                    <w:top w:val="single" w:sz="2" w:space="0" w:color="E3E3E3"/>
                    <w:left w:val="single" w:sz="2" w:space="0" w:color="E3E3E3"/>
                    <w:bottom w:val="single" w:sz="2" w:space="0" w:color="E3E3E3"/>
                    <w:right w:val="single" w:sz="2" w:space="0" w:color="E3E3E3"/>
                  </w:divBdr>
                  <w:divsChild>
                    <w:div w:id="1199583299">
                      <w:marLeft w:val="0"/>
                      <w:marRight w:val="0"/>
                      <w:marTop w:val="0"/>
                      <w:marBottom w:val="0"/>
                      <w:divBdr>
                        <w:top w:val="single" w:sz="2" w:space="0" w:color="E3E3E3"/>
                        <w:left w:val="single" w:sz="2" w:space="0" w:color="E3E3E3"/>
                        <w:bottom w:val="single" w:sz="2" w:space="0" w:color="E3E3E3"/>
                        <w:right w:val="single" w:sz="2" w:space="0" w:color="E3E3E3"/>
                      </w:divBdr>
                      <w:divsChild>
                        <w:div w:id="820851370">
                          <w:marLeft w:val="0"/>
                          <w:marRight w:val="0"/>
                          <w:marTop w:val="0"/>
                          <w:marBottom w:val="0"/>
                          <w:divBdr>
                            <w:top w:val="single" w:sz="2" w:space="0" w:color="E3E3E3"/>
                            <w:left w:val="single" w:sz="2" w:space="0" w:color="E3E3E3"/>
                            <w:bottom w:val="single" w:sz="2" w:space="0" w:color="E3E3E3"/>
                            <w:right w:val="single" w:sz="2" w:space="0" w:color="E3E3E3"/>
                          </w:divBdr>
                          <w:divsChild>
                            <w:div w:id="1552963194">
                              <w:marLeft w:val="0"/>
                              <w:marRight w:val="0"/>
                              <w:marTop w:val="0"/>
                              <w:marBottom w:val="0"/>
                              <w:divBdr>
                                <w:top w:val="single" w:sz="2" w:space="0" w:color="E3E3E3"/>
                                <w:left w:val="single" w:sz="2" w:space="0" w:color="E3E3E3"/>
                                <w:bottom w:val="single" w:sz="2" w:space="0" w:color="E3E3E3"/>
                                <w:right w:val="single" w:sz="2" w:space="0" w:color="E3E3E3"/>
                              </w:divBdr>
                              <w:divsChild>
                                <w:div w:id="1297837376">
                                  <w:marLeft w:val="0"/>
                                  <w:marRight w:val="0"/>
                                  <w:marTop w:val="100"/>
                                  <w:marBottom w:val="100"/>
                                  <w:divBdr>
                                    <w:top w:val="single" w:sz="2" w:space="0" w:color="E3E3E3"/>
                                    <w:left w:val="single" w:sz="2" w:space="0" w:color="E3E3E3"/>
                                    <w:bottom w:val="single" w:sz="2" w:space="0" w:color="E3E3E3"/>
                                    <w:right w:val="single" w:sz="2" w:space="0" w:color="E3E3E3"/>
                                  </w:divBdr>
                                  <w:divsChild>
                                    <w:div w:id="1966502965">
                                      <w:marLeft w:val="0"/>
                                      <w:marRight w:val="0"/>
                                      <w:marTop w:val="0"/>
                                      <w:marBottom w:val="0"/>
                                      <w:divBdr>
                                        <w:top w:val="single" w:sz="2" w:space="0" w:color="E3E3E3"/>
                                        <w:left w:val="single" w:sz="2" w:space="0" w:color="E3E3E3"/>
                                        <w:bottom w:val="single" w:sz="2" w:space="0" w:color="E3E3E3"/>
                                        <w:right w:val="single" w:sz="2" w:space="0" w:color="E3E3E3"/>
                                      </w:divBdr>
                                      <w:divsChild>
                                        <w:div w:id="111294177">
                                          <w:marLeft w:val="0"/>
                                          <w:marRight w:val="0"/>
                                          <w:marTop w:val="0"/>
                                          <w:marBottom w:val="0"/>
                                          <w:divBdr>
                                            <w:top w:val="single" w:sz="2" w:space="0" w:color="E3E3E3"/>
                                            <w:left w:val="single" w:sz="2" w:space="0" w:color="E3E3E3"/>
                                            <w:bottom w:val="single" w:sz="2" w:space="0" w:color="E3E3E3"/>
                                            <w:right w:val="single" w:sz="2" w:space="0" w:color="E3E3E3"/>
                                          </w:divBdr>
                                          <w:divsChild>
                                            <w:div w:id="1021516398">
                                              <w:marLeft w:val="0"/>
                                              <w:marRight w:val="0"/>
                                              <w:marTop w:val="0"/>
                                              <w:marBottom w:val="0"/>
                                              <w:divBdr>
                                                <w:top w:val="single" w:sz="2" w:space="0" w:color="E3E3E3"/>
                                                <w:left w:val="single" w:sz="2" w:space="0" w:color="E3E3E3"/>
                                                <w:bottom w:val="single" w:sz="2" w:space="0" w:color="E3E3E3"/>
                                                <w:right w:val="single" w:sz="2" w:space="0" w:color="E3E3E3"/>
                                              </w:divBdr>
                                              <w:divsChild>
                                                <w:div w:id="1378775326">
                                                  <w:marLeft w:val="0"/>
                                                  <w:marRight w:val="0"/>
                                                  <w:marTop w:val="0"/>
                                                  <w:marBottom w:val="0"/>
                                                  <w:divBdr>
                                                    <w:top w:val="single" w:sz="2" w:space="0" w:color="E3E3E3"/>
                                                    <w:left w:val="single" w:sz="2" w:space="0" w:color="E3E3E3"/>
                                                    <w:bottom w:val="single" w:sz="2" w:space="0" w:color="E3E3E3"/>
                                                    <w:right w:val="single" w:sz="2" w:space="0" w:color="E3E3E3"/>
                                                  </w:divBdr>
                                                  <w:divsChild>
                                                    <w:div w:id="1049106626">
                                                      <w:marLeft w:val="0"/>
                                                      <w:marRight w:val="0"/>
                                                      <w:marTop w:val="0"/>
                                                      <w:marBottom w:val="0"/>
                                                      <w:divBdr>
                                                        <w:top w:val="single" w:sz="2" w:space="0" w:color="E3E3E3"/>
                                                        <w:left w:val="single" w:sz="2" w:space="0" w:color="E3E3E3"/>
                                                        <w:bottom w:val="single" w:sz="2" w:space="0" w:color="E3E3E3"/>
                                                        <w:right w:val="single" w:sz="2" w:space="0" w:color="E3E3E3"/>
                                                      </w:divBdr>
                                                      <w:divsChild>
                                                        <w:div w:id="1686324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53025414">
          <w:marLeft w:val="0"/>
          <w:marRight w:val="0"/>
          <w:marTop w:val="0"/>
          <w:marBottom w:val="0"/>
          <w:divBdr>
            <w:top w:val="none" w:sz="0" w:space="0" w:color="auto"/>
            <w:left w:val="none" w:sz="0" w:space="0" w:color="auto"/>
            <w:bottom w:val="none" w:sz="0" w:space="0" w:color="auto"/>
            <w:right w:val="none" w:sz="0" w:space="0" w:color="auto"/>
          </w:divBdr>
        </w:div>
      </w:divsChild>
    </w:div>
    <w:div w:id="1479498071">
      <w:bodyDiv w:val="1"/>
      <w:marLeft w:val="0"/>
      <w:marRight w:val="0"/>
      <w:marTop w:val="0"/>
      <w:marBottom w:val="0"/>
      <w:divBdr>
        <w:top w:val="none" w:sz="0" w:space="0" w:color="auto"/>
        <w:left w:val="none" w:sz="0" w:space="0" w:color="auto"/>
        <w:bottom w:val="none" w:sz="0" w:space="0" w:color="auto"/>
        <w:right w:val="none" w:sz="0" w:space="0" w:color="auto"/>
      </w:divBdr>
    </w:div>
    <w:div w:id="1490174223">
      <w:bodyDiv w:val="1"/>
      <w:marLeft w:val="0"/>
      <w:marRight w:val="0"/>
      <w:marTop w:val="0"/>
      <w:marBottom w:val="0"/>
      <w:divBdr>
        <w:top w:val="none" w:sz="0" w:space="0" w:color="auto"/>
        <w:left w:val="none" w:sz="0" w:space="0" w:color="auto"/>
        <w:bottom w:val="none" w:sz="0" w:space="0" w:color="auto"/>
        <w:right w:val="none" w:sz="0" w:space="0" w:color="auto"/>
      </w:divBdr>
    </w:div>
    <w:div w:id="1578711864">
      <w:bodyDiv w:val="1"/>
      <w:marLeft w:val="0"/>
      <w:marRight w:val="0"/>
      <w:marTop w:val="0"/>
      <w:marBottom w:val="0"/>
      <w:divBdr>
        <w:top w:val="none" w:sz="0" w:space="0" w:color="auto"/>
        <w:left w:val="none" w:sz="0" w:space="0" w:color="auto"/>
        <w:bottom w:val="none" w:sz="0" w:space="0" w:color="auto"/>
        <w:right w:val="none" w:sz="0" w:space="0" w:color="auto"/>
      </w:divBdr>
      <w:divsChild>
        <w:div w:id="1175265837">
          <w:marLeft w:val="0"/>
          <w:marRight w:val="0"/>
          <w:marTop w:val="0"/>
          <w:marBottom w:val="0"/>
          <w:divBdr>
            <w:top w:val="single" w:sz="2" w:space="0" w:color="E3E3E3"/>
            <w:left w:val="single" w:sz="2" w:space="0" w:color="E3E3E3"/>
            <w:bottom w:val="single" w:sz="2" w:space="0" w:color="E3E3E3"/>
            <w:right w:val="single" w:sz="2" w:space="0" w:color="E3E3E3"/>
          </w:divBdr>
          <w:divsChild>
            <w:div w:id="1863397815">
              <w:marLeft w:val="0"/>
              <w:marRight w:val="0"/>
              <w:marTop w:val="0"/>
              <w:marBottom w:val="0"/>
              <w:divBdr>
                <w:top w:val="single" w:sz="2" w:space="0" w:color="E3E3E3"/>
                <w:left w:val="single" w:sz="2" w:space="0" w:color="E3E3E3"/>
                <w:bottom w:val="single" w:sz="2" w:space="0" w:color="E3E3E3"/>
                <w:right w:val="single" w:sz="2" w:space="0" w:color="E3E3E3"/>
              </w:divBdr>
              <w:divsChild>
                <w:div w:id="808743974">
                  <w:marLeft w:val="0"/>
                  <w:marRight w:val="0"/>
                  <w:marTop w:val="0"/>
                  <w:marBottom w:val="0"/>
                  <w:divBdr>
                    <w:top w:val="single" w:sz="2" w:space="0" w:color="E3E3E3"/>
                    <w:left w:val="single" w:sz="2" w:space="0" w:color="E3E3E3"/>
                    <w:bottom w:val="single" w:sz="2" w:space="0" w:color="E3E3E3"/>
                    <w:right w:val="single" w:sz="2" w:space="0" w:color="E3E3E3"/>
                  </w:divBdr>
                  <w:divsChild>
                    <w:div w:id="2141995924">
                      <w:marLeft w:val="0"/>
                      <w:marRight w:val="0"/>
                      <w:marTop w:val="0"/>
                      <w:marBottom w:val="0"/>
                      <w:divBdr>
                        <w:top w:val="single" w:sz="2" w:space="0" w:color="E3E3E3"/>
                        <w:left w:val="single" w:sz="2" w:space="0" w:color="E3E3E3"/>
                        <w:bottom w:val="single" w:sz="2" w:space="0" w:color="E3E3E3"/>
                        <w:right w:val="single" w:sz="2" w:space="0" w:color="E3E3E3"/>
                      </w:divBdr>
                      <w:divsChild>
                        <w:div w:id="893734027">
                          <w:marLeft w:val="0"/>
                          <w:marRight w:val="0"/>
                          <w:marTop w:val="0"/>
                          <w:marBottom w:val="0"/>
                          <w:divBdr>
                            <w:top w:val="single" w:sz="2" w:space="0" w:color="E3E3E3"/>
                            <w:left w:val="single" w:sz="2" w:space="0" w:color="E3E3E3"/>
                            <w:bottom w:val="single" w:sz="2" w:space="0" w:color="E3E3E3"/>
                            <w:right w:val="single" w:sz="2" w:space="0" w:color="E3E3E3"/>
                          </w:divBdr>
                          <w:divsChild>
                            <w:div w:id="827942156">
                              <w:marLeft w:val="0"/>
                              <w:marRight w:val="0"/>
                              <w:marTop w:val="0"/>
                              <w:marBottom w:val="0"/>
                              <w:divBdr>
                                <w:top w:val="single" w:sz="2" w:space="0" w:color="E3E3E3"/>
                                <w:left w:val="single" w:sz="2" w:space="0" w:color="E3E3E3"/>
                                <w:bottom w:val="single" w:sz="2" w:space="0" w:color="E3E3E3"/>
                                <w:right w:val="single" w:sz="2" w:space="0" w:color="E3E3E3"/>
                              </w:divBdr>
                              <w:divsChild>
                                <w:div w:id="1015570183">
                                  <w:marLeft w:val="0"/>
                                  <w:marRight w:val="0"/>
                                  <w:marTop w:val="100"/>
                                  <w:marBottom w:val="100"/>
                                  <w:divBdr>
                                    <w:top w:val="single" w:sz="2" w:space="0" w:color="E3E3E3"/>
                                    <w:left w:val="single" w:sz="2" w:space="0" w:color="E3E3E3"/>
                                    <w:bottom w:val="single" w:sz="2" w:space="0" w:color="E3E3E3"/>
                                    <w:right w:val="single" w:sz="2" w:space="0" w:color="E3E3E3"/>
                                  </w:divBdr>
                                  <w:divsChild>
                                    <w:div w:id="646469967">
                                      <w:marLeft w:val="0"/>
                                      <w:marRight w:val="0"/>
                                      <w:marTop w:val="0"/>
                                      <w:marBottom w:val="0"/>
                                      <w:divBdr>
                                        <w:top w:val="single" w:sz="2" w:space="0" w:color="E3E3E3"/>
                                        <w:left w:val="single" w:sz="2" w:space="0" w:color="E3E3E3"/>
                                        <w:bottom w:val="single" w:sz="2" w:space="0" w:color="E3E3E3"/>
                                        <w:right w:val="single" w:sz="2" w:space="0" w:color="E3E3E3"/>
                                      </w:divBdr>
                                      <w:divsChild>
                                        <w:div w:id="393159320">
                                          <w:marLeft w:val="0"/>
                                          <w:marRight w:val="0"/>
                                          <w:marTop w:val="0"/>
                                          <w:marBottom w:val="0"/>
                                          <w:divBdr>
                                            <w:top w:val="single" w:sz="2" w:space="0" w:color="E3E3E3"/>
                                            <w:left w:val="single" w:sz="2" w:space="0" w:color="E3E3E3"/>
                                            <w:bottom w:val="single" w:sz="2" w:space="0" w:color="E3E3E3"/>
                                            <w:right w:val="single" w:sz="2" w:space="0" w:color="E3E3E3"/>
                                          </w:divBdr>
                                          <w:divsChild>
                                            <w:div w:id="346295411">
                                              <w:marLeft w:val="0"/>
                                              <w:marRight w:val="0"/>
                                              <w:marTop w:val="0"/>
                                              <w:marBottom w:val="0"/>
                                              <w:divBdr>
                                                <w:top w:val="single" w:sz="2" w:space="0" w:color="E3E3E3"/>
                                                <w:left w:val="single" w:sz="2" w:space="0" w:color="E3E3E3"/>
                                                <w:bottom w:val="single" w:sz="2" w:space="0" w:color="E3E3E3"/>
                                                <w:right w:val="single" w:sz="2" w:space="0" w:color="E3E3E3"/>
                                              </w:divBdr>
                                              <w:divsChild>
                                                <w:div w:id="1074400321">
                                                  <w:marLeft w:val="0"/>
                                                  <w:marRight w:val="0"/>
                                                  <w:marTop w:val="0"/>
                                                  <w:marBottom w:val="0"/>
                                                  <w:divBdr>
                                                    <w:top w:val="single" w:sz="2" w:space="0" w:color="E3E3E3"/>
                                                    <w:left w:val="single" w:sz="2" w:space="0" w:color="E3E3E3"/>
                                                    <w:bottom w:val="single" w:sz="2" w:space="0" w:color="E3E3E3"/>
                                                    <w:right w:val="single" w:sz="2" w:space="0" w:color="E3E3E3"/>
                                                  </w:divBdr>
                                                  <w:divsChild>
                                                    <w:div w:id="1672488083">
                                                      <w:marLeft w:val="0"/>
                                                      <w:marRight w:val="0"/>
                                                      <w:marTop w:val="0"/>
                                                      <w:marBottom w:val="0"/>
                                                      <w:divBdr>
                                                        <w:top w:val="single" w:sz="2" w:space="0" w:color="E3E3E3"/>
                                                        <w:left w:val="single" w:sz="2" w:space="0" w:color="E3E3E3"/>
                                                        <w:bottom w:val="single" w:sz="2" w:space="0" w:color="E3E3E3"/>
                                                        <w:right w:val="single" w:sz="2" w:space="0" w:color="E3E3E3"/>
                                                      </w:divBdr>
                                                      <w:divsChild>
                                                        <w:div w:id="1547571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87590164">
          <w:marLeft w:val="0"/>
          <w:marRight w:val="0"/>
          <w:marTop w:val="0"/>
          <w:marBottom w:val="0"/>
          <w:divBdr>
            <w:top w:val="none" w:sz="0" w:space="0" w:color="auto"/>
            <w:left w:val="none" w:sz="0" w:space="0" w:color="auto"/>
            <w:bottom w:val="none" w:sz="0" w:space="0" w:color="auto"/>
            <w:right w:val="none" w:sz="0" w:space="0" w:color="auto"/>
          </w:divBdr>
        </w:div>
      </w:divsChild>
    </w:div>
    <w:div w:id="1676107078">
      <w:bodyDiv w:val="1"/>
      <w:marLeft w:val="0"/>
      <w:marRight w:val="0"/>
      <w:marTop w:val="0"/>
      <w:marBottom w:val="0"/>
      <w:divBdr>
        <w:top w:val="none" w:sz="0" w:space="0" w:color="auto"/>
        <w:left w:val="none" w:sz="0" w:space="0" w:color="auto"/>
        <w:bottom w:val="none" w:sz="0" w:space="0" w:color="auto"/>
        <w:right w:val="none" w:sz="0" w:space="0" w:color="auto"/>
      </w:divBdr>
      <w:divsChild>
        <w:div w:id="1416825265">
          <w:marLeft w:val="0"/>
          <w:marRight w:val="0"/>
          <w:marTop w:val="0"/>
          <w:marBottom w:val="0"/>
          <w:divBdr>
            <w:top w:val="single" w:sz="2" w:space="0" w:color="E3E3E3"/>
            <w:left w:val="single" w:sz="2" w:space="0" w:color="E3E3E3"/>
            <w:bottom w:val="single" w:sz="2" w:space="0" w:color="E3E3E3"/>
            <w:right w:val="single" w:sz="2" w:space="0" w:color="E3E3E3"/>
          </w:divBdr>
          <w:divsChild>
            <w:div w:id="1686663945">
              <w:marLeft w:val="0"/>
              <w:marRight w:val="0"/>
              <w:marTop w:val="0"/>
              <w:marBottom w:val="0"/>
              <w:divBdr>
                <w:top w:val="single" w:sz="2" w:space="0" w:color="E3E3E3"/>
                <w:left w:val="single" w:sz="2" w:space="0" w:color="E3E3E3"/>
                <w:bottom w:val="single" w:sz="2" w:space="0" w:color="E3E3E3"/>
                <w:right w:val="single" w:sz="2" w:space="0" w:color="E3E3E3"/>
              </w:divBdr>
              <w:divsChild>
                <w:div w:id="83766414">
                  <w:marLeft w:val="0"/>
                  <w:marRight w:val="0"/>
                  <w:marTop w:val="0"/>
                  <w:marBottom w:val="0"/>
                  <w:divBdr>
                    <w:top w:val="single" w:sz="2" w:space="0" w:color="E3E3E3"/>
                    <w:left w:val="single" w:sz="2" w:space="0" w:color="E3E3E3"/>
                    <w:bottom w:val="single" w:sz="2" w:space="0" w:color="E3E3E3"/>
                    <w:right w:val="single" w:sz="2" w:space="0" w:color="E3E3E3"/>
                  </w:divBdr>
                  <w:divsChild>
                    <w:div w:id="1806923010">
                      <w:marLeft w:val="0"/>
                      <w:marRight w:val="0"/>
                      <w:marTop w:val="0"/>
                      <w:marBottom w:val="0"/>
                      <w:divBdr>
                        <w:top w:val="single" w:sz="2" w:space="0" w:color="E3E3E3"/>
                        <w:left w:val="single" w:sz="2" w:space="0" w:color="E3E3E3"/>
                        <w:bottom w:val="single" w:sz="2" w:space="0" w:color="E3E3E3"/>
                        <w:right w:val="single" w:sz="2" w:space="0" w:color="E3E3E3"/>
                      </w:divBdr>
                      <w:divsChild>
                        <w:div w:id="427895273">
                          <w:marLeft w:val="0"/>
                          <w:marRight w:val="0"/>
                          <w:marTop w:val="0"/>
                          <w:marBottom w:val="0"/>
                          <w:divBdr>
                            <w:top w:val="single" w:sz="2" w:space="0" w:color="E3E3E3"/>
                            <w:left w:val="single" w:sz="2" w:space="0" w:color="E3E3E3"/>
                            <w:bottom w:val="single" w:sz="2" w:space="0" w:color="E3E3E3"/>
                            <w:right w:val="single" w:sz="2" w:space="0" w:color="E3E3E3"/>
                          </w:divBdr>
                          <w:divsChild>
                            <w:div w:id="440028780">
                              <w:marLeft w:val="0"/>
                              <w:marRight w:val="0"/>
                              <w:marTop w:val="0"/>
                              <w:marBottom w:val="0"/>
                              <w:divBdr>
                                <w:top w:val="single" w:sz="2" w:space="0" w:color="E3E3E3"/>
                                <w:left w:val="single" w:sz="2" w:space="0" w:color="E3E3E3"/>
                                <w:bottom w:val="single" w:sz="2" w:space="0" w:color="E3E3E3"/>
                                <w:right w:val="single" w:sz="2" w:space="0" w:color="E3E3E3"/>
                              </w:divBdr>
                              <w:divsChild>
                                <w:div w:id="712464017">
                                  <w:marLeft w:val="0"/>
                                  <w:marRight w:val="0"/>
                                  <w:marTop w:val="100"/>
                                  <w:marBottom w:val="100"/>
                                  <w:divBdr>
                                    <w:top w:val="single" w:sz="2" w:space="0" w:color="E3E3E3"/>
                                    <w:left w:val="single" w:sz="2" w:space="0" w:color="E3E3E3"/>
                                    <w:bottom w:val="single" w:sz="2" w:space="0" w:color="E3E3E3"/>
                                    <w:right w:val="single" w:sz="2" w:space="0" w:color="E3E3E3"/>
                                  </w:divBdr>
                                  <w:divsChild>
                                    <w:div w:id="815335786">
                                      <w:marLeft w:val="0"/>
                                      <w:marRight w:val="0"/>
                                      <w:marTop w:val="0"/>
                                      <w:marBottom w:val="0"/>
                                      <w:divBdr>
                                        <w:top w:val="single" w:sz="2" w:space="0" w:color="E3E3E3"/>
                                        <w:left w:val="single" w:sz="2" w:space="0" w:color="E3E3E3"/>
                                        <w:bottom w:val="single" w:sz="2" w:space="0" w:color="E3E3E3"/>
                                        <w:right w:val="single" w:sz="2" w:space="0" w:color="E3E3E3"/>
                                      </w:divBdr>
                                      <w:divsChild>
                                        <w:div w:id="2018073394">
                                          <w:marLeft w:val="0"/>
                                          <w:marRight w:val="0"/>
                                          <w:marTop w:val="0"/>
                                          <w:marBottom w:val="0"/>
                                          <w:divBdr>
                                            <w:top w:val="single" w:sz="2" w:space="0" w:color="E3E3E3"/>
                                            <w:left w:val="single" w:sz="2" w:space="0" w:color="E3E3E3"/>
                                            <w:bottom w:val="single" w:sz="2" w:space="0" w:color="E3E3E3"/>
                                            <w:right w:val="single" w:sz="2" w:space="0" w:color="E3E3E3"/>
                                          </w:divBdr>
                                          <w:divsChild>
                                            <w:div w:id="1196845500">
                                              <w:marLeft w:val="0"/>
                                              <w:marRight w:val="0"/>
                                              <w:marTop w:val="0"/>
                                              <w:marBottom w:val="0"/>
                                              <w:divBdr>
                                                <w:top w:val="single" w:sz="2" w:space="0" w:color="E3E3E3"/>
                                                <w:left w:val="single" w:sz="2" w:space="0" w:color="E3E3E3"/>
                                                <w:bottom w:val="single" w:sz="2" w:space="0" w:color="E3E3E3"/>
                                                <w:right w:val="single" w:sz="2" w:space="0" w:color="E3E3E3"/>
                                              </w:divBdr>
                                              <w:divsChild>
                                                <w:div w:id="51317102">
                                                  <w:marLeft w:val="0"/>
                                                  <w:marRight w:val="0"/>
                                                  <w:marTop w:val="0"/>
                                                  <w:marBottom w:val="0"/>
                                                  <w:divBdr>
                                                    <w:top w:val="single" w:sz="2" w:space="0" w:color="E3E3E3"/>
                                                    <w:left w:val="single" w:sz="2" w:space="0" w:color="E3E3E3"/>
                                                    <w:bottom w:val="single" w:sz="2" w:space="0" w:color="E3E3E3"/>
                                                    <w:right w:val="single" w:sz="2" w:space="0" w:color="E3E3E3"/>
                                                  </w:divBdr>
                                                  <w:divsChild>
                                                    <w:div w:id="1752510070">
                                                      <w:marLeft w:val="0"/>
                                                      <w:marRight w:val="0"/>
                                                      <w:marTop w:val="0"/>
                                                      <w:marBottom w:val="0"/>
                                                      <w:divBdr>
                                                        <w:top w:val="single" w:sz="2" w:space="0" w:color="E3E3E3"/>
                                                        <w:left w:val="single" w:sz="2" w:space="0" w:color="E3E3E3"/>
                                                        <w:bottom w:val="single" w:sz="2" w:space="0" w:color="E3E3E3"/>
                                                        <w:right w:val="single" w:sz="2" w:space="0" w:color="E3E3E3"/>
                                                      </w:divBdr>
                                                      <w:divsChild>
                                                        <w:div w:id="15495640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8572870">
          <w:marLeft w:val="0"/>
          <w:marRight w:val="0"/>
          <w:marTop w:val="0"/>
          <w:marBottom w:val="0"/>
          <w:divBdr>
            <w:top w:val="none" w:sz="0" w:space="0" w:color="auto"/>
            <w:left w:val="none" w:sz="0" w:space="0" w:color="auto"/>
            <w:bottom w:val="none" w:sz="0" w:space="0" w:color="auto"/>
            <w:right w:val="none" w:sz="0" w:space="0" w:color="auto"/>
          </w:divBdr>
        </w:div>
      </w:divsChild>
    </w:div>
    <w:div w:id="1733191277">
      <w:bodyDiv w:val="1"/>
      <w:marLeft w:val="0"/>
      <w:marRight w:val="0"/>
      <w:marTop w:val="0"/>
      <w:marBottom w:val="0"/>
      <w:divBdr>
        <w:top w:val="none" w:sz="0" w:space="0" w:color="auto"/>
        <w:left w:val="none" w:sz="0" w:space="0" w:color="auto"/>
        <w:bottom w:val="none" w:sz="0" w:space="0" w:color="auto"/>
        <w:right w:val="none" w:sz="0" w:space="0" w:color="auto"/>
      </w:divBdr>
    </w:div>
    <w:div w:id="1753891602">
      <w:bodyDiv w:val="1"/>
      <w:marLeft w:val="0"/>
      <w:marRight w:val="0"/>
      <w:marTop w:val="0"/>
      <w:marBottom w:val="0"/>
      <w:divBdr>
        <w:top w:val="none" w:sz="0" w:space="0" w:color="auto"/>
        <w:left w:val="none" w:sz="0" w:space="0" w:color="auto"/>
        <w:bottom w:val="none" w:sz="0" w:space="0" w:color="auto"/>
        <w:right w:val="none" w:sz="0" w:space="0" w:color="auto"/>
      </w:divBdr>
      <w:divsChild>
        <w:div w:id="810054188">
          <w:marLeft w:val="0"/>
          <w:marRight w:val="0"/>
          <w:marTop w:val="0"/>
          <w:marBottom w:val="0"/>
          <w:divBdr>
            <w:top w:val="single" w:sz="2" w:space="0" w:color="E3E3E3"/>
            <w:left w:val="single" w:sz="2" w:space="0" w:color="E3E3E3"/>
            <w:bottom w:val="single" w:sz="2" w:space="0" w:color="E3E3E3"/>
            <w:right w:val="single" w:sz="2" w:space="0" w:color="E3E3E3"/>
          </w:divBdr>
          <w:divsChild>
            <w:div w:id="107050997">
              <w:marLeft w:val="0"/>
              <w:marRight w:val="0"/>
              <w:marTop w:val="0"/>
              <w:marBottom w:val="0"/>
              <w:divBdr>
                <w:top w:val="single" w:sz="2" w:space="0" w:color="E3E3E3"/>
                <w:left w:val="single" w:sz="2" w:space="0" w:color="E3E3E3"/>
                <w:bottom w:val="single" w:sz="2" w:space="0" w:color="E3E3E3"/>
                <w:right w:val="single" w:sz="2" w:space="0" w:color="E3E3E3"/>
              </w:divBdr>
              <w:divsChild>
                <w:div w:id="1192498741">
                  <w:marLeft w:val="0"/>
                  <w:marRight w:val="0"/>
                  <w:marTop w:val="0"/>
                  <w:marBottom w:val="0"/>
                  <w:divBdr>
                    <w:top w:val="single" w:sz="2" w:space="0" w:color="E3E3E3"/>
                    <w:left w:val="single" w:sz="2" w:space="0" w:color="E3E3E3"/>
                    <w:bottom w:val="single" w:sz="2" w:space="0" w:color="E3E3E3"/>
                    <w:right w:val="single" w:sz="2" w:space="0" w:color="E3E3E3"/>
                  </w:divBdr>
                  <w:divsChild>
                    <w:div w:id="1696493407">
                      <w:marLeft w:val="0"/>
                      <w:marRight w:val="0"/>
                      <w:marTop w:val="0"/>
                      <w:marBottom w:val="0"/>
                      <w:divBdr>
                        <w:top w:val="single" w:sz="2" w:space="0" w:color="E3E3E3"/>
                        <w:left w:val="single" w:sz="2" w:space="0" w:color="E3E3E3"/>
                        <w:bottom w:val="single" w:sz="2" w:space="0" w:color="E3E3E3"/>
                        <w:right w:val="single" w:sz="2" w:space="0" w:color="E3E3E3"/>
                      </w:divBdr>
                      <w:divsChild>
                        <w:div w:id="1799958727">
                          <w:marLeft w:val="0"/>
                          <w:marRight w:val="0"/>
                          <w:marTop w:val="0"/>
                          <w:marBottom w:val="0"/>
                          <w:divBdr>
                            <w:top w:val="single" w:sz="2" w:space="0" w:color="E3E3E3"/>
                            <w:left w:val="single" w:sz="2" w:space="0" w:color="E3E3E3"/>
                            <w:bottom w:val="single" w:sz="2" w:space="0" w:color="E3E3E3"/>
                            <w:right w:val="single" w:sz="2" w:space="0" w:color="E3E3E3"/>
                          </w:divBdr>
                          <w:divsChild>
                            <w:div w:id="998073754">
                              <w:marLeft w:val="0"/>
                              <w:marRight w:val="0"/>
                              <w:marTop w:val="0"/>
                              <w:marBottom w:val="0"/>
                              <w:divBdr>
                                <w:top w:val="single" w:sz="2" w:space="0" w:color="E3E3E3"/>
                                <w:left w:val="single" w:sz="2" w:space="0" w:color="E3E3E3"/>
                                <w:bottom w:val="single" w:sz="2" w:space="0" w:color="E3E3E3"/>
                                <w:right w:val="single" w:sz="2" w:space="0" w:color="E3E3E3"/>
                              </w:divBdr>
                              <w:divsChild>
                                <w:div w:id="1698890443">
                                  <w:marLeft w:val="0"/>
                                  <w:marRight w:val="0"/>
                                  <w:marTop w:val="100"/>
                                  <w:marBottom w:val="100"/>
                                  <w:divBdr>
                                    <w:top w:val="single" w:sz="2" w:space="0" w:color="E3E3E3"/>
                                    <w:left w:val="single" w:sz="2" w:space="0" w:color="E3E3E3"/>
                                    <w:bottom w:val="single" w:sz="2" w:space="0" w:color="E3E3E3"/>
                                    <w:right w:val="single" w:sz="2" w:space="0" w:color="E3E3E3"/>
                                  </w:divBdr>
                                  <w:divsChild>
                                    <w:div w:id="544216058">
                                      <w:marLeft w:val="0"/>
                                      <w:marRight w:val="0"/>
                                      <w:marTop w:val="0"/>
                                      <w:marBottom w:val="0"/>
                                      <w:divBdr>
                                        <w:top w:val="single" w:sz="2" w:space="0" w:color="E3E3E3"/>
                                        <w:left w:val="single" w:sz="2" w:space="0" w:color="E3E3E3"/>
                                        <w:bottom w:val="single" w:sz="2" w:space="0" w:color="E3E3E3"/>
                                        <w:right w:val="single" w:sz="2" w:space="0" w:color="E3E3E3"/>
                                      </w:divBdr>
                                      <w:divsChild>
                                        <w:div w:id="461844244">
                                          <w:marLeft w:val="0"/>
                                          <w:marRight w:val="0"/>
                                          <w:marTop w:val="0"/>
                                          <w:marBottom w:val="0"/>
                                          <w:divBdr>
                                            <w:top w:val="single" w:sz="2" w:space="0" w:color="E3E3E3"/>
                                            <w:left w:val="single" w:sz="2" w:space="0" w:color="E3E3E3"/>
                                            <w:bottom w:val="single" w:sz="2" w:space="0" w:color="E3E3E3"/>
                                            <w:right w:val="single" w:sz="2" w:space="0" w:color="E3E3E3"/>
                                          </w:divBdr>
                                          <w:divsChild>
                                            <w:div w:id="1564021415">
                                              <w:marLeft w:val="0"/>
                                              <w:marRight w:val="0"/>
                                              <w:marTop w:val="0"/>
                                              <w:marBottom w:val="0"/>
                                              <w:divBdr>
                                                <w:top w:val="single" w:sz="2" w:space="0" w:color="E3E3E3"/>
                                                <w:left w:val="single" w:sz="2" w:space="0" w:color="E3E3E3"/>
                                                <w:bottom w:val="single" w:sz="2" w:space="0" w:color="E3E3E3"/>
                                                <w:right w:val="single" w:sz="2" w:space="0" w:color="E3E3E3"/>
                                              </w:divBdr>
                                              <w:divsChild>
                                                <w:div w:id="1552810477">
                                                  <w:marLeft w:val="0"/>
                                                  <w:marRight w:val="0"/>
                                                  <w:marTop w:val="0"/>
                                                  <w:marBottom w:val="0"/>
                                                  <w:divBdr>
                                                    <w:top w:val="single" w:sz="2" w:space="0" w:color="E3E3E3"/>
                                                    <w:left w:val="single" w:sz="2" w:space="0" w:color="E3E3E3"/>
                                                    <w:bottom w:val="single" w:sz="2" w:space="0" w:color="E3E3E3"/>
                                                    <w:right w:val="single" w:sz="2" w:space="0" w:color="E3E3E3"/>
                                                  </w:divBdr>
                                                  <w:divsChild>
                                                    <w:div w:id="1022903083">
                                                      <w:marLeft w:val="0"/>
                                                      <w:marRight w:val="0"/>
                                                      <w:marTop w:val="0"/>
                                                      <w:marBottom w:val="0"/>
                                                      <w:divBdr>
                                                        <w:top w:val="single" w:sz="2" w:space="0" w:color="E3E3E3"/>
                                                        <w:left w:val="single" w:sz="2" w:space="0" w:color="E3E3E3"/>
                                                        <w:bottom w:val="single" w:sz="2" w:space="0" w:color="E3E3E3"/>
                                                        <w:right w:val="single" w:sz="2" w:space="0" w:color="E3E3E3"/>
                                                      </w:divBdr>
                                                      <w:divsChild>
                                                        <w:div w:id="1088694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92206390">
          <w:marLeft w:val="0"/>
          <w:marRight w:val="0"/>
          <w:marTop w:val="0"/>
          <w:marBottom w:val="0"/>
          <w:divBdr>
            <w:top w:val="none" w:sz="0" w:space="0" w:color="auto"/>
            <w:left w:val="none" w:sz="0" w:space="0" w:color="auto"/>
            <w:bottom w:val="none" w:sz="0" w:space="0" w:color="auto"/>
            <w:right w:val="none" w:sz="0" w:space="0" w:color="auto"/>
          </w:divBdr>
        </w:div>
      </w:divsChild>
    </w:div>
    <w:div w:id="1811513134">
      <w:bodyDiv w:val="1"/>
      <w:marLeft w:val="0"/>
      <w:marRight w:val="0"/>
      <w:marTop w:val="0"/>
      <w:marBottom w:val="0"/>
      <w:divBdr>
        <w:top w:val="none" w:sz="0" w:space="0" w:color="auto"/>
        <w:left w:val="none" w:sz="0" w:space="0" w:color="auto"/>
        <w:bottom w:val="none" w:sz="0" w:space="0" w:color="auto"/>
        <w:right w:val="none" w:sz="0" w:space="0" w:color="auto"/>
      </w:divBdr>
    </w:div>
    <w:div w:id="1849712143">
      <w:bodyDiv w:val="1"/>
      <w:marLeft w:val="0"/>
      <w:marRight w:val="0"/>
      <w:marTop w:val="0"/>
      <w:marBottom w:val="0"/>
      <w:divBdr>
        <w:top w:val="none" w:sz="0" w:space="0" w:color="auto"/>
        <w:left w:val="none" w:sz="0" w:space="0" w:color="auto"/>
        <w:bottom w:val="none" w:sz="0" w:space="0" w:color="auto"/>
        <w:right w:val="none" w:sz="0" w:space="0" w:color="auto"/>
      </w:divBdr>
    </w:div>
    <w:div w:id="1932931760">
      <w:bodyDiv w:val="1"/>
      <w:marLeft w:val="0"/>
      <w:marRight w:val="0"/>
      <w:marTop w:val="0"/>
      <w:marBottom w:val="0"/>
      <w:divBdr>
        <w:top w:val="none" w:sz="0" w:space="0" w:color="auto"/>
        <w:left w:val="none" w:sz="0" w:space="0" w:color="auto"/>
        <w:bottom w:val="none" w:sz="0" w:space="0" w:color="auto"/>
        <w:right w:val="none" w:sz="0" w:space="0" w:color="auto"/>
      </w:divBdr>
      <w:divsChild>
        <w:div w:id="540898410">
          <w:marLeft w:val="0"/>
          <w:marRight w:val="0"/>
          <w:marTop w:val="0"/>
          <w:marBottom w:val="0"/>
          <w:divBdr>
            <w:top w:val="single" w:sz="2" w:space="0" w:color="E3E3E3"/>
            <w:left w:val="single" w:sz="2" w:space="0" w:color="E3E3E3"/>
            <w:bottom w:val="single" w:sz="2" w:space="0" w:color="E3E3E3"/>
            <w:right w:val="single" w:sz="2" w:space="0" w:color="E3E3E3"/>
          </w:divBdr>
          <w:divsChild>
            <w:div w:id="1701736767">
              <w:marLeft w:val="0"/>
              <w:marRight w:val="0"/>
              <w:marTop w:val="0"/>
              <w:marBottom w:val="0"/>
              <w:divBdr>
                <w:top w:val="single" w:sz="2" w:space="0" w:color="E3E3E3"/>
                <w:left w:val="single" w:sz="2" w:space="0" w:color="E3E3E3"/>
                <w:bottom w:val="single" w:sz="2" w:space="0" w:color="E3E3E3"/>
                <w:right w:val="single" w:sz="2" w:space="0" w:color="E3E3E3"/>
              </w:divBdr>
              <w:divsChild>
                <w:div w:id="1472752233">
                  <w:marLeft w:val="0"/>
                  <w:marRight w:val="0"/>
                  <w:marTop w:val="0"/>
                  <w:marBottom w:val="0"/>
                  <w:divBdr>
                    <w:top w:val="single" w:sz="2" w:space="0" w:color="E3E3E3"/>
                    <w:left w:val="single" w:sz="2" w:space="0" w:color="E3E3E3"/>
                    <w:bottom w:val="single" w:sz="2" w:space="0" w:color="E3E3E3"/>
                    <w:right w:val="single" w:sz="2" w:space="0" w:color="E3E3E3"/>
                  </w:divBdr>
                  <w:divsChild>
                    <w:div w:id="553853713">
                      <w:marLeft w:val="0"/>
                      <w:marRight w:val="0"/>
                      <w:marTop w:val="0"/>
                      <w:marBottom w:val="0"/>
                      <w:divBdr>
                        <w:top w:val="single" w:sz="2" w:space="0" w:color="E3E3E3"/>
                        <w:left w:val="single" w:sz="2" w:space="0" w:color="E3E3E3"/>
                        <w:bottom w:val="single" w:sz="2" w:space="0" w:color="E3E3E3"/>
                        <w:right w:val="single" w:sz="2" w:space="0" w:color="E3E3E3"/>
                      </w:divBdr>
                      <w:divsChild>
                        <w:div w:id="1159155174">
                          <w:marLeft w:val="0"/>
                          <w:marRight w:val="0"/>
                          <w:marTop w:val="0"/>
                          <w:marBottom w:val="0"/>
                          <w:divBdr>
                            <w:top w:val="single" w:sz="2" w:space="0" w:color="E3E3E3"/>
                            <w:left w:val="single" w:sz="2" w:space="0" w:color="E3E3E3"/>
                            <w:bottom w:val="single" w:sz="2" w:space="0" w:color="E3E3E3"/>
                            <w:right w:val="single" w:sz="2" w:space="0" w:color="E3E3E3"/>
                          </w:divBdr>
                          <w:divsChild>
                            <w:div w:id="1854490704">
                              <w:marLeft w:val="0"/>
                              <w:marRight w:val="0"/>
                              <w:marTop w:val="0"/>
                              <w:marBottom w:val="0"/>
                              <w:divBdr>
                                <w:top w:val="single" w:sz="2" w:space="0" w:color="E3E3E3"/>
                                <w:left w:val="single" w:sz="2" w:space="0" w:color="E3E3E3"/>
                                <w:bottom w:val="single" w:sz="2" w:space="0" w:color="E3E3E3"/>
                                <w:right w:val="single" w:sz="2" w:space="0" w:color="E3E3E3"/>
                              </w:divBdr>
                              <w:divsChild>
                                <w:div w:id="1604806586">
                                  <w:marLeft w:val="0"/>
                                  <w:marRight w:val="0"/>
                                  <w:marTop w:val="100"/>
                                  <w:marBottom w:val="100"/>
                                  <w:divBdr>
                                    <w:top w:val="single" w:sz="2" w:space="0" w:color="E3E3E3"/>
                                    <w:left w:val="single" w:sz="2" w:space="0" w:color="E3E3E3"/>
                                    <w:bottom w:val="single" w:sz="2" w:space="0" w:color="E3E3E3"/>
                                    <w:right w:val="single" w:sz="2" w:space="0" w:color="E3E3E3"/>
                                  </w:divBdr>
                                  <w:divsChild>
                                    <w:div w:id="1275284618">
                                      <w:marLeft w:val="0"/>
                                      <w:marRight w:val="0"/>
                                      <w:marTop w:val="0"/>
                                      <w:marBottom w:val="0"/>
                                      <w:divBdr>
                                        <w:top w:val="single" w:sz="2" w:space="0" w:color="E3E3E3"/>
                                        <w:left w:val="single" w:sz="2" w:space="0" w:color="E3E3E3"/>
                                        <w:bottom w:val="single" w:sz="2" w:space="0" w:color="E3E3E3"/>
                                        <w:right w:val="single" w:sz="2" w:space="0" w:color="E3E3E3"/>
                                      </w:divBdr>
                                      <w:divsChild>
                                        <w:div w:id="1593511532">
                                          <w:marLeft w:val="0"/>
                                          <w:marRight w:val="0"/>
                                          <w:marTop w:val="0"/>
                                          <w:marBottom w:val="0"/>
                                          <w:divBdr>
                                            <w:top w:val="single" w:sz="2" w:space="0" w:color="E3E3E3"/>
                                            <w:left w:val="single" w:sz="2" w:space="0" w:color="E3E3E3"/>
                                            <w:bottom w:val="single" w:sz="2" w:space="0" w:color="E3E3E3"/>
                                            <w:right w:val="single" w:sz="2" w:space="0" w:color="E3E3E3"/>
                                          </w:divBdr>
                                          <w:divsChild>
                                            <w:div w:id="882862076">
                                              <w:marLeft w:val="0"/>
                                              <w:marRight w:val="0"/>
                                              <w:marTop w:val="0"/>
                                              <w:marBottom w:val="0"/>
                                              <w:divBdr>
                                                <w:top w:val="single" w:sz="2" w:space="0" w:color="E3E3E3"/>
                                                <w:left w:val="single" w:sz="2" w:space="0" w:color="E3E3E3"/>
                                                <w:bottom w:val="single" w:sz="2" w:space="0" w:color="E3E3E3"/>
                                                <w:right w:val="single" w:sz="2" w:space="0" w:color="E3E3E3"/>
                                              </w:divBdr>
                                              <w:divsChild>
                                                <w:div w:id="1657567939">
                                                  <w:marLeft w:val="0"/>
                                                  <w:marRight w:val="0"/>
                                                  <w:marTop w:val="0"/>
                                                  <w:marBottom w:val="0"/>
                                                  <w:divBdr>
                                                    <w:top w:val="single" w:sz="2" w:space="0" w:color="E3E3E3"/>
                                                    <w:left w:val="single" w:sz="2" w:space="0" w:color="E3E3E3"/>
                                                    <w:bottom w:val="single" w:sz="2" w:space="0" w:color="E3E3E3"/>
                                                    <w:right w:val="single" w:sz="2" w:space="0" w:color="E3E3E3"/>
                                                  </w:divBdr>
                                                  <w:divsChild>
                                                    <w:div w:id="1753235119">
                                                      <w:marLeft w:val="0"/>
                                                      <w:marRight w:val="0"/>
                                                      <w:marTop w:val="0"/>
                                                      <w:marBottom w:val="0"/>
                                                      <w:divBdr>
                                                        <w:top w:val="single" w:sz="2" w:space="0" w:color="E3E3E3"/>
                                                        <w:left w:val="single" w:sz="2" w:space="0" w:color="E3E3E3"/>
                                                        <w:bottom w:val="single" w:sz="2" w:space="0" w:color="E3E3E3"/>
                                                        <w:right w:val="single" w:sz="2" w:space="0" w:color="E3E3E3"/>
                                                      </w:divBdr>
                                                      <w:divsChild>
                                                        <w:div w:id="3785583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47887598">
          <w:marLeft w:val="0"/>
          <w:marRight w:val="0"/>
          <w:marTop w:val="0"/>
          <w:marBottom w:val="0"/>
          <w:divBdr>
            <w:top w:val="none" w:sz="0" w:space="0" w:color="auto"/>
            <w:left w:val="none" w:sz="0" w:space="0" w:color="auto"/>
            <w:bottom w:val="none" w:sz="0" w:space="0" w:color="auto"/>
            <w:right w:val="none" w:sz="0" w:space="0" w:color="auto"/>
          </w:divBdr>
        </w:div>
      </w:divsChild>
    </w:div>
    <w:div w:id="214441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75D3606-E30B-4BF4-BA1F-1A8B1D6CC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21</Pages>
  <Words>5316</Words>
  <Characters>31243</Characters>
  <Application>Microsoft Office Word</Application>
  <DocSecurity>0</DocSecurity>
  <Lines>260</Lines>
  <Paragraphs>72</Paragraphs>
  <ScaleCrop>false</ScaleCrop>
  <HeadingPairs>
    <vt:vector size="2" baseType="variant">
      <vt:variant>
        <vt:lpstr>Title</vt:lpstr>
      </vt:variant>
      <vt:variant>
        <vt:i4>1</vt:i4>
      </vt:variant>
    </vt:vector>
  </HeadingPairs>
  <TitlesOfParts>
    <vt:vector size="1" baseType="lpstr">
      <vt:lpstr>Financial Ratio analysis</vt:lpstr>
    </vt:vector>
  </TitlesOfParts>
  <Company/>
  <LinksUpToDate>false</LinksUpToDate>
  <CharactersWithSpaces>36487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Ratio analysis</dc:title>
  <dc:subject>Company: Netflix</dc:subject>
  <dc:creator>Microsoft account</dc:creator>
  <cp:keywords/>
  <dc:description/>
  <cp:lastModifiedBy>atishaya kadam</cp:lastModifiedBy>
  <cp:revision>72</cp:revision>
  <dcterms:created xsi:type="dcterms:W3CDTF">2024-04-06T13:33:00Z</dcterms:created>
  <dcterms:modified xsi:type="dcterms:W3CDTF">2024-04-24T12:45:00Z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11fd81af35a532443421599018fde71103d9313ffd06dd88551d367627eeca76</vt:lpwstr>
  </property>
</Properties>
</file>