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4DF545" w14:textId="77777777" w:rsidR="00A868AF" w:rsidRDefault="00A868AF" w:rsidP="00A868AF">
      <w:pPr>
        <w:jc w:val="center"/>
        <w:rPr>
          <w:rFonts w:ascii="Times New Roman" w:hAnsi="Times New Roman" w:cs="Times New Roman"/>
          <w:sz w:val="28"/>
          <w:szCs w:val="28"/>
          <w:u w:val="single"/>
        </w:rPr>
      </w:pPr>
    </w:p>
    <w:p w14:paraId="0A0F59EC" w14:textId="43710808" w:rsidR="00A868AF" w:rsidRPr="00A868AF" w:rsidRDefault="00A868AF" w:rsidP="00A868AF">
      <w:pPr>
        <w:jc w:val="center"/>
        <w:rPr>
          <w:rFonts w:ascii="Times New Roman" w:hAnsi="Times New Roman" w:cs="Times New Roman"/>
          <w:sz w:val="28"/>
          <w:szCs w:val="28"/>
          <w:u w:val="single"/>
        </w:rPr>
      </w:pPr>
      <w:r w:rsidRPr="00A868AF">
        <w:rPr>
          <w:rFonts w:ascii="Times New Roman" w:hAnsi="Times New Roman" w:cs="Times New Roman"/>
          <w:sz w:val="28"/>
          <w:szCs w:val="28"/>
          <w:u w:val="single"/>
        </w:rPr>
        <w:t>Investigating Poor-Pitch Singing and Pitch Accuracy Improvement Strategies.</w:t>
      </w:r>
    </w:p>
    <w:p w14:paraId="6C289F12" w14:textId="77777777" w:rsidR="00A868AF" w:rsidRDefault="00A868AF" w:rsidP="00A868AF">
      <w:pPr>
        <w:rPr>
          <w:rFonts w:ascii="Times New Roman" w:hAnsi="Times New Roman" w:cs="Times New Roman"/>
          <w:b/>
          <w:bCs/>
          <w:sz w:val="28"/>
          <w:szCs w:val="28"/>
        </w:rPr>
      </w:pPr>
    </w:p>
    <w:p w14:paraId="6D4F7006" w14:textId="6D6B6CBF" w:rsidR="00A868AF" w:rsidRPr="00A868AF" w:rsidRDefault="00A868AF" w:rsidP="00A868AF">
      <w:pPr>
        <w:rPr>
          <w:rFonts w:ascii="Times New Roman" w:hAnsi="Times New Roman" w:cs="Times New Roman"/>
          <w:b/>
          <w:bCs/>
          <w:sz w:val="28"/>
          <w:szCs w:val="28"/>
        </w:rPr>
      </w:pPr>
      <w:r w:rsidRPr="00A868AF">
        <w:rPr>
          <w:rFonts w:ascii="Times New Roman" w:hAnsi="Times New Roman" w:cs="Times New Roman"/>
          <w:b/>
          <w:bCs/>
          <w:sz w:val="28"/>
          <w:szCs w:val="28"/>
        </w:rPr>
        <w:t xml:space="preserve">Part </w:t>
      </w:r>
      <w:r>
        <w:rPr>
          <w:rFonts w:ascii="Times New Roman" w:hAnsi="Times New Roman" w:cs="Times New Roman"/>
          <w:b/>
          <w:bCs/>
          <w:sz w:val="28"/>
          <w:szCs w:val="28"/>
        </w:rPr>
        <w:t>1</w:t>
      </w:r>
      <w:r w:rsidRPr="00A868AF">
        <w:rPr>
          <w:rFonts w:ascii="Times New Roman" w:hAnsi="Times New Roman" w:cs="Times New Roman"/>
          <w:b/>
          <w:bCs/>
          <w:sz w:val="28"/>
          <w:szCs w:val="28"/>
        </w:rPr>
        <w:t xml:space="preserve"> – </w:t>
      </w:r>
      <w:r>
        <w:rPr>
          <w:rFonts w:ascii="Times New Roman" w:hAnsi="Times New Roman" w:cs="Times New Roman"/>
          <w:b/>
          <w:bCs/>
          <w:sz w:val="28"/>
          <w:szCs w:val="28"/>
        </w:rPr>
        <w:t>Portfolio</w:t>
      </w:r>
    </w:p>
    <w:p w14:paraId="13B4CDEC" w14:textId="77777777" w:rsidR="00A868AF" w:rsidRPr="00500739" w:rsidRDefault="00A868AF" w:rsidP="00A868AF">
      <w:pPr>
        <w:pStyle w:val="NormalWeb"/>
        <w:rPr>
          <w:sz w:val="28"/>
          <w:szCs w:val="28"/>
          <w:u w:val="single"/>
        </w:rPr>
      </w:pPr>
      <w:r w:rsidRPr="00500739">
        <w:rPr>
          <w:sz w:val="28"/>
          <w:szCs w:val="28"/>
          <w:u w:val="single"/>
        </w:rPr>
        <w:t xml:space="preserve">Introduction and rationale </w:t>
      </w:r>
    </w:p>
    <w:p w14:paraId="1A4C9620" w14:textId="77777777" w:rsidR="00A868AF" w:rsidRPr="00BD0E8B" w:rsidRDefault="00A868AF" w:rsidP="00A868AF">
      <w:pPr>
        <w:pStyle w:val="NormalWeb"/>
      </w:pPr>
      <w:r w:rsidRPr="00BD0E8B">
        <w:t xml:space="preserve">As a self-employed vocal coach working predominantly with aspiring musical theatre performers of all ages, I work with students of a variety of levels every day. In recent years I have been working more and more with dancers and actors who would not first consider themselves singers or vocalists, but wish to learn to sing in order to broaden their horizons within the musical theatre industry, seeking to become a coveted ‘triple threat’ performer (Glasheen, 2017; Moore, 2024). </w:t>
      </w:r>
    </w:p>
    <w:p w14:paraId="072816BB" w14:textId="77777777" w:rsidR="00A868AF" w:rsidRPr="00BD0E8B" w:rsidRDefault="00A868AF" w:rsidP="00A868AF">
      <w:pPr>
        <w:pStyle w:val="NormalWeb"/>
      </w:pPr>
      <w:r w:rsidRPr="00BD0E8B">
        <w:t>I have observed that a major challenge for many of these students is an actual, or sometimes just self-perceived, tendency towards poor-pitch singing, where their vocals lack precise intonation and they struggle to accurately match intended pitches. This can be evident to varying degrees, and in some cases, may be easily remediated in the singing studio with encouragement, exposure and practice (Erickson, 2011)</w:t>
      </w:r>
      <w:r>
        <w:t xml:space="preserve">. </w:t>
      </w:r>
      <w:r w:rsidRPr="00BD0E8B">
        <w:t>However, for a significant proportion of these students, poor-pitch singing appears to be a persistent issue that can be frustratingly resistant to improvement, despite their efforts (</w:t>
      </w:r>
      <w:r w:rsidRPr="0014612F">
        <w:t>Pfordresher</w:t>
      </w:r>
      <w:r>
        <w:t xml:space="preserve"> </w:t>
      </w:r>
      <w:r w:rsidRPr="0014612F">
        <w:t>and Demorest, 2021</w:t>
      </w:r>
      <w:r w:rsidRPr="00BD0E8B">
        <w:t xml:space="preserve">). </w:t>
      </w:r>
    </w:p>
    <w:p w14:paraId="27FCB3E4" w14:textId="5239FAEA" w:rsidR="00A868AF" w:rsidRPr="00BD0E8B" w:rsidRDefault="00A868AF" w:rsidP="00A868AF">
      <w:pPr>
        <w:pStyle w:val="NormalWeb"/>
      </w:pPr>
      <w:r w:rsidRPr="00BD0E8B">
        <w:t xml:space="preserve">There appears to be a widespread cultural misunderstanding of the term ‘tone deaf’ ( ), with the term itself implying it to be a fixed and unchangeable condition (Wise and Sloboda, 2008), as the result of a physiological difference in the individuals </w:t>
      </w:r>
      <w:r>
        <w:t xml:space="preserve">genetics, </w:t>
      </w:r>
      <w:r w:rsidRPr="00BD0E8B">
        <w:t>anatomy and</w:t>
      </w:r>
      <w:r>
        <w:t>/or</w:t>
      </w:r>
      <w:r w:rsidRPr="00BD0E8B">
        <w:t xml:space="preserve"> hearing (</w:t>
      </w:r>
      <w:r>
        <w:t>Watts et al., 2002</w:t>
      </w:r>
      <w:r w:rsidRPr="00BD0E8B">
        <w:t>), or a lack of innate musical ability (Greenberg, 1970). Although some do view it as either you can or you can’t when it comes to singing in tune ( ), pitch-matching ability clearly exists on a spectrum, rather than being a binary condition, with some finding it easier to improve than others, as I and other singing teachers have anecdotally reported from our experiences in the singing studio. Far more people think they are tone deaf than actually are ( ), and a growing body of evidence suggests that the vast majority of poor-pitch singers can improve their tuning ( ). Psychological and environmental factors such as self-efficacy ( ) mindset ( ), exposure to musical models and feedback play a significant role in the development of pitch accuracy from childhood (Turøy, 2017), research in the area suggests that people can improve their pitch accuracy abilities through training (Paney and Kay, 2015; Wolner and Pyle, 1933). Interestingly, even individuals with Amusia, the term for clinically defined ‘tone deafness’</w:t>
      </w:r>
      <w:r w:rsidR="00BE5640">
        <w:t xml:space="preserve"> (Peretz and Hyde, 2002) </w:t>
      </w:r>
      <w:r w:rsidRPr="00BD0E8B">
        <w:t xml:space="preserve">may be able to improve to some degree. </w:t>
      </w:r>
    </w:p>
    <w:p w14:paraId="248DEEE6" w14:textId="77777777" w:rsidR="00A868AF" w:rsidRDefault="00A868AF" w:rsidP="00A868AF">
      <w:pPr>
        <w:pStyle w:val="NormalWeb"/>
      </w:pPr>
      <w:r w:rsidRPr="00BD0E8B">
        <w:t>This raises the</w:t>
      </w:r>
      <w:r>
        <w:t xml:space="preserve"> following</w:t>
      </w:r>
      <w:r w:rsidRPr="00BD0E8B">
        <w:t xml:space="preserve"> questions</w:t>
      </w:r>
      <w:r>
        <w:t xml:space="preserve">: </w:t>
      </w:r>
      <w:r w:rsidRPr="00BD0E8B">
        <w:t>What are the principal causes of poor-pitch singing</w:t>
      </w:r>
      <w:r>
        <w:t>?; W</w:t>
      </w:r>
      <w:r w:rsidRPr="00BD0E8B">
        <w:t>hy do some people struggle with it more than others</w:t>
      </w:r>
      <w:r>
        <w:t>?;</w:t>
      </w:r>
      <w:r w:rsidRPr="00BD0E8B">
        <w:t xml:space="preserve"> </w:t>
      </w:r>
      <w:r>
        <w:t>W</w:t>
      </w:r>
      <w:r w:rsidRPr="00BD0E8B">
        <w:t>hy do some people not seem to find this a challenge at all, despite not having previous singing exposure or training</w:t>
      </w:r>
      <w:r>
        <w:t>?;</w:t>
      </w:r>
      <w:r w:rsidRPr="00BD0E8B">
        <w:t xml:space="preserve"> </w:t>
      </w:r>
      <w:r>
        <w:t>W</w:t>
      </w:r>
      <w:r w:rsidRPr="00BD0E8B">
        <w:t xml:space="preserve">hat strategies and interventions can be most effectively employed to improve pitch accuracy in those who struggle with it? </w:t>
      </w:r>
      <w:r>
        <w:t xml:space="preserve">These questions will act as a starting point for my preliminary reading before being adapted and developed into key research questions for the project. </w:t>
      </w:r>
    </w:p>
    <w:p w14:paraId="7412A274" w14:textId="77777777" w:rsidR="00A868AF" w:rsidRDefault="00A868AF" w:rsidP="00A868AF">
      <w:pPr>
        <w:pStyle w:val="NormalWeb"/>
      </w:pPr>
      <w:r w:rsidRPr="00BD0E8B">
        <w:lastRenderedPageBreak/>
        <w:t>From conversations with other singing teachers, I have become increasingly aware that many, including myself, lack a deep understanding of the causes of poor-pitch singing behaviour and the most effective remediation strategies, beyond the techniques we may have learned during our own training and experience (both as vocalists and singing teachers)</w:t>
      </w:r>
      <w:r>
        <w:t xml:space="preserve">. I feel that I have techniques available to help vocalists fine tune singular notes, however they are not transferable or sufficient for addressing consistent poor pitch. </w:t>
      </w:r>
      <w:r w:rsidRPr="00BD0E8B">
        <w:t xml:space="preserve">This leads, in many cases, to </w:t>
      </w:r>
      <w:r>
        <w:t>a</w:t>
      </w:r>
      <w:r w:rsidRPr="00BD0E8B">
        <w:t xml:space="preserve"> trial-and-error s</w:t>
      </w:r>
      <w:r>
        <w:t>upport style</w:t>
      </w:r>
      <w:r w:rsidRPr="00BD0E8B">
        <w:t xml:space="preserve"> when working with students</w:t>
      </w:r>
      <w:r>
        <w:t xml:space="preserve"> who consistently sing with poor pitch. In order for me to advance my practice and better serve my students, I am driven to gain a deeper understanding of how to support poor pitch singers, so that I can equip myself with </w:t>
      </w:r>
      <w:r w:rsidRPr="00BD0E8B">
        <w:t>evidence-based</w:t>
      </w:r>
      <w:r>
        <w:t xml:space="preserve"> </w:t>
      </w:r>
      <w:r w:rsidRPr="00BD0E8B">
        <w:t xml:space="preserve">strategies </w:t>
      </w:r>
      <w:r>
        <w:t>and</w:t>
      </w:r>
      <w:r w:rsidRPr="00BD0E8B">
        <w:t xml:space="preserve"> target the individuals’ challenges and increase the likelihood and speed of improvement</w:t>
      </w:r>
      <w:r>
        <w:t xml:space="preserve">. </w:t>
      </w:r>
    </w:p>
    <w:p w14:paraId="09EF1F20" w14:textId="389FB990" w:rsidR="00A868AF" w:rsidRDefault="00A868AF" w:rsidP="00A868AF">
      <w:pPr>
        <w:pStyle w:val="NormalWeb"/>
      </w:pPr>
      <w:r>
        <w:t xml:space="preserve">Likewise, it is important to acknowledge that, as a vocalist and singing teacher that doesn’t remember ever finding singing in tune a challenge, I cannot personally relate to how it feels to struggle with pitch accuracy. This presents a challenge when using ‘reflection-in-action’ (Schön, 1991) in the studio as I do not have experience of working through such challenges personally and therefore cannot use such ‘theories in use’ (Schön, 1991) this to inform my approach. It would be very easy for me to assume something to be easy, or to not understand how to move forward, and so through embarking on this research journey, I aim to address this lack of understanding. </w:t>
      </w:r>
      <w:r w:rsidR="00B26994">
        <w:t>There are teachers who are resistant to engaging in professional development, reflection and learning for a variety of reasons, including not seeing the need to, not recognising what they don’t know or where they could improve, or for fear of</w:t>
      </w:r>
      <w:r w:rsidR="00134ADD">
        <w:t xml:space="preserve"> being wrong </w:t>
      </w:r>
      <w:r w:rsidR="00B26994">
        <w:t>(</w:t>
      </w:r>
      <w:r w:rsidR="009F1E30">
        <w:t>Moats,</w:t>
      </w:r>
      <w:r w:rsidR="002226AD">
        <w:t xml:space="preserve"> 2014</w:t>
      </w:r>
      <w:r w:rsidR="00B26994">
        <w:t>)</w:t>
      </w:r>
      <w:r w:rsidR="00B26994">
        <w:t xml:space="preserve">.  </w:t>
      </w:r>
      <w:r>
        <w:t>I hope that by learning more about how and why poor-pitch singing occurs, I will become a more empathetic and attentive teacher when working with students who struggle with it in the future</w:t>
      </w:r>
      <w:r w:rsidR="00134ADD">
        <w:t>, and avoid missing these opportunities in the way some teachers may do for the reasons mentioned above</w:t>
      </w:r>
      <w:r>
        <w:t xml:space="preserve">. Similarly, I aim to carry this research project out with a view to developing a toolkit of strategies to use and implement through a pitch training programme for singers in the future. </w:t>
      </w:r>
    </w:p>
    <w:p w14:paraId="3589C027" w14:textId="77777777" w:rsidR="00A868AF" w:rsidRDefault="00A868AF" w:rsidP="00A868AF">
      <w:pPr>
        <w:rPr>
          <w:rFonts w:ascii="Times New Roman" w:hAnsi="Times New Roman" w:cs="Times New Roman"/>
        </w:rPr>
      </w:pPr>
    </w:p>
    <w:p w14:paraId="009D747C" w14:textId="77777777" w:rsidR="00A868AF" w:rsidRPr="00500739" w:rsidRDefault="00A868AF" w:rsidP="00A868AF">
      <w:pPr>
        <w:rPr>
          <w:rFonts w:ascii="Times New Roman" w:hAnsi="Times New Roman" w:cs="Times New Roman"/>
          <w:sz w:val="28"/>
          <w:szCs w:val="28"/>
          <w:u w:val="single"/>
        </w:rPr>
      </w:pPr>
      <w:r w:rsidRPr="00500739">
        <w:rPr>
          <w:rFonts w:ascii="Times New Roman" w:hAnsi="Times New Roman" w:cs="Times New Roman"/>
          <w:sz w:val="28"/>
          <w:szCs w:val="28"/>
          <w:u w:val="single"/>
        </w:rPr>
        <w:t xml:space="preserve">Planned programme of study </w:t>
      </w:r>
    </w:p>
    <w:p w14:paraId="68EC53F5" w14:textId="77777777" w:rsidR="00A45B3D" w:rsidRDefault="00A45B3D" w:rsidP="00A45B3D">
      <w:pPr>
        <w:pStyle w:val="NormalWeb"/>
        <w:spacing w:before="0" w:beforeAutospacing="0" w:after="0" w:afterAutospacing="0"/>
        <w:rPr>
          <w:b/>
          <w:bCs/>
          <w:color w:val="0E101A"/>
        </w:rPr>
      </w:pPr>
    </w:p>
    <w:tbl>
      <w:tblPr>
        <w:tblStyle w:val="TableGrid"/>
        <w:tblW w:w="9351" w:type="dxa"/>
        <w:tblLook w:val="04A0" w:firstRow="1" w:lastRow="0" w:firstColumn="1" w:lastColumn="0" w:noHBand="0" w:noVBand="1"/>
      </w:tblPr>
      <w:tblGrid>
        <w:gridCol w:w="3005"/>
        <w:gridCol w:w="6346"/>
      </w:tblGrid>
      <w:tr w:rsidR="00A45B3D" w14:paraId="698B2207" w14:textId="77777777" w:rsidTr="00E07336">
        <w:tc>
          <w:tcPr>
            <w:tcW w:w="3005" w:type="dxa"/>
          </w:tcPr>
          <w:p w14:paraId="4D5DD43E" w14:textId="77777777" w:rsidR="00A45B3D" w:rsidRPr="008E668C" w:rsidRDefault="00A45B3D" w:rsidP="00E07336">
            <w:pPr>
              <w:jc w:val="center"/>
              <w:rPr>
                <w:b/>
                <w:bCs/>
              </w:rPr>
            </w:pPr>
            <w:r w:rsidRPr="008E668C">
              <w:rPr>
                <w:b/>
                <w:bCs/>
              </w:rPr>
              <w:t>Week commencing</w:t>
            </w:r>
          </w:p>
        </w:tc>
        <w:tc>
          <w:tcPr>
            <w:tcW w:w="6346" w:type="dxa"/>
          </w:tcPr>
          <w:p w14:paraId="23A41A21" w14:textId="77777777" w:rsidR="00A45B3D" w:rsidRPr="008E668C" w:rsidRDefault="00A45B3D" w:rsidP="00E07336">
            <w:pPr>
              <w:jc w:val="center"/>
              <w:rPr>
                <w:b/>
                <w:bCs/>
              </w:rPr>
            </w:pPr>
            <w:r w:rsidRPr="008E668C">
              <w:rPr>
                <w:b/>
                <w:bCs/>
              </w:rPr>
              <w:t>Plan</w:t>
            </w:r>
            <w:r>
              <w:rPr>
                <w:b/>
                <w:bCs/>
              </w:rPr>
              <w:br/>
            </w:r>
          </w:p>
        </w:tc>
      </w:tr>
      <w:tr w:rsidR="00A45B3D" w14:paraId="4C56D584" w14:textId="77777777" w:rsidTr="00E07336">
        <w:tc>
          <w:tcPr>
            <w:tcW w:w="3005" w:type="dxa"/>
          </w:tcPr>
          <w:p w14:paraId="19A54FAC" w14:textId="77777777" w:rsidR="00A45B3D" w:rsidRPr="000848DC" w:rsidRDefault="00A45B3D" w:rsidP="00E07336">
            <w:pPr>
              <w:rPr>
                <w:b/>
                <w:bCs/>
                <w:color w:val="92D050"/>
              </w:rPr>
            </w:pPr>
            <w:r w:rsidRPr="000848DC">
              <w:rPr>
                <w:b/>
                <w:bCs/>
                <w:color w:val="92D050"/>
              </w:rPr>
              <w:t>18</w:t>
            </w:r>
            <w:r w:rsidRPr="000848DC">
              <w:rPr>
                <w:b/>
                <w:bCs/>
                <w:color w:val="92D050"/>
                <w:vertAlign w:val="superscript"/>
              </w:rPr>
              <w:t>th</w:t>
            </w:r>
            <w:r w:rsidRPr="000848DC">
              <w:rPr>
                <w:b/>
                <w:bCs/>
                <w:color w:val="92D050"/>
              </w:rPr>
              <w:t xml:space="preserve"> March</w:t>
            </w:r>
          </w:p>
        </w:tc>
        <w:tc>
          <w:tcPr>
            <w:tcW w:w="6346" w:type="dxa"/>
            <w:vMerge w:val="restart"/>
          </w:tcPr>
          <w:p w14:paraId="75EE26E3" w14:textId="77777777" w:rsidR="00A45B3D" w:rsidRDefault="00A45B3D" w:rsidP="00E07336">
            <w:r>
              <w:t xml:space="preserve">General overview reading on topic; taking into account what areas have interested me/ seemed most relevant and what questions that have come up for me in my reading to delve into deeper; write draft rationale for study topic. </w:t>
            </w:r>
          </w:p>
        </w:tc>
      </w:tr>
      <w:tr w:rsidR="00A45B3D" w14:paraId="3B004289" w14:textId="77777777" w:rsidTr="00E07336">
        <w:tc>
          <w:tcPr>
            <w:tcW w:w="3005" w:type="dxa"/>
          </w:tcPr>
          <w:p w14:paraId="3A49F6F4" w14:textId="77777777" w:rsidR="00A45B3D" w:rsidRPr="000848DC" w:rsidRDefault="00A45B3D" w:rsidP="00E07336">
            <w:pPr>
              <w:rPr>
                <w:b/>
                <w:bCs/>
                <w:color w:val="92D050"/>
              </w:rPr>
            </w:pPr>
            <w:r w:rsidRPr="000848DC">
              <w:rPr>
                <w:b/>
                <w:bCs/>
                <w:color w:val="92D050"/>
              </w:rPr>
              <w:t>25</w:t>
            </w:r>
            <w:r w:rsidRPr="000848DC">
              <w:rPr>
                <w:b/>
                <w:bCs/>
                <w:color w:val="92D050"/>
                <w:vertAlign w:val="superscript"/>
              </w:rPr>
              <w:t>th</w:t>
            </w:r>
            <w:r w:rsidRPr="000848DC">
              <w:rPr>
                <w:b/>
                <w:bCs/>
                <w:color w:val="92D050"/>
              </w:rPr>
              <w:t xml:space="preserve"> March </w:t>
            </w:r>
          </w:p>
        </w:tc>
        <w:tc>
          <w:tcPr>
            <w:tcW w:w="6346" w:type="dxa"/>
            <w:vMerge/>
          </w:tcPr>
          <w:p w14:paraId="4293CBDA" w14:textId="77777777" w:rsidR="00A45B3D" w:rsidRDefault="00A45B3D" w:rsidP="00E07336"/>
        </w:tc>
      </w:tr>
      <w:tr w:rsidR="00A45B3D" w14:paraId="6FCA53B8" w14:textId="77777777" w:rsidTr="00E07336">
        <w:tc>
          <w:tcPr>
            <w:tcW w:w="3005" w:type="dxa"/>
          </w:tcPr>
          <w:p w14:paraId="14056188" w14:textId="77777777" w:rsidR="00A45B3D" w:rsidRPr="000848DC" w:rsidRDefault="00A45B3D" w:rsidP="00E07336">
            <w:pPr>
              <w:rPr>
                <w:b/>
                <w:bCs/>
                <w:color w:val="92D050"/>
              </w:rPr>
            </w:pPr>
            <w:r w:rsidRPr="000848DC">
              <w:rPr>
                <w:b/>
                <w:bCs/>
                <w:color w:val="92D050"/>
              </w:rPr>
              <w:t>1</w:t>
            </w:r>
            <w:r w:rsidRPr="000848DC">
              <w:rPr>
                <w:b/>
                <w:bCs/>
                <w:color w:val="92D050"/>
                <w:vertAlign w:val="superscript"/>
              </w:rPr>
              <w:t>st</w:t>
            </w:r>
            <w:r w:rsidRPr="000848DC">
              <w:rPr>
                <w:b/>
                <w:bCs/>
                <w:color w:val="92D050"/>
              </w:rPr>
              <w:t xml:space="preserve"> April </w:t>
            </w:r>
          </w:p>
        </w:tc>
        <w:tc>
          <w:tcPr>
            <w:tcW w:w="6346" w:type="dxa"/>
            <w:vMerge w:val="restart"/>
          </w:tcPr>
          <w:p w14:paraId="2D7B5721" w14:textId="77777777" w:rsidR="00A45B3D" w:rsidRDefault="00A45B3D" w:rsidP="00E07336">
            <w:r>
              <w:t xml:space="preserve">Research methodology; delve deeper into areas of literature identified as important and start crafting a comprehensive plan for part 2 of the assignment.  </w:t>
            </w:r>
          </w:p>
        </w:tc>
      </w:tr>
      <w:tr w:rsidR="00A45B3D" w14:paraId="0D31D9E9" w14:textId="77777777" w:rsidTr="00E07336">
        <w:tc>
          <w:tcPr>
            <w:tcW w:w="3005" w:type="dxa"/>
          </w:tcPr>
          <w:p w14:paraId="3FFAA5AA" w14:textId="77777777" w:rsidR="00A45B3D" w:rsidRPr="000848DC" w:rsidRDefault="00A45B3D" w:rsidP="00E07336">
            <w:pPr>
              <w:rPr>
                <w:b/>
                <w:bCs/>
                <w:color w:val="92D050"/>
              </w:rPr>
            </w:pPr>
            <w:r w:rsidRPr="000848DC">
              <w:rPr>
                <w:b/>
                <w:bCs/>
                <w:color w:val="92D050"/>
              </w:rPr>
              <w:t>8</w:t>
            </w:r>
            <w:r w:rsidRPr="000848DC">
              <w:rPr>
                <w:b/>
                <w:bCs/>
                <w:color w:val="92D050"/>
                <w:vertAlign w:val="superscript"/>
              </w:rPr>
              <w:t>th</w:t>
            </w:r>
            <w:r w:rsidRPr="000848DC">
              <w:rPr>
                <w:b/>
                <w:bCs/>
                <w:color w:val="92D050"/>
              </w:rPr>
              <w:t xml:space="preserve"> April </w:t>
            </w:r>
          </w:p>
        </w:tc>
        <w:tc>
          <w:tcPr>
            <w:tcW w:w="6346" w:type="dxa"/>
            <w:vMerge/>
          </w:tcPr>
          <w:p w14:paraId="0DB25349" w14:textId="77777777" w:rsidR="00A45B3D" w:rsidRDefault="00A45B3D" w:rsidP="00E07336"/>
        </w:tc>
      </w:tr>
      <w:tr w:rsidR="00A45B3D" w14:paraId="533CC2EE" w14:textId="77777777" w:rsidTr="00E07336">
        <w:tc>
          <w:tcPr>
            <w:tcW w:w="3005" w:type="dxa"/>
          </w:tcPr>
          <w:p w14:paraId="4C817093" w14:textId="77777777" w:rsidR="00A45B3D" w:rsidRPr="000848DC" w:rsidRDefault="00A45B3D" w:rsidP="00E07336">
            <w:pPr>
              <w:rPr>
                <w:b/>
                <w:bCs/>
                <w:color w:val="92D050"/>
              </w:rPr>
            </w:pPr>
            <w:r w:rsidRPr="000848DC">
              <w:rPr>
                <w:b/>
                <w:bCs/>
                <w:color w:val="92D050"/>
              </w:rPr>
              <w:t>15</w:t>
            </w:r>
            <w:r w:rsidRPr="000848DC">
              <w:rPr>
                <w:b/>
                <w:bCs/>
                <w:color w:val="92D050"/>
                <w:vertAlign w:val="superscript"/>
              </w:rPr>
              <w:t>th</w:t>
            </w:r>
            <w:r w:rsidRPr="000848DC">
              <w:rPr>
                <w:b/>
                <w:bCs/>
                <w:color w:val="92D050"/>
              </w:rPr>
              <w:t xml:space="preserve"> April</w:t>
            </w:r>
          </w:p>
        </w:tc>
        <w:tc>
          <w:tcPr>
            <w:tcW w:w="6346" w:type="dxa"/>
            <w:vMerge w:val="restart"/>
          </w:tcPr>
          <w:p w14:paraId="1CC88255" w14:textId="77777777" w:rsidR="00A45B3D" w:rsidRDefault="00A45B3D" w:rsidP="00E07336">
            <w:r>
              <w:t xml:space="preserve">Write part 2 </w:t>
            </w:r>
          </w:p>
        </w:tc>
      </w:tr>
      <w:tr w:rsidR="00A45B3D" w14:paraId="423B69E3" w14:textId="77777777" w:rsidTr="00E07336">
        <w:tc>
          <w:tcPr>
            <w:tcW w:w="3005" w:type="dxa"/>
          </w:tcPr>
          <w:p w14:paraId="5D0F0C4F" w14:textId="77777777" w:rsidR="00A45B3D" w:rsidRPr="000848DC" w:rsidRDefault="00A45B3D" w:rsidP="00E07336">
            <w:pPr>
              <w:rPr>
                <w:b/>
                <w:bCs/>
                <w:color w:val="92D050"/>
              </w:rPr>
            </w:pPr>
            <w:r w:rsidRPr="000848DC">
              <w:rPr>
                <w:b/>
                <w:bCs/>
                <w:color w:val="92D050"/>
              </w:rPr>
              <w:t>22</w:t>
            </w:r>
            <w:r w:rsidRPr="000848DC">
              <w:rPr>
                <w:b/>
                <w:bCs/>
                <w:color w:val="92D050"/>
                <w:vertAlign w:val="superscript"/>
              </w:rPr>
              <w:t>nd</w:t>
            </w:r>
            <w:r w:rsidRPr="000848DC">
              <w:rPr>
                <w:b/>
                <w:bCs/>
                <w:color w:val="92D050"/>
              </w:rPr>
              <w:t xml:space="preserve"> April</w:t>
            </w:r>
          </w:p>
        </w:tc>
        <w:tc>
          <w:tcPr>
            <w:tcW w:w="6346" w:type="dxa"/>
            <w:vMerge/>
          </w:tcPr>
          <w:p w14:paraId="25582976" w14:textId="77777777" w:rsidR="00A45B3D" w:rsidRDefault="00A45B3D" w:rsidP="00E07336"/>
        </w:tc>
      </w:tr>
      <w:tr w:rsidR="00A45B3D" w14:paraId="4F06CDF2" w14:textId="77777777" w:rsidTr="00E07336">
        <w:tc>
          <w:tcPr>
            <w:tcW w:w="3005" w:type="dxa"/>
          </w:tcPr>
          <w:p w14:paraId="7C59F105" w14:textId="77777777" w:rsidR="00A45B3D" w:rsidRPr="000848DC" w:rsidRDefault="00A45B3D" w:rsidP="00E07336">
            <w:pPr>
              <w:rPr>
                <w:b/>
                <w:bCs/>
                <w:color w:val="92D050"/>
              </w:rPr>
            </w:pPr>
            <w:r w:rsidRPr="000848DC">
              <w:rPr>
                <w:b/>
                <w:bCs/>
                <w:color w:val="92D050"/>
              </w:rPr>
              <w:t>29</w:t>
            </w:r>
            <w:r w:rsidRPr="000848DC">
              <w:rPr>
                <w:b/>
                <w:bCs/>
                <w:color w:val="92D050"/>
                <w:vertAlign w:val="superscript"/>
              </w:rPr>
              <w:t>th</w:t>
            </w:r>
            <w:r w:rsidRPr="000848DC">
              <w:rPr>
                <w:b/>
                <w:bCs/>
                <w:color w:val="92D050"/>
              </w:rPr>
              <w:t xml:space="preserve"> April</w:t>
            </w:r>
          </w:p>
        </w:tc>
        <w:tc>
          <w:tcPr>
            <w:tcW w:w="6346" w:type="dxa"/>
            <w:vMerge/>
          </w:tcPr>
          <w:p w14:paraId="21803891" w14:textId="77777777" w:rsidR="00A45B3D" w:rsidRDefault="00A45B3D" w:rsidP="00E07336"/>
        </w:tc>
      </w:tr>
      <w:tr w:rsidR="00A45B3D" w14:paraId="29432774" w14:textId="77777777" w:rsidTr="00E07336">
        <w:tc>
          <w:tcPr>
            <w:tcW w:w="3005" w:type="dxa"/>
          </w:tcPr>
          <w:p w14:paraId="53178A64" w14:textId="77777777" w:rsidR="00A45B3D" w:rsidRPr="000848DC" w:rsidRDefault="00A45B3D" w:rsidP="00E07336">
            <w:pPr>
              <w:rPr>
                <w:b/>
                <w:bCs/>
                <w:color w:val="3A7C22" w:themeColor="accent6" w:themeShade="BF"/>
              </w:rPr>
            </w:pPr>
            <w:r w:rsidRPr="000848DC">
              <w:rPr>
                <w:b/>
                <w:bCs/>
                <w:color w:val="3A7C22" w:themeColor="accent6" w:themeShade="BF"/>
              </w:rPr>
              <w:t>6</w:t>
            </w:r>
            <w:r w:rsidRPr="000848DC">
              <w:rPr>
                <w:b/>
                <w:bCs/>
                <w:color w:val="3A7C22" w:themeColor="accent6" w:themeShade="BF"/>
                <w:vertAlign w:val="superscript"/>
              </w:rPr>
              <w:t>th</w:t>
            </w:r>
            <w:r w:rsidRPr="000848DC">
              <w:rPr>
                <w:b/>
                <w:bCs/>
                <w:color w:val="3A7C22" w:themeColor="accent6" w:themeShade="BF"/>
              </w:rPr>
              <w:t xml:space="preserve"> May </w:t>
            </w:r>
          </w:p>
        </w:tc>
        <w:tc>
          <w:tcPr>
            <w:tcW w:w="6346" w:type="dxa"/>
            <w:vMerge/>
          </w:tcPr>
          <w:p w14:paraId="4924F120" w14:textId="77777777" w:rsidR="00A45B3D" w:rsidRDefault="00A45B3D" w:rsidP="00E07336"/>
        </w:tc>
      </w:tr>
      <w:tr w:rsidR="00A45B3D" w14:paraId="6B2D221E" w14:textId="77777777" w:rsidTr="00E07336">
        <w:tc>
          <w:tcPr>
            <w:tcW w:w="3005" w:type="dxa"/>
          </w:tcPr>
          <w:p w14:paraId="104D43EB" w14:textId="77777777" w:rsidR="00A45B3D" w:rsidRPr="000848DC" w:rsidRDefault="00A45B3D" w:rsidP="00E07336">
            <w:pPr>
              <w:rPr>
                <w:b/>
                <w:bCs/>
                <w:color w:val="3A7C22" w:themeColor="accent6" w:themeShade="BF"/>
              </w:rPr>
            </w:pPr>
            <w:r w:rsidRPr="000848DC">
              <w:rPr>
                <w:b/>
                <w:bCs/>
                <w:color w:val="3A7C22" w:themeColor="accent6" w:themeShade="BF"/>
              </w:rPr>
              <w:t>13</w:t>
            </w:r>
            <w:r w:rsidRPr="000848DC">
              <w:rPr>
                <w:b/>
                <w:bCs/>
                <w:color w:val="3A7C22" w:themeColor="accent6" w:themeShade="BF"/>
                <w:vertAlign w:val="superscript"/>
              </w:rPr>
              <w:t>th</w:t>
            </w:r>
            <w:r w:rsidRPr="000848DC">
              <w:rPr>
                <w:b/>
                <w:bCs/>
                <w:color w:val="3A7C22" w:themeColor="accent6" w:themeShade="BF"/>
              </w:rPr>
              <w:t xml:space="preserve"> May </w:t>
            </w:r>
          </w:p>
        </w:tc>
        <w:tc>
          <w:tcPr>
            <w:tcW w:w="6346" w:type="dxa"/>
          </w:tcPr>
          <w:p w14:paraId="7F333960" w14:textId="77777777" w:rsidR="00A45B3D" w:rsidRDefault="00A45B3D" w:rsidP="00E07336">
            <w:r>
              <w:t xml:space="preserve">Go back and review rationale, contextualisation of study for part 1 and amend as and if required. </w:t>
            </w:r>
          </w:p>
        </w:tc>
      </w:tr>
      <w:tr w:rsidR="00A45B3D" w14:paraId="199598ED" w14:textId="77777777" w:rsidTr="00E07336">
        <w:tc>
          <w:tcPr>
            <w:tcW w:w="3005" w:type="dxa"/>
          </w:tcPr>
          <w:p w14:paraId="3D82B7AF" w14:textId="77777777" w:rsidR="00A45B3D" w:rsidRPr="000848DC" w:rsidRDefault="00A45B3D" w:rsidP="00E07336">
            <w:pPr>
              <w:rPr>
                <w:b/>
                <w:bCs/>
                <w:color w:val="3A7C22" w:themeColor="accent6" w:themeShade="BF"/>
              </w:rPr>
            </w:pPr>
            <w:r w:rsidRPr="000848DC">
              <w:rPr>
                <w:b/>
                <w:bCs/>
                <w:color w:val="3A7C22" w:themeColor="accent6" w:themeShade="BF"/>
              </w:rPr>
              <w:lastRenderedPageBreak/>
              <w:t>20</w:t>
            </w:r>
            <w:r w:rsidRPr="000848DC">
              <w:rPr>
                <w:b/>
                <w:bCs/>
                <w:color w:val="3A7C22" w:themeColor="accent6" w:themeShade="BF"/>
                <w:vertAlign w:val="superscript"/>
              </w:rPr>
              <w:t>th</w:t>
            </w:r>
            <w:r w:rsidRPr="000848DC">
              <w:rPr>
                <w:b/>
                <w:bCs/>
                <w:color w:val="3A7C22" w:themeColor="accent6" w:themeShade="BF"/>
              </w:rPr>
              <w:t xml:space="preserve"> May </w:t>
            </w:r>
          </w:p>
        </w:tc>
        <w:tc>
          <w:tcPr>
            <w:tcW w:w="6346" w:type="dxa"/>
            <w:vMerge w:val="restart"/>
          </w:tcPr>
          <w:p w14:paraId="5ACD85DF" w14:textId="77777777" w:rsidR="00A45B3D" w:rsidRDefault="00A45B3D" w:rsidP="00E07336">
            <w:r>
              <w:t xml:space="preserve">Write critical reflection; finish writing part 2 </w:t>
            </w:r>
          </w:p>
        </w:tc>
      </w:tr>
      <w:tr w:rsidR="00A45B3D" w14:paraId="7512512B" w14:textId="77777777" w:rsidTr="00E07336">
        <w:tc>
          <w:tcPr>
            <w:tcW w:w="3005" w:type="dxa"/>
          </w:tcPr>
          <w:p w14:paraId="1B187891" w14:textId="77777777" w:rsidR="00A45B3D" w:rsidRPr="000848DC" w:rsidRDefault="00A45B3D" w:rsidP="00E07336">
            <w:pPr>
              <w:rPr>
                <w:b/>
                <w:bCs/>
                <w:color w:val="3A7C22" w:themeColor="accent6" w:themeShade="BF"/>
              </w:rPr>
            </w:pPr>
            <w:r w:rsidRPr="000848DC">
              <w:rPr>
                <w:b/>
                <w:bCs/>
                <w:color w:val="3A7C22" w:themeColor="accent6" w:themeShade="BF"/>
              </w:rPr>
              <w:t>27</w:t>
            </w:r>
            <w:r w:rsidRPr="000848DC">
              <w:rPr>
                <w:b/>
                <w:bCs/>
                <w:color w:val="3A7C22" w:themeColor="accent6" w:themeShade="BF"/>
                <w:vertAlign w:val="superscript"/>
              </w:rPr>
              <w:t>th</w:t>
            </w:r>
            <w:r w:rsidRPr="000848DC">
              <w:rPr>
                <w:b/>
                <w:bCs/>
                <w:color w:val="3A7C22" w:themeColor="accent6" w:themeShade="BF"/>
              </w:rPr>
              <w:t xml:space="preserve"> May </w:t>
            </w:r>
          </w:p>
        </w:tc>
        <w:tc>
          <w:tcPr>
            <w:tcW w:w="6346" w:type="dxa"/>
            <w:vMerge/>
          </w:tcPr>
          <w:p w14:paraId="14D61C8F" w14:textId="77777777" w:rsidR="00A45B3D" w:rsidRDefault="00A45B3D" w:rsidP="00E07336"/>
        </w:tc>
      </w:tr>
      <w:tr w:rsidR="00A45B3D" w14:paraId="7DC490DD" w14:textId="77777777" w:rsidTr="00E07336">
        <w:tc>
          <w:tcPr>
            <w:tcW w:w="3005" w:type="dxa"/>
          </w:tcPr>
          <w:p w14:paraId="5AC0D9CD" w14:textId="77777777" w:rsidR="00A45B3D" w:rsidRPr="000848DC" w:rsidRDefault="00A45B3D" w:rsidP="00E07336">
            <w:pPr>
              <w:rPr>
                <w:b/>
                <w:bCs/>
                <w:color w:val="00B0F0"/>
              </w:rPr>
            </w:pPr>
            <w:r w:rsidRPr="000848DC">
              <w:rPr>
                <w:b/>
                <w:bCs/>
                <w:color w:val="00B0F0"/>
              </w:rPr>
              <w:t>3</w:t>
            </w:r>
            <w:r w:rsidRPr="000848DC">
              <w:rPr>
                <w:b/>
                <w:bCs/>
                <w:color w:val="00B0F0"/>
                <w:vertAlign w:val="superscript"/>
              </w:rPr>
              <w:t>rd</w:t>
            </w:r>
            <w:r w:rsidRPr="000848DC">
              <w:rPr>
                <w:b/>
                <w:bCs/>
                <w:color w:val="00B0F0"/>
              </w:rPr>
              <w:t xml:space="preserve"> June</w:t>
            </w:r>
          </w:p>
        </w:tc>
        <w:tc>
          <w:tcPr>
            <w:tcW w:w="6346" w:type="dxa"/>
          </w:tcPr>
          <w:p w14:paraId="33707EFD" w14:textId="77777777" w:rsidR="00A45B3D" w:rsidRDefault="00A45B3D" w:rsidP="00E07336"/>
        </w:tc>
      </w:tr>
      <w:tr w:rsidR="00A45B3D" w14:paraId="19368F90" w14:textId="77777777" w:rsidTr="00E07336">
        <w:tc>
          <w:tcPr>
            <w:tcW w:w="3005" w:type="dxa"/>
          </w:tcPr>
          <w:p w14:paraId="78F67022" w14:textId="77777777" w:rsidR="00A45B3D" w:rsidRPr="000848DC" w:rsidRDefault="00A45B3D" w:rsidP="00E07336">
            <w:pPr>
              <w:rPr>
                <w:b/>
                <w:bCs/>
                <w:color w:val="00B0F0"/>
              </w:rPr>
            </w:pPr>
            <w:r w:rsidRPr="000848DC">
              <w:rPr>
                <w:b/>
                <w:bCs/>
                <w:color w:val="00B0F0"/>
              </w:rPr>
              <w:t>10</w:t>
            </w:r>
            <w:r w:rsidRPr="000848DC">
              <w:rPr>
                <w:b/>
                <w:bCs/>
                <w:color w:val="00B0F0"/>
                <w:vertAlign w:val="superscript"/>
              </w:rPr>
              <w:t>th</w:t>
            </w:r>
            <w:r w:rsidRPr="000848DC">
              <w:rPr>
                <w:b/>
                <w:bCs/>
                <w:color w:val="00B0F0"/>
              </w:rPr>
              <w:t xml:space="preserve"> June</w:t>
            </w:r>
          </w:p>
        </w:tc>
        <w:tc>
          <w:tcPr>
            <w:tcW w:w="6346" w:type="dxa"/>
          </w:tcPr>
          <w:p w14:paraId="2138C050" w14:textId="77777777" w:rsidR="00A45B3D" w:rsidRDefault="00A45B3D" w:rsidP="00E07336">
            <w:r>
              <w:t xml:space="preserve">Finish writing draft for marking; cross check references and make note of any questions that have arisen. </w:t>
            </w:r>
          </w:p>
        </w:tc>
      </w:tr>
      <w:tr w:rsidR="00A45B3D" w14:paraId="6B50F23D" w14:textId="77777777" w:rsidTr="00E07336">
        <w:tc>
          <w:tcPr>
            <w:tcW w:w="3005" w:type="dxa"/>
          </w:tcPr>
          <w:p w14:paraId="5D2E3A43" w14:textId="77777777" w:rsidR="00A45B3D" w:rsidRPr="000848DC" w:rsidRDefault="00A45B3D" w:rsidP="00E07336">
            <w:pPr>
              <w:rPr>
                <w:b/>
                <w:bCs/>
                <w:color w:val="00B0F0"/>
              </w:rPr>
            </w:pPr>
            <w:r w:rsidRPr="000848DC">
              <w:rPr>
                <w:b/>
                <w:bCs/>
                <w:color w:val="00B0F0"/>
              </w:rPr>
              <w:t>17</w:t>
            </w:r>
            <w:r w:rsidRPr="000848DC">
              <w:rPr>
                <w:b/>
                <w:bCs/>
                <w:color w:val="00B0F0"/>
                <w:vertAlign w:val="superscript"/>
              </w:rPr>
              <w:t>th</w:t>
            </w:r>
            <w:r w:rsidRPr="000848DC">
              <w:rPr>
                <w:b/>
                <w:bCs/>
                <w:color w:val="00B0F0"/>
              </w:rPr>
              <w:t xml:space="preserve"> June</w:t>
            </w:r>
          </w:p>
        </w:tc>
        <w:tc>
          <w:tcPr>
            <w:tcW w:w="6346" w:type="dxa"/>
          </w:tcPr>
          <w:p w14:paraId="517E09F6" w14:textId="77777777" w:rsidR="00A45B3D" w:rsidRDefault="00A45B3D" w:rsidP="00E07336">
            <w:r>
              <w:t xml:space="preserve">Submit a draft to tutor; while awaiting feedback, …. </w:t>
            </w:r>
          </w:p>
        </w:tc>
      </w:tr>
      <w:tr w:rsidR="00A45B3D" w14:paraId="58D7C589" w14:textId="77777777" w:rsidTr="00E07336">
        <w:tc>
          <w:tcPr>
            <w:tcW w:w="3005" w:type="dxa"/>
          </w:tcPr>
          <w:p w14:paraId="1B6A0021" w14:textId="77777777" w:rsidR="00A45B3D" w:rsidRPr="000848DC" w:rsidRDefault="00A45B3D" w:rsidP="00E07336">
            <w:pPr>
              <w:rPr>
                <w:b/>
                <w:bCs/>
                <w:color w:val="FF0000"/>
              </w:rPr>
            </w:pPr>
            <w:r w:rsidRPr="000848DC">
              <w:rPr>
                <w:b/>
                <w:bCs/>
                <w:color w:val="FF0000"/>
              </w:rPr>
              <w:t>24</w:t>
            </w:r>
            <w:r w:rsidRPr="000848DC">
              <w:rPr>
                <w:b/>
                <w:bCs/>
                <w:color w:val="FF0000"/>
                <w:vertAlign w:val="superscript"/>
              </w:rPr>
              <w:t>th</w:t>
            </w:r>
            <w:r w:rsidRPr="000848DC">
              <w:rPr>
                <w:b/>
                <w:bCs/>
                <w:color w:val="FF0000"/>
              </w:rPr>
              <w:t xml:space="preserve"> June</w:t>
            </w:r>
          </w:p>
        </w:tc>
        <w:tc>
          <w:tcPr>
            <w:tcW w:w="6346" w:type="dxa"/>
          </w:tcPr>
          <w:p w14:paraId="4C93B01A" w14:textId="77777777" w:rsidR="00A45B3D" w:rsidRDefault="00A45B3D" w:rsidP="00E07336">
            <w:r>
              <w:t>Once draft marking received, make any changes, and implement feedback; proof read and submit by Saturday 29</w:t>
            </w:r>
            <w:r w:rsidRPr="00870B1D">
              <w:rPr>
                <w:vertAlign w:val="superscript"/>
              </w:rPr>
              <w:t>th</w:t>
            </w:r>
            <w:r>
              <w:t xml:space="preserve"> June if possible. </w:t>
            </w:r>
          </w:p>
        </w:tc>
      </w:tr>
      <w:tr w:rsidR="00A45B3D" w14:paraId="4C08BC3F" w14:textId="77777777" w:rsidTr="00E07336">
        <w:tc>
          <w:tcPr>
            <w:tcW w:w="3005" w:type="dxa"/>
          </w:tcPr>
          <w:p w14:paraId="68C20EC8" w14:textId="77777777" w:rsidR="00A45B3D" w:rsidRPr="000848DC" w:rsidRDefault="00A45B3D" w:rsidP="00E07336">
            <w:pPr>
              <w:rPr>
                <w:b/>
                <w:bCs/>
                <w:color w:val="FF0000"/>
              </w:rPr>
            </w:pPr>
            <w:r w:rsidRPr="000848DC">
              <w:rPr>
                <w:b/>
                <w:bCs/>
                <w:color w:val="FF0000"/>
              </w:rPr>
              <w:t>1</w:t>
            </w:r>
            <w:r w:rsidRPr="000848DC">
              <w:rPr>
                <w:b/>
                <w:bCs/>
                <w:color w:val="FF0000"/>
                <w:vertAlign w:val="superscript"/>
              </w:rPr>
              <w:t>st</w:t>
            </w:r>
            <w:r w:rsidRPr="000848DC">
              <w:rPr>
                <w:b/>
                <w:bCs/>
                <w:color w:val="FF0000"/>
              </w:rPr>
              <w:t xml:space="preserve"> July </w:t>
            </w:r>
          </w:p>
        </w:tc>
        <w:tc>
          <w:tcPr>
            <w:tcW w:w="6346" w:type="dxa"/>
          </w:tcPr>
          <w:p w14:paraId="77BDEBB7" w14:textId="77777777" w:rsidR="00A45B3D" w:rsidRDefault="00A45B3D" w:rsidP="00E07336">
            <w:r>
              <w:t xml:space="preserve">Final deadline to submit final piece of work. </w:t>
            </w:r>
          </w:p>
        </w:tc>
      </w:tr>
    </w:tbl>
    <w:p w14:paraId="49F0DB9C" w14:textId="77777777" w:rsidR="00A868AF" w:rsidRDefault="00A868AF" w:rsidP="00A868AF">
      <w:pPr>
        <w:rPr>
          <w:rFonts w:ascii="Times New Roman" w:hAnsi="Times New Roman" w:cs="Times New Roman"/>
          <w:b/>
          <w:bCs/>
          <w:sz w:val="28"/>
          <w:szCs w:val="28"/>
        </w:rPr>
      </w:pPr>
    </w:p>
    <w:p w14:paraId="3825BB47" w14:textId="77777777" w:rsidR="00A868AF" w:rsidRPr="00500739" w:rsidRDefault="00A868AF" w:rsidP="00A868AF">
      <w:pPr>
        <w:rPr>
          <w:rFonts w:ascii="Times New Roman" w:hAnsi="Times New Roman" w:cs="Times New Roman"/>
          <w:sz w:val="28"/>
          <w:szCs w:val="28"/>
          <w:u w:val="single"/>
        </w:rPr>
      </w:pPr>
      <w:r w:rsidRPr="00500739">
        <w:rPr>
          <w:rFonts w:ascii="Times New Roman" w:hAnsi="Times New Roman" w:cs="Times New Roman"/>
          <w:sz w:val="28"/>
          <w:szCs w:val="28"/>
          <w:u w:val="single"/>
        </w:rPr>
        <w:t>Aims and objectives</w:t>
      </w:r>
    </w:p>
    <w:p w14:paraId="1A8E67D7" w14:textId="77777777" w:rsidR="00A868AF" w:rsidRPr="00500739" w:rsidRDefault="00A868AF" w:rsidP="00A868AF">
      <w:pPr>
        <w:rPr>
          <w:rFonts w:ascii="Times New Roman" w:hAnsi="Times New Roman" w:cs="Times New Roman"/>
          <w:b/>
          <w:bCs/>
        </w:rPr>
      </w:pPr>
      <w:r w:rsidRPr="00500739">
        <w:rPr>
          <w:rFonts w:ascii="Times New Roman" w:hAnsi="Times New Roman" w:cs="Times New Roman"/>
          <w:b/>
          <w:bCs/>
        </w:rPr>
        <w:t xml:space="preserve">Aims: </w:t>
      </w:r>
    </w:p>
    <w:p w14:paraId="64325CCC" w14:textId="77777777" w:rsidR="00A868AF" w:rsidRPr="00BD0E8B" w:rsidRDefault="00A868AF" w:rsidP="00A868AF">
      <w:pPr>
        <w:pStyle w:val="ListParagraph"/>
        <w:numPr>
          <w:ilvl w:val="0"/>
          <w:numId w:val="1"/>
        </w:numPr>
        <w:rPr>
          <w:rFonts w:ascii="Times New Roman" w:hAnsi="Times New Roman" w:cs="Times New Roman"/>
        </w:rPr>
      </w:pPr>
      <w:r w:rsidRPr="00BD0E8B">
        <w:rPr>
          <w:rFonts w:ascii="Times New Roman" w:hAnsi="Times New Roman" w:cs="Times New Roman"/>
        </w:rPr>
        <w:t xml:space="preserve">To develop a comprehensive understanding of different areas of consideration for working with beginner or poor-pitch singers on improving their ability to sing in tune. </w:t>
      </w:r>
    </w:p>
    <w:p w14:paraId="7B1EF910" w14:textId="77777777" w:rsidR="00A868AF" w:rsidRPr="00BD0E8B" w:rsidRDefault="00A868AF" w:rsidP="00A868AF">
      <w:pPr>
        <w:pStyle w:val="ListParagraph"/>
        <w:numPr>
          <w:ilvl w:val="0"/>
          <w:numId w:val="1"/>
        </w:numPr>
        <w:rPr>
          <w:rFonts w:ascii="Times New Roman" w:hAnsi="Times New Roman" w:cs="Times New Roman"/>
        </w:rPr>
      </w:pPr>
      <w:r w:rsidRPr="00BD0E8B">
        <w:rPr>
          <w:rFonts w:ascii="Times New Roman" w:hAnsi="Times New Roman" w:cs="Times New Roman"/>
        </w:rPr>
        <w:t xml:space="preserve">To identify a variety of pitch improvement strategies for helping beginner and poor-pitch singers to improve the accuracy of their pitch control and their overall singing ability. </w:t>
      </w:r>
    </w:p>
    <w:p w14:paraId="6E45DDC9" w14:textId="77777777" w:rsidR="00A868AF" w:rsidRPr="00BD0E8B" w:rsidRDefault="00A868AF" w:rsidP="00A868AF">
      <w:pPr>
        <w:pStyle w:val="ListParagraph"/>
        <w:numPr>
          <w:ilvl w:val="0"/>
          <w:numId w:val="1"/>
        </w:numPr>
        <w:rPr>
          <w:rFonts w:ascii="Times New Roman" w:hAnsi="Times New Roman" w:cs="Times New Roman"/>
        </w:rPr>
      </w:pPr>
      <w:r w:rsidRPr="00BD0E8B">
        <w:rPr>
          <w:rFonts w:ascii="Times New Roman" w:hAnsi="Times New Roman" w:cs="Times New Roman"/>
        </w:rPr>
        <w:t xml:space="preserve">To critically analyse existing research around pitch accuracy improvement strategies for singers. </w:t>
      </w:r>
    </w:p>
    <w:p w14:paraId="095A5558" w14:textId="77777777" w:rsidR="00A868AF" w:rsidRPr="00500739" w:rsidRDefault="00A868AF" w:rsidP="00A868AF">
      <w:pPr>
        <w:rPr>
          <w:rFonts w:ascii="Times New Roman" w:hAnsi="Times New Roman" w:cs="Times New Roman"/>
          <w:b/>
          <w:bCs/>
        </w:rPr>
      </w:pPr>
      <w:r w:rsidRPr="00500739">
        <w:rPr>
          <w:rFonts w:ascii="Times New Roman" w:hAnsi="Times New Roman" w:cs="Times New Roman"/>
          <w:b/>
          <w:bCs/>
        </w:rPr>
        <w:t>Objectives</w:t>
      </w:r>
    </w:p>
    <w:p w14:paraId="6988C50B" w14:textId="77777777" w:rsidR="00A868AF" w:rsidRPr="00BD0E8B" w:rsidRDefault="00A868AF" w:rsidP="00A868AF">
      <w:pPr>
        <w:pStyle w:val="ListParagraph"/>
        <w:numPr>
          <w:ilvl w:val="0"/>
          <w:numId w:val="2"/>
        </w:numPr>
        <w:rPr>
          <w:rFonts w:ascii="Times New Roman" w:hAnsi="Times New Roman" w:cs="Times New Roman"/>
        </w:rPr>
      </w:pPr>
      <w:r w:rsidRPr="00BD0E8B">
        <w:rPr>
          <w:rFonts w:ascii="Times New Roman" w:hAnsi="Times New Roman" w:cs="Times New Roman"/>
        </w:rPr>
        <w:t xml:space="preserve">Explore why some people find singing in tune challenging while others do not. </w:t>
      </w:r>
    </w:p>
    <w:p w14:paraId="3EFC1A0D" w14:textId="77777777" w:rsidR="00A868AF" w:rsidRPr="00BD0E8B" w:rsidRDefault="00A868AF" w:rsidP="00A868AF">
      <w:pPr>
        <w:pStyle w:val="ListParagraph"/>
        <w:numPr>
          <w:ilvl w:val="0"/>
          <w:numId w:val="2"/>
        </w:numPr>
        <w:rPr>
          <w:rFonts w:ascii="Times New Roman" w:hAnsi="Times New Roman" w:cs="Times New Roman"/>
        </w:rPr>
      </w:pPr>
      <w:r w:rsidRPr="00BD0E8B">
        <w:rPr>
          <w:rFonts w:ascii="Times New Roman" w:hAnsi="Times New Roman" w:cs="Times New Roman"/>
        </w:rPr>
        <w:t>Identify up to date research</w:t>
      </w:r>
      <w:r>
        <w:rPr>
          <w:rFonts w:ascii="Times New Roman" w:hAnsi="Times New Roman" w:cs="Times New Roman"/>
        </w:rPr>
        <w:t xml:space="preserve"> through a comprehensive scoping review in order</w:t>
      </w:r>
      <w:r w:rsidRPr="00BD0E8B">
        <w:rPr>
          <w:rFonts w:ascii="Times New Roman" w:hAnsi="Times New Roman" w:cs="Times New Roman"/>
        </w:rPr>
        <w:t xml:space="preserve"> to support the assertion that pitch accuracy can be developed through training, as well as exploring the evidence that suggests otherwise. </w:t>
      </w:r>
    </w:p>
    <w:p w14:paraId="68804381" w14:textId="77777777" w:rsidR="00A868AF" w:rsidRPr="00BD0E8B" w:rsidRDefault="00A868AF" w:rsidP="00A868AF">
      <w:pPr>
        <w:pStyle w:val="ListParagraph"/>
        <w:numPr>
          <w:ilvl w:val="0"/>
          <w:numId w:val="2"/>
        </w:numPr>
        <w:rPr>
          <w:rFonts w:ascii="Times New Roman" w:hAnsi="Times New Roman" w:cs="Times New Roman"/>
        </w:rPr>
      </w:pPr>
      <w:r w:rsidRPr="00BD0E8B">
        <w:rPr>
          <w:rFonts w:ascii="Times New Roman" w:hAnsi="Times New Roman" w:cs="Times New Roman"/>
        </w:rPr>
        <w:t xml:space="preserve">Identify how poor-pitch singing differ from congenital amusia and the prevalence of each. </w:t>
      </w:r>
    </w:p>
    <w:p w14:paraId="1BAAA374" w14:textId="77777777" w:rsidR="00A868AF" w:rsidRPr="00BD0E8B" w:rsidRDefault="00A868AF" w:rsidP="00A868AF">
      <w:pPr>
        <w:pStyle w:val="ListParagraph"/>
        <w:numPr>
          <w:ilvl w:val="0"/>
          <w:numId w:val="2"/>
        </w:numPr>
        <w:rPr>
          <w:rFonts w:ascii="Times New Roman" w:hAnsi="Times New Roman" w:cs="Times New Roman"/>
        </w:rPr>
      </w:pPr>
      <w:r w:rsidRPr="00BD0E8B">
        <w:rPr>
          <w:rFonts w:ascii="Times New Roman" w:hAnsi="Times New Roman" w:cs="Times New Roman"/>
        </w:rPr>
        <w:t xml:space="preserve">Explore the experience of poor-pitch singers and gain a deeper understanding of their challenges. This will help me to work towards mitigating my own bias as someone who has never found pitch accuracy a challenge and in turn become a more effective and understanding teacher. </w:t>
      </w:r>
    </w:p>
    <w:p w14:paraId="7C4D48B7" w14:textId="77777777" w:rsidR="00A868AF" w:rsidRPr="00BD0E8B" w:rsidRDefault="00A868AF" w:rsidP="00A868AF">
      <w:pPr>
        <w:pStyle w:val="ListParagraph"/>
        <w:numPr>
          <w:ilvl w:val="0"/>
          <w:numId w:val="2"/>
        </w:numPr>
        <w:rPr>
          <w:rFonts w:ascii="Times New Roman" w:hAnsi="Times New Roman" w:cs="Times New Roman"/>
        </w:rPr>
      </w:pPr>
      <w:r w:rsidRPr="00BD0E8B">
        <w:rPr>
          <w:rFonts w:ascii="Times New Roman" w:hAnsi="Times New Roman" w:cs="Times New Roman"/>
        </w:rPr>
        <w:t xml:space="preserve">Consider the implications for coaching in terms of teacher responsibility. </w:t>
      </w:r>
    </w:p>
    <w:p w14:paraId="3BEBA1CC" w14:textId="77777777" w:rsidR="00A868AF" w:rsidRDefault="00A868AF" w:rsidP="00A868AF">
      <w:pPr>
        <w:rPr>
          <w:rFonts w:ascii="Times New Roman" w:hAnsi="Times New Roman" w:cs="Times New Roman"/>
          <w:sz w:val="28"/>
          <w:szCs w:val="28"/>
        </w:rPr>
      </w:pPr>
    </w:p>
    <w:p w14:paraId="59AAD8C3" w14:textId="77777777" w:rsidR="00A868AF" w:rsidRDefault="00A868AF" w:rsidP="00A868AF">
      <w:pPr>
        <w:rPr>
          <w:rFonts w:ascii="Times New Roman" w:hAnsi="Times New Roman" w:cs="Times New Roman"/>
          <w:sz w:val="28"/>
          <w:szCs w:val="28"/>
        </w:rPr>
      </w:pPr>
    </w:p>
    <w:p w14:paraId="55AEA538" w14:textId="77777777" w:rsidR="0073609F" w:rsidRDefault="0073609F" w:rsidP="00A868AF">
      <w:pPr>
        <w:rPr>
          <w:rFonts w:ascii="Times New Roman" w:hAnsi="Times New Roman" w:cs="Times New Roman"/>
          <w:sz w:val="28"/>
          <w:szCs w:val="28"/>
          <w:u w:val="single"/>
        </w:rPr>
      </w:pPr>
    </w:p>
    <w:p w14:paraId="6CAD5030" w14:textId="77777777" w:rsidR="0073609F" w:rsidRDefault="0073609F" w:rsidP="00A868AF">
      <w:pPr>
        <w:rPr>
          <w:rFonts w:ascii="Times New Roman" w:hAnsi="Times New Roman" w:cs="Times New Roman"/>
          <w:sz w:val="28"/>
          <w:szCs w:val="28"/>
          <w:u w:val="single"/>
        </w:rPr>
      </w:pPr>
    </w:p>
    <w:p w14:paraId="679D5111" w14:textId="77777777" w:rsidR="0073609F" w:rsidRDefault="0073609F" w:rsidP="00A868AF">
      <w:pPr>
        <w:rPr>
          <w:rFonts w:ascii="Times New Roman" w:hAnsi="Times New Roman" w:cs="Times New Roman"/>
          <w:sz w:val="28"/>
          <w:szCs w:val="28"/>
          <w:u w:val="single"/>
        </w:rPr>
      </w:pPr>
    </w:p>
    <w:p w14:paraId="0A4A9FE3" w14:textId="4FEA3919" w:rsidR="00A868AF" w:rsidRPr="00AC01CC" w:rsidRDefault="00A868AF" w:rsidP="00A868AF">
      <w:pPr>
        <w:rPr>
          <w:rFonts w:ascii="Times New Roman" w:hAnsi="Times New Roman" w:cs="Times New Roman"/>
          <w:sz w:val="28"/>
          <w:szCs w:val="28"/>
          <w:u w:val="single"/>
        </w:rPr>
      </w:pPr>
      <w:r w:rsidRPr="00AC01CC">
        <w:rPr>
          <w:rFonts w:ascii="Times New Roman" w:hAnsi="Times New Roman" w:cs="Times New Roman"/>
          <w:sz w:val="28"/>
          <w:szCs w:val="28"/>
          <w:u w:val="single"/>
        </w:rPr>
        <w:lastRenderedPageBreak/>
        <w:t xml:space="preserve">Methodology </w:t>
      </w:r>
    </w:p>
    <w:p w14:paraId="6BE48248" w14:textId="77777777" w:rsidR="00A868AF" w:rsidRPr="00AC01CC" w:rsidRDefault="00A868AF" w:rsidP="00A868AF">
      <w:pPr>
        <w:rPr>
          <w:rFonts w:ascii="Times New Roman" w:hAnsi="Times New Roman" w:cs="Times New Roman"/>
          <w:b/>
          <w:bCs/>
        </w:rPr>
      </w:pPr>
      <w:r w:rsidRPr="00AC01CC">
        <w:rPr>
          <w:rFonts w:ascii="Times New Roman" w:hAnsi="Times New Roman" w:cs="Times New Roman"/>
          <w:b/>
          <w:bCs/>
        </w:rPr>
        <w:t>Ontological and epistemological position</w:t>
      </w:r>
    </w:p>
    <w:p w14:paraId="3866F48D"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Whereas some researchers, primarily those who conduct their research through a positivist paradigm lens, seek to discover objective facts as scientifically as possible, the subjectivist perspective highlights the importance of individual experience (Winter, 2020). The ontological stance of subjectivism does not regard reality as having one fixed truth and does not believe facts and truths give a clear and realistic understanding of actuality, completely divorced from subjective experience (Winter, 2020). Instead, researchers carrying out an enquiry from this position seek to discover a deep and layered understanding of their area of interest by studying multiple perspectives, possibilities and realities of their research topic. Epistemologically, this subjectivist lens aligns with the Social Constructivist or Interpretivist paradigm. Although Positivism and Constructivism exist on a continuum (Walliman, 2020), they are diametrically opposed to one another (Winter, 2020), and by choosing to adhere to one framework over the other, a researcher may find themselves in an ideological dilemma (Winter, 2020). In response to this ‘paradigm war’ (Gage, 1989, cited in Winter, 2020), the pragmatic paradigm has evolved to free the researcher from being exclusively loyal to one specific framework (Felzeri, 2010) and instead empower them to embrace ‘intersubjectivity’ (Morgan, 2007).</w:t>
      </w:r>
    </w:p>
    <w:p w14:paraId="622D68EA" w14:textId="481C0504" w:rsidR="00A868AF" w:rsidRDefault="00A868AF" w:rsidP="00A868AF">
      <w:pPr>
        <w:rPr>
          <w:rFonts w:ascii="Times New Roman" w:hAnsi="Times New Roman" w:cs="Times New Roman"/>
        </w:rPr>
      </w:pPr>
      <w:r w:rsidRPr="00AC01CC">
        <w:rPr>
          <w:rFonts w:ascii="Times New Roman" w:hAnsi="Times New Roman" w:cs="Times New Roman"/>
        </w:rPr>
        <w:t xml:space="preserve">It is important for a researcher to intentionally choose and acknowledge their ontological and epistemological positions when engaging in research and reporting on findings. My own ontological views align much more with subjectivism than with objectivism, and therefore also with constructivist and pragmatic thinking, as I believe that human experience and interpretation are inextricably linked to reality and that there is more than one truth. In my quest to understand the processes involved in poor-pitch singing and how to best remediate these in the singing studio, my study will engage with this constructivist line of thinking and seek to understand different possible causes for pitch challenges and specifically tailored strategies to address each. I will engage with literature across different academic fields wherever necessary and synthesise ideas to gain a thorough understanding. Although I resonate with the constructivist paradigm I will also subtly encompass parts of the pragmatic approach by keeping the research question central to the process (Winter, 2020) and liberating myself to draw from different perspectives and viewpoints as required (Gray, 2004), including both qualitative and quantitative research data as appropriate. </w:t>
      </w:r>
    </w:p>
    <w:p w14:paraId="769B4478" w14:textId="77777777" w:rsidR="00BE5640" w:rsidRPr="00BE5640" w:rsidRDefault="00BE5640" w:rsidP="00A868AF">
      <w:pPr>
        <w:rPr>
          <w:rFonts w:ascii="Times New Roman" w:hAnsi="Times New Roman" w:cs="Times New Roman"/>
        </w:rPr>
      </w:pPr>
    </w:p>
    <w:p w14:paraId="031ED4A5" w14:textId="77777777" w:rsidR="00A868AF" w:rsidRDefault="00A868AF" w:rsidP="00A868AF">
      <w:pPr>
        <w:rPr>
          <w:rFonts w:ascii="Times New Roman" w:hAnsi="Times New Roman" w:cs="Times New Roman"/>
          <w:b/>
          <w:bCs/>
        </w:rPr>
      </w:pPr>
      <w:r w:rsidRPr="00AC01CC">
        <w:rPr>
          <w:rFonts w:ascii="Times New Roman" w:hAnsi="Times New Roman" w:cs="Times New Roman"/>
          <w:b/>
          <w:bCs/>
        </w:rPr>
        <w:t>Research Questions</w:t>
      </w:r>
      <w:r>
        <w:rPr>
          <w:rFonts w:ascii="Times New Roman" w:hAnsi="Times New Roman" w:cs="Times New Roman"/>
          <w:b/>
          <w:bCs/>
        </w:rPr>
        <w:t xml:space="preserve"> </w:t>
      </w:r>
    </w:p>
    <w:p w14:paraId="07A92674" w14:textId="25C5B33B" w:rsidR="00BE5640" w:rsidRPr="00BE5640" w:rsidRDefault="00BE5640" w:rsidP="00A868AF">
      <w:pPr>
        <w:rPr>
          <w:rFonts w:ascii="Times New Roman" w:hAnsi="Times New Roman" w:cs="Times New Roman"/>
        </w:rPr>
      </w:pPr>
      <w:r w:rsidRPr="00AC01CC">
        <w:rPr>
          <w:rFonts w:ascii="Times New Roman" w:hAnsi="Times New Roman" w:cs="Times New Roman"/>
        </w:rPr>
        <w:t>Given that I intend to gain a foundational understanding of a large topic, pulling from many different fields, and remain as unbiased as possible, I intend to conduct a scoping review</w:t>
      </w:r>
      <w:r>
        <w:rPr>
          <w:rFonts w:ascii="Times New Roman" w:hAnsi="Times New Roman" w:cs="Times New Roman"/>
        </w:rPr>
        <w:t xml:space="preserve"> addressing the following key questions</w:t>
      </w:r>
      <w:r w:rsidRPr="00AC01CC">
        <w:rPr>
          <w:rFonts w:ascii="Times New Roman" w:hAnsi="Times New Roman" w:cs="Times New Roman"/>
        </w:rPr>
        <w:t xml:space="preserve">. </w:t>
      </w:r>
    </w:p>
    <w:p w14:paraId="50D07D2E"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1. What key differences separate poor-pitch singers from individuals with amusia (congenital or acquired)? </w:t>
      </w:r>
    </w:p>
    <w:p w14:paraId="695F333D"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lastRenderedPageBreak/>
        <w:t xml:space="preserve">2. What processes are involved in hearing, perceiving and reproducing pitch? </w:t>
      </w:r>
    </w:p>
    <w:p w14:paraId="043DA0BA"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3. What are the key strategies to improve poor-pitch singers’ pitch accuracy in the singing studio? </w:t>
      </w:r>
    </w:p>
    <w:p w14:paraId="4B4BB2D2" w14:textId="77777777" w:rsidR="00A868AF" w:rsidRDefault="00A868AF" w:rsidP="00A868AF">
      <w:pPr>
        <w:rPr>
          <w:rFonts w:ascii="Times New Roman" w:hAnsi="Times New Roman" w:cs="Times New Roman"/>
        </w:rPr>
      </w:pPr>
      <w:r w:rsidRPr="00AC01CC">
        <w:rPr>
          <w:rFonts w:ascii="Times New Roman" w:hAnsi="Times New Roman" w:cs="Times New Roman"/>
        </w:rPr>
        <w:t xml:space="preserve">Through seeking answers to these questions, I aim to gain a strong foundational understanding of the reasons/mechanisms behind poor pitch singing and gain evidence and ideas to inform the strategies that can be used and hopefully lay the foundations for more powerful and successful work. </w:t>
      </w:r>
    </w:p>
    <w:p w14:paraId="3218056C" w14:textId="77777777" w:rsidR="00A868AF" w:rsidRPr="00AC01CC" w:rsidRDefault="00A868AF" w:rsidP="00A868AF">
      <w:pPr>
        <w:rPr>
          <w:rFonts w:ascii="Times New Roman" w:hAnsi="Times New Roman" w:cs="Times New Roman"/>
        </w:rPr>
      </w:pPr>
    </w:p>
    <w:p w14:paraId="5E94BF9F" w14:textId="77777777" w:rsidR="00A868AF" w:rsidRPr="00AC01CC" w:rsidRDefault="00A868AF" w:rsidP="00A868AF">
      <w:pPr>
        <w:rPr>
          <w:rFonts w:ascii="Times New Roman" w:hAnsi="Times New Roman" w:cs="Times New Roman"/>
          <w:b/>
          <w:bCs/>
        </w:rPr>
      </w:pPr>
      <w:r>
        <w:rPr>
          <w:rFonts w:ascii="Times New Roman" w:hAnsi="Times New Roman" w:cs="Times New Roman"/>
          <w:b/>
          <w:bCs/>
        </w:rPr>
        <w:t>Finding and selecting relevant literature</w:t>
      </w:r>
    </w:p>
    <w:p w14:paraId="0B882A3B"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To start my preliminary search and find the most relevant literature possible from the start, I extracted an initial set of key terms and phrases (taking into account both colloquial terms such as ‘tone deaf’ and more academic ones) from each of my earlier defined key questions. These included ‘Poor pitch singing’; ‘Out of tune singing’; ‘Tone-deafness’; ‘Pitch Perception’ and ‘Amusia’. Using the University of Wales Trinity St David (UWTSD) online library, these terms generated 76; 2,626; 6,136; 12, 472 and 949 results respectively. </w:t>
      </w:r>
    </w:p>
    <w:p w14:paraId="01C8C964"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To further refine these search results and ensure that I could identify the most up to date research available, I added a filter to show only results published between the years of 2019 – 2024. This reduced the number of results to the following: </w:t>
      </w:r>
    </w:p>
    <w:p w14:paraId="0EE2BE66"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‘Poor pitch singing’ – 18 </w:t>
      </w:r>
    </w:p>
    <w:p w14:paraId="2BAF03F5"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‘Out of tune singing’ – 243</w:t>
      </w:r>
    </w:p>
    <w:p w14:paraId="7437A19F"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‘Tone deafness’ – 2,202</w:t>
      </w:r>
    </w:p>
    <w:p w14:paraId="154045E1"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‘Pitch perception’ – 3,023</w:t>
      </w:r>
    </w:p>
    <w:p w14:paraId="5DC5789E"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‘Amusia’ – 194 </w:t>
      </w:r>
    </w:p>
    <w:p w14:paraId="7BB121DB" w14:textId="77777777" w:rsidR="00A868AF" w:rsidRPr="00AC01CC" w:rsidRDefault="00A868AF" w:rsidP="00A868AF">
      <w:pPr>
        <w:rPr>
          <w:rFonts w:ascii="Times New Roman" w:hAnsi="Times New Roman" w:cs="Times New Roman"/>
        </w:rPr>
      </w:pPr>
    </w:p>
    <w:p w14:paraId="556CD44E"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Although this dramatically reduced the results in most cases, reading the titles of the remaining papers further ruled many out as not relevant to my study, and so were discarded. If a title appeared relevant, I then moved on to read the abstract before deciding whether to proceed further. From here I compiled a list of sources, journals and papers that remained of interest and seemingly relevant to my research questions. </w:t>
      </w:r>
    </w:p>
    <w:p w14:paraId="4B199704"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Once I had my initial list I read through the titles and notes I had made from the abstract of each again to ascertain which sources to read and make relevant notes on first, using techniques outlined later in this section. </w:t>
      </w:r>
      <w:r>
        <w:rPr>
          <w:rFonts w:ascii="Times New Roman" w:hAnsi="Times New Roman" w:cs="Times New Roman"/>
        </w:rPr>
        <w:t>I ruled out any non-peer-reviewed articles at this stage as, in order to ensure that I was selecting reputable sources, this was my first inclusion criteria.</w:t>
      </w:r>
    </w:p>
    <w:p w14:paraId="2FC356C3"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lastRenderedPageBreak/>
        <w:t xml:space="preserve">When reading through literature I came across more key terms of interest in use (for example the term ‘non-singer’ to describe the population I am interested in). I therefore carried out the same process for these terms as I had for my original key terms. </w:t>
      </w:r>
    </w:p>
    <w:p w14:paraId="73E4364D"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It was at this stage that I recruited Google Scholar as a secondary academic search engine and began using Boolean logic to further widen and narrow my searches in response to requiring further clarity on specific areas of interest within my wider question. For example, I began combining key terms with ‘singing studio’ (using Boolean filter ‘</w:t>
      </w:r>
      <w:r>
        <w:rPr>
          <w:rFonts w:ascii="Times New Roman" w:hAnsi="Times New Roman" w:cs="Times New Roman"/>
        </w:rPr>
        <w:t>AND</w:t>
      </w:r>
      <w:r w:rsidRPr="00AC01CC">
        <w:rPr>
          <w:rFonts w:ascii="Times New Roman" w:hAnsi="Times New Roman" w:cs="Times New Roman"/>
        </w:rPr>
        <w:t>’) to generate more relevant and applicable research findings to the singing studio. Likewise, I did the same thing with the word ‘strategies’ in order to identify literature regarding pitch inaccuracy remediation, as opposed to just prevalence and causes.</w:t>
      </w:r>
    </w:p>
    <w:p w14:paraId="15042269"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I also used Boolean logic to minimise how much literature was being generated about string instrumentalist’s pitch accuracy, which was commonly showing up in my results but not relevant to my research into singers with pitch accuracy challenges. Similarly, where necessary, I also used the filter ‘</w:t>
      </w:r>
      <w:r>
        <w:rPr>
          <w:rFonts w:ascii="Times New Roman" w:hAnsi="Times New Roman" w:cs="Times New Roman"/>
        </w:rPr>
        <w:t>NOT</w:t>
      </w:r>
      <w:r w:rsidRPr="00AC01CC">
        <w:rPr>
          <w:rFonts w:ascii="Times New Roman" w:hAnsi="Times New Roman" w:cs="Times New Roman"/>
        </w:rPr>
        <w:t xml:space="preserve">’ combined with ‘strings’ or ‘instrumentalists’. This was successful, and did help to reduce irrelevant literature in the results, however I found it was at times too specific. This was because I was later to find useful research about instrumentalists’ ability to sing in </w:t>
      </w:r>
      <w:r w:rsidRPr="00856E44">
        <w:rPr>
          <w:rFonts w:ascii="Times New Roman" w:hAnsi="Times New Roman" w:cs="Times New Roman"/>
        </w:rPr>
        <w:t>tune, offer</w:t>
      </w:r>
      <w:r>
        <w:rPr>
          <w:rFonts w:ascii="Times New Roman" w:hAnsi="Times New Roman" w:cs="Times New Roman"/>
        </w:rPr>
        <w:t>ing</w:t>
      </w:r>
      <w:r w:rsidRPr="00856E44">
        <w:rPr>
          <w:rFonts w:ascii="Times New Roman" w:hAnsi="Times New Roman" w:cs="Times New Roman"/>
        </w:rPr>
        <w:t xml:space="preserve"> useful context</w:t>
      </w:r>
      <w:r w:rsidRPr="00AC01CC">
        <w:rPr>
          <w:rFonts w:ascii="Times New Roman" w:hAnsi="Times New Roman" w:cs="Times New Roman"/>
        </w:rPr>
        <w:t xml:space="preserve"> that I called upon within in my overview of prevalence, but had been previously ruled out by the use of the ‘</w:t>
      </w:r>
      <w:r>
        <w:rPr>
          <w:rFonts w:ascii="Times New Roman" w:hAnsi="Times New Roman" w:cs="Times New Roman"/>
        </w:rPr>
        <w:t>NOT</w:t>
      </w:r>
      <w:r w:rsidRPr="00AC01CC">
        <w:rPr>
          <w:rFonts w:ascii="Times New Roman" w:hAnsi="Times New Roman" w:cs="Times New Roman"/>
        </w:rPr>
        <w:t xml:space="preserve">’ filter in previous searches. </w:t>
      </w:r>
    </w:p>
    <w:p w14:paraId="5AA8C220"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Although starting with literature from the past 5 years was fruitful, I quickly found that I was missing a foundational understanding of some areas (such as how the brain perceives sound) and the more recent literature was not sufficient to fill in the gaps and bolster my current knowledge. This was because I found many research papers and articles rested on an assumption of foundational knowledge that I did not have, or were heavily worded with jargon I did not understand. This is when I began using a </w:t>
      </w:r>
      <w:r w:rsidRPr="00856E44">
        <w:rPr>
          <w:rFonts w:ascii="Times New Roman" w:hAnsi="Times New Roman" w:cs="Times New Roman"/>
        </w:rPr>
        <w:t>citation</w:t>
      </w:r>
      <w:r w:rsidRPr="00AC01CC">
        <w:rPr>
          <w:rFonts w:ascii="Times New Roman" w:hAnsi="Times New Roman" w:cs="Times New Roman"/>
        </w:rPr>
        <w:t xml:space="preserve"> chasing technique. I did this first by looking to the bibliography of useful articles and finding</w:t>
      </w:r>
      <w:r>
        <w:rPr>
          <w:rFonts w:ascii="Times New Roman" w:hAnsi="Times New Roman" w:cs="Times New Roman"/>
        </w:rPr>
        <w:t xml:space="preserve"> other literature of interest by reading the titles, however</w:t>
      </w:r>
      <w:r w:rsidRPr="00AC01CC">
        <w:rPr>
          <w:rFonts w:ascii="Times New Roman" w:hAnsi="Times New Roman" w:cs="Times New Roman"/>
        </w:rPr>
        <w:t xml:space="preserve"> I found it frustrating that I was not able to gain access to some of the sources as they were not on the UWTSD library and, although I found on Google Scholar, I was unable to access due to restrictions on paid platforms that the university was not a member of. I then discovered the sources citing function on the online UWTSD library that helped me identify relevant sources cited in an article I was </w:t>
      </w:r>
      <w:r w:rsidRPr="00443A2F">
        <w:rPr>
          <w:rFonts w:ascii="Times New Roman" w:hAnsi="Times New Roman" w:cs="Times New Roman"/>
        </w:rPr>
        <w:t>already looking at</w:t>
      </w:r>
      <w:r>
        <w:rPr>
          <w:rFonts w:ascii="Times New Roman" w:hAnsi="Times New Roman" w:cs="Times New Roman"/>
        </w:rPr>
        <w:t xml:space="preserve"> in a much quicker and more time efficient way. </w:t>
      </w:r>
      <w:r w:rsidRPr="00AC01CC">
        <w:rPr>
          <w:rFonts w:ascii="Times New Roman" w:hAnsi="Times New Roman" w:cs="Times New Roman"/>
        </w:rPr>
        <w:t xml:space="preserve"> </w:t>
      </w:r>
    </w:p>
    <w:p w14:paraId="172C375E" w14:textId="77777777" w:rsidR="00A868AF" w:rsidRDefault="00A868AF" w:rsidP="00A868AF">
      <w:pPr>
        <w:rPr>
          <w:rFonts w:ascii="Times New Roman" w:hAnsi="Times New Roman" w:cs="Times New Roman"/>
        </w:rPr>
      </w:pPr>
      <w:r w:rsidRPr="00AC01CC">
        <w:rPr>
          <w:rFonts w:ascii="Times New Roman" w:hAnsi="Times New Roman" w:cs="Times New Roman"/>
        </w:rPr>
        <w:t>I found some really helpful contextual previous research th</w:t>
      </w:r>
      <w:r>
        <w:rPr>
          <w:rFonts w:ascii="Times New Roman" w:hAnsi="Times New Roman" w:cs="Times New Roman"/>
        </w:rPr>
        <w:t xml:space="preserve">is </w:t>
      </w:r>
      <w:r w:rsidRPr="00AC01CC">
        <w:rPr>
          <w:rFonts w:ascii="Times New Roman" w:hAnsi="Times New Roman" w:cs="Times New Roman"/>
        </w:rPr>
        <w:t>way</w:t>
      </w:r>
      <w:r>
        <w:rPr>
          <w:rFonts w:ascii="Times New Roman" w:hAnsi="Times New Roman" w:cs="Times New Roman"/>
        </w:rPr>
        <w:t xml:space="preserve">, </w:t>
      </w:r>
      <w:r w:rsidRPr="00AC01CC">
        <w:rPr>
          <w:rFonts w:ascii="Times New Roman" w:hAnsi="Times New Roman" w:cs="Times New Roman"/>
        </w:rPr>
        <w:t xml:space="preserve">which both bolstered my understanding and resulted in me finding more relevant and applicable information for my paper. </w:t>
      </w:r>
    </w:p>
    <w:p w14:paraId="1654E0A6" w14:textId="77777777" w:rsidR="00A868AF" w:rsidRPr="00AC01CC" w:rsidRDefault="00A868AF" w:rsidP="00A868AF">
      <w:pPr>
        <w:rPr>
          <w:rFonts w:ascii="Times New Roman" w:hAnsi="Times New Roman" w:cs="Times New Roman"/>
          <w:b/>
          <w:bCs/>
        </w:rPr>
      </w:pPr>
    </w:p>
    <w:p w14:paraId="513B0F6E" w14:textId="77777777" w:rsidR="00A868AF" w:rsidRPr="00AC01CC" w:rsidRDefault="00A868AF" w:rsidP="00A868AF">
      <w:pPr>
        <w:rPr>
          <w:rFonts w:ascii="Times New Roman" w:hAnsi="Times New Roman" w:cs="Times New Roman"/>
          <w:b/>
          <w:bCs/>
        </w:rPr>
      </w:pPr>
      <w:r w:rsidRPr="00AC01CC">
        <w:rPr>
          <w:rFonts w:ascii="Times New Roman" w:hAnsi="Times New Roman" w:cs="Times New Roman"/>
          <w:b/>
          <w:bCs/>
        </w:rPr>
        <w:t xml:space="preserve">Reading, extracting and note taking on relevant information </w:t>
      </w:r>
    </w:p>
    <w:p w14:paraId="61CBC19B"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Given the limited time available to complete this research project, speed and comprehension of reading the literature is paramount. In order to avoid wasting too much time on less relevant research in favour of having more time to dedicate to important literature, I will </w:t>
      </w:r>
      <w:r w:rsidRPr="00AC01CC">
        <w:rPr>
          <w:rFonts w:ascii="Times New Roman" w:hAnsi="Times New Roman" w:cs="Times New Roman"/>
        </w:rPr>
        <w:lastRenderedPageBreak/>
        <w:t>follow advice from Smith and Smith (1990, pp. 53-89, cited in Walliman, 2020), who recommend initially scanning the text for keywords and utilising headings and the first sentence of each paragraph to guide focus and quickly locat</w:t>
      </w:r>
      <w:r>
        <w:rPr>
          <w:rFonts w:ascii="Times New Roman" w:hAnsi="Times New Roman" w:cs="Times New Roman"/>
        </w:rPr>
        <w:t>e</w:t>
      </w:r>
      <w:r w:rsidRPr="00AC01CC">
        <w:rPr>
          <w:rFonts w:ascii="Times New Roman" w:hAnsi="Times New Roman" w:cs="Times New Roman"/>
        </w:rPr>
        <w:t xml:space="preserve"> the most relevant sections to read before deciding whether to delve deeper into the whole paper. From here I will employ Freeman and Meed’s (1993) ‘Skimming’, ‘Reading to understand’ and ‘Word-by-word reading’ methods as appropriate, to find and digest the most relevant information in the most suitable detail for that source. Having these different methods to adopt when reading should substantially speed up the process of extracting information and studies for my specific research problem (Burns and Sinfield, 2016), while enabling different levels of depth to be garnered depending on the source, requirement and relevance (Walliman, 2020). </w:t>
      </w:r>
    </w:p>
    <w:p w14:paraId="60CF3E8F" w14:textId="77777777" w:rsidR="00A868AF" w:rsidRPr="00AC01CC" w:rsidRDefault="00A868AF" w:rsidP="00A868AF">
      <w:pPr>
        <w:rPr>
          <w:rFonts w:ascii="Times New Roman" w:hAnsi="Times New Roman" w:cs="Times New Roman"/>
        </w:rPr>
      </w:pPr>
    </w:p>
    <w:p w14:paraId="099FD955" w14:textId="77777777" w:rsidR="00A868AF" w:rsidRPr="00AC01CC" w:rsidRDefault="00A868AF" w:rsidP="00A868AF">
      <w:pPr>
        <w:rPr>
          <w:rFonts w:ascii="Times New Roman" w:hAnsi="Times New Roman" w:cs="Times New Roman"/>
          <w:b/>
          <w:bCs/>
        </w:rPr>
      </w:pPr>
      <w:r w:rsidRPr="00AC01CC">
        <w:rPr>
          <w:rFonts w:ascii="Times New Roman" w:hAnsi="Times New Roman" w:cs="Times New Roman"/>
          <w:b/>
          <w:bCs/>
        </w:rPr>
        <w:t xml:space="preserve">Note taking </w:t>
      </w:r>
    </w:p>
    <w:p w14:paraId="54613C23"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I aim to take notes as I go along and in my own words, in order to engage actively in the research process (Newman, 1989, p.15). Doing so improves a reader’s comprehension and retention of text (Burns and Sinifield, p.77-90) and helps avoid any accidental plagiarism (Walliman, 2020). It will also give me the space and time to have my own thoughts as I paraphrase my understanding of what I read, giving space for any questions or areas for further clarity to arise. I will follow advice from Walliman (2020) Wiersma and Jurs (2008) regarding what to include in the bibliography entry for each note, and follow Smith and Smith’s (1990, cited in Walliman, 2020) ‘Golden Rules’ when reading research reports. These sets of advice and strategies give me a useful framework and checklist to follow so that my notes are easily retrievable for whenever required later in the research process and functional for when it comes to writing.  I will also make sure to regularly refer back to the UWTSD Harvard Referencing Guide to ensure I write out references in line with the Harvard Referencing style requirements, something I will also continue to do when writing up the paper. </w:t>
      </w:r>
    </w:p>
    <w:p w14:paraId="7C01995A" w14:textId="77777777" w:rsidR="0073609F" w:rsidRDefault="0073609F" w:rsidP="00A868AF">
      <w:pPr>
        <w:rPr>
          <w:rFonts w:ascii="Times New Roman" w:hAnsi="Times New Roman" w:cs="Times New Roman"/>
        </w:rPr>
      </w:pPr>
    </w:p>
    <w:p w14:paraId="70784FC5" w14:textId="7775C488" w:rsidR="00A868AF" w:rsidRPr="001868A8" w:rsidRDefault="00A868AF" w:rsidP="00A868AF">
      <w:pPr>
        <w:rPr>
          <w:rFonts w:ascii="Times New Roman" w:hAnsi="Times New Roman" w:cs="Times New Roman"/>
          <w:sz w:val="28"/>
          <w:szCs w:val="28"/>
          <w:u w:val="single"/>
        </w:rPr>
      </w:pPr>
      <w:r w:rsidRPr="001868A8">
        <w:rPr>
          <w:rFonts w:ascii="Times New Roman" w:hAnsi="Times New Roman" w:cs="Times New Roman"/>
          <w:sz w:val="28"/>
          <w:szCs w:val="28"/>
          <w:u w:val="single"/>
        </w:rPr>
        <w:t xml:space="preserve">Critical evaluation </w:t>
      </w:r>
    </w:p>
    <w:p w14:paraId="52992570"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Critically analysing what and how something has been learned in a conscious way encourages active participation in the learning process (Dewey, 1933). Reflection deepens, refines and solidifies learning (Boud et al, 1985), which can be empowering and professionally developmental for a researcher as they uncover meaning (Daudelin, 1996). It is for these reasons, and the fact that reflection has been shown to develop relevant knowledge for professional application based on ‘evidence and rationality’ (Dewey, 1933), that is an essential component for me to engage with in my academic study as a practice-based researcher. </w:t>
      </w:r>
    </w:p>
    <w:p w14:paraId="583E10AE" w14:textId="77777777" w:rsidR="00A868AF" w:rsidRDefault="00A868AF" w:rsidP="00A868AF">
      <w:pPr>
        <w:rPr>
          <w:rFonts w:ascii="Times New Roman" w:hAnsi="Times New Roman" w:cs="Times New Roman"/>
        </w:rPr>
      </w:pPr>
      <w:r w:rsidRPr="00AC01CC">
        <w:rPr>
          <w:rFonts w:ascii="Times New Roman" w:hAnsi="Times New Roman" w:cs="Times New Roman"/>
        </w:rPr>
        <w:t xml:space="preserve">As a work-based research investigating pitch accuracy improvement strategies to use when working with poor-pitch singers in my private practice, intentional reflection is an important aspect of my daily work. Reflection takes place before, during and </w:t>
      </w:r>
      <w:r w:rsidRPr="00A8460E">
        <w:rPr>
          <w:rFonts w:ascii="Times New Roman" w:hAnsi="Times New Roman" w:cs="Times New Roman"/>
        </w:rPr>
        <w:t xml:space="preserve">after </w:t>
      </w:r>
      <w:r>
        <w:rPr>
          <w:rFonts w:ascii="Times New Roman" w:hAnsi="Times New Roman" w:cs="Times New Roman"/>
        </w:rPr>
        <w:t xml:space="preserve">(Schön, 1991) and </w:t>
      </w:r>
      <w:r>
        <w:rPr>
          <w:rFonts w:ascii="Times New Roman" w:hAnsi="Times New Roman" w:cs="Times New Roman"/>
        </w:rPr>
        <w:lastRenderedPageBreak/>
        <w:t xml:space="preserve">this is </w:t>
      </w:r>
      <w:r w:rsidRPr="00A8460E">
        <w:rPr>
          <w:rFonts w:ascii="Times New Roman" w:hAnsi="Times New Roman" w:cs="Times New Roman"/>
        </w:rPr>
        <w:t xml:space="preserve">important as I want to encourage my students to do the same and therefore </w:t>
      </w:r>
      <w:r w:rsidRPr="00AC01CC">
        <w:rPr>
          <w:rFonts w:ascii="Times New Roman" w:hAnsi="Times New Roman" w:cs="Times New Roman"/>
        </w:rPr>
        <w:t xml:space="preserve">should lead by example. </w:t>
      </w:r>
    </w:p>
    <w:p w14:paraId="6012B8A1" w14:textId="77777777" w:rsidR="00A868AF" w:rsidRPr="00AC01CC" w:rsidRDefault="00A868AF" w:rsidP="00A868AF">
      <w:pPr>
        <w:rPr>
          <w:rFonts w:ascii="Times New Roman" w:hAnsi="Times New Roman" w:cs="Times New Roman"/>
        </w:rPr>
      </w:pPr>
      <w:r w:rsidRPr="00AC01CC">
        <w:rPr>
          <w:rFonts w:ascii="Times New Roman" w:hAnsi="Times New Roman" w:cs="Times New Roman"/>
        </w:rPr>
        <w:t xml:space="preserve">Much of the existing empirical research within the literature on poor pitch remediation has been carried out by researchers who are also teachers of singing (Wise, 2015), placing them at the “intersection of art and science” (Shewell, 2009). Therefore, what we know to date is likely the direct result of reflection on practice. This further rationalises the significance of reflective practice for work-based researcher, and motivates me to develop this skill myself. </w:t>
      </w:r>
    </w:p>
    <w:p w14:paraId="4941D506" w14:textId="77777777" w:rsidR="00A868AF" w:rsidRPr="00E21B1C" w:rsidRDefault="00A868AF" w:rsidP="00A868AF">
      <w:pPr>
        <w:rPr>
          <w:rFonts w:ascii="Times New Roman" w:hAnsi="Times New Roman" w:cs="Times New Roman"/>
        </w:rPr>
      </w:pPr>
      <w:r w:rsidRPr="00E21B1C">
        <w:rPr>
          <w:rFonts w:ascii="Times New Roman" w:hAnsi="Times New Roman" w:cs="Times New Roman"/>
        </w:rPr>
        <w:t>I began to realise very early on in my learning journey that the exploration into my research questions and subject choice would be a far more complex feat than I had originally anticipated. It became apparent that, in order to gain a deep and thorough understanding of the questions I had set myself, I would likely have to read very widely across academic literature in many different disciplines, including acoustics, psychology, neuroscience, coaching, singing and music pedagogy and voice science.</w:t>
      </w:r>
    </w:p>
    <w:p w14:paraId="7D962D87" w14:textId="77777777" w:rsidR="00A868AF" w:rsidRPr="00F53DCF" w:rsidRDefault="00A868AF" w:rsidP="00A868AF">
      <w:pPr>
        <w:rPr>
          <w:rFonts w:ascii="Times New Roman" w:hAnsi="Times New Roman" w:cs="Times New Roman"/>
        </w:rPr>
      </w:pPr>
      <w:r w:rsidRPr="00E21B1C">
        <w:rPr>
          <w:rFonts w:ascii="Times New Roman" w:hAnsi="Times New Roman" w:cs="Times New Roman"/>
        </w:rPr>
        <w:t>Although, on one hand I tried to make a conscious choice to view this as an exciting learning opportunity, I found myself feeling very daunted and overwhelmed by the task ahead of me. The more I read, the more questions I had than answers, and the questions list just kept growing. It became clear that there were many possible avenues and directions that I could take my research, but knowing which direction to focus on left me somewhat paralysed.</w:t>
      </w:r>
      <w:r>
        <w:rPr>
          <w:rFonts w:ascii="Times New Roman" w:hAnsi="Times New Roman" w:cs="Times New Roman"/>
        </w:rPr>
        <w:t xml:space="preserve"> This is where a more effective note organisation strategy would have been useful in order to more easily retrieve notes and information as and when I needed it (van Dalen, 1979). I intend to follow a suggestion by Leedy and Ormrod (2015), creating multiple copies of each note and references in order to be able to file them under different topic headings. This should also allow me to more actively engage in the processing of my ideas whereby I can physically move notes around when planning.  </w:t>
      </w:r>
    </w:p>
    <w:p w14:paraId="055D98E5" w14:textId="77777777" w:rsidR="00A868AF" w:rsidRPr="00D10B35" w:rsidRDefault="00A868AF" w:rsidP="00A868AF">
      <w:pPr>
        <w:rPr>
          <w:rFonts w:ascii="Times New Roman" w:hAnsi="Times New Roman" w:cs="Times New Roman"/>
        </w:rPr>
      </w:pPr>
      <w:r>
        <w:rPr>
          <w:rFonts w:ascii="Times New Roman" w:hAnsi="Times New Roman" w:cs="Times New Roman"/>
        </w:rPr>
        <w:t>W</w:t>
      </w:r>
      <w:r w:rsidRPr="00D10B35">
        <w:rPr>
          <w:rFonts w:ascii="Times New Roman" w:hAnsi="Times New Roman" w:cs="Times New Roman"/>
        </w:rPr>
        <w:t>hile exploring possible explanations and theories as to why some poor-pitch singers are seemingly unaware of their pitch accuracy challenges, I came across the Dunning-Kruger Effect (Kruger and Dunning, 1999). This apparent cognitive bias has been used to explain that novices (or individuals with low ability in an area) tend to consider themselves more competent in it than they actually are</w:t>
      </w:r>
      <w:r>
        <w:rPr>
          <w:rFonts w:ascii="Times New Roman" w:hAnsi="Times New Roman" w:cs="Times New Roman"/>
        </w:rPr>
        <w:t xml:space="preserve">. </w:t>
      </w:r>
      <w:r w:rsidRPr="00D10B35">
        <w:rPr>
          <w:rFonts w:ascii="Times New Roman" w:hAnsi="Times New Roman" w:cs="Times New Roman"/>
        </w:rPr>
        <w:t>The theory has subsequently also been expanded and used to explain why the opposite may often also be observed – that is, more someone learns about a subject, the more they realise the amount that they don’t know about it, and the more likely they are to underestimate their knowledge or skills in the area (Magnus and Peresetsky, 2022; Ross et al, 1977)</w:t>
      </w:r>
      <w:r>
        <w:rPr>
          <w:rFonts w:ascii="Times New Roman" w:hAnsi="Times New Roman" w:cs="Times New Roman"/>
        </w:rPr>
        <w:t>.</w:t>
      </w:r>
    </w:p>
    <w:p w14:paraId="72BF3E9D" w14:textId="77777777" w:rsidR="00A868AF" w:rsidRPr="00D10B35" w:rsidRDefault="00A868AF" w:rsidP="00A868AF">
      <w:pPr>
        <w:rPr>
          <w:rFonts w:ascii="Times New Roman" w:hAnsi="Times New Roman" w:cs="Times New Roman"/>
        </w:rPr>
      </w:pPr>
      <w:r w:rsidRPr="00D10B35">
        <w:rPr>
          <w:rFonts w:ascii="Times New Roman" w:hAnsi="Times New Roman" w:cs="Times New Roman"/>
        </w:rPr>
        <w:t xml:space="preserve">Learning about the phenomenon of the Dunning-Kruger effect, the psychological explanation for which remains the prevalent explanation for many (Magnus and Peresetsky, 2022), was not only enlightening for the purposes of offering a possible explanation for my enquiry into a lack of awareness of pitch-inaccuracy, but also gave me food for thought on my own practice around the subject matter that I am studying in this module. Psychological explanations for the Dunning-Kruger effect resonated with me as a likely explanation as to why I initially believed that it was a subject that I could easily learn about, but also as to why I felt less confident the more I did learn about it. More recent research into the phenomenon </w:t>
      </w:r>
      <w:r w:rsidRPr="00D10B35">
        <w:rPr>
          <w:rFonts w:ascii="Times New Roman" w:hAnsi="Times New Roman" w:cs="Times New Roman"/>
        </w:rPr>
        <w:lastRenderedPageBreak/>
        <w:t xml:space="preserve">has argued that the effect is merely ‘hypothetical’ and that a statistical explanation is more likely (Magnus and Peresetsy, 2022; McIntosh et al., 2022). Although the arguments presented in the aforementioned papers are compelling and something that I intend to research into more in the future in order to understand more fully it and avoid bias (Pennycook et al, 2017), the psychological explanations and research in support of that, reassured me that my experience throughout this research project (in relation to feeling less and less informed the more I learned about what I didn’t know) were not uncommon and that it was possible to push through. My takeaway from this is not why it occurs but simply that it does, which is not debated. </w:t>
      </w:r>
    </w:p>
    <w:p w14:paraId="2DD1FA6F" w14:textId="77777777" w:rsidR="00A868AF" w:rsidRPr="004874CE" w:rsidRDefault="00A868AF" w:rsidP="00A868AF">
      <w:pPr>
        <w:rPr>
          <w:rFonts w:ascii="Times New Roman" w:hAnsi="Times New Roman" w:cs="Times New Roman"/>
        </w:rPr>
      </w:pPr>
      <w:r w:rsidRPr="00053B03">
        <w:rPr>
          <w:rFonts w:ascii="Times New Roman" w:hAnsi="Times New Roman" w:cs="Times New Roman"/>
        </w:rPr>
        <w:t xml:space="preserve">When exploring the literature on shame, embarrassment and vulnerability, psychological experiences that have been shown to be high predictors of disengagement with learning, I had another personally and professionally reflective realisation. Although seeking to understand how the literature may be applicable in predicting whether these factors may help or hinder a poor-pitch singer to improve their pitch accuracy and psychologically backed approaches to increase their chances of success, I found the literature to be just as relatable to my own disengagement and struggles in this module. This reassured me and motivated me to work through it. This was an example of ‘reflection in action’(Schön, 1991) as I was seeking to directly apply it to all areas of my professional development while I was reading and learning, rather than just in retrospect. </w:t>
      </w:r>
    </w:p>
    <w:p w14:paraId="6B812F4A" w14:textId="77777777" w:rsidR="00A868AF" w:rsidRPr="00053B03" w:rsidRDefault="00A868AF" w:rsidP="00A868AF">
      <w:pPr>
        <w:rPr>
          <w:rFonts w:ascii="Times New Roman" w:hAnsi="Times New Roman" w:cs="Times New Roman"/>
        </w:rPr>
      </w:pPr>
      <w:r w:rsidRPr="00053B03">
        <w:rPr>
          <w:rFonts w:ascii="Times New Roman" w:hAnsi="Times New Roman" w:cs="Times New Roman"/>
        </w:rPr>
        <w:t>To conclude, the learning journey I have undertaken throughout the course of this project has been highly developmental in a number of ways, both for my academic and professional practice</w:t>
      </w:r>
      <w:r>
        <w:rPr>
          <w:rFonts w:ascii="Times New Roman" w:hAnsi="Times New Roman" w:cs="Times New Roman"/>
        </w:rPr>
        <w:t>.</w:t>
      </w:r>
    </w:p>
    <w:p w14:paraId="56002836" w14:textId="77777777" w:rsidR="00A868AF" w:rsidRPr="001868A8" w:rsidRDefault="00A868AF" w:rsidP="00A868AF">
      <w:pPr>
        <w:rPr>
          <w:rFonts w:ascii="Times New Roman" w:hAnsi="Times New Roman" w:cs="Times New Roman"/>
          <w:b/>
          <w:bCs/>
        </w:rPr>
      </w:pPr>
    </w:p>
    <w:p w14:paraId="5F13830C" w14:textId="77777777" w:rsidR="00A868AF" w:rsidRPr="000046AD" w:rsidRDefault="00A868AF" w:rsidP="00A868AF">
      <w:pPr>
        <w:shd w:val="clear" w:color="auto" w:fill="FFFFFF"/>
        <w:spacing w:after="0" w:line="240" w:lineRule="auto"/>
        <w:rPr>
          <w:rFonts w:ascii="Times New Roman" w:eastAsia="Times New Roman" w:hAnsi="Times New Roman" w:cs="Times New Roman"/>
          <w:color w:val="000000"/>
          <w:kern w:val="0"/>
          <w:lang w:eastAsia="en-GB"/>
          <w14:ligatures w14:val="none"/>
        </w:rPr>
      </w:pPr>
    </w:p>
    <w:p w14:paraId="13AEBED7" w14:textId="77777777" w:rsidR="0073609F" w:rsidRDefault="0073609F" w:rsidP="00A868AF">
      <w:pPr>
        <w:rPr>
          <w:rFonts w:ascii="Times New Roman" w:hAnsi="Times New Roman" w:cs="Times New Roman"/>
          <w:b/>
          <w:bCs/>
          <w:sz w:val="28"/>
          <w:szCs w:val="28"/>
        </w:rPr>
      </w:pPr>
    </w:p>
    <w:p w14:paraId="5F4E0199" w14:textId="77777777" w:rsidR="0073609F" w:rsidRDefault="0073609F" w:rsidP="00A868AF">
      <w:pPr>
        <w:rPr>
          <w:rFonts w:ascii="Times New Roman" w:hAnsi="Times New Roman" w:cs="Times New Roman"/>
          <w:b/>
          <w:bCs/>
          <w:sz w:val="28"/>
          <w:szCs w:val="28"/>
        </w:rPr>
      </w:pPr>
    </w:p>
    <w:p w14:paraId="74AA067A" w14:textId="77777777" w:rsidR="0073609F" w:rsidRDefault="0073609F" w:rsidP="00A868AF">
      <w:pPr>
        <w:rPr>
          <w:rFonts w:ascii="Times New Roman" w:hAnsi="Times New Roman" w:cs="Times New Roman"/>
          <w:b/>
          <w:bCs/>
          <w:sz w:val="28"/>
          <w:szCs w:val="28"/>
        </w:rPr>
      </w:pPr>
    </w:p>
    <w:p w14:paraId="30CACA81" w14:textId="77777777" w:rsidR="0073609F" w:rsidRDefault="0073609F" w:rsidP="00A868AF">
      <w:pPr>
        <w:rPr>
          <w:rFonts w:ascii="Times New Roman" w:hAnsi="Times New Roman" w:cs="Times New Roman"/>
          <w:b/>
          <w:bCs/>
          <w:sz w:val="28"/>
          <w:szCs w:val="28"/>
        </w:rPr>
      </w:pPr>
    </w:p>
    <w:p w14:paraId="772CD066" w14:textId="77777777" w:rsidR="0073609F" w:rsidRDefault="0073609F" w:rsidP="00A868AF">
      <w:pPr>
        <w:rPr>
          <w:rFonts w:ascii="Times New Roman" w:hAnsi="Times New Roman" w:cs="Times New Roman"/>
          <w:b/>
          <w:bCs/>
          <w:sz w:val="28"/>
          <w:szCs w:val="28"/>
        </w:rPr>
      </w:pPr>
    </w:p>
    <w:p w14:paraId="7D4EDD9A" w14:textId="77777777" w:rsidR="0073609F" w:rsidRDefault="0073609F" w:rsidP="00A868AF">
      <w:pPr>
        <w:rPr>
          <w:rFonts w:ascii="Times New Roman" w:hAnsi="Times New Roman" w:cs="Times New Roman"/>
          <w:b/>
          <w:bCs/>
          <w:sz w:val="28"/>
          <w:szCs w:val="28"/>
        </w:rPr>
      </w:pPr>
    </w:p>
    <w:p w14:paraId="5062B62D" w14:textId="77777777" w:rsidR="0073609F" w:rsidRDefault="0073609F" w:rsidP="00A868AF">
      <w:pPr>
        <w:rPr>
          <w:rFonts w:ascii="Times New Roman" w:hAnsi="Times New Roman" w:cs="Times New Roman"/>
          <w:b/>
          <w:bCs/>
          <w:sz w:val="28"/>
          <w:szCs w:val="28"/>
        </w:rPr>
      </w:pPr>
    </w:p>
    <w:p w14:paraId="21E33E23" w14:textId="77777777" w:rsidR="0073609F" w:rsidRDefault="0073609F" w:rsidP="00A868AF">
      <w:pPr>
        <w:rPr>
          <w:rFonts w:ascii="Times New Roman" w:hAnsi="Times New Roman" w:cs="Times New Roman"/>
          <w:b/>
          <w:bCs/>
          <w:sz w:val="28"/>
          <w:szCs w:val="28"/>
        </w:rPr>
      </w:pPr>
    </w:p>
    <w:p w14:paraId="3FB35F13" w14:textId="77777777" w:rsidR="0073609F" w:rsidRDefault="0073609F" w:rsidP="00A868AF">
      <w:pPr>
        <w:rPr>
          <w:rFonts w:ascii="Times New Roman" w:hAnsi="Times New Roman" w:cs="Times New Roman"/>
          <w:b/>
          <w:bCs/>
          <w:sz w:val="28"/>
          <w:szCs w:val="28"/>
        </w:rPr>
      </w:pPr>
    </w:p>
    <w:p w14:paraId="12E3327F" w14:textId="77777777" w:rsidR="0073609F" w:rsidRDefault="0073609F" w:rsidP="00A868AF">
      <w:pPr>
        <w:rPr>
          <w:rFonts w:ascii="Times New Roman" w:hAnsi="Times New Roman" w:cs="Times New Roman"/>
          <w:b/>
          <w:bCs/>
          <w:sz w:val="28"/>
          <w:szCs w:val="28"/>
        </w:rPr>
      </w:pPr>
    </w:p>
    <w:p w14:paraId="0AF5BB7C" w14:textId="77777777" w:rsidR="0073609F" w:rsidRDefault="0073609F" w:rsidP="00A868AF">
      <w:pPr>
        <w:rPr>
          <w:rFonts w:ascii="Times New Roman" w:hAnsi="Times New Roman" w:cs="Times New Roman"/>
          <w:b/>
          <w:bCs/>
          <w:sz w:val="28"/>
          <w:szCs w:val="28"/>
        </w:rPr>
      </w:pPr>
    </w:p>
    <w:p w14:paraId="0A973EA0" w14:textId="3114EDDB" w:rsidR="00A868AF" w:rsidRPr="0073609F" w:rsidRDefault="00A868AF" w:rsidP="0073609F">
      <w:pPr>
        <w:rPr>
          <w:rFonts w:ascii="Times New Roman" w:hAnsi="Times New Roman" w:cs="Times New Roman"/>
          <w:b/>
          <w:bCs/>
        </w:rPr>
      </w:pPr>
      <w:r w:rsidRPr="0073609F">
        <w:rPr>
          <w:rFonts w:ascii="Times New Roman" w:hAnsi="Times New Roman" w:cs="Times New Roman"/>
          <w:b/>
          <w:bCs/>
        </w:rPr>
        <w:lastRenderedPageBreak/>
        <w:t xml:space="preserve">Part 2 – Written Assignment </w:t>
      </w:r>
    </w:p>
    <w:p w14:paraId="255A9C22"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It is the perception of many people that singing is a skill that you have, or do not have (Pfordresher &amp; Demorest, 2021; Wise, 2015). Many people in the general population have a very fixed view regarding their singing (</w:t>
      </w:r>
      <w:bookmarkStart w:id="0" w:name="m_-7095051189100626585__Hlk179550148"/>
      <w:r w:rsidRPr="0076388B">
        <w:rPr>
          <w:rFonts w:ascii="Times New Roman" w:eastAsia="Times New Roman" w:hAnsi="Times New Roman" w:cs="Times New Roman"/>
          <w:color w:val="1D2228"/>
          <w:kern w:val="0"/>
          <w:lang w:eastAsia="en-GB"/>
          <w14:ligatures w14:val="none"/>
        </w:rPr>
        <w:t>Knight,  2016</w:t>
      </w:r>
      <w:bookmarkEnd w:id="0"/>
      <w:r w:rsidRPr="0076388B">
        <w:rPr>
          <w:rFonts w:ascii="Times New Roman" w:eastAsia="Times New Roman" w:hAnsi="Times New Roman" w:cs="Times New Roman"/>
          <w:color w:val="0E101A"/>
          <w:kern w:val="0"/>
          <w:lang w:eastAsia="en-GB"/>
          <w14:ligatures w14:val="none"/>
        </w:rPr>
        <w:t>) often linked to a belief about their singing ability in childhood, which in term creates a feedback loop shaping their level of engagement with the activity throughout their lives.  This essay seeks to use the evidence from contemporary research to challenge the assumption, (</w:t>
      </w:r>
      <w:r w:rsidRPr="0076388B">
        <w:rPr>
          <w:rFonts w:ascii="Times New Roman" w:eastAsia="Times New Roman" w:hAnsi="Times New Roman" w:cs="Times New Roman"/>
          <w:color w:val="1D2228"/>
          <w:kern w:val="0"/>
          <w:lang w:eastAsia="en-GB"/>
          <w14:ligatures w14:val="none"/>
        </w:rPr>
        <w:t>Knight 2016)</w:t>
      </w:r>
      <w:r w:rsidRPr="0076388B">
        <w:rPr>
          <w:rFonts w:ascii="Times New Roman" w:eastAsia="Times New Roman" w:hAnsi="Times New Roman" w:cs="Times New Roman"/>
          <w:color w:val="0E101A"/>
          <w:kern w:val="0"/>
          <w:lang w:eastAsia="en-GB"/>
          <w14:ligatures w14:val="none"/>
        </w:rPr>
        <w:t> that competence in singing is a skill that that most people either have or do not have,  and that most people who identify as non-singers could positively benefit from vocal coaching, especially in the area of accurate pitch control. While many people believe themselves to be 'tone-deaf', research shows that it is far more likely that they have poor pitch accuracy, which they could learn to improve; there is a stark difference between tone-deafness and poor pitch accuracy. Cuddy et al. (2005) found that 17% of their 2000 university student participants considered themselves to be 'tone deaf' but were found not to meet the criteria for congenital amusia (the term for clinical tone deafness).</w:t>
      </w:r>
    </w:p>
    <w:p w14:paraId="20249653"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36A7BD0D"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The aim of this essay is to review how the process of singing is influenced by perception. Influences firstly their singing and particularly pitch control. This involves a process of feedback and the interpretation of that feedback. Starting with an overview of the relevant background issues, this essay will evaluate what differentiates those who identify as non-singers from confident vocalists and consider how current research can inform the vocal coach in devising effective, evidenced-based strategies to devise and implement person and group training techniques. Knight (2016) has identified some characteristics of the adult non-singer (NS). Teaching strategies to address each of these perceptions is an important part in positive intervention to provide the skills and confidence to allow NS to develop appropriate vocal competencies to meet their own goals, starting for where they are now.  The first barrier for an NS to overcome is the belief that they are incapable of singing or learning to sing. The second is to convince the NS that their current standard of singing is appropriate to perform for their target audience (Knight 2010, p91). Consider themselves a singer for personal satisfaction, even if they have no aspiration to reach the standard of a professional singer. </w:t>
      </w:r>
    </w:p>
    <w:p w14:paraId="5C0C7FD3"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1D2228"/>
          <w:kern w:val="0"/>
          <w:lang w:eastAsia="en-GB"/>
          <w14:ligatures w14:val="none"/>
        </w:rPr>
        <w:t>In any understanding of research into singing it is important to identify different groups within the singing population. Knight, (2016) has described these groups as Singers (S), which includes both trained and other competent vocalists, adult non singer (NS) which includes those individuals who do not identify as competent singers, children whose voices are developing  and Amusia (A) , where the individual’s vocal ability it limited by a metal or physical impairment.  Knight elaborates on the NS group highlighting that except for those with </w:t>
      </w:r>
      <w:r w:rsidRPr="0076388B">
        <w:rPr>
          <w:rFonts w:ascii="Times New Roman" w:eastAsia="Times New Roman" w:hAnsi="Times New Roman" w:cs="Times New Roman"/>
          <w:i/>
          <w:iCs/>
          <w:color w:val="1D2228"/>
          <w:kern w:val="0"/>
          <w:lang w:eastAsia="en-GB"/>
          <w14:ligatures w14:val="none"/>
        </w:rPr>
        <w:t>Congenital </w:t>
      </w:r>
      <w:r w:rsidRPr="0076388B">
        <w:rPr>
          <w:rFonts w:ascii="Times New Roman" w:eastAsia="Times New Roman" w:hAnsi="Times New Roman" w:cs="Times New Roman"/>
          <w:color w:val="1D2228"/>
          <w:kern w:val="0"/>
          <w:lang w:eastAsia="en-GB"/>
          <w14:ligatures w14:val="none"/>
        </w:rPr>
        <w:t>or</w:t>
      </w:r>
      <w:r w:rsidRPr="0076388B">
        <w:rPr>
          <w:rFonts w:ascii="Times New Roman" w:eastAsia="Times New Roman" w:hAnsi="Times New Roman" w:cs="Times New Roman"/>
          <w:i/>
          <w:iCs/>
          <w:color w:val="1D2228"/>
          <w:kern w:val="0"/>
          <w:lang w:eastAsia="en-GB"/>
          <w14:ligatures w14:val="none"/>
        </w:rPr>
        <w:t> trauma related  Amusia</w:t>
      </w:r>
      <w:r w:rsidRPr="0076388B">
        <w:rPr>
          <w:rFonts w:ascii="Times New Roman" w:eastAsia="Times New Roman" w:hAnsi="Times New Roman" w:cs="Times New Roman"/>
          <w:color w:val="1D2228"/>
          <w:kern w:val="0"/>
          <w:lang w:eastAsia="en-GB"/>
          <w14:ligatures w14:val="none"/>
        </w:rPr>
        <w:t>  (CA) or injury, many of the underlying reasons for people identifying with the NS group are social and experiential and based on poor and often inaccurate self-perception often rooted in childhood experience and reinformed by self-perception and an undeservedly poor of their adult vocal ability. This  opens up the potential for effective singing training and coaching based on a contemporary understand of the voice. The core of this essay aims to explore some of the current thinking on voice training based on contemporary research and to apply this to suggest relevant strategies for improved voice and singer training. </w:t>
      </w:r>
      <w:r w:rsidRPr="0076388B">
        <w:rPr>
          <w:rFonts w:ascii="Times New Roman" w:eastAsia="Times New Roman" w:hAnsi="Times New Roman" w:cs="Times New Roman"/>
          <w:color w:val="0E101A"/>
          <w:kern w:val="0"/>
          <w:lang w:eastAsia="en-GB"/>
          <w14:ligatures w14:val="none"/>
        </w:rPr>
        <w:t>Congenital amusia is a musical disability where individuals are unable to detect differences between musical pitches, recognise wrong notes in melodies they are familiar with (or identify the melody at all), or perform other pitch-based musical tasks (Wise, 2015). </w:t>
      </w:r>
      <w:r w:rsidRPr="0076388B">
        <w:rPr>
          <w:rFonts w:ascii="Times New Roman" w:eastAsia="Times New Roman" w:hAnsi="Times New Roman" w:cs="Times New Roman"/>
          <w:color w:val="1D2228"/>
          <w:kern w:val="0"/>
          <w:lang w:eastAsia="en-GB"/>
          <w14:ligatures w14:val="none"/>
        </w:rPr>
        <w:t>The paper will also outline current understand of voice and singing linked to the brain, which may be important in the recognition of congenital </w:t>
      </w:r>
      <w:r w:rsidRPr="0076388B">
        <w:rPr>
          <w:rFonts w:ascii="Times New Roman" w:eastAsia="Times New Roman" w:hAnsi="Times New Roman" w:cs="Times New Roman"/>
          <w:i/>
          <w:iCs/>
          <w:color w:val="1D2228"/>
          <w:kern w:val="0"/>
          <w:lang w:eastAsia="en-GB"/>
          <w14:ligatures w14:val="none"/>
        </w:rPr>
        <w:t>amusia</w:t>
      </w:r>
      <w:r w:rsidRPr="0076388B">
        <w:rPr>
          <w:rFonts w:ascii="Times New Roman" w:eastAsia="Times New Roman" w:hAnsi="Times New Roman" w:cs="Times New Roman"/>
          <w:color w:val="1D2228"/>
          <w:kern w:val="0"/>
          <w:lang w:eastAsia="en-GB"/>
          <w14:ligatures w14:val="none"/>
        </w:rPr>
        <w:t xml:space="preserve">, and which may into the future offer new approaches to help non singers develop their abilities possibly as standalone interventions or </w:t>
      </w:r>
      <w:r w:rsidRPr="0076388B">
        <w:rPr>
          <w:rFonts w:ascii="Times New Roman" w:eastAsia="Times New Roman" w:hAnsi="Times New Roman" w:cs="Times New Roman"/>
          <w:color w:val="1D2228"/>
          <w:kern w:val="0"/>
          <w:lang w:eastAsia="en-GB"/>
          <w14:ligatures w14:val="none"/>
        </w:rPr>
        <w:lastRenderedPageBreak/>
        <w:t>in  conjunction with clinical therapeutic treatments, especially those with </w:t>
      </w:r>
      <w:r w:rsidRPr="0076388B">
        <w:rPr>
          <w:rFonts w:ascii="Times New Roman" w:eastAsia="Times New Roman" w:hAnsi="Times New Roman" w:cs="Times New Roman"/>
          <w:i/>
          <w:iCs/>
          <w:color w:val="1D2228"/>
          <w:kern w:val="0"/>
          <w:lang w:eastAsia="en-GB"/>
          <w14:ligatures w14:val="none"/>
        </w:rPr>
        <w:t>congenital amusia</w:t>
      </w:r>
      <w:r w:rsidRPr="0076388B">
        <w:rPr>
          <w:rFonts w:ascii="Times New Roman" w:eastAsia="Times New Roman" w:hAnsi="Times New Roman" w:cs="Times New Roman"/>
          <w:color w:val="1D2228"/>
          <w:kern w:val="0"/>
          <w:lang w:eastAsia="en-GB"/>
          <w14:ligatures w14:val="none"/>
        </w:rPr>
        <w:t>. </w:t>
      </w:r>
      <w:r w:rsidRPr="0076388B">
        <w:rPr>
          <w:rFonts w:ascii="Times New Roman" w:eastAsia="Times New Roman" w:hAnsi="Times New Roman" w:cs="Times New Roman"/>
          <w:color w:val="0E101A"/>
          <w:kern w:val="0"/>
          <w:lang w:eastAsia="en-GB"/>
          <w14:ligatures w14:val="none"/>
        </w:rPr>
        <w:t>The criteria for amusia have historically included rhythm-based musical difficulties, such as clapping a rhythm or tapping along to a pulse or beat and although individuals may struggle with these kinds of tasks, this is not currently included within the amusia definition.</w:t>
      </w:r>
    </w:p>
    <w:p w14:paraId="6690B544"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Pitch accuracy is fundamental to singing because an ability to sing 'in tune' is one of the most important indicators of good or bad singing (Hutchins, Larrouy-Maestri and Perez, 2014; Watts, Barnes-Burroughs, Andrianopoulos and Hedlund 2003). Assumed to be a skill that most of the wider adult population possess (Nichols, Hua &amp; Wang, 2023; Pfordresher &amp; Demorest, 2021), in-tune singing is called upon in daily life in a variety of contexts, from singing at birthday parties to chanting at football matches.</w:t>
      </w:r>
      <w:r w:rsidRPr="0076388B">
        <w:rPr>
          <w:rFonts w:ascii="Times New Roman" w:eastAsia="Times New Roman" w:hAnsi="Times New Roman" w:cs="Times New Roman"/>
          <w:color w:val="1D2228"/>
          <w:kern w:val="0"/>
          <w:lang w:eastAsia="en-GB"/>
          <w14:ligatures w14:val="none"/>
        </w:rPr>
        <w:t> Research suggests   both children (Young, 2002)  and adults (Wise, 2015) will all have different levels of innate ability for pitch matching and musicality/ singing. </w:t>
      </w:r>
      <w:r w:rsidRPr="0076388B">
        <w:rPr>
          <w:rFonts w:ascii="Times New Roman" w:eastAsia="Times New Roman" w:hAnsi="Times New Roman" w:cs="Times New Roman"/>
          <w:color w:val="0E101A"/>
          <w:kern w:val="0"/>
          <w:lang w:eastAsia="en-GB"/>
          <w14:ligatures w14:val="none"/>
        </w:rPr>
        <w:t>Self-perception of “pitch accuracy” whether valid or not is certainly an important factor in singer confidence and self-recognition as a singer (S) or non-singer(NS). As such pitch accuracy and appropriate self-perception and where necessary remediation strategies are important factors in effective vocal coaching. </w:t>
      </w:r>
    </w:p>
    <w:p w14:paraId="5886D5F5"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1D2228"/>
          <w:kern w:val="0"/>
          <w:lang w:eastAsia="en-GB"/>
          <w14:ligatures w14:val="none"/>
        </w:rPr>
        <w:t>Bradshaw et. Al., 2005  describe various research to establish scales to measure and understand pitch accuracy and  variation. There does though seem to be some uncertainty the significance of training on a singer’s pitch matching abilities. Several authors including Amir el,al, 2013 have concluded that singers without training appear to be much less accurate when compared to trained singers, whilst other studies notably (Della Bella et, al., 2007 and Watts et. Al., 2003) report wide variations in untrained singers, highlighting that many people within this untrained group sing as accurately as trained singers.</w:t>
      </w:r>
    </w:p>
    <w:p w14:paraId="47CAF331"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When singing with others, singing in tune is certainly important to blend harmoniously with the group and ensure that familiar music can be identified and enjoyed by the listener (Wise, 2015). Hutchins, Larrouy-Maestri and Perez, (2014) found that when voices were acoustically analysed, those who sang in tune were identified as 'better quality'. </w:t>
      </w:r>
    </w:p>
    <w:p w14:paraId="4FE07AD0"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71D4597F"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1D2228"/>
          <w:kern w:val="0"/>
          <w:lang w:eastAsia="en-GB"/>
          <w14:ligatures w14:val="none"/>
        </w:rPr>
        <w:t>It is understandable, that  pitch accuracy continues to be seen  as both the most practical and useful measure of a singer’s competence or potential. (Wise,  2015). This is certainly reflected in the research choice of research methodology on the assessment of singing ability and singing potential carried out to date. Several authors have though proposed more detailed metrics in singing, for example Peretz and Coltheart (2003)  have proposed the </w:t>
      </w:r>
      <w:r w:rsidRPr="0076388B">
        <w:rPr>
          <w:rFonts w:ascii="Times New Roman" w:eastAsia="Times New Roman" w:hAnsi="Times New Roman" w:cs="Times New Roman"/>
          <w:i/>
          <w:iCs/>
          <w:color w:val="1D2228"/>
          <w:kern w:val="0"/>
          <w:lang w:eastAsia="en-GB"/>
          <w14:ligatures w14:val="none"/>
        </w:rPr>
        <w:t>Model of Music Processing</w:t>
      </w:r>
      <w:r w:rsidRPr="0076388B">
        <w:rPr>
          <w:rFonts w:ascii="Times New Roman" w:eastAsia="Times New Roman" w:hAnsi="Times New Roman" w:cs="Times New Roman"/>
          <w:color w:val="1D2228"/>
          <w:kern w:val="0"/>
          <w:lang w:eastAsia="en-GB"/>
          <w14:ligatures w14:val="none"/>
        </w:rPr>
        <w:t>, which identify </w:t>
      </w:r>
      <w:r w:rsidRPr="0076388B">
        <w:rPr>
          <w:rFonts w:ascii="Times New Roman" w:eastAsia="Times New Roman" w:hAnsi="Times New Roman" w:cs="Times New Roman"/>
          <w:i/>
          <w:iCs/>
          <w:color w:val="1D2228"/>
          <w:kern w:val="0"/>
          <w:lang w:eastAsia="en-GB"/>
          <w14:ligatures w14:val="none"/>
        </w:rPr>
        <w:t>Melodic Processing</w:t>
      </w:r>
      <w:r w:rsidRPr="0076388B">
        <w:rPr>
          <w:rFonts w:ascii="Times New Roman" w:eastAsia="Times New Roman" w:hAnsi="Times New Roman" w:cs="Times New Roman"/>
          <w:color w:val="1D2228"/>
          <w:kern w:val="0"/>
          <w:lang w:eastAsia="en-GB"/>
          <w14:ligatures w14:val="none"/>
        </w:rPr>
        <w:t> (including,  contour, interval and tonal scale), </w:t>
      </w:r>
      <w:r w:rsidRPr="0076388B">
        <w:rPr>
          <w:rFonts w:ascii="Times New Roman" w:eastAsia="Times New Roman" w:hAnsi="Times New Roman" w:cs="Times New Roman"/>
          <w:i/>
          <w:iCs/>
          <w:color w:val="1D2228"/>
          <w:kern w:val="0"/>
          <w:lang w:eastAsia="en-GB"/>
          <w14:ligatures w14:val="none"/>
        </w:rPr>
        <w:t>Temporal Processing</w:t>
      </w:r>
      <w:r w:rsidRPr="0076388B">
        <w:rPr>
          <w:rFonts w:ascii="Times New Roman" w:eastAsia="Times New Roman" w:hAnsi="Times New Roman" w:cs="Times New Roman"/>
          <w:color w:val="1D2228"/>
          <w:kern w:val="0"/>
          <w:lang w:eastAsia="en-GB"/>
          <w14:ligatures w14:val="none"/>
        </w:rPr>
        <w:t> (rhythm and meter) and </w:t>
      </w:r>
      <w:r w:rsidRPr="0076388B">
        <w:rPr>
          <w:rFonts w:ascii="Times New Roman" w:eastAsia="Times New Roman" w:hAnsi="Times New Roman" w:cs="Times New Roman"/>
          <w:i/>
          <w:iCs/>
          <w:color w:val="1D2228"/>
          <w:kern w:val="0"/>
          <w:lang w:eastAsia="en-GB"/>
          <w14:ligatures w14:val="none"/>
        </w:rPr>
        <w:t>Incidental Memory</w:t>
      </w:r>
      <w:r w:rsidRPr="0076388B">
        <w:rPr>
          <w:rFonts w:ascii="Times New Roman" w:eastAsia="Times New Roman" w:hAnsi="Times New Roman" w:cs="Times New Roman"/>
          <w:color w:val="1D2228"/>
          <w:kern w:val="0"/>
          <w:lang w:eastAsia="en-GB"/>
          <w14:ligatures w14:val="none"/>
        </w:rPr>
        <w:t> as a  more comprehensive set of objective criteria. Going further Wise,  2009 has proposed the </w:t>
      </w:r>
      <w:r w:rsidRPr="0076388B">
        <w:rPr>
          <w:rFonts w:ascii="Times New Roman" w:eastAsia="Times New Roman" w:hAnsi="Times New Roman" w:cs="Times New Roman"/>
          <w:i/>
          <w:iCs/>
          <w:color w:val="1D2228"/>
          <w:kern w:val="0"/>
          <w:lang w:eastAsia="en-GB"/>
          <w14:ligatures w14:val="none"/>
        </w:rPr>
        <w:t>Musical Skills Battery</w:t>
      </w:r>
      <w:r w:rsidRPr="0076388B">
        <w:rPr>
          <w:rFonts w:ascii="Times New Roman" w:eastAsia="Times New Roman" w:hAnsi="Times New Roman" w:cs="Times New Roman"/>
          <w:color w:val="1D2228"/>
          <w:kern w:val="0"/>
          <w:lang w:eastAsia="en-GB"/>
          <w14:ligatures w14:val="none"/>
        </w:rPr>
        <w:t> which though, congruous with the</w:t>
      </w:r>
      <w:r w:rsidRPr="0076388B">
        <w:rPr>
          <w:rFonts w:ascii="Times New Roman" w:eastAsia="Times New Roman" w:hAnsi="Times New Roman" w:cs="Times New Roman"/>
          <w:i/>
          <w:iCs/>
          <w:color w:val="1D2228"/>
          <w:kern w:val="0"/>
          <w:lang w:eastAsia="en-GB"/>
          <w14:ligatures w14:val="none"/>
        </w:rPr>
        <w:t> Model of Music Processing</w:t>
      </w:r>
      <w:r w:rsidRPr="0076388B">
        <w:rPr>
          <w:rFonts w:ascii="Times New Roman" w:eastAsia="Times New Roman" w:hAnsi="Times New Roman" w:cs="Times New Roman"/>
          <w:color w:val="1D2228"/>
          <w:kern w:val="0"/>
          <w:lang w:eastAsia="en-GB"/>
          <w14:ligatures w14:val="none"/>
        </w:rPr>
        <w:t>,   framework and the associated  </w:t>
      </w:r>
      <w:r w:rsidRPr="0076388B">
        <w:rPr>
          <w:rFonts w:ascii="Times New Roman" w:eastAsia="Times New Roman" w:hAnsi="Times New Roman" w:cs="Times New Roman"/>
          <w:i/>
          <w:iCs/>
          <w:color w:val="1D2228"/>
          <w:kern w:val="0"/>
          <w:lang w:eastAsia="en-GB"/>
          <w14:ligatures w14:val="none"/>
        </w:rPr>
        <w:t>Montreal Battery of Evaluation of Amusia</w:t>
      </w:r>
      <w:r w:rsidRPr="0076388B">
        <w:rPr>
          <w:rFonts w:ascii="Times New Roman" w:eastAsia="Times New Roman" w:hAnsi="Times New Roman" w:cs="Times New Roman"/>
          <w:color w:val="1D2228"/>
          <w:kern w:val="0"/>
          <w:lang w:eastAsia="en-GB"/>
          <w14:ligatures w14:val="none"/>
        </w:rPr>
        <w:t>  are significantly more detailed in setting out criteria.  </w:t>
      </w:r>
    </w:p>
    <w:p w14:paraId="7A7A5877"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 </w:t>
      </w:r>
    </w:p>
    <w:p w14:paraId="42A0CCD5"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1D2228"/>
          <w:kern w:val="0"/>
          <w:lang w:eastAsia="en-GB"/>
          <w14:ligatures w14:val="none"/>
        </w:rPr>
        <w:t>This approach makes sense because the literature suggests that many more people identity as ‘</w:t>
      </w:r>
      <w:r w:rsidRPr="0076388B">
        <w:rPr>
          <w:rFonts w:ascii="Times New Roman" w:eastAsia="Times New Roman" w:hAnsi="Times New Roman" w:cs="Times New Roman"/>
          <w:i/>
          <w:iCs/>
          <w:color w:val="1D2228"/>
          <w:kern w:val="0"/>
          <w:lang w:eastAsia="en-GB"/>
          <w14:ligatures w14:val="none"/>
        </w:rPr>
        <w:t>tone deaf’</w:t>
      </w:r>
      <w:r w:rsidRPr="0076388B">
        <w:rPr>
          <w:rFonts w:ascii="Times New Roman" w:eastAsia="Times New Roman" w:hAnsi="Times New Roman" w:cs="Times New Roman"/>
          <w:color w:val="1D2228"/>
          <w:kern w:val="0"/>
          <w:lang w:eastAsia="en-GB"/>
          <w14:ligatures w14:val="none"/>
        </w:rPr>
        <w:t> than is the case. People who fit into this category also of course range in ability and you have people who can sing and think they can’t and those that think they can but can’t, often they have not had those negative feedback experiences to tell them otherwise. </w:t>
      </w:r>
      <w:r w:rsidRPr="0076388B">
        <w:rPr>
          <w:rFonts w:ascii="Times New Roman" w:eastAsia="Times New Roman" w:hAnsi="Times New Roman" w:cs="Times New Roman"/>
          <w:color w:val="0E101A"/>
          <w:kern w:val="0"/>
          <w:lang w:eastAsia="en-GB"/>
          <w14:ligatures w14:val="none"/>
        </w:rPr>
        <w:t>Wise,  (2016)  describes humans as vocal communicators with an innate capacity for both language and music. From the early months of life, children develop vocal competencies though a process described by Young (2002) as a </w:t>
      </w:r>
      <w:r w:rsidRPr="0076388B">
        <w:rPr>
          <w:rFonts w:ascii="Times New Roman" w:eastAsia="Times New Roman" w:hAnsi="Times New Roman" w:cs="Times New Roman"/>
          <w:i/>
          <w:iCs/>
          <w:color w:val="0E101A"/>
          <w:kern w:val="0"/>
          <w:lang w:eastAsia="en-GB"/>
          <w14:ligatures w14:val="none"/>
        </w:rPr>
        <w:t>mosaic.</w:t>
      </w:r>
      <w:r w:rsidRPr="0076388B">
        <w:rPr>
          <w:rFonts w:ascii="Times New Roman" w:eastAsia="Times New Roman" w:hAnsi="Times New Roman" w:cs="Times New Roman"/>
          <w:color w:val="0E101A"/>
          <w:kern w:val="0"/>
          <w:lang w:eastAsia="en-GB"/>
          <w14:ligatures w14:val="none"/>
        </w:rPr>
        <w:t xml:space="preserve"> A term which refers instinctive and atavistic behaviours which develop initially through feedback and experience and later from more formal instruction often in school groups and for some private tuition. Early success as a child singer, properly recognised  reinforces a singer’s self-perception, whereas no, or negative feedback on singing performance or inappropriate tuition often results </w:t>
      </w:r>
      <w:r w:rsidRPr="0076388B">
        <w:rPr>
          <w:rFonts w:ascii="Times New Roman" w:eastAsia="Times New Roman" w:hAnsi="Times New Roman" w:cs="Times New Roman"/>
          <w:color w:val="0E101A"/>
          <w:kern w:val="0"/>
          <w:lang w:eastAsia="en-GB"/>
          <w14:ligatures w14:val="none"/>
        </w:rPr>
        <w:lastRenderedPageBreak/>
        <w:t>in  avoidance of situations where singing is involved. This of course  reinforces uncertainty as to one’s vocal ability or a memory of fear of shame or embarrassment often originating in childhood (Walker, 2017). The vocal coach should seek to build on this awareness in devising improvement strategies for NS. </w:t>
      </w:r>
    </w:p>
    <w:p w14:paraId="2DDEEE1B"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5C615CC5"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1D2228"/>
          <w:kern w:val="0"/>
          <w:lang w:eastAsia="en-GB"/>
          <w14:ligatures w14:val="none"/>
        </w:rPr>
        <w:t>At the other end of the spectrum we have people with the so called  “</w:t>
      </w:r>
      <w:r w:rsidRPr="0076388B">
        <w:rPr>
          <w:rFonts w:ascii="Times New Roman" w:eastAsia="Times New Roman" w:hAnsi="Times New Roman" w:cs="Times New Roman"/>
          <w:i/>
          <w:iCs/>
          <w:color w:val="1D2228"/>
          <w:kern w:val="0"/>
          <w:lang w:eastAsia="en-GB"/>
          <w14:ligatures w14:val="none"/>
        </w:rPr>
        <w:t>perfect or absolute pitch (AP)</w:t>
      </w:r>
      <w:r w:rsidRPr="0076388B">
        <w:rPr>
          <w:rFonts w:ascii="Times New Roman" w:eastAsia="Times New Roman" w:hAnsi="Times New Roman" w:cs="Times New Roman"/>
          <w:color w:val="1D2228"/>
          <w:kern w:val="0"/>
          <w:lang w:eastAsia="en-GB"/>
          <w14:ligatures w14:val="none"/>
        </w:rPr>
        <w:t> an ability to be able to identity and/ or correctly produce a target pitch without copying it or the use of a reference pitch. This has been shown to be a rare ability too, with an assumption is a rare gift (either you can, or you can’t and have to have both an innate predisposition and critical period training to develop and only reserved for a few), but limited evidence suggesting it can be taught in some people. </w:t>
      </w:r>
    </w:p>
    <w:p w14:paraId="1E30DF0A"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The physiological details of this are beyond the scope of this essay, but Keiber and Zarate  in their paper “</w:t>
      </w:r>
      <w:r w:rsidRPr="0076388B">
        <w:rPr>
          <w:rFonts w:ascii="Times New Roman" w:eastAsia="Times New Roman" w:hAnsi="Times New Roman" w:cs="Times New Roman"/>
          <w:i/>
          <w:iCs/>
          <w:color w:val="000000"/>
          <w:kern w:val="0"/>
          <w:lang w:eastAsia="en-GB"/>
          <w14:ligatures w14:val="none"/>
        </w:rPr>
        <w:t>The Neuroscience” of Singing</w:t>
      </w:r>
      <w:r w:rsidRPr="0076388B">
        <w:rPr>
          <w:rFonts w:ascii="Times New Roman" w:eastAsia="Times New Roman" w:hAnsi="Times New Roman" w:cs="Times New Roman"/>
          <w:color w:val="000000"/>
          <w:kern w:val="0"/>
          <w:lang w:eastAsia="en-GB"/>
          <w14:ligatures w14:val="none"/>
        </w:rPr>
        <w:t>” (2014) provides a basic architectural anatomy and function overview, which describe a vocal control system which these authors describe as audio vocal integration. The processes have clearly evolved with the brain from the primeval subcortical which lie on top of the spinal region,  into the more recently evolved, out layers of the brain the cerebral cortex.</w:t>
      </w:r>
    </w:p>
    <w:p w14:paraId="53E94492"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Whilst a detailed consideration of the physiological and neuroscience involved is beyond the scope of this essay. It is though important to recognise that singing is a complex skill involving self-perceptual, cognitive, and sensory processes (Wise 2015). As such it is equally important that the vocal coach should develop at least an awareness of the of both the mental a physiological process which underpin speech and singing. This is because some students will need help beyond that of the voice coach but will need to work in conjunction with other professionals who have a clinical understanding of neuroscience or speech therapy for example</w:t>
      </w:r>
      <w:r w:rsidRPr="0076388B">
        <w:rPr>
          <w:rFonts w:ascii="Times New Roman" w:eastAsia="Times New Roman" w:hAnsi="Times New Roman" w:cs="Times New Roman"/>
          <w:color w:val="1D2228"/>
          <w:kern w:val="0"/>
          <w:lang w:eastAsia="en-GB"/>
          <w14:ligatures w14:val="none"/>
        </w:rPr>
        <w:t>. An understanding of how we perceive sound,  is particularly important in helping the vocal coach identify when referral to specialist help will be required when dealing with students who may display symptoms of </w:t>
      </w:r>
      <w:r w:rsidRPr="0076388B">
        <w:rPr>
          <w:rFonts w:ascii="Times New Roman" w:eastAsia="Times New Roman" w:hAnsi="Times New Roman" w:cs="Times New Roman"/>
          <w:i/>
          <w:iCs/>
          <w:color w:val="1D2228"/>
          <w:kern w:val="0"/>
          <w:lang w:eastAsia="en-GB"/>
          <w14:ligatures w14:val="none"/>
        </w:rPr>
        <w:t>amusia. </w:t>
      </w:r>
      <w:r w:rsidRPr="0076388B">
        <w:rPr>
          <w:rFonts w:ascii="Times New Roman" w:eastAsia="Times New Roman" w:hAnsi="Times New Roman" w:cs="Times New Roman"/>
          <w:color w:val="1D2228"/>
          <w:kern w:val="0"/>
          <w:lang w:eastAsia="en-GB"/>
          <w14:ligatures w14:val="none"/>
        </w:rPr>
        <w:t>So  </w:t>
      </w:r>
      <w:r w:rsidRPr="0076388B">
        <w:rPr>
          <w:rFonts w:ascii="Times New Roman" w:eastAsia="Times New Roman" w:hAnsi="Times New Roman" w:cs="Times New Roman"/>
          <w:i/>
          <w:iCs/>
          <w:color w:val="1D2228"/>
          <w:kern w:val="0"/>
          <w:lang w:eastAsia="en-GB"/>
          <w14:ligatures w14:val="none"/>
        </w:rPr>
        <w:t>b</w:t>
      </w:r>
      <w:r w:rsidRPr="0076388B">
        <w:rPr>
          <w:rFonts w:ascii="Times New Roman" w:eastAsia="Times New Roman" w:hAnsi="Times New Roman" w:cs="Times New Roman"/>
          <w:color w:val="1D2228"/>
          <w:kern w:val="0"/>
          <w:lang w:eastAsia="en-GB"/>
          <w14:ligatures w14:val="none"/>
        </w:rPr>
        <w:t>efore moving on it is important though to consider </w:t>
      </w:r>
      <w:r w:rsidRPr="0076388B">
        <w:rPr>
          <w:rFonts w:ascii="Times New Roman" w:eastAsia="Times New Roman" w:hAnsi="Times New Roman" w:cs="Times New Roman"/>
          <w:i/>
          <w:iCs/>
          <w:color w:val="1D2228"/>
          <w:kern w:val="0"/>
          <w:lang w:eastAsia="en-GB"/>
          <w14:ligatures w14:val="none"/>
        </w:rPr>
        <w:t>Amusia.</w:t>
      </w:r>
      <w:r w:rsidRPr="0076388B">
        <w:rPr>
          <w:rFonts w:ascii="Times New Roman" w:eastAsia="Times New Roman" w:hAnsi="Times New Roman" w:cs="Times New Roman"/>
          <w:color w:val="1D2228"/>
          <w:kern w:val="0"/>
          <w:lang w:eastAsia="en-GB"/>
          <w14:ligatures w14:val="none"/>
        </w:rPr>
        <w:t> </w:t>
      </w:r>
      <w:r w:rsidRPr="0076388B">
        <w:rPr>
          <w:rFonts w:ascii="Times New Roman" w:eastAsia="Times New Roman" w:hAnsi="Times New Roman" w:cs="Times New Roman"/>
          <w:i/>
          <w:iCs/>
          <w:color w:val="1D2228"/>
          <w:kern w:val="0"/>
          <w:lang w:eastAsia="en-GB"/>
          <w14:ligatures w14:val="none"/>
        </w:rPr>
        <w:t>Amusia</w:t>
      </w:r>
      <w:r w:rsidRPr="0076388B">
        <w:rPr>
          <w:rFonts w:ascii="Times New Roman" w:eastAsia="Times New Roman" w:hAnsi="Times New Roman" w:cs="Times New Roman"/>
          <w:color w:val="1D2228"/>
          <w:kern w:val="0"/>
          <w:lang w:eastAsia="en-GB"/>
          <w14:ligatures w14:val="none"/>
        </w:rPr>
        <w:t> is a clinical term used to describe an inability to perceive pitch accurately and competent vocal coach should recognise where this might be a factor in poor singing ability. </w:t>
      </w:r>
      <w:r w:rsidRPr="0076388B">
        <w:rPr>
          <w:rFonts w:ascii="Times New Roman" w:eastAsia="Times New Roman" w:hAnsi="Times New Roman" w:cs="Times New Roman"/>
          <w:i/>
          <w:iCs/>
          <w:color w:val="1D2228"/>
          <w:kern w:val="0"/>
          <w:lang w:eastAsia="en-GB"/>
          <w14:ligatures w14:val="none"/>
        </w:rPr>
        <w:t>Amusia</w:t>
      </w:r>
      <w:r w:rsidRPr="0076388B">
        <w:rPr>
          <w:rFonts w:ascii="Times New Roman" w:eastAsia="Times New Roman" w:hAnsi="Times New Roman" w:cs="Times New Roman"/>
          <w:color w:val="1D2228"/>
          <w:kern w:val="0"/>
          <w:lang w:eastAsia="en-GB"/>
          <w14:ligatures w14:val="none"/>
        </w:rPr>
        <w:t> is estimated to  affect  around 4%, a small but certainly not insignificant proportion of the adult population (Kalmus &amp; Fry 1980). Wise,  (2015) discusses several ways of quantifying the degrees of amusia but concludes that the degree of Amusia is best assessed using the “Scale Test” (Wise,  2015; Peretz et. al., 2007; Ayotte et. Al, 2002) Bradshaw et al 2005 (pp339/40). Most significantly, for the vocal coach it is essential to recognise when it might be necessary to involve other specialist professionals in a holistic intervention to help to develop or restore the singer’s vocal ability. In cases on Amusia it is important also to realistic as only slight improvements can be expected with traditional vocal with training, although in conjunction with other clinical treatments it is likely that progress will be made in this area as understand of the brain involved in voice progresses. As an overview of the  Amusia can be congenital (from birth) or occur through damage to relevant areas of the brain. Recent neurological evidence suggests that people suffering from congenital amusia do respond to small pitch changes but that the internal communication of this information within the different modules in the superior temporal gynus </w:t>
      </w:r>
      <w:r w:rsidRPr="0076388B">
        <w:rPr>
          <w:rFonts w:ascii="Times New Roman" w:eastAsia="Times New Roman" w:hAnsi="Times New Roman" w:cs="Times New Roman"/>
          <w:color w:val="474747"/>
          <w:kern w:val="0"/>
          <w:lang w:eastAsia="en-GB"/>
          <w14:ligatures w14:val="none"/>
        </w:rPr>
        <w:t>(STG</w:t>
      </w:r>
      <w:r w:rsidRPr="0076388B">
        <w:rPr>
          <w:rFonts w:ascii="Times New Roman" w:eastAsia="Times New Roman" w:hAnsi="Times New Roman" w:cs="Times New Roman"/>
          <w:color w:val="1D2228"/>
          <w:kern w:val="0"/>
          <w:lang w:eastAsia="en-GB"/>
          <w14:ligatures w14:val="none"/>
        </w:rPr>
        <w:t>) located in the cerebral cortex  are associated with pitch discrimination may be compromised as Peretz and Coltheart, 2003 as part of their </w:t>
      </w:r>
      <w:r w:rsidRPr="0076388B">
        <w:rPr>
          <w:rFonts w:ascii="Times New Roman" w:eastAsia="Times New Roman" w:hAnsi="Times New Roman" w:cs="Times New Roman"/>
          <w:i/>
          <w:iCs/>
          <w:color w:val="1D2228"/>
          <w:kern w:val="0"/>
          <w:lang w:eastAsia="en-GB"/>
          <w14:ligatures w14:val="none"/>
        </w:rPr>
        <w:t>Model of Music Processing</w:t>
      </w:r>
      <w:r w:rsidRPr="0076388B">
        <w:rPr>
          <w:rFonts w:ascii="Times New Roman" w:eastAsia="Times New Roman" w:hAnsi="Times New Roman" w:cs="Times New Roman"/>
          <w:color w:val="1D2228"/>
          <w:kern w:val="0"/>
          <w:lang w:eastAsia="en-GB"/>
          <w14:ligatures w14:val="none"/>
        </w:rPr>
        <w:t>, 2003). Amusia can also result from accident or surgery which affects the relevant parts of the brain. </w:t>
      </w:r>
    </w:p>
    <w:p w14:paraId="36F868E2"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1D35"/>
          <w:kern w:val="0"/>
          <w:lang w:eastAsia="en-GB"/>
          <w14:ligatures w14:val="none"/>
        </w:rPr>
        <w:t xml:space="preserve">The overall process is complex requiring coordination  from several different parts of the brain. The larynx is involved  in various biological functions such as protection of the airways and swallowing (Ludlow 2005). Several pairs of intrinsic and extrinsic muscles connect the laryngeal cartilages with each other and to the skeleton. Control of these muscles during </w:t>
      </w:r>
      <w:r w:rsidRPr="0076388B">
        <w:rPr>
          <w:rFonts w:ascii="Times New Roman" w:eastAsia="Times New Roman" w:hAnsi="Times New Roman" w:cs="Times New Roman"/>
          <w:color w:val="001D35"/>
          <w:kern w:val="0"/>
          <w:lang w:eastAsia="en-GB"/>
          <w14:ligatures w14:val="none"/>
        </w:rPr>
        <w:lastRenderedPageBreak/>
        <w:t>vocalisation is complex but appropriate tension in the vocal folds allows them to be set into vibration as air from the lungs passes through them</w:t>
      </w:r>
      <w:r w:rsidRPr="0076388B">
        <w:rPr>
          <w:rFonts w:ascii="Times New Roman" w:eastAsia="Times New Roman" w:hAnsi="Times New Roman" w:cs="Times New Roman"/>
          <w:color w:val="0E101A"/>
          <w:kern w:val="0"/>
          <w:lang w:eastAsia="en-GB"/>
          <w14:ligatures w14:val="none"/>
        </w:rPr>
        <w:t> The essay will therefore necessarily  draw on evidence from a variety of sources including vocal education, human development as well as research in  cognitive  and neuro psychology.  (Wise, 2015) </w:t>
      </w:r>
      <w:r w:rsidRPr="0076388B">
        <w:rPr>
          <w:rFonts w:ascii="Times New Roman" w:eastAsia="Times New Roman" w:hAnsi="Times New Roman" w:cs="Times New Roman"/>
          <w:color w:val="001D35"/>
          <w:kern w:val="0"/>
          <w:lang w:eastAsia="en-GB"/>
          <w14:ligatures w14:val="none"/>
        </w:rPr>
        <w:t>All singing and particularly pitch control  requires coordination of complex processes although the most  direct control of pitch is from a structure  known as the </w:t>
      </w:r>
      <w:r w:rsidRPr="0076388B">
        <w:rPr>
          <w:rFonts w:ascii="Times New Roman" w:eastAsia="Times New Roman" w:hAnsi="Times New Roman" w:cs="Times New Roman"/>
          <w:i/>
          <w:iCs/>
          <w:color w:val="001D35"/>
          <w:kern w:val="0"/>
          <w:lang w:eastAsia="en-GB"/>
          <w14:ligatures w14:val="none"/>
        </w:rPr>
        <w:t>dorsal larynx representation</w:t>
      </w:r>
      <w:r w:rsidRPr="0076388B">
        <w:rPr>
          <w:rFonts w:ascii="Times New Roman" w:eastAsia="Times New Roman" w:hAnsi="Times New Roman" w:cs="Times New Roman"/>
          <w:color w:val="001D35"/>
          <w:kern w:val="0"/>
          <w:lang w:eastAsia="en-GB"/>
          <w14:ligatures w14:val="none"/>
        </w:rPr>
        <w:t> (DLR) which lies in the cerebral cortex of the brain. The DLR is </w:t>
      </w:r>
      <w:r w:rsidRPr="0076388B">
        <w:rPr>
          <w:rFonts w:ascii="Times New Roman" w:eastAsia="Times New Roman" w:hAnsi="Times New Roman" w:cs="Times New Roman"/>
          <w:color w:val="000000"/>
          <w:kern w:val="0"/>
          <w:lang w:eastAsia="en-GB"/>
          <w14:ligatures w14:val="none"/>
        </w:rPr>
        <w:t>the part of the human brain that controls the larynx during vocalisation and is located in the primary motor cortex </w:t>
      </w:r>
      <w:r w:rsidRPr="0076388B">
        <w:rPr>
          <w:rFonts w:ascii="Times New Roman" w:eastAsia="Times New Roman" w:hAnsi="Times New Roman" w:cs="Times New Roman"/>
          <w:color w:val="001D35"/>
          <w:kern w:val="0"/>
          <w:lang w:eastAsia="en-GB"/>
          <w14:ligatures w14:val="none"/>
        </w:rPr>
        <w:t>(</w:t>
      </w:r>
      <w:r w:rsidRPr="0076388B">
        <w:rPr>
          <w:rFonts w:ascii="Times New Roman" w:eastAsia="Times New Roman" w:hAnsi="Times New Roman" w:cs="Times New Roman"/>
          <w:color w:val="000000"/>
          <w:kern w:val="0"/>
          <w:lang w:eastAsia="en-GB"/>
          <w14:ligatures w14:val="none"/>
        </w:rPr>
        <w:t>Eichert et al. (2020)</w:t>
      </w:r>
      <w:r w:rsidRPr="0076388B">
        <w:rPr>
          <w:rFonts w:ascii="Times New Roman" w:eastAsia="Times New Roman" w:hAnsi="Times New Roman" w:cs="Times New Roman"/>
          <w:color w:val="2A2A2A"/>
          <w:kern w:val="0"/>
          <w:lang w:eastAsia="en-GB"/>
          <w14:ligatures w14:val="none"/>
        </w:rPr>
        <w:t> Several lines of evidence showed that the ventral part of the precentral gyrus and the central sulcus in the human brain are involved in speech motor control Ackermann et al. 2014). The question as to exactly which brain parts of the brain specifically control laryngeal activity during vocalisation, however, remains debated </w:t>
      </w:r>
      <w:r w:rsidRPr="0076388B">
        <w:rPr>
          <w:rFonts w:ascii="Times New Roman" w:eastAsia="Times New Roman" w:hAnsi="Times New Roman" w:cs="Times New Roman"/>
          <w:color w:val="001D35"/>
          <w:kern w:val="0"/>
          <w:lang w:eastAsia="en-GB"/>
          <w14:ligatures w14:val="none"/>
        </w:rPr>
        <w:t>(</w:t>
      </w:r>
      <w:r w:rsidRPr="0076388B">
        <w:rPr>
          <w:rFonts w:ascii="Times New Roman" w:eastAsia="Times New Roman" w:hAnsi="Times New Roman" w:cs="Times New Roman"/>
          <w:color w:val="000000"/>
          <w:kern w:val="0"/>
          <w:lang w:eastAsia="en-GB"/>
          <w14:ligatures w14:val="none"/>
        </w:rPr>
        <w:t> Eichert E. Papp D,and Watkin E. (2020) and subject ongoing research. </w:t>
      </w:r>
    </w:p>
    <w:p w14:paraId="72DC89C1"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 </w:t>
      </w:r>
    </w:p>
    <w:p w14:paraId="119DA149"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Whilst the practical application of the research into the brain and the voice are in their relative infancy it is essential for the voice professional to maintain awareness of the mechanisms of voice control including how appropriate voice training can help autonomic control of the larynx and its associated muscles prepare for performance. It is also important to maintain awareness of how some systems of amusia might be deep seated in the brain through congenital defect or injury and spot the signs where appropriate referral may be necessary to benefit the student. Current research suggests that The deepest-seated region  of direct relevant to voice is, the </w:t>
      </w:r>
      <w:r w:rsidRPr="0076388B">
        <w:rPr>
          <w:rFonts w:ascii="Times New Roman" w:eastAsia="Times New Roman" w:hAnsi="Times New Roman" w:cs="Times New Roman"/>
          <w:i/>
          <w:iCs/>
          <w:color w:val="000000"/>
          <w:kern w:val="0"/>
          <w:lang w:eastAsia="en-GB"/>
          <w14:ligatures w14:val="none"/>
        </w:rPr>
        <w:t>periaqueductal grey</w:t>
      </w:r>
      <w:r w:rsidRPr="0076388B">
        <w:rPr>
          <w:rFonts w:ascii="Times New Roman" w:eastAsia="Times New Roman" w:hAnsi="Times New Roman" w:cs="Times New Roman"/>
          <w:color w:val="000000"/>
          <w:kern w:val="0"/>
          <w:lang w:eastAsia="en-GB"/>
          <w14:ligatures w14:val="none"/>
        </w:rPr>
        <w:t> (PAG), also known as the </w:t>
      </w:r>
      <w:r w:rsidRPr="0076388B">
        <w:rPr>
          <w:rFonts w:ascii="Times New Roman" w:eastAsia="Times New Roman" w:hAnsi="Times New Roman" w:cs="Times New Roman"/>
          <w:i/>
          <w:iCs/>
          <w:color w:val="000000"/>
          <w:kern w:val="0"/>
          <w:lang w:eastAsia="en-GB"/>
          <w14:ligatures w14:val="none"/>
        </w:rPr>
        <w:t>central grey</w:t>
      </w:r>
      <w:r w:rsidRPr="0076388B">
        <w:rPr>
          <w:rFonts w:ascii="Times New Roman" w:eastAsia="Times New Roman" w:hAnsi="Times New Roman" w:cs="Times New Roman"/>
          <w:color w:val="000000"/>
          <w:kern w:val="0"/>
          <w:lang w:eastAsia="en-GB"/>
          <w14:ligatures w14:val="none"/>
        </w:rPr>
        <w:t>, is a brain region which can be consider the seat of voice. It is relevant to the vocal coach because damage to the PAG causes direct mutism (Esposito et al 1999). It is significant though that this area of the brainstem is and almost certain part of the voice system the most ancient in evolutional terms being directly associated with primordial behavioural responses to threatening situations, such as a scream.</w:t>
      </w:r>
    </w:p>
    <w:p w14:paraId="67411DD9"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 </w:t>
      </w:r>
    </w:p>
    <w:p w14:paraId="4822EDBD"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This PAG area is significant in the understanding of voice control  though,  because it is directly connected to the </w:t>
      </w:r>
      <w:r w:rsidRPr="0076388B">
        <w:rPr>
          <w:rFonts w:ascii="Times New Roman" w:eastAsia="Times New Roman" w:hAnsi="Times New Roman" w:cs="Times New Roman"/>
          <w:i/>
          <w:iCs/>
          <w:color w:val="000000"/>
          <w:kern w:val="0"/>
          <w:lang w:eastAsia="en-GB"/>
          <w14:ligatures w14:val="none"/>
        </w:rPr>
        <w:t>anterior cingulate</w:t>
      </w:r>
      <w:r w:rsidRPr="0076388B">
        <w:rPr>
          <w:rFonts w:ascii="Times New Roman" w:eastAsia="Times New Roman" w:hAnsi="Times New Roman" w:cs="Times New Roman"/>
          <w:color w:val="000000"/>
          <w:kern w:val="0"/>
          <w:lang w:eastAsia="en-GB"/>
          <w14:ligatures w14:val="none"/>
        </w:rPr>
        <w:t> cortex (ACC), which lies not in the ancient brainstem area but  in the more recently evolved, </w:t>
      </w:r>
      <w:r w:rsidRPr="0076388B">
        <w:rPr>
          <w:rFonts w:ascii="Times New Roman" w:eastAsia="Times New Roman" w:hAnsi="Times New Roman" w:cs="Times New Roman"/>
          <w:i/>
          <w:iCs/>
          <w:color w:val="000000"/>
          <w:kern w:val="0"/>
          <w:lang w:eastAsia="en-GB"/>
          <w14:ligatures w14:val="none"/>
        </w:rPr>
        <w:t>cerebral cortex</w:t>
      </w:r>
      <w:r w:rsidRPr="0076388B">
        <w:rPr>
          <w:rFonts w:ascii="Times New Roman" w:eastAsia="Times New Roman" w:hAnsi="Times New Roman" w:cs="Times New Roman"/>
          <w:color w:val="000000"/>
          <w:kern w:val="0"/>
          <w:lang w:eastAsia="en-GB"/>
          <w14:ligatures w14:val="none"/>
        </w:rPr>
        <w:t>. The </w:t>
      </w:r>
      <w:r w:rsidRPr="0076388B">
        <w:rPr>
          <w:rFonts w:ascii="Times New Roman" w:eastAsia="Times New Roman" w:hAnsi="Times New Roman" w:cs="Times New Roman"/>
          <w:i/>
          <w:iCs/>
          <w:color w:val="000000"/>
          <w:kern w:val="0"/>
          <w:lang w:eastAsia="en-GB"/>
          <w14:ligatures w14:val="none"/>
        </w:rPr>
        <w:t>cerebral cortex</w:t>
      </w:r>
      <w:r w:rsidRPr="0076388B">
        <w:rPr>
          <w:rFonts w:ascii="Times New Roman" w:eastAsia="Times New Roman" w:hAnsi="Times New Roman" w:cs="Times New Roman"/>
          <w:color w:val="000000"/>
          <w:kern w:val="0"/>
          <w:lang w:eastAsia="en-GB"/>
          <w14:ligatures w14:val="none"/>
        </w:rPr>
        <w:t> forms the outmost layers of the human brain and is divided into four lobes: frontal, temporal, parietal and occipital lobes, each with a multitude of functions including with many of the traits which define humans including speech and song.  The </w:t>
      </w:r>
      <w:r w:rsidRPr="0076388B">
        <w:rPr>
          <w:rFonts w:ascii="Times New Roman" w:eastAsia="Times New Roman" w:hAnsi="Times New Roman" w:cs="Times New Roman"/>
          <w:i/>
          <w:iCs/>
          <w:color w:val="000000"/>
          <w:kern w:val="0"/>
          <w:lang w:eastAsia="en-GB"/>
          <w14:ligatures w14:val="none"/>
        </w:rPr>
        <w:t>Cerebral cortex</w:t>
      </w:r>
      <w:r w:rsidRPr="0076388B">
        <w:rPr>
          <w:rFonts w:ascii="Times New Roman" w:eastAsia="Times New Roman" w:hAnsi="Times New Roman" w:cs="Times New Roman"/>
          <w:color w:val="000000"/>
          <w:kern w:val="0"/>
          <w:lang w:eastAsia="en-GB"/>
          <w14:ligatures w14:val="none"/>
        </w:rPr>
        <w:t>  is characteristically known for its bulges of brain tissue known as gyri, alternating with deep fissures known as sulci. </w:t>
      </w:r>
      <w:r w:rsidRPr="0076388B">
        <w:rPr>
          <w:rFonts w:ascii="Times New Roman" w:eastAsia="Times New Roman" w:hAnsi="Times New Roman" w:cs="Times New Roman"/>
          <w:color w:val="1F1F1F"/>
          <w:kern w:val="0"/>
          <w:lang w:eastAsia="en-GB"/>
          <w14:ligatures w14:val="none"/>
        </w:rPr>
        <w:t>The ACC though located in the cerebral cortex, is still more associated with the ancient subconscious reflex than with conscious action. It is important in regulating the reflex sounds of the PAG. It is part of the limbic system which controls and regulates involuntary actions, but significantly these include sounds, as well emotional control,  attention (Bush, Luu, &amp; Posner, 2000). </w:t>
      </w:r>
      <w:r w:rsidRPr="0076388B">
        <w:rPr>
          <w:rFonts w:ascii="Times New Roman" w:eastAsia="Times New Roman" w:hAnsi="Times New Roman" w:cs="Times New Roman"/>
          <w:color w:val="000000"/>
          <w:kern w:val="0"/>
          <w:lang w:eastAsia="en-GB"/>
          <w14:ligatures w14:val="none"/>
        </w:rPr>
        <w:t>Recognition of this is important because singing requires monitoring of auditory feedback and precise vocal motor control to make sure that the vocal output matches the intended notes or melodies.  The ACC is also almost certainly the site of initial pitch matching</w:t>
      </w:r>
      <w:r w:rsidRPr="0076388B">
        <w:rPr>
          <w:rFonts w:ascii="Times New Roman" w:eastAsia="Times New Roman" w:hAnsi="Times New Roman" w:cs="Times New Roman"/>
          <w:color w:val="1F1F1F"/>
          <w:kern w:val="0"/>
          <w:lang w:eastAsia="en-GB"/>
          <w14:ligatures w14:val="none"/>
        </w:rPr>
        <w:t> As such the ACC provides an inhibitory control mechanism for sounds initiated  by the PAG. </w:t>
      </w:r>
      <w:r w:rsidRPr="0076388B">
        <w:rPr>
          <w:rFonts w:ascii="Times New Roman" w:eastAsia="Times New Roman" w:hAnsi="Times New Roman" w:cs="Times New Roman"/>
          <w:color w:val="000000"/>
          <w:kern w:val="0"/>
          <w:lang w:eastAsia="en-GB"/>
          <w14:ligatures w14:val="none"/>
        </w:rPr>
        <w:t>if subconscious  control of voice and larynx and its associated muscles.  </w:t>
      </w:r>
    </w:p>
    <w:p w14:paraId="7F0758AD"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 </w:t>
      </w:r>
    </w:p>
    <w:p w14:paraId="3D56466B" w14:textId="77777777" w:rsidR="008C4E9A"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The ACC also plays a role in suppression of inappropriate sounds which would otherwise be transmitted from the PAG. Awareness of its function is relevant to the vocal coach because  it can help to spot symptoms when the singer fails to suppress inappropriate reflex sounds and likely it is that this is one of the areas of the brain where appropriate vocal exercises can internalise good voice through this area of the through appropriate voice training and practice.</w:t>
      </w:r>
      <w:r w:rsidR="008C4E9A">
        <w:rPr>
          <w:rFonts w:ascii="Times New Roman" w:eastAsia="Times New Roman" w:hAnsi="Times New Roman" w:cs="Times New Roman"/>
          <w:color w:val="000000"/>
          <w:kern w:val="0"/>
          <w:lang w:eastAsia="en-GB"/>
          <w14:ligatures w14:val="none"/>
        </w:rPr>
        <w:t xml:space="preserve"> </w:t>
      </w:r>
      <w:r w:rsidRPr="0076388B">
        <w:rPr>
          <w:rFonts w:ascii="Times New Roman" w:eastAsia="Times New Roman" w:hAnsi="Times New Roman" w:cs="Times New Roman"/>
          <w:color w:val="1F1F1F"/>
          <w:kern w:val="0"/>
          <w:lang w:eastAsia="en-GB"/>
          <w14:ligatures w14:val="none"/>
        </w:rPr>
        <w:lastRenderedPageBreak/>
        <w:t>The vocal coach should also be aware that damage to the ACC will lead directly to poor or complete loss of emotional control over speech and singing.</w:t>
      </w:r>
      <w:r w:rsidRPr="0076388B">
        <w:rPr>
          <w:rFonts w:ascii="Times New Roman" w:eastAsia="Times New Roman" w:hAnsi="Times New Roman" w:cs="Times New Roman"/>
          <w:color w:val="000000"/>
          <w:kern w:val="0"/>
          <w:lang w:eastAsia="en-GB"/>
          <w14:ligatures w14:val="none"/>
        </w:rPr>
        <w:t> (Keiber and Zarate , 2014).</w:t>
      </w:r>
    </w:p>
    <w:p w14:paraId="50867FD8" w14:textId="77777777" w:rsidR="008C4E9A" w:rsidRDefault="008C4E9A"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p>
    <w:p w14:paraId="14738AC1" w14:textId="3351D824"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Moving onwards, the most significant link between the subconscious and higher auditory functions is that between ACC links and </w:t>
      </w:r>
      <w:r w:rsidRPr="0076388B">
        <w:rPr>
          <w:rFonts w:ascii="Times New Roman" w:eastAsia="Times New Roman" w:hAnsi="Times New Roman" w:cs="Times New Roman"/>
          <w:color w:val="474747"/>
          <w:kern w:val="0"/>
          <w:lang w:eastAsia="en-GB"/>
          <w14:ligatures w14:val="none"/>
        </w:rPr>
        <w:t xml:space="preserve">the superior temporal gyrus  (STG). The </w:t>
      </w:r>
      <w:r w:rsidR="008C4E9A" w:rsidRPr="0076388B">
        <w:rPr>
          <w:rFonts w:ascii="Times New Roman" w:eastAsia="Times New Roman" w:hAnsi="Times New Roman" w:cs="Times New Roman"/>
          <w:color w:val="474747"/>
          <w:kern w:val="0"/>
          <w:lang w:eastAsia="en-GB"/>
          <w14:ligatures w14:val="none"/>
        </w:rPr>
        <w:t>STG is</w:t>
      </w:r>
      <w:r w:rsidRPr="0076388B">
        <w:rPr>
          <w:rFonts w:ascii="Times New Roman" w:eastAsia="Times New Roman" w:hAnsi="Times New Roman" w:cs="Times New Roman"/>
          <w:color w:val="474747"/>
          <w:kern w:val="0"/>
          <w:lang w:eastAsia="en-GB"/>
          <w14:ligatures w14:val="none"/>
        </w:rPr>
        <w:t xml:space="preserve"> involved in auditory processing, including language, and as a critical structure in social cognition.</w:t>
      </w:r>
      <w:r w:rsidRPr="0076388B">
        <w:rPr>
          <w:rFonts w:ascii="Times New Roman" w:eastAsia="Times New Roman" w:hAnsi="Times New Roman" w:cs="Times New Roman"/>
          <w:color w:val="1F1F1F"/>
          <w:kern w:val="0"/>
          <w:lang w:eastAsia="en-GB"/>
          <w14:ligatures w14:val="none"/>
        </w:rPr>
        <w:t> It includes Heschl's gyrus,</w:t>
      </w:r>
      <w:r w:rsidRPr="0076388B">
        <w:rPr>
          <w:rFonts w:ascii="Times New Roman" w:eastAsia="Times New Roman" w:hAnsi="Times New Roman" w:cs="Times New Roman"/>
          <w:color w:val="000000"/>
          <w:kern w:val="0"/>
          <w:lang w:eastAsia="en-GB"/>
          <w14:ligatures w14:val="none"/>
        </w:rPr>
        <w:t> </w:t>
      </w:r>
      <w:r w:rsidRPr="0076388B">
        <w:rPr>
          <w:rFonts w:ascii="Times New Roman" w:eastAsia="Times New Roman" w:hAnsi="Times New Roman" w:cs="Times New Roman"/>
          <w:color w:val="1F1F1F"/>
          <w:kern w:val="0"/>
          <w:lang w:eastAsia="en-GB"/>
          <w14:ligatures w14:val="none"/>
        </w:rPr>
        <w:t>which lies on the </w:t>
      </w:r>
      <w:r w:rsidRPr="0076388B">
        <w:rPr>
          <w:rFonts w:ascii="Times New Roman" w:eastAsia="Times New Roman" w:hAnsi="Times New Roman" w:cs="Times New Roman"/>
          <w:color w:val="040C28"/>
          <w:kern w:val="0"/>
          <w:lang w:eastAsia="en-GB"/>
          <w14:ligatures w14:val="none"/>
        </w:rPr>
        <w:t>superior surface of the temporal lobe and contains the </w:t>
      </w:r>
      <w:r w:rsidRPr="0076388B">
        <w:rPr>
          <w:rFonts w:ascii="Times New Roman" w:eastAsia="Times New Roman" w:hAnsi="Times New Roman" w:cs="Times New Roman"/>
          <w:i/>
          <w:iCs/>
          <w:color w:val="040C28"/>
          <w:kern w:val="0"/>
          <w:lang w:eastAsia="en-GB"/>
          <w14:ligatures w14:val="none"/>
        </w:rPr>
        <w:t>primary auditory cortex</w:t>
      </w:r>
      <w:r w:rsidRPr="0076388B">
        <w:rPr>
          <w:rFonts w:ascii="Times New Roman" w:eastAsia="Times New Roman" w:hAnsi="Times New Roman" w:cs="Times New Roman"/>
          <w:color w:val="040C28"/>
          <w:kern w:val="0"/>
          <w:lang w:eastAsia="en-GB"/>
          <w14:ligatures w14:val="none"/>
        </w:rPr>
        <w:t> (</w:t>
      </w:r>
      <w:r w:rsidRPr="0076388B">
        <w:rPr>
          <w:rFonts w:ascii="Times New Roman" w:eastAsia="Times New Roman" w:hAnsi="Times New Roman" w:cs="Times New Roman"/>
          <w:i/>
          <w:iCs/>
          <w:color w:val="040C28"/>
          <w:kern w:val="0"/>
          <w:lang w:eastAsia="en-GB"/>
          <w14:ligatures w14:val="none"/>
        </w:rPr>
        <w:t>Brodmann areas 41 and 42)</w:t>
      </w:r>
      <w:r w:rsidRPr="0076388B">
        <w:rPr>
          <w:rFonts w:ascii="Times New Roman" w:eastAsia="Times New Roman" w:hAnsi="Times New Roman" w:cs="Times New Roman"/>
          <w:color w:val="1F1F1F"/>
          <w:kern w:val="0"/>
          <w:lang w:eastAsia="en-GB"/>
          <w14:ligatures w14:val="none"/>
        </w:rPr>
        <w:t> and is located deep with within the Sylvian fissure of the cerebral cortex. </w:t>
      </w:r>
      <w:r w:rsidRPr="0076388B">
        <w:rPr>
          <w:rFonts w:ascii="Times New Roman" w:eastAsia="Times New Roman" w:hAnsi="Times New Roman" w:cs="Times New Roman"/>
          <w:color w:val="474747"/>
          <w:kern w:val="0"/>
          <w:lang w:eastAsia="en-GB"/>
          <w14:ligatures w14:val="none"/>
        </w:rPr>
        <w:t xml:space="preserve">The STG is central to in auditory processing, and significantly for this </w:t>
      </w:r>
      <w:r w:rsidR="008C4E9A" w:rsidRPr="0076388B">
        <w:rPr>
          <w:rFonts w:ascii="Times New Roman" w:eastAsia="Times New Roman" w:hAnsi="Times New Roman" w:cs="Times New Roman"/>
          <w:color w:val="474747"/>
          <w:kern w:val="0"/>
          <w:lang w:eastAsia="en-GB"/>
          <w14:ligatures w14:val="none"/>
        </w:rPr>
        <w:t>essay, the</w:t>
      </w:r>
      <w:r w:rsidRPr="0076388B">
        <w:rPr>
          <w:rFonts w:ascii="Times New Roman" w:eastAsia="Times New Roman" w:hAnsi="Times New Roman" w:cs="Times New Roman"/>
          <w:color w:val="474747"/>
          <w:kern w:val="0"/>
          <w:lang w:eastAsia="en-GB"/>
          <w14:ligatures w14:val="none"/>
        </w:rPr>
        <w:t xml:space="preserve"> centre of pitch perception. It is the receptor for the auditory nerve which receives signals directly from </w:t>
      </w:r>
      <w:r w:rsidR="008C4E9A" w:rsidRPr="0076388B">
        <w:rPr>
          <w:rFonts w:ascii="Times New Roman" w:eastAsia="Times New Roman" w:hAnsi="Times New Roman" w:cs="Times New Roman"/>
          <w:color w:val="474747"/>
          <w:kern w:val="0"/>
          <w:lang w:eastAsia="en-GB"/>
          <w14:ligatures w14:val="none"/>
        </w:rPr>
        <w:t>the basilar</w:t>
      </w:r>
      <w:r w:rsidRPr="0076388B">
        <w:rPr>
          <w:rFonts w:ascii="Times New Roman" w:eastAsia="Times New Roman" w:hAnsi="Times New Roman" w:cs="Times New Roman"/>
          <w:color w:val="474747"/>
          <w:kern w:val="0"/>
          <w:lang w:eastAsia="en-GB"/>
          <w14:ligatures w14:val="none"/>
        </w:rPr>
        <w:t xml:space="preserve"> membrane of the cochlea, in the inner ear (Hudspeth, et al. 2000) and the outside environment.</w:t>
      </w:r>
      <w:r w:rsidRPr="0076388B">
        <w:rPr>
          <w:rFonts w:ascii="Times New Roman" w:eastAsia="Times New Roman" w:hAnsi="Times New Roman" w:cs="Times New Roman"/>
          <w:color w:val="000000"/>
          <w:kern w:val="0"/>
          <w:lang w:eastAsia="en-GB"/>
          <w14:ligatures w14:val="none"/>
        </w:rPr>
        <w:t xml:space="preserve">  The STG is also the site </w:t>
      </w:r>
      <w:r w:rsidR="008C4E9A" w:rsidRPr="0076388B">
        <w:rPr>
          <w:rFonts w:ascii="Times New Roman" w:eastAsia="Times New Roman" w:hAnsi="Times New Roman" w:cs="Times New Roman"/>
          <w:color w:val="000000"/>
          <w:kern w:val="0"/>
          <w:lang w:eastAsia="en-GB"/>
          <w14:ligatures w14:val="none"/>
        </w:rPr>
        <w:t>of language</w:t>
      </w:r>
      <w:r w:rsidRPr="0076388B">
        <w:rPr>
          <w:rFonts w:ascii="Times New Roman" w:eastAsia="Times New Roman" w:hAnsi="Times New Roman" w:cs="Times New Roman"/>
          <w:color w:val="474747"/>
          <w:kern w:val="0"/>
          <w:lang w:eastAsia="en-GB"/>
          <w14:ligatures w14:val="none"/>
        </w:rPr>
        <w:t>, it is also as a critical structure in social cognition and likely to be involved in musical appreciation. As such it is the junction between (some of) the voluntary and the involuntary aspects of voice.  </w:t>
      </w:r>
      <w:r w:rsidRPr="0076388B">
        <w:rPr>
          <w:rFonts w:ascii="Times New Roman" w:eastAsia="Times New Roman" w:hAnsi="Times New Roman" w:cs="Times New Roman"/>
          <w:color w:val="000000"/>
          <w:kern w:val="0"/>
          <w:lang w:eastAsia="en-GB"/>
          <w14:ligatures w14:val="none"/>
        </w:rPr>
        <w:t xml:space="preserve">Other areas around Heschl’s gyrus have been identified as handling more complex auditory signals, involved for example, organising melody whilst the superior temporal gyrus (STG) is </w:t>
      </w:r>
      <w:r w:rsidR="008C4E9A" w:rsidRPr="0076388B">
        <w:rPr>
          <w:rFonts w:ascii="Times New Roman" w:eastAsia="Times New Roman" w:hAnsi="Times New Roman" w:cs="Times New Roman"/>
          <w:color w:val="000000"/>
          <w:kern w:val="0"/>
          <w:lang w:eastAsia="en-GB"/>
          <w14:ligatures w14:val="none"/>
        </w:rPr>
        <w:t>an area</w:t>
      </w:r>
      <w:r w:rsidRPr="0076388B">
        <w:rPr>
          <w:rFonts w:ascii="Times New Roman" w:eastAsia="Times New Roman" w:hAnsi="Times New Roman" w:cs="Times New Roman"/>
          <w:color w:val="000000"/>
          <w:kern w:val="0"/>
          <w:lang w:eastAsia="en-GB"/>
          <w14:ligatures w14:val="none"/>
        </w:rPr>
        <w:t xml:space="preserve"> of the brain which has shown to be association with vocal identity, for example and the posterior gyrus (pSTS)  has been demonstrated to be involved expressing non-verbal gestures and sounds, including laughter. </w:t>
      </w:r>
    </w:p>
    <w:p w14:paraId="2F9EBE72"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 </w:t>
      </w:r>
    </w:p>
    <w:p w14:paraId="77FCD4F5" w14:textId="02D0E8CD"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xml:space="preserve">This short summary of the of voice aims to demonstrate that all vocalisations including speech and song requires complex and </w:t>
      </w:r>
      <w:r w:rsidR="008C4E9A" w:rsidRPr="0076388B">
        <w:rPr>
          <w:rFonts w:ascii="Times New Roman" w:eastAsia="Times New Roman" w:hAnsi="Times New Roman" w:cs="Times New Roman"/>
          <w:color w:val="0E101A"/>
          <w:kern w:val="0"/>
          <w:lang w:eastAsia="en-GB"/>
          <w14:ligatures w14:val="none"/>
        </w:rPr>
        <w:t>coordinated control</w:t>
      </w:r>
      <w:r w:rsidRPr="0076388B">
        <w:rPr>
          <w:rFonts w:ascii="Times New Roman" w:eastAsia="Times New Roman" w:hAnsi="Times New Roman" w:cs="Times New Roman"/>
          <w:color w:val="0E101A"/>
          <w:kern w:val="0"/>
          <w:lang w:eastAsia="en-GB"/>
          <w14:ligatures w14:val="none"/>
        </w:rPr>
        <w:t>,  alongside maintenance of vital functions such as breathing This includes of course the control of the vocal fold motion and articulation of the vocal tract and larynx which the essay will describe as being interconnected with several areas of the brain. Whilst clinical understanding of these neuroscience and physiology of singing is beyond the scope of the vocal coach, can by maintaining a good understanding of the process as the research unfolds possibly recognise when referral is necessary and in limited cases apply best vocal practice to help students overcome deficiencies in the usual pathways. </w:t>
      </w:r>
    </w:p>
    <w:p w14:paraId="3982A806"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6474D31B"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The next section will explore some development of practical vocal development strategies for pitch accuracy development. </w:t>
      </w:r>
    </w:p>
    <w:p w14:paraId="70D3A658"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02A1819F"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w:t>
      </w:r>
      <w:r w:rsidRPr="0076388B">
        <w:rPr>
          <w:rFonts w:ascii="Times New Roman" w:eastAsia="Times New Roman" w:hAnsi="Times New Roman" w:cs="Times New Roman"/>
          <w:i/>
          <w:iCs/>
          <w:color w:val="000000"/>
          <w:kern w:val="0"/>
          <w:lang w:eastAsia="en-GB"/>
          <w14:ligatures w14:val="none"/>
        </w:rPr>
        <w:t>We all begin life as singers [..]  in-fact vocalisation is more akin to singing than speech</w:t>
      </w:r>
      <w:r w:rsidRPr="0076388B">
        <w:rPr>
          <w:rFonts w:ascii="Times New Roman" w:eastAsia="Times New Roman" w:hAnsi="Times New Roman" w:cs="Times New Roman"/>
          <w:color w:val="000000"/>
          <w:kern w:val="0"/>
          <w:lang w:eastAsia="en-GB"/>
          <w14:ligatures w14:val="none"/>
        </w:rPr>
        <w:t>” (Knight,  2016,  p262). When we  also consider that most people, particularly those adults  who identify as “non singer”,  have only a limited capacity for using auditory feedback to improve pitch matching (Hutchins I. &amp; Peretz ., 2012), a criterion which has most often  used as the main indicator of whether an individual sings well ( Watts, Murphy, and Barnes -Burrough.,  2003). We have to consider deeper reasons, based on the voice as a “system”  when diagnosing and designing  customised pedagogical approaches strategies to ensure appropriate intervention based on singing as a physical, psychological skill based on a deep seated a  physiological system including but not limited to the larynx and different parts of the brain,  which has uniquely evolved in humans To produce vocalisations including speech and song, the control of all muscles along the vocal tract (e.g. for respiration, vocal fold motion, resonance changes, and articulation) requires the concerted effort of a vast network of brain regions. (Kleber, and Zarate, 2014 p257). </w:t>
      </w:r>
    </w:p>
    <w:p w14:paraId="08F669C9"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 </w:t>
      </w:r>
    </w:p>
    <w:p w14:paraId="70450043"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00000"/>
          <w:kern w:val="0"/>
          <w:lang w:eastAsia="en-GB"/>
          <w14:ligatures w14:val="none"/>
        </w:rPr>
        <w:t>As such singing is particularly complex skill involving a range of perceptual, cognitive, motor, and sensorimotor processes, with the added challenge that many of these operate below the level of conscious awareness. (Wise, 2015). Whilst the performance improvement needs of most non singers (“NS”) can be met through appropriate vocal coaching </w:t>
      </w:r>
    </w:p>
    <w:p w14:paraId="2227FCAC" w14:textId="77777777" w:rsidR="0076388B" w:rsidRDefault="0076388B" w:rsidP="0073609F">
      <w:pPr>
        <w:shd w:val="clear" w:color="auto" w:fill="FFFFFF"/>
        <w:spacing w:after="0" w:line="240" w:lineRule="auto"/>
        <w:jc w:val="both"/>
        <w:rPr>
          <w:rFonts w:ascii="Times New Roman" w:eastAsia="Times New Roman" w:hAnsi="Times New Roman" w:cs="Times New Roman"/>
          <w:color w:val="1D2228"/>
          <w:kern w:val="0"/>
          <w:lang w:eastAsia="en-GB"/>
          <w14:ligatures w14:val="none"/>
        </w:rPr>
      </w:pPr>
      <w:r w:rsidRPr="0076388B">
        <w:rPr>
          <w:rFonts w:ascii="Times New Roman" w:eastAsia="Times New Roman" w:hAnsi="Times New Roman" w:cs="Times New Roman"/>
          <w:color w:val="1D2228"/>
          <w:kern w:val="0"/>
          <w:lang w:eastAsia="en-GB"/>
          <w14:ligatures w14:val="none"/>
        </w:rPr>
        <w:lastRenderedPageBreak/>
        <w:t>Between the areas of the adults with varying levels of singing competence and possibly more significant to the vocal coach, perceptions of perfect pitch singer and amusia we are left with the target audience in terms of students for the most vocal coaches. First though we should be sure to identify signs of possible amusia and to ensure that those who already develop perfect pitch should have appropriate development plans. </w:t>
      </w:r>
    </w:p>
    <w:p w14:paraId="703B73D3" w14:textId="77777777" w:rsidR="008C4E9A" w:rsidRPr="0076388B" w:rsidRDefault="008C4E9A"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p>
    <w:p w14:paraId="7315243A"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1D2228"/>
          <w:kern w:val="0"/>
          <w:lang w:eastAsia="en-GB"/>
          <w14:ligatures w14:val="none"/>
        </w:rPr>
        <w:t>The typical adult population includes most people who can match pitch, but  don’t identify as singers, as well as  professional musicians and singers who have varying degrees of musical identity. </w:t>
      </w:r>
      <w:r w:rsidRPr="0076388B">
        <w:rPr>
          <w:rFonts w:ascii="Times New Roman" w:eastAsia="Times New Roman" w:hAnsi="Times New Roman" w:cs="Times New Roman"/>
          <w:color w:val="0E101A"/>
          <w:kern w:val="0"/>
          <w:lang w:eastAsia="en-GB"/>
          <w14:ligatures w14:val="none"/>
        </w:rPr>
        <w:t>Pfordresher and Brown (2007) suggested that while over 50% of people consider themselves unable to sing in tune, far fewer lack this ability when tested. As noted earlier, the vocal coach must recognise and invoke methods to change the general belief that the ability to sing in tune is a fixed talent (i.e., a skill that you either have or do not have). A growing body of research suggests that pitch accuracy is, in fact, a learned skill (Berglin, Pfordresher and Demorest, 2022), with even absolute pitch (AP), an ability to hear a musical pitch and identify it correctly by name without reference to other pitches (Van Hedger, Heald &amp; Nusbaum, 2019), being possible to acquire in some adults past the "critical period" (Wong. et al., 2020; Wong. et al., 2020b; Van Hedger, Heald &amp; Nusbaum, 2019). </w:t>
      </w:r>
    </w:p>
    <w:p w14:paraId="0D1BCBCB"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7E65F4FF"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Although a study in 1980 suggested that prevalence rates for congenital amusia may be as high as 4% in the Western population (Kalmus and Fry, cited in Wise &amp; Sloboda, 2008), more recent estimates are somewhat modest in comparison, as definitions and criteria for the disorder have since been defined more clearly </w:t>
      </w:r>
      <w:r w:rsidRPr="0076388B">
        <w:rPr>
          <w:rFonts w:ascii="Times New Roman" w:eastAsia="Times New Roman" w:hAnsi="Times New Roman" w:cs="Times New Roman"/>
          <w:color w:val="000000"/>
          <w:kern w:val="0"/>
          <w:lang w:eastAsia="en-GB"/>
          <w14:ligatures w14:val="none"/>
        </w:rPr>
        <w:t>(Wise, 2015) </w:t>
      </w:r>
      <w:r w:rsidRPr="0076388B">
        <w:rPr>
          <w:rFonts w:ascii="Times New Roman" w:eastAsia="Times New Roman" w:hAnsi="Times New Roman" w:cs="Times New Roman"/>
          <w:color w:val="0E101A"/>
          <w:kern w:val="0"/>
          <w:lang w:eastAsia="en-GB"/>
          <w14:ligatures w14:val="none"/>
        </w:rPr>
        <w:t>Tone deafness is seen as permanent (Wise &amp; Sloboda, 2008), whereas "unmusical" could be developed. </w:t>
      </w:r>
    </w:p>
    <w:p w14:paraId="2874DB11"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2604DB8B" w14:textId="0BF1C10F" w:rsidR="0076388B" w:rsidRPr="0076388B" w:rsidRDefault="0073609F"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E101A"/>
          <w:kern w:val="0"/>
          <w:lang w:eastAsia="en-GB"/>
          <w14:ligatures w14:val="none"/>
        </w:rPr>
        <w:t>This section will now</w:t>
      </w:r>
      <w:r w:rsidR="0076388B" w:rsidRPr="0076388B">
        <w:rPr>
          <w:rFonts w:ascii="Times New Roman" w:eastAsia="Times New Roman" w:hAnsi="Times New Roman" w:cs="Times New Roman"/>
          <w:color w:val="0E101A"/>
          <w:kern w:val="0"/>
          <w:lang w:eastAsia="en-GB"/>
          <w14:ligatures w14:val="none"/>
        </w:rPr>
        <w:t xml:space="preserve"> explore what is currently understood about how to improve pitch accuracy and the implications of this for the singing studio. These include techniques and exercises to address psychological factors. A significant barrier to any learning is the fear of experiencing embarrassment and shame (DiYanni and Borst, 2021). This is clearly going to be a relevant factor in singing, especially in a public or group settings, where the singer is vulnerable and exposing musical activity (Wise, 2015), and that an inability to sing in tune is often assumed to be a fixed trait it is not surprising that people who do not consider themselves vocally or musically gifted shy away from engaging with singing activities (Hogle, 2021; Singer 2005), especially under the guidance of a competent vocal coach. However it is important to communicate to  students, that by doing so they  are effectively gifting themselves the exposure and training opportunities to improve. For singing teachers to focus on a demonstrable development to their student of pitch accuracy is important to build the confidence of singers who consider themselves to have poor-pitch singers. Development plan should be explicit in developing not just the technical competence in this area, but also for them to empathise, with the students concerns and tailor the learning experience accordingly to build confidence where necessary. This knowledge has important implications for singing teachers working with poor-pitch singers as teachers who  may unintentionally shame students and exacerbate the problem (Walker, 2017). </w:t>
      </w:r>
    </w:p>
    <w:p w14:paraId="23671819"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45143E30"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xml:space="preserve">Shame arises from judging oneself negatively due to real or perceived inabilities or undesirable behaviours that make one feel exposed and at risk of social ridicule, humiliation or embarrassment. It is characterised by a fear of being exposed as inadequate and of being rejected, and therefore is recognised as an evolved defence mechanism (Culp and Jones, 2020); we are social creatures, after all. This form of self-consciousness has been linked to individuals disengaging and withdrawing from activities in areas linked to their sense of shame (Monti and Maxfield, 2024; Hogle, 2021; DiYanni and Borst, 2021; Salehifard, Hoseini and Dehghani, </w:t>
      </w:r>
      <w:r w:rsidRPr="0076388B">
        <w:rPr>
          <w:rFonts w:ascii="Times New Roman" w:eastAsia="Times New Roman" w:hAnsi="Times New Roman" w:cs="Times New Roman"/>
          <w:color w:val="0E101A"/>
          <w:kern w:val="0"/>
          <w:lang w:eastAsia="en-GB"/>
          <w14:ligatures w14:val="none"/>
        </w:rPr>
        <w:lastRenderedPageBreak/>
        <w:t>2021; Walker, 2017). Therefore, operating from a place of shame can lead to missed opportunities in all areas of life, from stunted academic, professional and skill development to social and performance opportunities (Hogle, 2021; Martorell and Jones, 2020). Likewise, it can also impact their overall well-being and sense of self, as it has been linked to the development of mental health disorders (Walker, 2017; Brown, 2012). Although this has a negative impact on the individuals themselves, this dominant emotion could, therefore, be seen as having a much bigger impact than just the feeling for the individuals themselves. </w:t>
      </w:r>
      <w:r w:rsidRPr="0076388B">
        <w:rPr>
          <w:rFonts w:ascii="Times New Roman" w:eastAsia="Times New Roman" w:hAnsi="Times New Roman" w:cs="Times New Roman"/>
          <w:b/>
          <w:bCs/>
          <w:color w:val="0E101A"/>
          <w:kern w:val="0"/>
          <w:lang w:eastAsia="en-GB"/>
          <w14:ligatures w14:val="none"/>
        </w:rPr>
        <w:t> </w:t>
      </w:r>
    </w:p>
    <w:p w14:paraId="34A29FBD"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b/>
          <w:bCs/>
          <w:color w:val="0E101A"/>
          <w:kern w:val="0"/>
          <w:lang w:eastAsia="en-GB"/>
          <w14:ligatures w14:val="none"/>
        </w:rPr>
        <w:t> </w:t>
      </w:r>
    </w:p>
    <w:p w14:paraId="5DD6E981" w14:textId="77777777" w:rsidR="0076388B" w:rsidRPr="0076388B" w:rsidRDefault="0076388B" w:rsidP="0073609F">
      <w:pPr>
        <w:numPr>
          <w:ilvl w:val="0"/>
          <w:numId w:val="3"/>
        </w:numPr>
        <w:shd w:val="clear" w:color="auto" w:fill="FFFFFF"/>
        <w:spacing w:after="0" w:line="240" w:lineRule="auto"/>
        <w:jc w:val="both"/>
        <w:rPr>
          <w:rFonts w:ascii="Times New Roman" w:eastAsia="Times New Roman" w:hAnsi="Times New Roman" w:cs="Times New Roman"/>
          <w:color w:val="0E101A"/>
          <w:kern w:val="0"/>
          <w:lang w:eastAsia="en-GB"/>
          <w14:ligatures w14:val="none"/>
        </w:rPr>
      </w:pPr>
      <w:r w:rsidRPr="0076388B">
        <w:rPr>
          <w:rFonts w:ascii="Times New Roman" w:eastAsia="Times New Roman" w:hAnsi="Times New Roman" w:cs="Times New Roman"/>
          <w:b/>
          <w:bCs/>
          <w:color w:val="0E101A"/>
          <w:kern w:val="0"/>
          <w:lang w:eastAsia="en-GB"/>
          <w14:ligatures w14:val="none"/>
        </w:rPr>
        <w:t>Self-efficacy </w:t>
      </w:r>
    </w:p>
    <w:p w14:paraId="18C8DD85" w14:textId="77777777" w:rsidR="0076388B" w:rsidRPr="0076388B" w:rsidRDefault="0076388B" w:rsidP="0073609F">
      <w:pPr>
        <w:numPr>
          <w:ilvl w:val="0"/>
          <w:numId w:val="4"/>
        </w:numPr>
        <w:shd w:val="clear" w:color="auto" w:fill="FFFFFF"/>
        <w:spacing w:after="0" w:line="240" w:lineRule="auto"/>
        <w:jc w:val="both"/>
        <w:rPr>
          <w:rFonts w:ascii="Times New Roman" w:eastAsia="Times New Roman" w:hAnsi="Times New Roman" w:cs="Times New Roman"/>
          <w:color w:val="0E101A"/>
          <w:kern w:val="0"/>
          <w:lang w:eastAsia="en-GB"/>
          <w14:ligatures w14:val="none"/>
        </w:rPr>
      </w:pPr>
      <w:r w:rsidRPr="0076388B">
        <w:rPr>
          <w:rFonts w:ascii="Times New Roman" w:eastAsia="Times New Roman" w:hAnsi="Times New Roman" w:cs="Times New Roman"/>
          <w:b/>
          <w:bCs/>
          <w:color w:val="0E101A"/>
          <w:kern w:val="0"/>
          <w:lang w:eastAsia="en-GB"/>
          <w14:ligatures w14:val="none"/>
        </w:rPr>
        <w:t>Personality </w:t>
      </w:r>
    </w:p>
    <w:p w14:paraId="6CE7011E" w14:textId="77777777" w:rsidR="0076388B" w:rsidRPr="0076388B" w:rsidRDefault="0076388B" w:rsidP="0073609F">
      <w:pPr>
        <w:numPr>
          <w:ilvl w:val="0"/>
          <w:numId w:val="4"/>
        </w:numPr>
        <w:shd w:val="clear" w:color="auto" w:fill="FFFFFF"/>
        <w:spacing w:after="0" w:line="240" w:lineRule="auto"/>
        <w:jc w:val="both"/>
        <w:rPr>
          <w:rFonts w:ascii="Times New Roman" w:eastAsia="Times New Roman" w:hAnsi="Times New Roman" w:cs="Times New Roman"/>
          <w:color w:val="0E101A"/>
          <w:kern w:val="0"/>
          <w:lang w:eastAsia="en-GB"/>
          <w14:ligatures w14:val="none"/>
        </w:rPr>
      </w:pPr>
      <w:r w:rsidRPr="0076388B">
        <w:rPr>
          <w:rFonts w:ascii="Times New Roman" w:eastAsia="Times New Roman" w:hAnsi="Times New Roman" w:cs="Times New Roman"/>
          <w:b/>
          <w:bCs/>
          <w:color w:val="0E101A"/>
          <w:kern w:val="0"/>
          <w:lang w:eastAsia="en-GB"/>
          <w14:ligatures w14:val="none"/>
        </w:rPr>
        <w:t>Growth mindsets and link to shame</w:t>
      </w:r>
    </w:p>
    <w:p w14:paraId="7522D8E0" w14:textId="77777777" w:rsidR="0076388B" w:rsidRPr="0076388B" w:rsidRDefault="0076388B" w:rsidP="0073609F">
      <w:pPr>
        <w:numPr>
          <w:ilvl w:val="0"/>
          <w:numId w:val="4"/>
        </w:numPr>
        <w:shd w:val="clear" w:color="auto" w:fill="FFFFFF"/>
        <w:spacing w:after="0" w:line="240" w:lineRule="auto"/>
        <w:jc w:val="both"/>
        <w:rPr>
          <w:rFonts w:ascii="Times New Roman" w:eastAsia="Times New Roman" w:hAnsi="Times New Roman" w:cs="Times New Roman"/>
          <w:color w:val="0E101A"/>
          <w:kern w:val="0"/>
          <w:lang w:eastAsia="en-GB"/>
          <w14:ligatures w14:val="none"/>
        </w:rPr>
      </w:pPr>
      <w:r w:rsidRPr="0076388B">
        <w:rPr>
          <w:rFonts w:ascii="Times New Roman" w:eastAsia="Times New Roman" w:hAnsi="Times New Roman" w:cs="Times New Roman"/>
          <w:b/>
          <w:bCs/>
          <w:color w:val="0E101A"/>
          <w:kern w:val="0"/>
          <w:lang w:eastAsia="en-GB"/>
          <w14:ligatures w14:val="none"/>
        </w:rPr>
        <w:t>Teacher bias and learning privilege (Walker, 2017, pg. 362)</w:t>
      </w:r>
    </w:p>
    <w:p w14:paraId="54E708AD" w14:textId="77777777" w:rsidR="0076388B" w:rsidRPr="0076388B" w:rsidRDefault="0076388B" w:rsidP="0073609F">
      <w:pPr>
        <w:numPr>
          <w:ilvl w:val="0"/>
          <w:numId w:val="4"/>
        </w:numPr>
        <w:shd w:val="clear" w:color="auto" w:fill="FFFFFF"/>
        <w:spacing w:after="0" w:line="240" w:lineRule="auto"/>
        <w:jc w:val="both"/>
        <w:rPr>
          <w:rFonts w:ascii="Times New Roman" w:eastAsia="Times New Roman" w:hAnsi="Times New Roman" w:cs="Times New Roman"/>
          <w:color w:val="0E101A"/>
          <w:kern w:val="0"/>
          <w:lang w:eastAsia="en-GB"/>
          <w14:ligatures w14:val="none"/>
        </w:rPr>
      </w:pPr>
      <w:r w:rsidRPr="0076388B">
        <w:rPr>
          <w:rFonts w:ascii="Times New Roman" w:eastAsia="Times New Roman" w:hAnsi="Times New Roman" w:cs="Times New Roman"/>
          <w:b/>
          <w:bCs/>
          <w:color w:val="0E101A"/>
          <w:kern w:val="0"/>
          <w:lang w:eastAsia="en-GB"/>
          <w14:ligatures w14:val="none"/>
        </w:rPr>
        <w:t>Teacher shame - not knowing how to tackle problem of pitch accuracy. </w:t>
      </w:r>
    </w:p>
    <w:p w14:paraId="3E44C611" w14:textId="77777777" w:rsidR="0076388B" w:rsidRPr="0076388B" w:rsidRDefault="0076388B" w:rsidP="0073609F">
      <w:pPr>
        <w:numPr>
          <w:ilvl w:val="0"/>
          <w:numId w:val="4"/>
        </w:numPr>
        <w:shd w:val="clear" w:color="auto" w:fill="FFFFFF"/>
        <w:spacing w:after="0" w:line="240" w:lineRule="auto"/>
        <w:jc w:val="both"/>
        <w:rPr>
          <w:rFonts w:ascii="Times New Roman" w:eastAsia="Times New Roman" w:hAnsi="Times New Roman" w:cs="Times New Roman"/>
          <w:color w:val="0E101A"/>
          <w:kern w:val="0"/>
          <w:lang w:eastAsia="en-GB"/>
          <w14:ligatures w14:val="none"/>
        </w:rPr>
      </w:pPr>
      <w:r w:rsidRPr="0076388B">
        <w:rPr>
          <w:rFonts w:ascii="Times New Roman" w:eastAsia="Times New Roman" w:hAnsi="Times New Roman" w:cs="Times New Roman"/>
          <w:b/>
          <w:bCs/>
          <w:color w:val="0E101A"/>
          <w:kern w:val="0"/>
          <w:lang w:eastAsia="en-GB"/>
          <w14:ligatures w14:val="none"/>
        </w:rPr>
        <w:t>Effective feedback </w:t>
      </w:r>
    </w:p>
    <w:p w14:paraId="6F6F3F42"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b/>
          <w:bCs/>
          <w:color w:val="0E101A"/>
          <w:kern w:val="0"/>
          <w:lang w:eastAsia="en-GB"/>
          <w14:ligatures w14:val="none"/>
        </w:rPr>
        <w:t> </w:t>
      </w:r>
    </w:p>
    <w:p w14:paraId="19DAB2F3"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760FE45F"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Modelling by the coach in scale exercises and practice melodies and lyrics has been found to be superior to instrumental modelling. Granot et al, 2013, found that pitch accuracy was improved significantly more when using a live vocal model than when using the piano. This is consistent with who tested this phenomenon with a digital/synthesised sound. The efficacy of the approach may be the voice of the coach feels more relatable to the participant. For example, Watts and Hall, 2008, found that females responded better to female voice models when trying to match pitch, as opposed to male voices or instruments. Similarly, boys in Granot's et al, 2013 study expressed that they would have preferred a male voice to imitate, although this didn't appear to impact the effectiveness of the results.</w:t>
      </w:r>
    </w:p>
    <w:p w14:paraId="5AB91762"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09C2E2A5"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Through the lens of Bandura's social learning theory (1986</w:t>
      </w:r>
      <w:r w:rsidRPr="0076388B">
        <w:rPr>
          <w:rFonts w:ascii="Times New Roman" w:eastAsia="Times New Roman" w:hAnsi="Times New Roman" w:cs="Times New Roman"/>
          <w:i/>
          <w:iCs/>
          <w:color w:val="0E101A"/>
          <w:kern w:val="0"/>
          <w:lang w:eastAsia="en-GB"/>
          <w14:ligatures w14:val="none"/>
        </w:rPr>
        <w:t> </w:t>
      </w:r>
      <w:r w:rsidRPr="0076388B">
        <w:rPr>
          <w:rFonts w:ascii="Times New Roman" w:eastAsia="Times New Roman" w:hAnsi="Times New Roman" w:cs="Times New Roman"/>
          <w:color w:val="0E101A"/>
          <w:kern w:val="0"/>
          <w:lang w:eastAsia="en-GB"/>
          <w14:ligatures w14:val="none"/>
        </w:rPr>
        <w:t>cited in Marks, 2002), modelling has been shown to be most effective when the model is more like the learner. </w:t>
      </w:r>
    </w:p>
    <w:p w14:paraId="147D97D4"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31366939"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Visual feedback</w:t>
      </w:r>
      <w:r w:rsidRPr="0076388B">
        <w:rPr>
          <w:rFonts w:ascii="Times New Roman" w:eastAsia="Times New Roman" w:hAnsi="Times New Roman" w:cs="Times New Roman"/>
          <w:b/>
          <w:bCs/>
          <w:color w:val="0E101A"/>
          <w:kern w:val="0"/>
          <w:lang w:eastAsia="en-GB"/>
          <w14:ligatures w14:val="none"/>
        </w:rPr>
        <w:t> </w:t>
      </w:r>
      <w:r w:rsidRPr="0076388B">
        <w:rPr>
          <w:rFonts w:ascii="Times New Roman" w:eastAsia="Times New Roman" w:hAnsi="Times New Roman" w:cs="Times New Roman"/>
          <w:color w:val="0E101A"/>
          <w:kern w:val="0"/>
          <w:lang w:eastAsia="en-GB"/>
          <w14:ligatures w14:val="none"/>
        </w:rPr>
        <w:t>can also be included in learning strategies to improve pitch accuracy in singing have been investigated in the literature (Lã and Fiuza, 2022; Paney and Tharp, 2021). One such strategy is real-time visual feedback as a training tool for improving pitch accuracy in singing. Visual feedback in the form of digital displays of pitch production has been shown to assist in improving singing pitch accuracy. A range of different visual feedback tools have been developed and used with singers. Possibly the most accessible of these tools comes in the form of singing computer/electronic games, which usually display visual representations of both target and actual sung pitches on a screen and often give the singer a score of overall accuracy at the end of a performance through the game. </w:t>
      </w:r>
    </w:p>
    <w:p w14:paraId="0F6F74F2"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41E61519"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Paney (2015) found that games of this nature improved singing accuracy and elevated motivation to continue to play the game and therefore simultaneously practise pitch accuracy in players. In addition, games are effective practice tools for at-home reinforcement and practice so that singers can continue to practise between sessions and receive congruent feedback without the presence of a teacher. As practice, exposure and training have been shown to be predictors of improved pitch accuracy (Wise, 2015). This fosters quicker advancement and development. This is further complimented by increased motivation to practice through this form of learning (game). This approach is discussed as part of motivation and social cognitive learning theories and models (Schunk and DiBenedetto, 2020; Bandura 1986, cited in Marks, 2002).</w:t>
      </w:r>
    </w:p>
    <w:p w14:paraId="32C427DD"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2A3A2393"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lastRenderedPageBreak/>
        <w:t>A limitation of games as a tool of visual feedback for pitch accuracy improvement is that most of the games do not solely focus on pitch accuracy to determine a singer's score. For example, some games incorporate rhythmic accuracy (such as how long a note is held for) into the overall singing accuracy score/rating given to the singer at the end of a performance (</w:t>
      </w:r>
      <w:r w:rsidRPr="0076388B">
        <w:rPr>
          <w:rFonts w:ascii="Times New Roman" w:eastAsia="Times New Roman" w:hAnsi="Times New Roman" w:cs="Times New Roman"/>
          <w:color w:val="000000"/>
          <w:kern w:val="0"/>
          <w:lang w:eastAsia="en-GB"/>
          <w14:ligatures w14:val="none"/>
        </w:rPr>
        <w:t>Lã and Fiuza, 2022)</w:t>
      </w:r>
      <w:r w:rsidRPr="0076388B">
        <w:rPr>
          <w:rFonts w:ascii="Times New Roman" w:eastAsia="Times New Roman" w:hAnsi="Times New Roman" w:cs="Times New Roman"/>
          <w:color w:val="0E101A"/>
          <w:kern w:val="0"/>
          <w:lang w:eastAsia="en-GB"/>
          <w14:ligatures w14:val="none"/>
        </w:rPr>
        <w:t>. This means that if the singer held notes and sang with more rhythmic accuracy, they may get a higher overall score than previously, despite not actually improving their pitch accuracy, and visa versa. </w:t>
      </w:r>
    </w:p>
    <w:p w14:paraId="13739386"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53EF3C58"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Likewise, it should be noted that most singing games have a large margin for error in that they rate a note as 'in tune' if it is within a semitone (100 cents) of the target pitch (Wise, 2015). This means that a singer may still be singing noticeably sharp or flat but still be rated as accurate on games like this. These factors do bring the effectiveness of games as pitch improvement measurement and training tools into question. </w:t>
      </w:r>
    </w:p>
    <w:p w14:paraId="1BEACC72"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19B1E80A"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Current developments include training tools which include visual feedback tools for other areas of vocal production, such as breathing, have also been developed (Lã and Fiuza, 2022).  These include gesture different gesture frameworks including Solfège, Kinaesthetic learning and embodied cognition to include Movement/ embodied cognition aids and reinforces learning and memory (Castro-Alonso et al, 2024). </w:t>
      </w:r>
    </w:p>
    <w:p w14:paraId="591F8B11"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 </w:t>
      </w:r>
    </w:p>
    <w:p w14:paraId="2A26F74D" w14:textId="77777777" w:rsidR="0076388B" w:rsidRPr="0076388B" w:rsidRDefault="0076388B" w:rsidP="0073609F">
      <w:pPr>
        <w:shd w:val="clear" w:color="auto" w:fill="FFFFFF"/>
        <w:spacing w:after="0" w:line="240" w:lineRule="auto"/>
        <w:jc w:val="both"/>
        <w:rPr>
          <w:rFonts w:ascii="Times New Roman" w:eastAsia="Times New Roman" w:hAnsi="Times New Roman" w:cs="Times New Roman"/>
          <w:color w:val="000000"/>
          <w:kern w:val="0"/>
          <w:lang w:eastAsia="en-GB"/>
          <w14:ligatures w14:val="none"/>
        </w:rPr>
      </w:pPr>
      <w:r w:rsidRPr="0076388B">
        <w:rPr>
          <w:rFonts w:ascii="Times New Roman" w:eastAsia="Times New Roman" w:hAnsi="Times New Roman" w:cs="Times New Roman"/>
          <w:color w:val="0E101A"/>
          <w:kern w:val="0"/>
          <w:lang w:eastAsia="en-GB"/>
          <w14:ligatures w14:val="none"/>
        </w:rPr>
        <w:t>As in any learning plan the vocal coach must manage </w:t>
      </w:r>
      <w:r w:rsidRPr="0076388B">
        <w:rPr>
          <w:rFonts w:ascii="Times New Roman" w:eastAsia="Times New Roman" w:hAnsi="Times New Roman" w:cs="Times New Roman"/>
          <w:color w:val="000000"/>
          <w:kern w:val="0"/>
          <w:lang w:eastAsia="en-GB"/>
          <w14:ligatures w14:val="none"/>
        </w:rPr>
        <w:t>cognitive load on the student in general and particularly by using lyrics (Wise, 2015). </w:t>
      </w:r>
      <w:r w:rsidRPr="0076388B">
        <w:rPr>
          <w:rFonts w:ascii="Times New Roman" w:eastAsia="Times New Roman" w:hAnsi="Times New Roman" w:cs="Times New Roman"/>
          <w:color w:val="0E101A"/>
          <w:kern w:val="0"/>
          <w:lang w:eastAsia="en-GB"/>
          <w14:ligatures w14:val="none"/>
        </w:rPr>
        <w:t>As is the case with learning any new or complex skill, beginner singers may experience a significant cognitive load when learning to sing in tune. Cognitive load refers to the level of mental effort and demand on working memory required to perform a task (Han, 2021; Sweller, 2011; Sweller, Ayres and Kalyuga, 2011). If the cognitive demand of a task is greater than the cognitive capacity of the individual for that task, cognitive overload may occur and this makes it significantly harder to engage with, and slower to improve a skill (Han, 2021; Mayer and Moreno, 2003). For beginner singers, this cognitive load can come from trying to remember lyrics and accurately remember and imitate the melody.</w:t>
      </w:r>
    </w:p>
    <w:p w14:paraId="38BEBB1D" w14:textId="77777777" w:rsidR="0054730D" w:rsidRPr="0073609F" w:rsidRDefault="0054730D" w:rsidP="0073609F">
      <w:pPr>
        <w:rPr>
          <w:rFonts w:ascii="Times New Roman" w:hAnsi="Times New Roman" w:cs="Times New Roman"/>
        </w:rPr>
      </w:pPr>
    </w:p>
    <w:p w14:paraId="737C1244" w14:textId="77777777" w:rsidR="00FA6A6D" w:rsidRPr="0073609F" w:rsidRDefault="00FA6A6D" w:rsidP="0073609F">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18226003" w14:textId="77777777" w:rsidR="00FA6A6D" w:rsidRPr="0073609F" w:rsidRDefault="00FA6A6D" w:rsidP="0073609F">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595BD877" w14:textId="77777777" w:rsidR="00FA6A6D" w:rsidRPr="0073609F" w:rsidRDefault="00FA6A6D" w:rsidP="0073609F">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21DDB98F" w14:textId="77777777" w:rsidR="00FA6A6D" w:rsidRPr="0073609F" w:rsidRDefault="00FA6A6D" w:rsidP="0073609F">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5A6CFEBB" w14:textId="77777777" w:rsidR="00FA6A6D" w:rsidRPr="0073609F" w:rsidRDefault="00FA6A6D" w:rsidP="0073609F">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03147028" w14:textId="77777777" w:rsidR="00FA6A6D" w:rsidRPr="0073609F" w:rsidRDefault="00FA6A6D" w:rsidP="0073609F">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4A97E609" w14:textId="77777777" w:rsidR="00FA6A6D" w:rsidRPr="0073609F" w:rsidRDefault="00FA6A6D" w:rsidP="0073609F">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5CC8AABA" w14:textId="77777777" w:rsidR="00FA6A6D" w:rsidRPr="0073609F" w:rsidRDefault="00FA6A6D" w:rsidP="0073609F">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5CFC73D2" w14:textId="77777777" w:rsidR="00FA6A6D" w:rsidRPr="0073609F" w:rsidRDefault="00FA6A6D" w:rsidP="0073609F">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3E15FCEE" w14:textId="77777777" w:rsidR="00FA6A6D" w:rsidRPr="0073609F" w:rsidRDefault="00FA6A6D" w:rsidP="0073609F">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2AF02A8E" w14:textId="77777777" w:rsidR="00FA6A6D" w:rsidRDefault="00FA6A6D" w:rsidP="00FA6A6D">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610DB483" w14:textId="77777777" w:rsidR="00FA6A6D" w:rsidRDefault="00FA6A6D" w:rsidP="00FA6A6D">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687E71DA" w14:textId="77777777" w:rsidR="00FA6A6D" w:rsidRDefault="00FA6A6D" w:rsidP="00FA6A6D">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72761901" w14:textId="77777777" w:rsidR="00FA6A6D" w:rsidRDefault="00FA6A6D" w:rsidP="00FA6A6D">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1978E1BA" w14:textId="77777777" w:rsidR="0073609F" w:rsidRDefault="0073609F" w:rsidP="00FA6A6D">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177FC9A7" w14:textId="77777777" w:rsidR="00FA6A6D" w:rsidRDefault="00FA6A6D" w:rsidP="00FA6A6D">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1DCCE1B0" w14:textId="77777777" w:rsidR="00FA6A6D" w:rsidRPr="00FA6A6D" w:rsidRDefault="00FA6A6D" w:rsidP="00FA6A6D">
      <w:pPr>
        <w:shd w:val="clear" w:color="auto" w:fill="FFFFFF"/>
        <w:spacing w:after="0" w:line="310" w:lineRule="atLeast"/>
        <w:textAlignment w:val="baseline"/>
        <w:rPr>
          <w:rFonts w:ascii="Times New Roman" w:eastAsia="Times New Roman" w:hAnsi="Times New Roman" w:cs="Times New Roman"/>
          <w:kern w:val="0"/>
          <w:sz w:val="28"/>
          <w:szCs w:val="28"/>
          <w:u w:val="single"/>
          <w:lang w:eastAsia="en-GB"/>
          <w14:ligatures w14:val="none"/>
        </w:rPr>
      </w:pPr>
      <w:r w:rsidRPr="00FA6A6D">
        <w:rPr>
          <w:rFonts w:ascii="Times New Roman" w:eastAsia="Times New Roman" w:hAnsi="Times New Roman" w:cs="Times New Roman"/>
          <w:kern w:val="0"/>
          <w:sz w:val="28"/>
          <w:szCs w:val="28"/>
          <w:u w:val="single"/>
          <w:lang w:eastAsia="en-GB"/>
          <w14:ligatures w14:val="none"/>
        </w:rPr>
        <w:lastRenderedPageBreak/>
        <w:t xml:space="preserve">Bibliography </w:t>
      </w:r>
    </w:p>
    <w:p w14:paraId="5044B433" w14:textId="77777777" w:rsidR="00FA6A6D" w:rsidRDefault="00FA6A6D" w:rsidP="00FA6A6D">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p>
    <w:p w14:paraId="56C38DD7" w14:textId="57FAEC36" w:rsidR="00FA6A6D" w:rsidRPr="0014612F" w:rsidRDefault="00FA6A6D" w:rsidP="00FA6A6D">
      <w:pPr>
        <w:shd w:val="clear" w:color="auto" w:fill="FFFFFF"/>
        <w:spacing w:after="0" w:line="310" w:lineRule="atLeast"/>
        <w:textAlignment w:val="baseline"/>
        <w:rPr>
          <w:rFonts w:ascii="Times New Roman" w:eastAsia="Times New Roman" w:hAnsi="Times New Roman" w:cs="Times New Roman"/>
          <w:kern w:val="0"/>
          <w:lang w:eastAsia="en-GB"/>
          <w14:ligatures w14:val="none"/>
        </w:rPr>
      </w:pPr>
      <w:hyperlink r:id="rId7" w:tgtFrame="_blank" w:history="1">
        <w:r w:rsidRPr="0014612F">
          <w:rPr>
            <w:rFonts w:ascii="Times New Roman" w:eastAsia="Times New Roman" w:hAnsi="Times New Roman" w:cs="Times New Roman"/>
            <w:kern w:val="0"/>
            <w:lang w:eastAsia="en-GB"/>
            <w14:ligatures w14:val="none"/>
          </w:rPr>
          <w:t>Ackermann</w:t>
        </w:r>
      </w:hyperlink>
      <w:r w:rsidRPr="0014612F">
        <w:rPr>
          <w:rFonts w:ascii="Times New Roman" w:eastAsia="Times New Roman" w:hAnsi="Times New Roman" w:cs="Times New Roman"/>
          <w:kern w:val="0"/>
          <w:lang w:eastAsia="en-GB"/>
          <w14:ligatures w14:val="none"/>
        </w:rPr>
        <w:t> H, </w:t>
      </w:r>
      <w:hyperlink r:id="rId8" w:tgtFrame="_blank" w:history="1">
        <w:r w:rsidRPr="0014612F">
          <w:rPr>
            <w:rFonts w:ascii="Times New Roman" w:eastAsia="Times New Roman" w:hAnsi="Times New Roman" w:cs="Times New Roman"/>
            <w:kern w:val="0"/>
            <w:lang w:eastAsia="en-GB"/>
            <w14:ligatures w14:val="none"/>
          </w:rPr>
          <w:t>Hage</w:t>
        </w:r>
      </w:hyperlink>
      <w:r w:rsidRPr="0014612F">
        <w:rPr>
          <w:rFonts w:ascii="Times New Roman" w:eastAsia="Times New Roman" w:hAnsi="Times New Roman" w:cs="Times New Roman"/>
          <w:kern w:val="0"/>
          <w:lang w:eastAsia="en-GB"/>
          <w14:ligatures w14:val="none"/>
        </w:rPr>
        <w:t> S. R. and</w:t>
      </w:r>
      <w:hyperlink r:id="rId9" w:tgtFrame="_blank" w:history="1">
        <w:r w:rsidRPr="0014612F">
          <w:rPr>
            <w:rFonts w:ascii="Times New Roman" w:eastAsia="Times New Roman" w:hAnsi="Times New Roman" w:cs="Times New Roman"/>
            <w:kern w:val="0"/>
            <w:lang w:eastAsia="en-GB"/>
            <w14:ligatures w14:val="none"/>
          </w:rPr>
          <w:t> Ziegler</w:t>
        </w:r>
      </w:hyperlink>
      <w:r w:rsidRPr="0014612F">
        <w:rPr>
          <w:rFonts w:ascii="Times New Roman" w:eastAsia="Times New Roman" w:hAnsi="Times New Roman" w:cs="Times New Roman"/>
          <w:kern w:val="0"/>
          <w:lang w:eastAsia="en-GB"/>
          <w14:ligatures w14:val="none"/>
        </w:rPr>
        <w:t> W. (2014) Brain mechanisms of acoustic communication in humans and nonhuman primates: An evolutionary perspective , Cambridge University Press.  </w:t>
      </w:r>
      <w:hyperlink r:id="rId10" w:tgtFrame="_blank" w:history="1">
        <w:r w:rsidRPr="0014612F">
          <w:rPr>
            <w:rFonts w:ascii="Times New Roman" w:eastAsia="Times New Roman" w:hAnsi="Times New Roman" w:cs="Times New Roman"/>
            <w:kern w:val="0"/>
            <w:u w:val="single"/>
            <w:lang w:eastAsia="en-GB"/>
            <w14:ligatures w14:val="none"/>
          </w:rPr>
          <w:t>https://www.cambridge.org/core/journals/behavioral-and-brain-sciences/article/abs/brain-mechanisms-of-acoustic-communication-in-humans-and-nonhuman-primates-an-evolutionary-perspective/1FD5C5F020904229F13B5C015BCB6626</w:t>
        </w:r>
      </w:hyperlink>
      <w:r w:rsidRPr="0014612F">
        <w:rPr>
          <w:rFonts w:ascii="Times New Roman" w:eastAsia="Times New Roman" w:hAnsi="Times New Roman" w:cs="Times New Roman"/>
          <w:kern w:val="0"/>
          <w:u w:val="single"/>
          <w:lang w:eastAsia="en-GB"/>
          <w14:ligatures w14:val="none"/>
        </w:rPr>
        <w:t> </w:t>
      </w:r>
      <w:r w:rsidRPr="0014612F">
        <w:rPr>
          <w:rFonts w:ascii="Times New Roman" w:eastAsia="Times New Roman" w:hAnsi="Times New Roman" w:cs="Times New Roman"/>
          <w:kern w:val="0"/>
          <w:lang w:eastAsia="en-GB"/>
          <w14:ligatures w14:val="none"/>
        </w:rPr>
        <w:t> </w:t>
      </w:r>
      <w:r>
        <w:rPr>
          <w:rFonts w:ascii="Times New Roman" w:eastAsia="Times New Roman" w:hAnsi="Times New Roman" w:cs="Times New Roman"/>
          <w:kern w:val="0"/>
          <w:lang w:eastAsia="en-GB"/>
          <w14:ligatures w14:val="none"/>
        </w:rPr>
        <w:t>(Accessed</w:t>
      </w:r>
      <w:r w:rsidRPr="0014612F">
        <w:rPr>
          <w:rFonts w:ascii="Times New Roman" w:eastAsia="Times New Roman" w:hAnsi="Times New Roman" w:cs="Times New Roman"/>
          <w:kern w:val="0"/>
          <w:lang w:eastAsia="en-GB"/>
          <w14:ligatures w14:val="none"/>
        </w:rPr>
        <w:t xml:space="preserve"> 20</w:t>
      </w:r>
      <w:r>
        <w:rPr>
          <w:rFonts w:ascii="Times New Roman" w:eastAsia="Times New Roman" w:hAnsi="Times New Roman" w:cs="Times New Roman"/>
          <w:kern w:val="0"/>
          <w:lang w:eastAsia="en-GB"/>
          <w14:ligatures w14:val="none"/>
        </w:rPr>
        <w:t>/</w:t>
      </w:r>
      <w:r w:rsidRPr="0014612F">
        <w:rPr>
          <w:rFonts w:ascii="Times New Roman" w:eastAsia="Times New Roman" w:hAnsi="Times New Roman" w:cs="Times New Roman"/>
          <w:kern w:val="0"/>
          <w:lang w:eastAsia="en-GB"/>
          <w14:ligatures w14:val="none"/>
        </w:rPr>
        <w:t>09</w:t>
      </w:r>
      <w:r>
        <w:rPr>
          <w:rFonts w:ascii="Times New Roman" w:eastAsia="Times New Roman" w:hAnsi="Times New Roman" w:cs="Times New Roman"/>
          <w:kern w:val="0"/>
          <w:lang w:eastAsia="en-GB"/>
          <w14:ligatures w14:val="none"/>
        </w:rPr>
        <w:t>/</w:t>
      </w:r>
      <w:r w:rsidRPr="0014612F">
        <w:rPr>
          <w:rFonts w:ascii="Times New Roman" w:eastAsia="Times New Roman" w:hAnsi="Times New Roman" w:cs="Times New Roman"/>
          <w:kern w:val="0"/>
          <w:lang w:eastAsia="en-GB"/>
          <w14:ligatures w14:val="none"/>
        </w:rPr>
        <w:t>2024)</w:t>
      </w:r>
    </w:p>
    <w:p w14:paraId="27256612" w14:textId="77777777" w:rsidR="00FA6A6D" w:rsidRPr="00BF1EF5" w:rsidRDefault="00FA6A6D" w:rsidP="00FA6A6D">
      <w:pPr>
        <w:shd w:val="clear" w:color="auto" w:fill="FFFFFF"/>
        <w:spacing w:before="240" w:after="0" w:line="240" w:lineRule="auto"/>
        <w:textAlignment w:val="baseline"/>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Amir, O., Amir, N., and Kishon-Rabin, L. (2003). The effect of superior auditory skills on vocal accuracy The Journal of the Acoustical Society of America Vol 113,  February 2003. </w:t>
      </w:r>
      <w:hyperlink r:id="rId11" w:tgtFrame="_blank" w:history="1">
        <w:r w:rsidRPr="0014612F">
          <w:rPr>
            <w:rFonts w:ascii="Times New Roman" w:eastAsia="Times New Roman" w:hAnsi="Times New Roman" w:cs="Times New Roman"/>
            <w:kern w:val="0"/>
            <w:u w:val="single"/>
            <w:lang w:eastAsia="en-GB"/>
            <w14:ligatures w14:val="none"/>
          </w:rPr>
          <w:t>https://pubs.aip.org/asa/jasa/article-abstract/113/2/1102/545183/The-effect-of-superior-auditory-skills-on-vocal</w:t>
        </w:r>
      </w:hyperlink>
      <w:r w:rsidRPr="0014612F">
        <w:rPr>
          <w:rFonts w:ascii="Times New Roman" w:eastAsia="Times New Roman" w:hAnsi="Times New Roman" w:cs="Times New Roman"/>
          <w:kern w:val="0"/>
          <w:lang w:eastAsia="en-GB"/>
          <w14:ligatures w14:val="none"/>
        </w:rPr>
        <w:t> (</w:t>
      </w:r>
      <w:r>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 xml:space="preserve">ccessed </w:t>
      </w:r>
      <w:r>
        <w:rPr>
          <w:rFonts w:ascii="Times New Roman" w:eastAsia="Times New Roman" w:hAnsi="Times New Roman" w:cs="Times New Roman"/>
          <w:kern w:val="0"/>
          <w:lang w:eastAsia="en-GB"/>
          <w14:ligatures w14:val="none"/>
        </w:rPr>
        <w:t>0</w:t>
      </w:r>
      <w:r w:rsidRPr="0014612F">
        <w:rPr>
          <w:rFonts w:ascii="Times New Roman" w:eastAsia="Times New Roman" w:hAnsi="Times New Roman" w:cs="Times New Roman"/>
          <w:kern w:val="0"/>
          <w:lang w:eastAsia="en-GB"/>
          <w14:ligatures w14:val="none"/>
        </w:rPr>
        <w:t>6/10</w:t>
      </w:r>
      <w:r>
        <w:rPr>
          <w:rFonts w:ascii="Times New Roman" w:eastAsia="Times New Roman" w:hAnsi="Times New Roman" w:cs="Times New Roman"/>
          <w:kern w:val="0"/>
          <w:lang w:eastAsia="en-GB"/>
          <w14:ligatures w14:val="none"/>
        </w:rPr>
        <w:t>/</w:t>
      </w:r>
      <w:r w:rsidRPr="0014612F">
        <w:rPr>
          <w:rFonts w:ascii="Times New Roman" w:eastAsia="Times New Roman" w:hAnsi="Times New Roman" w:cs="Times New Roman"/>
          <w:kern w:val="0"/>
          <w:lang w:eastAsia="en-GB"/>
          <w14:ligatures w14:val="none"/>
        </w:rPr>
        <w:t>24)</w:t>
      </w:r>
    </w:p>
    <w:p w14:paraId="60C988C5" w14:textId="77777777" w:rsidR="00FA6A6D" w:rsidRPr="0014612F" w:rsidRDefault="00FA6A6D" w:rsidP="00FA6A6D">
      <w:pPr>
        <w:shd w:val="clear" w:color="auto" w:fill="FFFFFF"/>
        <w:spacing w:before="240" w:after="0" w:line="240" w:lineRule="auto"/>
        <w:textAlignment w:val="baseline"/>
        <w:rPr>
          <w:rFonts w:ascii="Times New Roman" w:eastAsia="Times New Roman" w:hAnsi="Times New Roman" w:cs="Times New Roman"/>
          <w:kern w:val="0"/>
          <w:lang w:eastAsia="en-GB"/>
          <w14:ligatures w14:val="none"/>
        </w:rPr>
      </w:pPr>
    </w:p>
    <w:p w14:paraId="2E90CB4E" w14:textId="77777777" w:rsidR="00FA6A6D" w:rsidRPr="00BF1EF5" w:rsidRDefault="00FA6A6D" w:rsidP="00FA6A6D">
      <w:pPr>
        <w:shd w:val="clear" w:color="auto" w:fill="FFFFFF"/>
        <w:spacing w:after="0" w:line="240" w:lineRule="auto"/>
        <w:rPr>
          <w:rFonts w:ascii="Times New Roman" w:eastAsia="Times New Roman" w:hAnsi="Times New Roman" w:cs="Times New Roman"/>
          <w:i/>
          <w:iCs/>
          <w:kern w:val="0"/>
          <w:lang w:eastAsia="en-GB"/>
          <w14:ligatures w14:val="none"/>
        </w:rPr>
      </w:pPr>
      <w:r w:rsidRPr="0014612F">
        <w:rPr>
          <w:rFonts w:ascii="Times New Roman" w:eastAsia="Times New Roman" w:hAnsi="Times New Roman" w:cs="Times New Roman"/>
          <w:kern w:val="0"/>
          <w:lang w:eastAsia="en-GB"/>
          <w14:ligatures w14:val="none"/>
        </w:rPr>
        <w:t>Ayotte, J, Peretz I,  Hyde K., (2002) </w:t>
      </w:r>
      <w:r w:rsidRPr="0014612F">
        <w:rPr>
          <w:rFonts w:ascii="Times New Roman" w:eastAsia="Times New Roman" w:hAnsi="Times New Roman" w:cs="Times New Roman"/>
          <w:i/>
          <w:iCs/>
          <w:kern w:val="0"/>
          <w:lang w:eastAsia="en-GB"/>
          <w14:ligatures w14:val="none"/>
        </w:rPr>
        <w:t>Congenital amusia: A group study of adults afflicted with a music‐specific disorder.</w:t>
      </w:r>
    </w:p>
    <w:p w14:paraId="03D42BBB"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7D9E67D7"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Ayotte, J., Peretz, I., and Hyde, K. (2002). Congenital amusia: A group study of adults afflicted with a music specific disorder of the Brain 125, </w:t>
      </w:r>
      <w:r w:rsidRPr="0014612F">
        <w:rPr>
          <w:rFonts w:ascii="Times New Roman" w:eastAsia="Times New Roman" w:hAnsi="Times New Roman" w:cs="Times New Roman"/>
          <w:i/>
          <w:iCs/>
          <w:kern w:val="0"/>
          <w:bdr w:val="none" w:sz="0" w:space="0" w:color="auto" w:frame="1"/>
          <w:lang w:eastAsia="en-GB"/>
          <w14:ligatures w14:val="none"/>
        </w:rPr>
        <w:t>Brain</w:t>
      </w:r>
      <w:r w:rsidRPr="0014612F">
        <w:rPr>
          <w:rFonts w:ascii="Times New Roman" w:eastAsia="Times New Roman" w:hAnsi="Times New Roman" w:cs="Times New Roman"/>
          <w:kern w:val="0"/>
          <w:lang w:eastAsia="en-GB"/>
          <w14:ligatures w14:val="none"/>
        </w:rPr>
        <w:t xml:space="preserve">, Volume 125, Issue 2, 1 February 2002, </w:t>
      </w:r>
      <w:r>
        <w:rPr>
          <w:rFonts w:ascii="Times New Roman" w:eastAsia="Times New Roman" w:hAnsi="Times New Roman" w:cs="Times New Roman"/>
          <w:kern w:val="0"/>
          <w:lang w:eastAsia="en-GB"/>
          <w14:ligatures w14:val="none"/>
        </w:rPr>
        <w:t>p</w:t>
      </w:r>
      <w:r w:rsidRPr="0014612F">
        <w:rPr>
          <w:rFonts w:ascii="Times New Roman" w:eastAsia="Times New Roman" w:hAnsi="Times New Roman" w:cs="Times New Roman"/>
          <w:kern w:val="0"/>
          <w:lang w:eastAsia="en-GB"/>
          <w14:ligatures w14:val="none"/>
        </w:rPr>
        <w:t>ages 238–251, </w:t>
      </w:r>
      <w:hyperlink r:id="rId12" w:tgtFrame="_blank" w:history="1">
        <w:r w:rsidRPr="0014612F">
          <w:rPr>
            <w:rFonts w:ascii="Times New Roman" w:eastAsia="Times New Roman" w:hAnsi="Times New Roman" w:cs="Times New Roman"/>
            <w:kern w:val="0"/>
            <w:u w:val="single"/>
            <w:bdr w:val="none" w:sz="0" w:space="0" w:color="auto" w:frame="1"/>
            <w:lang w:eastAsia="en-GB"/>
            <w14:ligatures w14:val="none"/>
          </w:rPr>
          <w:t>https://doi.org/10.1093/brain/awf028</w:t>
        </w:r>
      </w:hyperlink>
      <w:r w:rsidRPr="0014612F">
        <w:rPr>
          <w:rFonts w:ascii="Times New Roman" w:eastAsia="Times New Roman" w:hAnsi="Times New Roman" w:cs="Times New Roman"/>
          <w:kern w:val="0"/>
          <w:lang w:eastAsia="en-GB"/>
          <w14:ligatures w14:val="none"/>
        </w:rPr>
        <w:t> (</w:t>
      </w:r>
      <w:r>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 xml:space="preserve">ccessed </w:t>
      </w:r>
      <w:r>
        <w:rPr>
          <w:rFonts w:ascii="Times New Roman" w:eastAsia="Times New Roman" w:hAnsi="Times New Roman" w:cs="Times New Roman"/>
          <w:kern w:val="0"/>
          <w:lang w:eastAsia="en-GB"/>
          <w14:ligatures w14:val="none"/>
        </w:rPr>
        <w:t>0</w:t>
      </w:r>
      <w:r w:rsidRPr="0014612F">
        <w:rPr>
          <w:rFonts w:ascii="Times New Roman" w:eastAsia="Times New Roman" w:hAnsi="Times New Roman" w:cs="Times New Roman"/>
          <w:kern w:val="0"/>
          <w:lang w:eastAsia="en-GB"/>
          <w14:ligatures w14:val="none"/>
        </w:rPr>
        <w:t>2/10</w:t>
      </w:r>
      <w:r>
        <w:rPr>
          <w:rFonts w:ascii="Times New Roman" w:eastAsia="Times New Roman" w:hAnsi="Times New Roman" w:cs="Times New Roman"/>
          <w:kern w:val="0"/>
          <w:lang w:eastAsia="en-GB"/>
          <w14:ligatures w14:val="none"/>
        </w:rPr>
        <w:t>/</w:t>
      </w:r>
      <w:r w:rsidRPr="0014612F">
        <w:rPr>
          <w:rFonts w:ascii="Times New Roman" w:eastAsia="Times New Roman" w:hAnsi="Times New Roman" w:cs="Times New Roman"/>
          <w:kern w:val="0"/>
          <w:lang w:eastAsia="en-GB"/>
          <w14:ligatures w14:val="none"/>
        </w:rPr>
        <w:t>24)</w:t>
      </w:r>
    </w:p>
    <w:p w14:paraId="4102AB2D"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1E6DB1CB"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Bandura, A., 1986. Social foundations of thought and action. In: D.F. Marks, ed. </w:t>
      </w:r>
      <w:r w:rsidRPr="0014612F">
        <w:rPr>
          <w:rFonts w:ascii="Times New Roman" w:eastAsia="Times New Roman" w:hAnsi="Times New Roman" w:cs="Times New Roman"/>
          <w:i/>
          <w:iCs/>
          <w:kern w:val="0"/>
          <w:lang w:eastAsia="en-GB"/>
          <w14:ligatures w14:val="none"/>
        </w:rPr>
        <w:t>The Health Psychology Reader</w:t>
      </w:r>
      <w:r w:rsidRPr="0014612F">
        <w:rPr>
          <w:rFonts w:ascii="Times New Roman" w:eastAsia="Times New Roman" w:hAnsi="Times New Roman" w:cs="Times New Roman"/>
          <w:kern w:val="0"/>
          <w:lang w:eastAsia="en-GB"/>
          <w14:ligatures w14:val="none"/>
        </w:rPr>
        <w:t>, 2002 United Kingdom: SAGE Publications, ch. 6.</w:t>
      </w:r>
    </w:p>
    <w:p w14:paraId="714A876B"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533A096F"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Berglin, J., Pfordresher, P.Q. and Demorest, S. (2022) ‘The effect of visual and auditory feedback on adult poor-pitch remediation’, </w:t>
      </w:r>
      <w:r w:rsidRPr="0014612F">
        <w:rPr>
          <w:rFonts w:ascii="Times New Roman" w:eastAsia="Times New Roman" w:hAnsi="Times New Roman" w:cs="Times New Roman"/>
          <w:i/>
          <w:iCs/>
          <w:kern w:val="0"/>
          <w:lang w:eastAsia="en-GB"/>
          <w14:ligatures w14:val="none"/>
        </w:rPr>
        <w:t>Psychology of music</w:t>
      </w:r>
      <w:r w:rsidRPr="0014612F">
        <w:rPr>
          <w:rFonts w:ascii="Times New Roman" w:eastAsia="Times New Roman" w:hAnsi="Times New Roman" w:cs="Times New Roman"/>
          <w:kern w:val="0"/>
          <w:lang w:eastAsia="en-GB"/>
          <w14:ligatures w14:val="none"/>
        </w:rPr>
        <w:t>, 50(4), pp. 1077–1090. Available at: </w:t>
      </w:r>
      <w:hyperlink r:id="rId13" w:tgtFrame="_blank" w:history="1">
        <w:r w:rsidRPr="0014612F">
          <w:rPr>
            <w:rFonts w:ascii="Times New Roman" w:eastAsia="Times New Roman" w:hAnsi="Times New Roman" w:cs="Times New Roman"/>
            <w:kern w:val="0"/>
            <w:u w:val="single"/>
            <w:lang w:eastAsia="en-GB"/>
            <w14:ligatures w14:val="none"/>
          </w:rPr>
          <w:t>https://doi.org/10.1177/03057356211026730</w:t>
        </w:r>
      </w:hyperlink>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(Accessed 18/10/2024)</w:t>
      </w:r>
    </w:p>
    <w:p w14:paraId="7488C103"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3D617A30" w14:textId="77777777" w:rsidR="00FA6A6D" w:rsidRPr="00D55A19" w:rsidRDefault="00FA6A6D" w:rsidP="00FA6A6D">
      <w:pPr>
        <w:pStyle w:val="Default"/>
        <w:rPr>
          <w:rFonts w:ascii="Times New Roman" w:hAnsi="Times New Roman" w:cs="Times New Roman"/>
        </w:rPr>
      </w:pPr>
      <w:r w:rsidRPr="00D55A19">
        <w:rPr>
          <w:rFonts w:ascii="Times New Roman" w:hAnsi="Times New Roman" w:cs="Times New Roman"/>
        </w:rPr>
        <w:t xml:space="preserve">Bolton, G.E.J. (2014) </w:t>
      </w:r>
      <w:r w:rsidRPr="00D55A19">
        <w:rPr>
          <w:rFonts w:ascii="Times New Roman" w:hAnsi="Times New Roman" w:cs="Times New Roman"/>
          <w:i/>
          <w:iCs/>
        </w:rPr>
        <w:t xml:space="preserve">Reflective practice - </w:t>
      </w:r>
      <w:r w:rsidRPr="00D55A19">
        <w:rPr>
          <w:rFonts w:ascii="Times New Roman" w:hAnsi="Times New Roman" w:cs="Times New Roman"/>
        </w:rPr>
        <w:t>w</w:t>
      </w:r>
      <w:r w:rsidRPr="00D55A19">
        <w:rPr>
          <w:rFonts w:ascii="Times New Roman" w:hAnsi="Times New Roman" w:cs="Times New Roman"/>
          <w:i/>
          <w:iCs/>
        </w:rPr>
        <w:t xml:space="preserve">riting and professional development. </w:t>
      </w:r>
      <w:r w:rsidRPr="00D55A19">
        <w:rPr>
          <w:rFonts w:ascii="Times New Roman" w:hAnsi="Times New Roman" w:cs="Times New Roman"/>
        </w:rPr>
        <w:t xml:space="preserve">London: Sage </w:t>
      </w:r>
    </w:p>
    <w:p w14:paraId="5F996511"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1AC73104"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Boud, D., Keogh, R. and Walker, D. (1985) </w:t>
      </w:r>
      <w:r w:rsidRPr="0014612F">
        <w:rPr>
          <w:rFonts w:ascii="Times New Roman" w:eastAsia="Times New Roman" w:hAnsi="Times New Roman" w:cs="Times New Roman"/>
          <w:i/>
          <w:iCs/>
          <w:kern w:val="0"/>
          <w:lang w:eastAsia="en-GB"/>
          <w14:ligatures w14:val="none"/>
        </w:rPr>
        <w:t>Reflection : turning experience into learning</w:t>
      </w:r>
      <w:r w:rsidRPr="0014612F">
        <w:rPr>
          <w:rFonts w:ascii="Times New Roman" w:eastAsia="Times New Roman" w:hAnsi="Times New Roman" w:cs="Times New Roman"/>
          <w:kern w:val="0"/>
          <w:lang w:eastAsia="en-GB"/>
          <w14:ligatures w14:val="none"/>
        </w:rPr>
        <w:t>. London: Kogan Page.</w:t>
      </w:r>
    </w:p>
    <w:p w14:paraId="66B0393F"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11911B14"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Bradshaw, E. and McHenry, M.A. (2005). Pitch discrimination and pitch matching abilities of adults who sing inaccurately. Journal of Voice 19: 431–439. </w:t>
      </w:r>
      <w:hyperlink r:id="rId14" w:tgtFrame="_blank" w:tooltip="Persistent link using digital object identifier" w:history="1">
        <w:r w:rsidRPr="0014612F">
          <w:rPr>
            <w:rFonts w:ascii="Times New Roman" w:eastAsia="Times New Roman" w:hAnsi="Times New Roman" w:cs="Times New Roman"/>
            <w:kern w:val="0"/>
            <w:u w:val="single"/>
            <w:lang w:eastAsia="en-GB"/>
            <w14:ligatures w14:val="none"/>
          </w:rPr>
          <w:t>https://doi.org/10.1016/j.jvoice.2004.07.010</w:t>
        </w:r>
      </w:hyperlink>
      <w:r w:rsidRPr="0014612F">
        <w:rPr>
          <w:rFonts w:ascii="Times New Roman" w:eastAsia="Times New Roman" w:hAnsi="Times New Roman" w:cs="Times New Roman"/>
          <w:kern w:val="0"/>
          <w:lang w:eastAsia="en-GB"/>
          <w14:ligatures w14:val="none"/>
        </w:rPr>
        <w:t> (</w:t>
      </w:r>
      <w:r>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 xml:space="preserve">ccessed </w:t>
      </w:r>
      <w:r>
        <w:rPr>
          <w:rFonts w:ascii="Times New Roman" w:eastAsia="Times New Roman" w:hAnsi="Times New Roman" w:cs="Times New Roman"/>
          <w:kern w:val="0"/>
          <w:lang w:eastAsia="en-GB"/>
          <w14:ligatures w14:val="none"/>
        </w:rPr>
        <w:t>0</w:t>
      </w:r>
      <w:r w:rsidRPr="0014612F">
        <w:rPr>
          <w:rFonts w:ascii="Times New Roman" w:eastAsia="Times New Roman" w:hAnsi="Times New Roman" w:cs="Times New Roman"/>
          <w:kern w:val="0"/>
          <w:lang w:eastAsia="en-GB"/>
          <w14:ligatures w14:val="none"/>
        </w:rPr>
        <w:t>3/10/24)</w:t>
      </w:r>
    </w:p>
    <w:p w14:paraId="06C8850B"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55A4A201"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Brody, V.A. (1953) ‘The Role of Body-Awareness in the Emergence of Musical Ability; Its Application to Music Education, the College Basic Music Course, and Critic Teaching’, </w:t>
      </w:r>
      <w:r w:rsidRPr="0014612F">
        <w:rPr>
          <w:rFonts w:ascii="Times New Roman" w:eastAsia="Times New Roman" w:hAnsi="Times New Roman" w:cs="Times New Roman"/>
          <w:i/>
          <w:iCs/>
          <w:kern w:val="0"/>
          <w:lang w:eastAsia="en-GB"/>
          <w14:ligatures w14:val="none"/>
        </w:rPr>
        <w:t>Journal of research in music education</w:t>
      </w:r>
      <w:r w:rsidRPr="0014612F">
        <w:rPr>
          <w:rFonts w:ascii="Times New Roman" w:eastAsia="Times New Roman" w:hAnsi="Times New Roman" w:cs="Times New Roman"/>
          <w:kern w:val="0"/>
          <w:lang w:eastAsia="en-GB"/>
          <w14:ligatures w14:val="none"/>
        </w:rPr>
        <w:t>, 1(1), pp. 21–29. Available at: </w:t>
      </w:r>
      <w:hyperlink r:id="rId15" w:tgtFrame="_blank" w:history="1">
        <w:r w:rsidRPr="0014612F">
          <w:rPr>
            <w:rFonts w:ascii="Times New Roman" w:eastAsia="Times New Roman" w:hAnsi="Times New Roman" w:cs="Times New Roman"/>
            <w:kern w:val="0"/>
            <w:u w:val="single"/>
            <w:lang w:eastAsia="en-GB"/>
            <w14:ligatures w14:val="none"/>
          </w:rPr>
          <w:t>https://doi.org/10.2307/3344564</w:t>
        </w:r>
      </w:hyperlink>
      <w:r>
        <w:rPr>
          <w:rFonts w:ascii="Times New Roman" w:eastAsia="Times New Roman" w:hAnsi="Times New Roman" w:cs="Times New Roman"/>
          <w:kern w:val="0"/>
          <w:lang w:eastAsia="en-GB"/>
          <w14:ligatures w14:val="none"/>
        </w:rPr>
        <w:t xml:space="preserve"> (Accessed 20/10/2024)</w:t>
      </w:r>
    </w:p>
    <w:p w14:paraId="27E7E43F"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62BFD3D"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Bush GP, Luu P, Posner MI. Cognitive and emotional influences in anterior cingulate cortex July 2000, Trends in Cognitive Sciences 4(6):215-222 DOI:10.1016/S1364-6613(00)01483-2</w:t>
      </w:r>
      <w:r>
        <w:rPr>
          <w:rFonts w:ascii="Times New Roman" w:eastAsia="Times New Roman" w:hAnsi="Times New Roman" w:cs="Times New Roman"/>
          <w:kern w:val="0"/>
          <w:lang w:eastAsia="en-GB"/>
          <w14:ligatures w14:val="none"/>
        </w:rPr>
        <w:t xml:space="preserve"> </w:t>
      </w:r>
    </w:p>
    <w:p w14:paraId="609EB10D"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42FB19C9"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lastRenderedPageBreak/>
        <w:t>Castro-Alonso, J.C. </w:t>
      </w:r>
      <w:r w:rsidRPr="0014612F">
        <w:rPr>
          <w:rFonts w:ascii="Times New Roman" w:eastAsia="Times New Roman" w:hAnsi="Times New Roman" w:cs="Times New Roman"/>
          <w:i/>
          <w:iCs/>
          <w:kern w:val="0"/>
          <w:lang w:eastAsia="en-GB"/>
          <w14:ligatures w14:val="none"/>
        </w:rPr>
        <w:t>et al.</w:t>
      </w:r>
      <w:r w:rsidRPr="0014612F">
        <w:rPr>
          <w:rFonts w:ascii="Times New Roman" w:eastAsia="Times New Roman" w:hAnsi="Times New Roman" w:cs="Times New Roman"/>
          <w:kern w:val="0"/>
          <w:lang w:eastAsia="en-GB"/>
          <w14:ligatures w14:val="none"/>
        </w:rPr>
        <w:t> (2024) ‘Research Avenues Supporting Embodied Cognition in Learning and Instruction’, </w:t>
      </w:r>
      <w:r w:rsidRPr="0014612F">
        <w:rPr>
          <w:rFonts w:ascii="Times New Roman" w:eastAsia="Times New Roman" w:hAnsi="Times New Roman" w:cs="Times New Roman"/>
          <w:i/>
          <w:iCs/>
          <w:kern w:val="0"/>
          <w:lang w:eastAsia="en-GB"/>
          <w14:ligatures w14:val="none"/>
        </w:rPr>
        <w:t>Educational psychology review</w:t>
      </w:r>
      <w:r w:rsidRPr="0014612F">
        <w:rPr>
          <w:rFonts w:ascii="Times New Roman" w:eastAsia="Times New Roman" w:hAnsi="Times New Roman" w:cs="Times New Roman"/>
          <w:kern w:val="0"/>
          <w:lang w:eastAsia="en-GB"/>
          <w14:ligatures w14:val="none"/>
        </w:rPr>
        <w:t>, 36(1), pp. 10-. Available at: </w:t>
      </w:r>
      <w:hyperlink r:id="rId16" w:tgtFrame="_blank" w:history="1">
        <w:r w:rsidRPr="0014612F">
          <w:rPr>
            <w:rFonts w:ascii="Times New Roman" w:eastAsia="Times New Roman" w:hAnsi="Times New Roman" w:cs="Times New Roman"/>
            <w:kern w:val="0"/>
            <w:u w:val="single"/>
            <w:lang w:eastAsia="en-GB"/>
            <w14:ligatures w14:val="none"/>
          </w:rPr>
          <w:t>https://doi.org/10.1007/s10648-024-09847-4</w:t>
        </w:r>
      </w:hyperlink>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(Accessed 09/06/2024)</w:t>
      </w:r>
    </w:p>
    <w:p w14:paraId="36191A99"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7C1E2C9B"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val="fr-FR" w:eastAsia="en-GB"/>
          <w14:ligatures w14:val="none"/>
        </w:rPr>
      </w:pPr>
      <w:r w:rsidRPr="0014612F">
        <w:rPr>
          <w:rFonts w:ascii="Times New Roman" w:eastAsia="Times New Roman" w:hAnsi="Times New Roman" w:cs="Times New Roman"/>
          <w:kern w:val="0"/>
          <w:lang w:val="fr-FR" w:eastAsia="en-GB"/>
          <w14:ligatures w14:val="none"/>
        </w:rPr>
        <w:t>Congeta Bruniere Xavier Fadel </w:t>
      </w:r>
      <w:r w:rsidRPr="0014612F">
        <w:rPr>
          <w:rFonts w:ascii="Times New Roman" w:eastAsia="Times New Roman" w:hAnsi="Times New Roman" w:cs="Times New Roman"/>
          <w:i/>
          <w:iCs/>
          <w:kern w:val="0"/>
          <w:lang w:val="fr-FR" w:eastAsia="en-GB"/>
          <w14:ligatures w14:val="none"/>
        </w:rPr>
        <w:t>et al.</w:t>
      </w:r>
      <w:r w:rsidRPr="0014612F">
        <w:rPr>
          <w:rFonts w:ascii="Times New Roman" w:eastAsia="Times New Roman" w:hAnsi="Times New Roman" w:cs="Times New Roman"/>
          <w:kern w:val="0"/>
          <w:lang w:val="fr-FR" w:eastAsia="en-GB"/>
          <w14:ligatures w14:val="none"/>
        </w:rPr>
        <w:t> </w:t>
      </w:r>
      <w:r w:rsidRPr="0014612F">
        <w:rPr>
          <w:rFonts w:ascii="Times New Roman" w:eastAsia="Times New Roman" w:hAnsi="Times New Roman" w:cs="Times New Roman"/>
          <w:kern w:val="0"/>
          <w:lang w:eastAsia="en-GB"/>
          <w14:ligatures w14:val="none"/>
        </w:rPr>
        <w:t>(2018) ‘Pitch-Matching Accuracy and Temporal Auditory Processing’, </w:t>
      </w:r>
      <w:r w:rsidRPr="0014612F">
        <w:rPr>
          <w:rFonts w:ascii="Times New Roman" w:eastAsia="Times New Roman" w:hAnsi="Times New Roman" w:cs="Times New Roman"/>
          <w:i/>
          <w:iCs/>
          <w:kern w:val="0"/>
          <w:lang w:eastAsia="en-GB"/>
          <w14:ligatures w14:val="none"/>
        </w:rPr>
        <w:t>International Archives of Otorhinolaryngology</w:t>
      </w:r>
      <w:r w:rsidRPr="0014612F">
        <w:rPr>
          <w:rFonts w:ascii="Times New Roman" w:eastAsia="Times New Roman" w:hAnsi="Times New Roman" w:cs="Times New Roman"/>
          <w:kern w:val="0"/>
          <w:lang w:eastAsia="en-GB"/>
          <w14:ligatures w14:val="none"/>
        </w:rPr>
        <w:t>, 22(2), pp. 113–118. </w:t>
      </w:r>
      <w:r w:rsidRPr="0014612F">
        <w:rPr>
          <w:rFonts w:ascii="Times New Roman" w:eastAsia="Times New Roman" w:hAnsi="Times New Roman" w:cs="Times New Roman"/>
          <w:kern w:val="0"/>
          <w:lang w:val="fr-FR" w:eastAsia="en-GB"/>
          <w14:ligatures w14:val="none"/>
        </w:rPr>
        <w:t>Available at: </w:t>
      </w:r>
      <w:hyperlink r:id="rId17" w:tgtFrame="_blank" w:history="1">
        <w:r w:rsidRPr="0014612F">
          <w:rPr>
            <w:rFonts w:ascii="Times New Roman" w:eastAsia="Times New Roman" w:hAnsi="Times New Roman" w:cs="Times New Roman"/>
            <w:kern w:val="0"/>
            <w:u w:val="single"/>
            <w:lang w:val="fr-FR" w:eastAsia="en-GB"/>
            <w14:ligatures w14:val="none"/>
          </w:rPr>
          <w:t>https://doi.org/10.1055/s-0037-1603763</w:t>
        </w:r>
      </w:hyperlink>
      <w:r w:rsidRPr="0014612F">
        <w:rPr>
          <w:rFonts w:ascii="Times New Roman" w:eastAsia="Times New Roman" w:hAnsi="Times New Roman" w:cs="Times New Roman"/>
          <w:kern w:val="0"/>
          <w:lang w:val="fr-FR" w:eastAsia="en-GB"/>
          <w14:ligatures w14:val="none"/>
        </w:rPr>
        <w:t>.</w:t>
      </w:r>
      <w:r>
        <w:rPr>
          <w:rFonts w:ascii="Times New Roman" w:eastAsia="Times New Roman" w:hAnsi="Times New Roman" w:cs="Times New Roman"/>
          <w:kern w:val="0"/>
          <w:lang w:val="fr-FR" w:eastAsia="en-GB"/>
          <w14:ligatures w14:val="none"/>
        </w:rPr>
        <w:t xml:space="preserve"> (Accessed 05/09/2024)</w:t>
      </w:r>
    </w:p>
    <w:p w14:paraId="2CA22C06"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647FA371" w14:textId="77777777" w:rsidR="00FA6A6D" w:rsidRPr="00DF68E4"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val="fr-FR" w:eastAsia="en-GB"/>
          <w14:ligatures w14:val="none"/>
        </w:rPr>
        <w:t>Cuddy, L.L. </w:t>
      </w:r>
      <w:r w:rsidRPr="0014612F">
        <w:rPr>
          <w:rFonts w:ascii="Times New Roman" w:eastAsia="Times New Roman" w:hAnsi="Times New Roman" w:cs="Times New Roman"/>
          <w:i/>
          <w:iCs/>
          <w:kern w:val="0"/>
          <w:lang w:val="fr-FR" w:eastAsia="en-GB"/>
          <w14:ligatures w14:val="none"/>
        </w:rPr>
        <w:t>et al.</w:t>
      </w:r>
      <w:r w:rsidRPr="0014612F">
        <w:rPr>
          <w:rFonts w:ascii="Times New Roman" w:eastAsia="Times New Roman" w:hAnsi="Times New Roman" w:cs="Times New Roman"/>
          <w:kern w:val="0"/>
          <w:lang w:val="fr-FR" w:eastAsia="en-GB"/>
          <w14:ligatures w14:val="none"/>
        </w:rPr>
        <w:t> </w:t>
      </w:r>
      <w:r w:rsidRPr="0014612F">
        <w:rPr>
          <w:rFonts w:ascii="Times New Roman" w:eastAsia="Times New Roman" w:hAnsi="Times New Roman" w:cs="Times New Roman"/>
          <w:kern w:val="0"/>
          <w:lang w:eastAsia="en-GB"/>
          <w14:ligatures w14:val="none"/>
        </w:rPr>
        <w:t>(2005) ‘Musical difficulties are rare: a study of “tone deafness” among university students’, </w:t>
      </w:r>
      <w:r w:rsidRPr="0014612F">
        <w:rPr>
          <w:rFonts w:ascii="Times New Roman" w:eastAsia="Times New Roman" w:hAnsi="Times New Roman" w:cs="Times New Roman"/>
          <w:i/>
          <w:iCs/>
          <w:kern w:val="0"/>
          <w:lang w:eastAsia="en-GB"/>
          <w14:ligatures w14:val="none"/>
        </w:rPr>
        <w:t>Annals of the New York Academy of Sciences</w:t>
      </w:r>
      <w:r w:rsidRPr="0014612F">
        <w:rPr>
          <w:rFonts w:ascii="Times New Roman" w:eastAsia="Times New Roman" w:hAnsi="Times New Roman" w:cs="Times New Roman"/>
          <w:kern w:val="0"/>
          <w:lang w:eastAsia="en-GB"/>
          <w14:ligatures w14:val="none"/>
        </w:rPr>
        <w:t>, 1060(1), pp. 311–324. Available at: </w:t>
      </w:r>
      <w:hyperlink r:id="rId18" w:tgtFrame="_blank" w:history="1">
        <w:r w:rsidRPr="0014612F">
          <w:rPr>
            <w:rFonts w:ascii="Times New Roman" w:eastAsia="Times New Roman" w:hAnsi="Times New Roman" w:cs="Times New Roman"/>
            <w:kern w:val="0"/>
            <w:u w:val="single"/>
            <w:lang w:eastAsia="en-GB"/>
            <w14:ligatures w14:val="none"/>
          </w:rPr>
          <w:t>https://doi.org/10.1196/annals.1360.026</w:t>
        </w:r>
      </w:hyperlink>
      <w:r>
        <w:rPr>
          <w:rFonts w:ascii="Times New Roman" w:eastAsia="Times New Roman" w:hAnsi="Times New Roman" w:cs="Times New Roman"/>
          <w:kern w:val="0"/>
          <w:lang w:eastAsia="en-GB"/>
          <w14:ligatures w14:val="none"/>
        </w:rPr>
        <w:t xml:space="preserve"> (Accessed 09/06/2024)</w:t>
      </w:r>
    </w:p>
    <w:p w14:paraId="0FAE07E9"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227231AA"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Culp, M.E. and Jones, S.K. (2020) ‘Shame in Music Education: Starting the Conversation and Developing Resilience’, </w:t>
      </w:r>
      <w:r w:rsidRPr="0014612F">
        <w:rPr>
          <w:rFonts w:ascii="Times New Roman" w:eastAsia="Times New Roman" w:hAnsi="Times New Roman" w:cs="Times New Roman"/>
          <w:i/>
          <w:iCs/>
          <w:kern w:val="0"/>
          <w:lang w:eastAsia="en-GB"/>
          <w14:ligatures w14:val="none"/>
        </w:rPr>
        <w:t>Music educators journal</w:t>
      </w:r>
      <w:r w:rsidRPr="0014612F">
        <w:rPr>
          <w:rFonts w:ascii="Times New Roman" w:eastAsia="Times New Roman" w:hAnsi="Times New Roman" w:cs="Times New Roman"/>
          <w:kern w:val="0"/>
          <w:lang w:eastAsia="en-GB"/>
          <w14:ligatures w14:val="none"/>
        </w:rPr>
        <w:t>, 106(4), pp. 36–42. Available at: </w:t>
      </w:r>
      <w:hyperlink r:id="rId19" w:tgtFrame="_blank" w:history="1">
        <w:r w:rsidRPr="0014612F">
          <w:rPr>
            <w:rFonts w:ascii="Times New Roman" w:eastAsia="Times New Roman" w:hAnsi="Times New Roman" w:cs="Times New Roman"/>
            <w:kern w:val="0"/>
            <w:u w:val="single"/>
            <w:lang w:eastAsia="en-GB"/>
            <w14:ligatures w14:val="none"/>
          </w:rPr>
          <w:t>https://doi.org/10.1177/0027432120906198.</w:t>
        </w:r>
      </w:hyperlink>
      <w:r>
        <w:rPr>
          <w:rFonts w:ascii="Times New Roman" w:eastAsia="Times New Roman" w:hAnsi="Times New Roman" w:cs="Times New Roman"/>
          <w:kern w:val="0"/>
          <w:lang w:eastAsia="en-GB"/>
          <w14:ligatures w14:val="none"/>
        </w:rPr>
        <w:t xml:space="preserve"> (Accessed 12/09/2024)</w:t>
      </w:r>
    </w:p>
    <w:p w14:paraId="11E80D32"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E4EE0C1"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Dalla Bella, S., Giguere, J.F., and Peretz, I. (2007). Singing proficiency in the general population. Journal of the Acoustical Society of America 121: 1182–1189 </w:t>
      </w:r>
      <w:hyperlink r:id="rId20" w:tgtFrame="_blank" w:history="1">
        <w:r w:rsidRPr="0014612F">
          <w:rPr>
            <w:rFonts w:ascii="Times New Roman" w:eastAsia="Times New Roman" w:hAnsi="Times New Roman" w:cs="Times New Roman"/>
            <w:kern w:val="0"/>
            <w:u w:val="single"/>
            <w:lang w:eastAsia="en-GB"/>
            <w14:ligatures w14:val="none"/>
          </w:rPr>
          <w:t>https://pubs.aip.org/asa/jasa/article-abstract/121/2/1182/921155/Singing-proficiency-in-the-general-population?redirectedFrom=fulltext</w:t>
        </w:r>
      </w:hyperlink>
      <w:r w:rsidRPr="0014612F">
        <w:rPr>
          <w:rFonts w:ascii="Times New Roman" w:eastAsia="Times New Roman" w:hAnsi="Times New Roman" w:cs="Times New Roman"/>
          <w:kern w:val="0"/>
          <w:lang w:eastAsia="en-GB"/>
          <w14:ligatures w14:val="none"/>
        </w:rPr>
        <w:t>  (</w:t>
      </w:r>
      <w:r w:rsidRPr="00BF1EF5">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 xml:space="preserve">ccessed </w:t>
      </w:r>
      <w:r>
        <w:rPr>
          <w:rFonts w:ascii="Times New Roman" w:eastAsia="Times New Roman" w:hAnsi="Times New Roman" w:cs="Times New Roman"/>
          <w:kern w:val="0"/>
          <w:lang w:eastAsia="en-GB"/>
          <w14:ligatures w14:val="none"/>
        </w:rPr>
        <w:t>0</w:t>
      </w:r>
      <w:r w:rsidRPr="0014612F">
        <w:rPr>
          <w:rFonts w:ascii="Times New Roman" w:eastAsia="Times New Roman" w:hAnsi="Times New Roman" w:cs="Times New Roman"/>
          <w:kern w:val="0"/>
          <w:lang w:eastAsia="en-GB"/>
          <w14:ligatures w14:val="none"/>
        </w:rPr>
        <w:t>3/10</w:t>
      </w:r>
      <w:r>
        <w:rPr>
          <w:rFonts w:ascii="Times New Roman" w:eastAsia="Times New Roman" w:hAnsi="Times New Roman" w:cs="Times New Roman"/>
          <w:kern w:val="0"/>
          <w:lang w:eastAsia="en-GB"/>
          <w14:ligatures w14:val="none"/>
        </w:rPr>
        <w:t>/</w:t>
      </w:r>
      <w:r w:rsidRPr="0014612F">
        <w:rPr>
          <w:rFonts w:ascii="Times New Roman" w:eastAsia="Times New Roman" w:hAnsi="Times New Roman" w:cs="Times New Roman"/>
          <w:kern w:val="0"/>
          <w:lang w:eastAsia="en-GB"/>
          <w14:ligatures w14:val="none"/>
        </w:rPr>
        <w:t>24)</w:t>
      </w:r>
    </w:p>
    <w:p w14:paraId="0310F853"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3D134213"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Dixon-Woods, M., Agarwal, S., Jones, D., Young, B. and Sutton, A. (2005) ‘Synthesising qualitative and quantitative evidence: a review of possible methods’, </w:t>
      </w:r>
      <w:r w:rsidRPr="0014612F">
        <w:rPr>
          <w:rFonts w:ascii="Times New Roman" w:eastAsia="Times New Roman" w:hAnsi="Times New Roman" w:cs="Times New Roman"/>
          <w:i/>
          <w:iCs/>
          <w:kern w:val="0"/>
          <w:lang w:eastAsia="en-GB"/>
          <w14:ligatures w14:val="none"/>
        </w:rPr>
        <w:t>Journal of Health Services Research &amp; Policy</w:t>
      </w:r>
      <w:r w:rsidRPr="0014612F">
        <w:rPr>
          <w:rFonts w:ascii="Times New Roman" w:eastAsia="Times New Roman" w:hAnsi="Times New Roman" w:cs="Times New Roman"/>
          <w:kern w:val="0"/>
          <w:lang w:eastAsia="en-GB"/>
          <w14:ligatures w14:val="none"/>
        </w:rPr>
        <w:t>, 10(1), pp. 45–53b. Available at: </w:t>
      </w:r>
      <w:hyperlink r:id="rId21" w:tgtFrame="_blank" w:history="1">
        <w:r w:rsidRPr="0014612F">
          <w:rPr>
            <w:rFonts w:ascii="Times New Roman" w:eastAsia="Times New Roman" w:hAnsi="Times New Roman" w:cs="Times New Roman"/>
            <w:kern w:val="0"/>
            <w:u w:val="single"/>
            <w:lang w:eastAsia="en-GB"/>
            <w14:ligatures w14:val="none"/>
          </w:rPr>
          <w:t>https://doi.org/10.1177/135581960501000110</w:t>
        </w:r>
      </w:hyperlink>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(Accessed 18/10/2024)</w:t>
      </w:r>
    </w:p>
    <w:p w14:paraId="26DA960B"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2ABAE4E3"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DiYanni, R. and Borst, A. (2020) </w:t>
      </w:r>
      <w:r w:rsidRPr="0014612F">
        <w:rPr>
          <w:rFonts w:ascii="Times New Roman" w:eastAsia="Times New Roman" w:hAnsi="Times New Roman" w:cs="Times New Roman"/>
          <w:i/>
          <w:iCs/>
          <w:kern w:val="0"/>
          <w:lang w:eastAsia="en-GB"/>
          <w14:ligatures w14:val="none"/>
        </w:rPr>
        <w:t>The Craft of College Teaching : A Practical Guide</w:t>
      </w:r>
      <w:r w:rsidRPr="0014612F">
        <w:rPr>
          <w:rFonts w:ascii="Times New Roman" w:eastAsia="Times New Roman" w:hAnsi="Times New Roman" w:cs="Times New Roman"/>
          <w:kern w:val="0"/>
          <w:lang w:eastAsia="en-GB"/>
          <w14:ligatures w14:val="none"/>
        </w:rPr>
        <w:t>. Princeton, NJ: Princeton University Press. Available at: </w:t>
      </w:r>
      <w:hyperlink r:id="rId22" w:tgtFrame="_blank" w:history="1">
        <w:r w:rsidRPr="0014612F">
          <w:rPr>
            <w:rFonts w:ascii="Times New Roman" w:eastAsia="Times New Roman" w:hAnsi="Times New Roman" w:cs="Times New Roman"/>
            <w:kern w:val="0"/>
            <w:u w:val="single"/>
            <w:lang w:eastAsia="en-GB"/>
            <w14:ligatures w14:val="none"/>
          </w:rPr>
          <w:t>https://doi.org/10.1515/9780691202006.</w:t>
        </w:r>
      </w:hyperlink>
      <w:r>
        <w:rPr>
          <w:rFonts w:ascii="Times New Roman" w:eastAsia="Times New Roman" w:hAnsi="Times New Roman" w:cs="Times New Roman"/>
          <w:kern w:val="0"/>
          <w:lang w:eastAsia="en-GB"/>
          <w14:ligatures w14:val="none"/>
        </w:rPr>
        <w:t xml:space="preserve"> (Accessed 14/09/2024)</w:t>
      </w:r>
    </w:p>
    <w:p w14:paraId="5EEB977A"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F1F1A4F"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Edwin, R. (2015) ‘Teaching singing using a dancer’s mentality’, </w:t>
      </w:r>
      <w:r w:rsidRPr="0014612F">
        <w:rPr>
          <w:rFonts w:ascii="Times New Roman" w:eastAsia="Times New Roman" w:hAnsi="Times New Roman" w:cs="Times New Roman"/>
          <w:i/>
          <w:iCs/>
          <w:kern w:val="0"/>
          <w:lang w:eastAsia="en-GB"/>
          <w14:ligatures w14:val="none"/>
        </w:rPr>
        <w:t>Journal of singing</w:t>
      </w:r>
      <w:r w:rsidRPr="0014612F">
        <w:rPr>
          <w:rFonts w:ascii="Times New Roman" w:eastAsia="Times New Roman" w:hAnsi="Times New Roman" w:cs="Times New Roman"/>
          <w:kern w:val="0"/>
          <w:lang w:eastAsia="en-GB"/>
          <w14:ligatures w14:val="none"/>
        </w:rPr>
        <w:t>, 72(1), pp. 79–81.</w:t>
      </w:r>
    </w:p>
    <w:p w14:paraId="37410D42"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55A67E88"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Eichert E. Papp,D,and Watkin E. (2020) Mapping Human Laryngeal Motor Cortex during Vocalization </w:t>
      </w:r>
      <w:r w:rsidRPr="0014612F">
        <w:rPr>
          <w:rFonts w:ascii="Times New Roman" w:eastAsia="Times New Roman" w:hAnsi="Times New Roman" w:cs="Times New Roman"/>
          <w:i/>
          <w:iCs/>
          <w:kern w:val="0"/>
          <w:bdr w:val="none" w:sz="0" w:space="0" w:color="auto" w:frame="1"/>
          <w:lang w:eastAsia="en-GB"/>
          <w14:ligatures w14:val="none"/>
        </w:rPr>
        <w:t>Cerebral Cortex</w:t>
      </w:r>
      <w:r w:rsidRPr="0014612F">
        <w:rPr>
          <w:rFonts w:ascii="Times New Roman" w:eastAsia="Times New Roman" w:hAnsi="Times New Roman" w:cs="Times New Roman"/>
          <w:kern w:val="0"/>
          <w:lang w:eastAsia="en-GB"/>
          <w14:ligatures w14:val="none"/>
        </w:rPr>
        <w:t>, Volume 30, Issue 12, December 2020, Pages 6254–6269, </w:t>
      </w:r>
      <w:hyperlink r:id="rId23" w:tgtFrame="_blank" w:history="1">
        <w:r w:rsidRPr="0014612F">
          <w:rPr>
            <w:rFonts w:ascii="Times New Roman" w:eastAsia="Times New Roman" w:hAnsi="Times New Roman" w:cs="Times New Roman"/>
            <w:kern w:val="0"/>
            <w:u w:val="single"/>
            <w:bdr w:val="none" w:sz="0" w:space="0" w:color="auto" w:frame="1"/>
            <w:lang w:eastAsia="en-GB"/>
            <w14:ligatures w14:val="none"/>
          </w:rPr>
          <w:t>https://doi.org/10.1093/cercor/bhaa182</w:t>
        </w:r>
      </w:hyperlink>
      <w:r>
        <w:rPr>
          <w:rFonts w:ascii="Times New Roman" w:eastAsia="Times New Roman" w:hAnsi="Times New Roman" w:cs="Times New Roman"/>
          <w:kern w:val="0"/>
          <w:lang w:eastAsia="en-GB"/>
          <w14:ligatures w14:val="none"/>
        </w:rPr>
        <w:t xml:space="preserve"> (Accessed 18/10/2024)</w:t>
      </w:r>
    </w:p>
    <w:p w14:paraId="6F511446"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1483BEB6" w14:textId="77777777" w:rsidR="00FA6A6D" w:rsidRPr="00BF1EF5" w:rsidRDefault="00FA6A6D" w:rsidP="00FA6A6D">
      <w:pPr>
        <w:spacing w:after="0" w:line="240" w:lineRule="auto"/>
        <w:rPr>
          <w:rFonts w:ascii="Times New Roman" w:eastAsia="Times New Roman" w:hAnsi="Times New Roman" w:cs="Times New Roman"/>
          <w:kern w:val="0"/>
          <w:lang w:eastAsia="en-GB"/>
          <w14:ligatures w14:val="none"/>
        </w:rPr>
      </w:pPr>
      <w:r w:rsidRPr="00E673E1">
        <w:rPr>
          <w:rFonts w:ascii="Times New Roman" w:eastAsia="Times New Roman" w:hAnsi="Times New Roman" w:cs="Times New Roman"/>
          <w:kern w:val="0"/>
          <w:lang w:eastAsia="en-GB"/>
          <w14:ligatures w14:val="none"/>
        </w:rPr>
        <w:t xml:space="preserve">Erickson, M.L. (2011) “The Traditional/Acoustic Music Project: A Study of Vocal Demands and Vocal Health,” Journal of Voice. Elsevier BV, p. 664. doi:10.1016/j.jvoice.2011.09.002. </w:t>
      </w:r>
    </w:p>
    <w:p w14:paraId="1D381A92"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C600D56"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Esposito, A Demeurisse, G., Alberti B. and Fabbro F,  Compete mutism after brainstem periaqueductal gray lesion,(1999)  Neuroreport 10 (4): 681-5.  NeuroReport (</w:t>
      </w:r>
      <w:hyperlink r:id="rId24" w:tgtFrame="_blank" w:history="1">
        <w:r w:rsidRPr="0014612F">
          <w:rPr>
            <w:rFonts w:ascii="Times New Roman" w:eastAsia="Times New Roman" w:hAnsi="Times New Roman" w:cs="Times New Roman"/>
            <w:kern w:val="0"/>
            <w:u w:val="single"/>
            <w:lang w:eastAsia="en-GB"/>
            <w14:ligatures w14:val="none"/>
          </w:rPr>
          <w:t>lww.com</w:t>
        </w:r>
      </w:hyperlink>
      <w:r w:rsidRPr="0014612F">
        <w:rPr>
          <w:rFonts w:ascii="Times New Roman" w:eastAsia="Times New Roman" w:hAnsi="Times New Roman" w:cs="Times New Roman"/>
          <w:kern w:val="0"/>
          <w:lang w:eastAsia="en-GB"/>
          <w14:ligatures w14:val="none"/>
        </w:rPr>
        <w:t>)</w:t>
      </w:r>
    </w:p>
    <w:p w14:paraId="5BEC5BDB"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158CC291"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Glasheen, K. (2017) ‘Negotiating the contrary craft of the triple-threat’, </w:t>
      </w:r>
      <w:r w:rsidRPr="0014612F">
        <w:rPr>
          <w:rFonts w:ascii="Times New Roman" w:eastAsia="Times New Roman" w:hAnsi="Times New Roman" w:cs="Times New Roman"/>
          <w:i/>
          <w:iCs/>
          <w:kern w:val="0"/>
          <w:lang w:eastAsia="en-GB"/>
          <w14:ligatures w14:val="none"/>
        </w:rPr>
        <w:t>Voice &amp; speech review</w:t>
      </w:r>
      <w:r w:rsidRPr="0014612F">
        <w:rPr>
          <w:rFonts w:ascii="Times New Roman" w:eastAsia="Times New Roman" w:hAnsi="Times New Roman" w:cs="Times New Roman"/>
          <w:kern w:val="0"/>
          <w:lang w:eastAsia="en-GB"/>
          <w14:ligatures w14:val="none"/>
        </w:rPr>
        <w:t>, 11(1), pp. 20–39. Available at: </w:t>
      </w:r>
      <w:hyperlink r:id="rId25" w:tgtFrame="_blank" w:history="1">
        <w:r w:rsidRPr="0014612F">
          <w:rPr>
            <w:rFonts w:ascii="Times New Roman" w:eastAsia="Times New Roman" w:hAnsi="Times New Roman" w:cs="Times New Roman"/>
            <w:kern w:val="0"/>
            <w:u w:val="single"/>
            <w:lang w:eastAsia="en-GB"/>
            <w14:ligatures w14:val="none"/>
          </w:rPr>
          <w:t>https://doi.org/10.1080/23268263.2017.1370833</w:t>
        </w:r>
      </w:hyperlink>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(Accessed 12/08/2024)</w:t>
      </w:r>
    </w:p>
    <w:p w14:paraId="5410FEA1"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2B054B0B"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Granot, R.Y. </w:t>
      </w:r>
      <w:r w:rsidRPr="0014612F">
        <w:rPr>
          <w:rFonts w:ascii="Times New Roman" w:eastAsia="Times New Roman" w:hAnsi="Times New Roman" w:cs="Times New Roman"/>
          <w:i/>
          <w:iCs/>
          <w:kern w:val="0"/>
          <w:lang w:eastAsia="en-GB"/>
          <w14:ligatures w14:val="none"/>
        </w:rPr>
        <w:t>et al.</w:t>
      </w:r>
      <w:r w:rsidRPr="0014612F">
        <w:rPr>
          <w:rFonts w:ascii="Times New Roman" w:eastAsia="Times New Roman" w:hAnsi="Times New Roman" w:cs="Times New Roman"/>
          <w:kern w:val="0"/>
          <w:lang w:eastAsia="en-GB"/>
          <w14:ligatures w14:val="none"/>
        </w:rPr>
        <w:t> (2013) ‘Accuracy of Pitch Matching Significantly Improved by Live Voice Model’, </w:t>
      </w:r>
      <w:r w:rsidRPr="0014612F">
        <w:rPr>
          <w:rFonts w:ascii="Times New Roman" w:eastAsia="Times New Roman" w:hAnsi="Times New Roman" w:cs="Times New Roman"/>
          <w:i/>
          <w:iCs/>
          <w:kern w:val="0"/>
          <w:lang w:eastAsia="en-GB"/>
          <w14:ligatures w14:val="none"/>
        </w:rPr>
        <w:t>Journal of voice</w:t>
      </w:r>
      <w:r w:rsidRPr="0014612F">
        <w:rPr>
          <w:rFonts w:ascii="Times New Roman" w:eastAsia="Times New Roman" w:hAnsi="Times New Roman" w:cs="Times New Roman"/>
          <w:kern w:val="0"/>
          <w:lang w:eastAsia="en-GB"/>
          <w14:ligatures w14:val="none"/>
        </w:rPr>
        <w:t>, 27(3), p. 390.e13-390.e20. Available at: </w:t>
      </w:r>
      <w:hyperlink r:id="rId26" w:tgtFrame="_blank" w:history="1">
        <w:r w:rsidRPr="0014612F">
          <w:rPr>
            <w:rFonts w:ascii="Times New Roman" w:eastAsia="Times New Roman" w:hAnsi="Times New Roman" w:cs="Times New Roman"/>
            <w:kern w:val="0"/>
            <w:u w:val="single"/>
            <w:lang w:eastAsia="en-GB"/>
            <w14:ligatures w14:val="none"/>
          </w:rPr>
          <w:t>https://doi.org/10.1016/j.jvoice.2013.01.001</w:t>
        </w:r>
      </w:hyperlink>
      <w:r>
        <w:rPr>
          <w:rFonts w:ascii="Times New Roman" w:eastAsia="Times New Roman" w:hAnsi="Times New Roman" w:cs="Times New Roman"/>
          <w:kern w:val="0"/>
          <w:lang w:eastAsia="en-GB"/>
          <w14:ligatures w14:val="none"/>
        </w:rPr>
        <w:t xml:space="preserve"> (Accessed 14/10/2024)</w:t>
      </w:r>
    </w:p>
    <w:p w14:paraId="051CB5B3" w14:textId="77777777" w:rsidR="00FA6A6D" w:rsidRDefault="00FA6A6D" w:rsidP="00FA6A6D">
      <w:pPr>
        <w:spacing w:after="0" w:line="240" w:lineRule="auto"/>
        <w:rPr>
          <w:rFonts w:ascii="Times New Roman" w:eastAsia="Times New Roman" w:hAnsi="Times New Roman" w:cs="Times New Roman"/>
          <w:kern w:val="0"/>
          <w:lang w:eastAsia="en-GB"/>
          <w14:ligatures w14:val="none"/>
        </w:rPr>
      </w:pPr>
    </w:p>
    <w:p w14:paraId="39733931" w14:textId="77777777" w:rsidR="00FA6A6D" w:rsidRDefault="00FA6A6D" w:rsidP="00FA6A6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Gray, D.E. (2004) </w:t>
      </w:r>
      <w:r>
        <w:rPr>
          <w:rFonts w:ascii="Times New Roman" w:eastAsia="Times New Roman" w:hAnsi="Times New Roman" w:cs="Times New Roman"/>
          <w:i/>
          <w:iCs/>
          <w:kern w:val="0"/>
          <w:lang w:eastAsia="en-GB"/>
          <w14:ligatures w14:val="none"/>
        </w:rPr>
        <w:t>Doing research in the real world.</w:t>
      </w:r>
      <w:r>
        <w:rPr>
          <w:rFonts w:ascii="Times New Roman" w:eastAsia="Times New Roman" w:hAnsi="Times New Roman" w:cs="Times New Roman"/>
          <w:kern w:val="0"/>
          <w:lang w:eastAsia="en-GB"/>
          <w14:ligatures w14:val="none"/>
        </w:rPr>
        <w:t xml:space="preserve"> London: Sage</w:t>
      </w:r>
    </w:p>
    <w:p w14:paraId="1465EA3D" w14:textId="77777777" w:rsidR="00FA6A6D" w:rsidRPr="00BF1EF5" w:rsidRDefault="00FA6A6D" w:rsidP="00FA6A6D">
      <w:pPr>
        <w:spacing w:after="0" w:line="240" w:lineRule="auto"/>
        <w:rPr>
          <w:rFonts w:ascii="Times New Roman" w:eastAsia="Times New Roman" w:hAnsi="Times New Roman" w:cs="Times New Roman"/>
          <w:kern w:val="0"/>
          <w:lang w:eastAsia="en-GB"/>
          <w14:ligatures w14:val="none"/>
        </w:rPr>
      </w:pPr>
      <w:r w:rsidRPr="00E673E1">
        <w:rPr>
          <w:rFonts w:ascii="Times New Roman" w:eastAsia="Times New Roman" w:hAnsi="Times New Roman" w:cs="Times New Roman"/>
          <w:kern w:val="0"/>
          <w:lang w:eastAsia="en-GB"/>
          <w14:ligatures w14:val="none"/>
        </w:rPr>
        <w:br/>
        <w:t>Greenberg, M. (1970) “Musical Achievement and the Self-Concept,” Journal of Research in Music Education. SAGE Publishing, p. 57. doi:10.2307/3344358.</w:t>
      </w:r>
    </w:p>
    <w:p w14:paraId="24D7ED0B"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Han, Y.-J. (2021) ‘Mediating effect of cognitive load in song learning with visually presented lyrics’, </w:t>
      </w:r>
      <w:r w:rsidRPr="0014612F">
        <w:rPr>
          <w:rFonts w:ascii="Times New Roman" w:eastAsia="Times New Roman" w:hAnsi="Times New Roman" w:cs="Times New Roman"/>
          <w:i/>
          <w:iCs/>
          <w:kern w:val="0"/>
          <w:lang w:eastAsia="en-GB"/>
          <w14:ligatures w14:val="none"/>
        </w:rPr>
        <w:t>Psychology of music</w:t>
      </w:r>
      <w:r w:rsidRPr="0014612F">
        <w:rPr>
          <w:rFonts w:ascii="Times New Roman" w:eastAsia="Times New Roman" w:hAnsi="Times New Roman" w:cs="Times New Roman"/>
          <w:kern w:val="0"/>
          <w:lang w:eastAsia="en-GB"/>
          <w14:ligatures w14:val="none"/>
        </w:rPr>
        <w:t>, 49(6), pp. 1462–1477. Available at: </w:t>
      </w:r>
      <w:hyperlink r:id="rId27" w:tgtFrame="_blank" w:history="1">
        <w:r w:rsidRPr="0014612F">
          <w:rPr>
            <w:rFonts w:ascii="Times New Roman" w:eastAsia="Times New Roman" w:hAnsi="Times New Roman" w:cs="Times New Roman"/>
            <w:kern w:val="0"/>
            <w:u w:val="single"/>
            <w:lang w:eastAsia="en-GB"/>
            <w14:ligatures w14:val="none"/>
          </w:rPr>
          <w:t>https://doi.org/10.1177/0305735620959430</w:t>
        </w:r>
      </w:hyperlink>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(Accessed 18/10/2024)</w:t>
      </w:r>
    </w:p>
    <w:p w14:paraId="0AAD9265"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3FD5E689"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Hogle, L.A. (2021) ‘Fostering singing agency through emotional differentiation in an inclusive singing environment’, </w:t>
      </w:r>
      <w:r w:rsidRPr="0014612F">
        <w:rPr>
          <w:rFonts w:ascii="Times New Roman" w:eastAsia="Times New Roman" w:hAnsi="Times New Roman" w:cs="Times New Roman"/>
          <w:i/>
          <w:iCs/>
          <w:kern w:val="0"/>
          <w:lang w:eastAsia="en-GB"/>
          <w14:ligatures w14:val="none"/>
        </w:rPr>
        <w:t>Research studies in music education</w:t>
      </w:r>
      <w:r w:rsidRPr="0014612F">
        <w:rPr>
          <w:rFonts w:ascii="Times New Roman" w:eastAsia="Times New Roman" w:hAnsi="Times New Roman" w:cs="Times New Roman"/>
          <w:kern w:val="0"/>
          <w:lang w:eastAsia="en-GB"/>
          <w14:ligatures w14:val="none"/>
        </w:rPr>
        <w:t>, 43(2), pp. 179–194. Available at: </w:t>
      </w:r>
      <w:hyperlink r:id="rId28" w:tgtFrame="_blank" w:history="1">
        <w:r w:rsidRPr="0014612F">
          <w:rPr>
            <w:rFonts w:ascii="Times New Roman" w:eastAsia="Times New Roman" w:hAnsi="Times New Roman" w:cs="Times New Roman"/>
            <w:kern w:val="0"/>
            <w:u w:val="single"/>
            <w:lang w:eastAsia="en-GB"/>
            <w14:ligatures w14:val="none"/>
          </w:rPr>
          <w:t>https://doi.org/10.1177/1321103X20930426</w:t>
        </w:r>
      </w:hyperlink>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(Accessed 12/09/2024)</w:t>
      </w:r>
    </w:p>
    <w:p w14:paraId="0BF9F84E"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FB77658"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Hoppe, D., Sadakata, M. and Desain, P. (2006) ‘Development of real-time visual feedback assistance in singing training: a review’, </w:t>
      </w:r>
      <w:r w:rsidRPr="0014612F">
        <w:rPr>
          <w:rFonts w:ascii="Times New Roman" w:eastAsia="Times New Roman" w:hAnsi="Times New Roman" w:cs="Times New Roman"/>
          <w:i/>
          <w:iCs/>
          <w:kern w:val="0"/>
          <w:lang w:eastAsia="en-GB"/>
          <w14:ligatures w14:val="none"/>
        </w:rPr>
        <w:t>Journal of computer assisted learning</w:t>
      </w:r>
      <w:r w:rsidRPr="0014612F">
        <w:rPr>
          <w:rFonts w:ascii="Times New Roman" w:eastAsia="Times New Roman" w:hAnsi="Times New Roman" w:cs="Times New Roman"/>
          <w:kern w:val="0"/>
          <w:lang w:eastAsia="en-GB"/>
          <w14:ligatures w14:val="none"/>
        </w:rPr>
        <w:t>, 22(4), pp. 308–316. Available at: </w:t>
      </w:r>
      <w:hyperlink r:id="rId29" w:tgtFrame="_blank" w:history="1">
        <w:r w:rsidRPr="0014612F">
          <w:rPr>
            <w:rFonts w:ascii="Times New Roman" w:eastAsia="Times New Roman" w:hAnsi="Times New Roman" w:cs="Times New Roman"/>
            <w:kern w:val="0"/>
            <w:u w:val="single"/>
            <w:lang w:eastAsia="en-GB"/>
            <w14:ligatures w14:val="none"/>
          </w:rPr>
          <w:t>https://doi.org/10.1111/j.1365-2729.2006.00178.x</w:t>
        </w:r>
      </w:hyperlink>
      <w:r w:rsidRPr="0014612F">
        <w:rPr>
          <w:rFonts w:ascii="Times New Roman" w:eastAsia="Times New Roman" w:hAnsi="Times New Roman" w:cs="Times New Roman"/>
          <w:kern w:val="0"/>
          <w:lang w:eastAsia="en-GB"/>
          <w14:ligatures w14:val="none"/>
        </w:rPr>
        <w:t xml:space="preserve"> (Accessed </w:t>
      </w:r>
      <w:r>
        <w:rPr>
          <w:rFonts w:ascii="Times New Roman" w:eastAsia="Times New Roman" w:hAnsi="Times New Roman" w:cs="Times New Roman"/>
          <w:kern w:val="0"/>
          <w:lang w:eastAsia="en-GB"/>
          <w14:ligatures w14:val="none"/>
        </w:rPr>
        <w:t>0</w:t>
      </w:r>
      <w:r w:rsidRPr="0014612F">
        <w:rPr>
          <w:rFonts w:ascii="Times New Roman" w:eastAsia="Times New Roman" w:hAnsi="Times New Roman" w:cs="Times New Roman"/>
          <w:kern w:val="0"/>
          <w:lang w:eastAsia="en-GB"/>
          <w14:ligatures w14:val="none"/>
        </w:rPr>
        <w:t>6/10/24)</w:t>
      </w:r>
    </w:p>
    <w:p w14:paraId="0C43D5AE"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2169212C"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Hudspeth, A.J. (2000) Hearing in E.R. Kendal, J.H. Shwartz and T. M. Jessel (eds) Principles of Neural Science, 4th edn.  (pp590-613). New York, McGraw.</w:t>
      </w:r>
    </w:p>
    <w:p w14:paraId="592A47DC"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4613A993"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Hutchins, S. and Peretz, I. (2012) ‘A Frog in Your Throat or in Your Ear? Searching for the Causes of Poor Singing’, </w:t>
      </w:r>
      <w:r w:rsidRPr="0014612F">
        <w:rPr>
          <w:rFonts w:ascii="Times New Roman" w:eastAsia="Times New Roman" w:hAnsi="Times New Roman" w:cs="Times New Roman"/>
          <w:i/>
          <w:iCs/>
          <w:kern w:val="0"/>
          <w:lang w:eastAsia="en-GB"/>
          <w14:ligatures w14:val="none"/>
        </w:rPr>
        <w:t>Journal of experimental psychology. General</w:t>
      </w:r>
      <w:r w:rsidRPr="0014612F">
        <w:rPr>
          <w:rFonts w:ascii="Times New Roman" w:eastAsia="Times New Roman" w:hAnsi="Times New Roman" w:cs="Times New Roman"/>
          <w:kern w:val="0"/>
          <w:lang w:eastAsia="en-GB"/>
          <w14:ligatures w14:val="none"/>
        </w:rPr>
        <w:t>, 141(1), pp. 76–97. Available at: </w:t>
      </w:r>
      <w:hyperlink r:id="rId30" w:tgtFrame="_blank" w:history="1">
        <w:r w:rsidRPr="0014612F">
          <w:rPr>
            <w:rFonts w:ascii="Times New Roman" w:eastAsia="Times New Roman" w:hAnsi="Times New Roman" w:cs="Times New Roman"/>
            <w:kern w:val="0"/>
            <w:u w:val="single"/>
            <w:lang w:eastAsia="en-GB"/>
            <w14:ligatures w14:val="none"/>
          </w:rPr>
          <w:t>https://doi.org/10.1037/a0025064</w:t>
        </w:r>
      </w:hyperlink>
      <w:r>
        <w:rPr>
          <w:rFonts w:ascii="Times New Roman" w:eastAsia="Times New Roman" w:hAnsi="Times New Roman" w:cs="Times New Roman"/>
          <w:kern w:val="0"/>
          <w:lang w:eastAsia="en-GB"/>
          <w14:ligatures w14:val="none"/>
        </w:rPr>
        <w:t xml:space="preserve"> (Accessed 12/06/2024)</w:t>
      </w:r>
    </w:p>
    <w:p w14:paraId="7B5D4065"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437C5448"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Hutchins, S., Larrouy-Maestri, P. and Peretz, I. (2014) ‘Singing ability is rooted in vocal-motor control of pitch’, </w:t>
      </w:r>
      <w:r w:rsidRPr="0014612F">
        <w:rPr>
          <w:rFonts w:ascii="Times New Roman" w:eastAsia="Times New Roman" w:hAnsi="Times New Roman" w:cs="Times New Roman"/>
          <w:i/>
          <w:iCs/>
          <w:kern w:val="0"/>
          <w:lang w:eastAsia="en-GB"/>
          <w14:ligatures w14:val="none"/>
        </w:rPr>
        <w:t>Attention, perception &amp; psychophysics</w:t>
      </w:r>
      <w:r w:rsidRPr="0014612F">
        <w:rPr>
          <w:rFonts w:ascii="Times New Roman" w:eastAsia="Times New Roman" w:hAnsi="Times New Roman" w:cs="Times New Roman"/>
          <w:kern w:val="0"/>
          <w:lang w:eastAsia="en-GB"/>
          <w14:ligatures w14:val="none"/>
        </w:rPr>
        <w:t>, 76(8), pp. 2522–2530. Available at: </w:t>
      </w:r>
      <w:hyperlink r:id="rId31" w:tgtFrame="_blank" w:history="1">
        <w:r w:rsidRPr="0014612F">
          <w:rPr>
            <w:rFonts w:ascii="Times New Roman" w:eastAsia="Times New Roman" w:hAnsi="Times New Roman" w:cs="Times New Roman"/>
            <w:kern w:val="0"/>
            <w:u w:val="single"/>
            <w:lang w:eastAsia="en-GB"/>
            <w14:ligatures w14:val="none"/>
          </w:rPr>
          <w:t>https://doi.org/10.3758/s13414-014-0732-1</w:t>
        </w:r>
      </w:hyperlink>
      <w:r>
        <w:rPr>
          <w:rFonts w:ascii="Times New Roman" w:eastAsia="Times New Roman" w:hAnsi="Times New Roman" w:cs="Times New Roman"/>
          <w:kern w:val="0"/>
          <w:lang w:eastAsia="en-GB"/>
          <w14:ligatures w14:val="none"/>
        </w:rPr>
        <w:t xml:space="preserve"> (Accessed 15/07/2024)</w:t>
      </w:r>
    </w:p>
    <w:p w14:paraId="13BA3616"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69B99AFE"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Kalmus, H. and Fry, D.B. (1980). On tune deafness (dysmelodia): Frequency, development, genetics and musical background. Annals of Human Genetics 43: 369–382. </w:t>
      </w:r>
      <w:hyperlink r:id="rId32" w:tgtFrame="_blank" w:history="1">
        <w:r w:rsidRPr="0014612F">
          <w:rPr>
            <w:rFonts w:ascii="Times New Roman" w:eastAsia="Times New Roman" w:hAnsi="Times New Roman" w:cs="Times New Roman"/>
            <w:kern w:val="0"/>
            <w:u w:val="single"/>
            <w:lang w:eastAsia="en-GB"/>
            <w14:ligatures w14:val="none"/>
          </w:rPr>
          <w:t>https://doi.org/10.1111/j.1469-1809.1980.tb01571.x</w:t>
        </w:r>
      </w:hyperlink>
      <w:r w:rsidRPr="0014612F">
        <w:rPr>
          <w:rFonts w:ascii="Times New Roman" w:eastAsia="Times New Roman" w:hAnsi="Times New Roman" w:cs="Times New Roman"/>
          <w:kern w:val="0"/>
          <w:lang w:eastAsia="en-GB"/>
          <w14:ligatures w14:val="none"/>
        </w:rPr>
        <w:t> (</w:t>
      </w:r>
      <w:r>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ccessed 18/09/24)</w:t>
      </w:r>
    </w:p>
    <w:p w14:paraId="107BFA89"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7F4721B2"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Kleber, B.A. and Zarate, J.M. (2014) ‘The neuroscience of singing’, in Welch, G.F., Howard, D.M. and Nix, J. (eds) </w:t>
      </w:r>
      <w:r w:rsidRPr="0014612F">
        <w:rPr>
          <w:rFonts w:ascii="Times New Roman" w:eastAsia="Times New Roman" w:hAnsi="Times New Roman" w:cs="Times New Roman"/>
          <w:i/>
          <w:iCs/>
          <w:kern w:val="0"/>
          <w:lang w:eastAsia="en-GB"/>
          <w14:ligatures w14:val="none"/>
        </w:rPr>
        <w:t>The Oxford handbook of singing</w:t>
      </w:r>
      <w:r w:rsidRPr="0014612F">
        <w:rPr>
          <w:rFonts w:ascii="Times New Roman" w:eastAsia="Times New Roman" w:hAnsi="Times New Roman" w:cs="Times New Roman"/>
          <w:kern w:val="0"/>
          <w:lang w:eastAsia="en-GB"/>
          <w14:ligatures w14:val="none"/>
        </w:rPr>
        <w:t>. Oxford Library of Psychology, pp. 257–280. Available at: </w:t>
      </w:r>
      <w:hyperlink r:id="rId33" w:tgtFrame="_blank" w:history="1">
        <w:r w:rsidRPr="0014612F">
          <w:rPr>
            <w:rFonts w:ascii="Times New Roman" w:eastAsia="Times New Roman" w:hAnsi="Times New Roman" w:cs="Times New Roman"/>
            <w:kern w:val="0"/>
            <w:u w:val="single"/>
            <w:lang w:eastAsia="en-GB"/>
            <w14:ligatures w14:val="none"/>
          </w:rPr>
          <w:t>https://doi.org/10.1093/oxfordhb/9780199660773.013.015</w:t>
        </w:r>
      </w:hyperlink>
      <w:r w:rsidRPr="0014612F">
        <w:rPr>
          <w:rFonts w:ascii="Times New Roman" w:eastAsia="Times New Roman" w:hAnsi="Times New Roman" w:cs="Times New Roman"/>
          <w:kern w:val="0"/>
          <w:lang w:eastAsia="en-GB"/>
          <w14:ligatures w14:val="none"/>
        </w:rPr>
        <w:t> (Accessed: 20</w:t>
      </w:r>
      <w:r>
        <w:rPr>
          <w:rFonts w:ascii="Times New Roman" w:eastAsia="Times New Roman" w:hAnsi="Times New Roman" w:cs="Times New Roman"/>
          <w:kern w:val="0"/>
          <w:lang w:eastAsia="en-GB"/>
          <w14:ligatures w14:val="none"/>
        </w:rPr>
        <w:t>/06</w:t>
      </w:r>
      <w:r w:rsidRPr="0014612F">
        <w:rPr>
          <w:rFonts w:ascii="Times New Roman" w:eastAsia="Times New Roman" w:hAnsi="Times New Roman" w:cs="Times New Roman"/>
          <w:kern w:val="0"/>
          <w:lang w:eastAsia="en-GB"/>
          <w14:ligatures w14:val="none"/>
        </w:rPr>
        <w:t>2024).</w:t>
      </w:r>
    </w:p>
    <w:p w14:paraId="66E4B840"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6F7D6290"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Knight, S. (2016) ‘Addressing the needs of the adult “non-singer” (“NS”)’, in Welch, G.F., Howard, D.M. and Nix, J. (eds) </w:t>
      </w:r>
      <w:r w:rsidRPr="0014612F">
        <w:rPr>
          <w:rFonts w:ascii="Times New Roman" w:eastAsia="Times New Roman" w:hAnsi="Times New Roman" w:cs="Times New Roman"/>
          <w:i/>
          <w:iCs/>
          <w:kern w:val="0"/>
          <w:lang w:eastAsia="en-GB"/>
          <w14:ligatures w14:val="none"/>
        </w:rPr>
        <w:t>The Oxford handbook of singing</w:t>
      </w:r>
      <w:r w:rsidRPr="0014612F">
        <w:rPr>
          <w:rFonts w:ascii="Times New Roman" w:eastAsia="Times New Roman" w:hAnsi="Times New Roman" w:cs="Times New Roman"/>
          <w:kern w:val="0"/>
          <w:lang w:eastAsia="en-GB"/>
          <w14:ligatures w14:val="none"/>
        </w:rPr>
        <w:t>. Oxford Library of Psychology. Available at: </w:t>
      </w:r>
      <w:hyperlink r:id="rId34" w:tgtFrame="_blank" w:history="1">
        <w:r w:rsidRPr="0014612F">
          <w:rPr>
            <w:rFonts w:ascii="Times New Roman" w:eastAsia="Times New Roman" w:hAnsi="Times New Roman" w:cs="Times New Roman"/>
            <w:kern w:val="0"/>
            <w:u w:val="single"/>
            <w:lang w:eastAsia="en-GB"/>
            <w14:ligatures w14:val="none"/>
          </w:rPr>
          <w:t>https://doi.org/10.1093/oxfordhb/9780199660773.013.48</w:t>
        </w:r>
      </w:hyperlink>
      <w:r w:rsidRPr="0014612F">
        <w:rPr>
          <w:rFonts w:ascii="Times New Roman" w:eastAsia="Times New Roman" w:hAnsi="Times New Roman" w:cs="Times New Roman"/>
          <w:kern w:val="0"/>
          <w:lang w:eastAsia="en-GB"/>
          <w14:ligatures w14:val="none"/>
        </w:rPr>
        <w:t>  (Accessed</w:t>
      </w:r>
      <w:r>
        <w:rPr>
          <w:rFonts w:ascii="Times New Roman" w:eastAsia="Times New Roman" w:hAnsi="Times New Roman" w:cs="Times New Roman"/>
          <w:kern w:val="0"/>
          <w:lang w:eastAsia="en-GB"/>
          <w14:ligatures w14:val="none"/>
        </w:rPr>
        <w:t xml:space="preserve"> 21/06/</w:t>
      </w:r>
      <w:r w:rsidRPr="0014612F">
        <w:rPr>
          <w:rFonts w:ascii="Times New Roman" w:eastAsia="Times New Roman" w:hAnsi="Times New Roman" w:cs="Times New Roman"/>
          <w:kern w:val="0"/>
          <w:lang w:eastAsia="en-GB"/>
          <w14:ligatures w14:val="none"/>
        </w:rPr>
        <w:t>2024).</w:t>
      </w:r>
    </w:p>
    <w:p w14:paraId="383B1D0F" w14:textId="77777777" w:rsidR="00FA6A6D" w:rsidRPr="00BF1EF5" w:rsidRDefault="00FA6A6D" w:rsidP="00FA6A6D">
      <w:pPr>
        <w:shd w:val="clear" w:color="auto" w:fill="FFFFFF"/>
        <w:spacing w:after="0" w:line="240" w:lineRule="auto"/>
        <w:jc w:val="both"/>
        <w:rPr>
          <w:rFonts w:ascii="Times New Roman" w:eastAsia="Times New Roman" w:hAnsi="Times New Roman" w:cs="Times New Roman"/>
          <w:kern w:val="0"/>
          <w:lang w:eastAsia="en-GB"/>
          <w14:ligatures w14:val="none"/>
        </w:rPr>
      </w:pPr>
    </w:p>
    <w:p w14:paraId="4ED68DE8"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Kruger, J. and Dunning, D. (1999) ‘Unskilled and Unaware of It: How Difficulties in Recognizing One’s Own Incompetence Lead to Inflated Self-Assessments’, </w:t>
      </w:r>
      <w:r w:rsidRPr="0014612F">
        <w:rPr>
          <w:rFonts w:ascii="Times New Roman" w:eastAsia="Times New Roman" w:hAnsi="Times New Roman" w:cs="Times New Roman"/>
          <w:i/>
          <w:iCs/>
          <w:kern w:val="0"/>
          <w:lang w:eastAsia="en-GB"/>
          <w14:ligatures w14:val="none"/>
        </w:rPr>
        <w:t>Journal of personality and social psychology</w:t>
      </w:r>
      <w:r w:rsidRPr="0014612F">
        <w:rPr>
          <w:rFonts w:ascii="Times New Roman" w:eastAsia="Times New Roman" w:hAnsi="Times New Roman" w:cs="Times New Roman"/>
          <w:kern w:val="0"/>
          <w:lang w:eastAsia="en-GB"/>
          <w14:ligatures w14:val="none"/>
        </w:rPr>
        <w:t>, 77(6), pp. 1121–1134. Available at: </w:t>
      </w:r>
      <w:hyperlink r:id="rId35" w:tgtFrame="_blank" w:history="1">
        <w:r w:rsidRPr="0014612F">
          <w:rPr>
            <w:rFonts w:ascii="Times New Roman" w:eastAsia="Times New Roman" w:hAnsi="Times New Roman" w:cs="Times New Roman"/>
            <w:kern w:val="0"/>
            <w:u w:val="single"/>
            <w:lang w:eastAsia="en-GB"/>
            <w14:ligatures w14:val="none"/>
          </w:rPr>
          <w:t>https://doi.org/10.1037/0022-3514.77.6.1121</w:t>
        </w:r>
      </w:hyperlink>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(Accessed 18/10/2024)</w:t>
      </w:r>
    </w:p>
    <w:p w14:paraId="180EE5BC"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E9018B8"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lastRenderedPageBreak/>
        <w:t>Lã, F.M.B. and Fiuza, M.B. (2022) ‘Real-Time Visual Feedback in Singing Pedagogy: Current Trends and Future Directions’, </w:t>
      </w:r>
      <w:r w:rsidRPr="0014612F">
        <w:rPr>
          <w:rFonts w:ascii="Times New Roman" w:eastAsia="Times New Roman" w:hAnsi="Times New Roman" w:cs="Times New Roman"/>
          <w:i/>
          <w:iCs/>
          <w:kern w:val="0"/>
          <w:lang w:eastAsia="en-GB"/>
          <w14:ligatures w14:val="none"/>
        </w:rPr>
        <w:t>Applied sciences</w:t>
      </w:r>
      <w:r w:rsidRPr="0014612F">
        <w:rPr>
          <w:rFonts w:ascii="Times New Roman" w:eastAsia="Times New Roman" w:hAnsi="Times New Roman" w:cs="Times New Roman"/>
          <w:kern w:val="0"/>
          <w:lang w:eastAsia="en-GB"/>
          <w14:ligatures w14:val="none"/>
        </w:rPr>
        <w:t>, 12(21), pp. 10781-. Available at: </w:t>
      </w:r>
      <w:hyperlink r:id="rId36" w:tgtFrame="_blank" w:history="1">
        <w:r w:rsidRPr="0014612F">
          <w:rPr>
            <w:rFonts w:ascii="Times New Roman" w:eastAsia="Times New Roman" w:hAnsi="Times New Roman" w:cs="Times New Roman"/>
            <w:kern w:val="0"/>
            <w:u w:val="single"/>
            <w:lang w:eastAsia="en-GB"/>
            <w14:ligatures w14:val="none"/>
          </w:rPr>
          <w:t>https://doi.org/10.3390/app122110781</w:t>
        </w:r>
      </w:hyperlink>
      <w:r>
        <w:rPr>
          <w:rFonts w:ascii="Times New Roman" w:eastAsia="Times New Roman" w:hAnsi="Times New Roman" w:cs="Times New Roman"/>
          <w:kern w:val="0"/>
          <w:lang w:eastAsia="en-GB"/>
          <w14:ligatures w14:val="none"/>
        </w:rPr>
        <w:t xml:space="preserve"> (Accessed 18/10/2024)</w:t>
      </w:r>
    </w:p>
    <w:p w14:paraId="4910FFE5"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2C35BEBF"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Leedy, P. D. and Ormrod, J. (2015) </w:t>
      </w:r>
      <w:r w:rsidRPr="0062523E">
        <w:rPr>
          <w:rFonts w:ascii="Times New Roman" w:eastAsia="Times New Roman" w:hAnsi="Times New Roman" w:cs="Times New Roman"/>
          <w:i/>
          <w:iCs/>
          <w:kern w:val="0"/>
          <w:lang w:eastAsia="en-GB"/>
          <w14:ligatures w14:val="none"/>
        </w:rPr>
        <w:t>Practical research: planning and design</w:t>
      </w:r>
      <w:r>
        <w:rPr>
          <w:rFonts w:ascii="Times New Roman" w:eastAsia="Times New Roman" w:hAnsi="Times New Roman" w:cs="Times New Roman"/>
          <w:kern w:val="0"/>
          <w:lang w:eastAsia="en-GB"/>
          <w14:ligatures w14:val="none"/>
        </w:rPr>
        <w:t>, 11</w:t>
      </w:r>
      <w:r w:rsidRPr="0062523E">
        <w:rPr>
          <w:rFonts w:ascii="Times New Roman" w:eastAsia="Times New Roman" w:hAnsi="Times New Roman" w:cs="Times New Roman"/>
          <w:kern w:val="0"/>
          <w:vertAlign w:val="superscript"/>
          <w:lang w:eastAsia="en-GB"/>
          <w14:ligatures w14:val="none"/>
        </w:rPr>
        <w:t>th</w:t>
      </w:r>
      <w:r>
        <w:rPr>
          <w:rFonts w:ascii="Times New Roman" w:eastAsia="Times New Roman" w:hAnsi="Times New Roman" w:cs="Times New Roman"/>
          <w:kern w:val="0"/>
          <w:lang w:eastAsia="en-GB"/>
          <w14:ligatures w14:val="none"/>
        </w:rPr>
        <w:t xml:space="preserve"> edn. Harlow: Pearson Education.</w:t>
      </w:r>
    </w:p>
    <w:p w14:paraId="24E374F6"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450AD776"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Liao, M.-Y. (2008) ‘The effects of gesture use on young children’s pitch accuracy for singing tonal patterns’, </w:t>
      </w:r>
      <w:r w:rsidRPr="0014612F">
        <w:rPr>
          <w:rFonts w:ascii="Times New Roman" w:eastAsia="Times New Roman" w:hAnsi="Times New Roman" w:cs="Times New Roman"/>
          <w:i/>
          <w:iCs/>
          <w:kern w:val="0"/>
          <w:lang w:eastAsia="en-GB"/>
          <w14:ligatures w14:val="none"/>
        </w:rPr>
        <w:t>International journal of music education</w:t>
      </w:r>
      <w:r w:rsidRPr="0014612F">
        <w:rPr>
          <w:rFonts w:ascii="Times New Roman" w:eastAsia="Times New Roman" w:hAnsi="Times New Roman" w:cs="Times New Roman"/>
          <w:kern w:val="0"/>
          <w:lang w:eastAsia="en-GB"/>
          <w14:ligatures w14:val="none"/>
        </w:rPr>
        <w:t>, 26(3), pp. 197–211. Available at: </w:t>
      </w:r>
      <w:hyperlink r:id="rId37" w:tgtFrame="_blank" w:history="1">
        <w:r w:rsidRPr="0014612F">
          <w:rPr>
            <w:rFonts w:ascii="Times New Roman" w:eastAsia="Times New Roman" w:hAnsi="Times New Roman" w:cs="Times New Roman"/>
            <w:kern w:val="0"/>
            <w:u w:val="single"/>
            <w:lang w:eastAsia="en-GB"/>
            <w14:ligatures w14:val="none"/>
          </w:rPr>
          <w:t>https://doi.org/10.1177/0255761408092525</w:t>
        </w:r>
      </w:hyperlink>
      <w:r>
        <w:rPr>
          <w:rFonts w:ascii="Times New Roman" w:eastAsia="Times New Roman" w:hAnsi="Times New Roman" w:cs="Times New Roman"/>
          <w:kern w:val="0"/>
          <w:lang w:eastAsia="en-GB"/>
          <w14:ligatures w14:val="none"/>
        </w:rPr>
        <w:t xml:space="preserve"> (Accessed 15/10/2024)</w:t>
      </w:r>
    </w:p>
    <w:p w14:paraId="4BF89864"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bookmarkStart w:id="1" w:name="m_-5224279255016417390__Hlk179572404"/>
    </w:p>
    <w:p w14:paraId="1AFB1BF5"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McDonnell, L., Barker, M.K. and Wieman, C. (2016) </w:t>
      </w:r>
      <w:bookmarkEnd w:id="1"/>
      <w:r w:rsidRPr="0014612F">
        <w:rPr>
          <w:rFonts w:ascii="Times New Roman" w:eastAsia="Times New Roman" w:hAnsi="Times New Roman" w:cs="Times New Roman"/>
          <w:kern w:val="0"/>
          <w:lang w:eastAsia="en-GB"/>
          <w14:ligatures w14:val="none"/>
        </w:rPr>
        <w:t>‘Concepts first, jargon second improves student articulation of understanding’, </w:t>
      </w:r>
      <w:r w:rsidRPr="0014612F">
        <w:rPr>
          <w:rFonts w:ascii="Times New Roman" w:eastAsia="Times New Roman" w:hAnsi="Times New Roman" w:cs="Times New Roman"/>
          <w:i/>
          <w:iCs/>
          <w:kern w:val="0"/>
          <w:lang w:eastAsia="en-GB"/>
          <w14:ligatures w14:val="none"/>
        </w:rPr>
        <w:t>Biochemistry and molecular biology education</w:t>
      </w:r>
      <w:r w:rsidRPr="0014612F">
        <w:rPr>
          <w:rFonts w:ascii="Times New Roman" w:eastAsia="Times New Roman" w:hAnsi="Times New Roman" w:cs="Times New Roman"/>
          <w:kern w:val="0"/>
          <w:lang w:eastAsia="en-GB"/>
          <w14:ligatures w14:val="none"/>
        </w:rPr>
        <w:t>, 44(1), pp. 12–19. Available at: </w:t>
      </w:r>
      <w:hyperlink r:id="rId38" w:tgtFrame="_blank" w:history="1">
        <w:r w:rsidRPr="0014612F">
          <w:rPr>
            <w:rFonts w:ascii="Times New Roman" w:eastAsia="Times New Roman" w:hAnsi="Times New Roman" w:cs="Times New Roman"/>
            <w:kern w:val="0"/>
            <w:u w:val="single"/>
            <w:lang w:eastAsia="en-GB"/>
            <w14:ligatures w14:val="none"/>
          </w:rPr>
          <w:t>https://doi.org/10.1002/bmb.20922</w:t>
        </w:r>
      </w:hyperlink>
      <w:r w:rsidRPr="0014612F">
        <w:rPr>
          <w:rFonts w:ascii="Times New Roman" w:eastAsia="Times New Roman" w:hAnsi="Times New Roman" w:cs="Times New Roman"/>
          <w:kern w:val="0"/>
          <w:lang w:eastAsia="en-GB"/>
          <w14:ligatures w14:val="none"/>
        </w:rPr>
        <w:t>.</w:t>
      </w:r>
      <w:r w:rsidRPr="00BF1EF5">
        <w:rPr>
          <w:rFonts w:ascii="Times New Roman" w:eastAsia="Times New Roman" w:hAnsi="Times New Roman" w:cs="Times New Roman"/>
          <w:kern w:val="0"/>
          <w:lang w:eastAsia="en-GB"/>
          <w14:ligatures w14:val="none"/>
        </w:rPr>
        <w:t xml:space="preserve"> (Accessed 18/10/2024)</w:t>
      </w:r>
    </w:p>
    <w:p w14:paraId="2E6C4180"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A198785"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McIntosh, R., Moore, A., Liu, Y., Della Sala, S.  (2022) ‘Skill and self-knowledge: empirical refutation of the dual-burden account of the Dunning–Kruger effect’, </w:t>
      </w:r>
      <w:r w:rsidRPr="0014612F">
        <w:rPr>
          <w:rFonts w:ascii="Times New Roman" w:eastAsia="Times New Roman" w:hAnsi="Times New Roman" w:cs="Times New Roman"/>
          <w:i/>
          <w:iCs/>
          <w:kern w:val="0"/>
          <w:lang w:eastAsia="en-GB"/>
          <w14:ligatures w14:val="none"/>
        </w:rPr>
        <w:t>Royal Society open science</w:t>
      </w:r>
      <w:r w:rsidRPr="0014612F">
        <w:rPr>
          <w:rFonts w:ascii="Times New Roman" w:eastAsia="Times New Roman" w:hAnsi="Times New Roman" w:cs="Times New Roman"/>
          <w:kern w:val="0"/>
          <w:lang w:eastAsia="en-GB"/>
          <w14:ligatures w14:val="none"/>
        </w:rPr>
        <w:t>, 9(12). Available at: </w:t>
      </w:r>
      <w:hyperlink r:id="rId39" w:tgtFrame="_blank" w:history="1">
        <w:r w:rsidRPr="0014612F">
          <w:rPr>
            <w:rFonts w:ascii="Times New Roman" w:eastAsia="Times New Roman" w:hAnsi="Times New Roman" w:cs="Times New Roman"/>
            <w:kern w:val="0"/>
            <w:u w:val="single"/>
            <w:lang w:eastAsia="en-GB"/>
            <w14:ligatures w14:val="none"/>
          </w:rPr>
          <w:t>https://doi.org/10.1098/rsos.191727</w:t>
        </w:r>
      </w:hyperlink>
      <w:r w:rsidRPr="0014612F">
        <w:rPr>
          <w:rFonts w:ascii="Times New Roman" w:eastAsia="Times New Roman" w:hAnsi="Times New Roman" w:cs="Times New Roman"/>
          <w:kern w:val="0"/>
          <w:lang w:eastAsia="en-GB"/>
          <w14:ligatures w14:val="none"/>
        </w:rPr>
        <w:t>.</w:t>
      </w:r>
      <w:r w:rsidRPr="00BF1EF5">
        <w:rPr>
          <w:rFonts w:ascii="Times New Roman" w:eastAsia="Times New Roman" w:hAnsi="Times New Roman" w:cs="Times New Roman"/>
          <w:kern w:val="0"/>
          <w:lang w:eastAsia="en-GB"/>
          <w14:ligatures w14:val="none"/>
        </w:rPr>
        <w:t xml:space="preserve"> (Accessed 12/09/2024)</w:t>
      </w:r>
    </w:p>
    <w:p w14:paraId="1070BFC1"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798A107C" w14:textId="75C81774" w:rsidR="002226AD" w:rsidRDefault="002226AD" w:rsidP="002226AD">
      <w:pPr>
        <w:spacing w:after="0" w:line="240" w:lineRule="auto"/>
        <w:rPr>
          <w:rFonts w:ascii="Times New Roman" w:eastAsia="Times New Roman" w:hAnsi="Times New Roman" w:cs="Times New Roman"/>
          <w:kern w:val="0"/>
          <w:lang w:eastAsia="en-GB"/>
          <w14:ligatures w14:val="none"/>
        </w:rPr>
      </w:pPr>
      <w:r w:rsidRPr="002226AD">
        <w:rPr>
          <w:rFonts w:ascii="Times New Roman" w:eastAsia="Times New Roman" w:hAnsi="Times New Roman" w:cs="Times New Roman"/>
          <w:kern w:val="0"/>
          <w:lang w:eastAsia="en-GB"/>
          <w14:ligatures w14:val="none"/>
        </w:rPr>
        <w:t xml:space="preserve">Moats, L. (2014) ‘What teachers don’t know and why they aren’t learning it: addressing the need for content and pedagogy in teacher education’, </w:t>
      </w:r>
      <w:r w:rsidRPr="002226AD">
        <w:rPr>
          <w:rFonts w:ascii="Times New Roman" w:eastAsia="Times New Roman" w:hAnsi="Times New Roman" w:cs="Times New Roman"/>
          <w:i/>
          <w:iCs/>
          <w:kern w:val="0"/>
          <w:lang w:eastAsia="en-GB"/>
          <w14:ligatures w14:val="none"/>
        </w:rPr>
        <w:t>Australian journal of learning difficulties</w:t>
      </w:r>
      <w:r w:rsidRPr="002226AD">
        <w:rPr>
          <w:rFonts w:ascii="Times New Roman" w:eastAsia="Times New Roman" w:hAnsi="Times New Roman" w:cs="Times New Roman"/>
          <w:kern w:val="0"/>
          <w:lang w:eastAsia="en-GB"/>
          <w14:ligatures w14:val="none"/>
        </w:rPr>
        <w:t>, 19(2), pp. 75–91. Available at: https://doi.org/10.1080/19404158.2014.941093.</w:t>
      </w:r>
    </w:p>
    <w:p w14:paraId="70CFFAD3" w14:textId="77777777" w:rsidR="002226AD" w:rsidRPr="00BF1EF5" w:rsidRDefault="002226A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5078F8B3"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Monti, E. and Maxfield, L. (2024) ‘What a Shame! Limited Understanding of the Effects of Shame on Voice’, </w:t>
      </w:r>
      <w:r w:rsidRPr="0014612F">
        <w:rPr>
          <w:rFonts w:ascii="Times New Roman" w:eastAsia="Times New Roman" w:hAnsi="Times New Roman" w:cs="Times New Roman"/>
          <w:i/>
          <w:iCs/>
          <w:kern w:val="0"/>
          <w:lang w:eastAsia="en-GB"/>
          <w14:ligatures w14:val="none"/>
        </w:rPr>
        <w:t>Journal of singing</w:t>
      </w:r>
      <w:r w:rsidRPr="0014612F">
        <w:rPr>
          <w:rFonts w:ascii="Times New Roman" w:eastAsia="Times New Roman" w:hAnsi="Times New Roman" w:cs="Times New Roman"/>
          <w:kern w:val="0"/>
          <w:lang w:eastAsia="en-GB"/>
          <w14:ligatures w14:val="none"/>
        </w:rPr>
        <w:t>, 80(5), pp. 585–588. </w:t>
      </w:r>
      <w:r w:rsidRPr="0014612F">
        <w:rPr>
          <w:rFonts w:ascii="Times New Roman" w:eastAsia="Times New Roman" w:hAnsi="Times New Roman" w:cs="Times New Roman"/>
          <w:kern w:val="0"/>
          <w:lang w:val="fr-FR" w:eastAsia="en-GB"/>
          <w14:ligatures w14:val="none"/>
        </w:rPr>
        <w:t>Available at: </w:t>
      </w:r>
      <w:hyperlink r:id="rId40" w:tgtFrame="_blank" w:history="1">
        <w:r w:rsidRPr="0014612F">
          <w:rPr>
            <w:rFonts w:ascii="Times New Roman" w:eastAsia="Times New Roman" w:hAnsi="Times New Roman" w:cs="Times New Roman"/>
            <w:kern w:val="0"/>
            <w:u w:val="single"/>
            <w:lang w:val="fr-FR" w:eastAsia="en-GB"/>
            <w14:ligatures w14:val="none"/>
          </w:rPr>
          <w:t>https://doi.org/10.53830/sing.00047.</w:t>
        </w:r>
      </w:hyperlink>
      <w:r w:rsidRPr="00BF1EF5">
        <w:rPr>
          <w:rFonts w:ascii="Times New Roman" w:eastAsia="Times New Roman" w:hAnsi="Times New Roman" w:cs="Times New Roman"/>
          <w:kern w:val="0"/>
          <w:lang w:eastAsia="en-GB"/>
          <w14:ligatures w14:val="none"/>
        </w:rPr>
        <w:t xml:space="preserve"> (Accessed 18/10/2024)</w:t>
      </w:r>
    </w:p>
    <w:p w14:paraId="4BE9BD99"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611B76DD"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Moore, S.M. (2024) ‘Unique Vulnerabilities for the Musical Theatre Performer’, </w:t>
      </w:r>
      <w:r w:rsidRPr="0014612F">
        <w:rPr>
          <w:rFonts w:ascii="Times New Roman" w:eastAsia="Times New Roman" w:hAnsi="Times New Roman" w:cs="Times New Roman"/>
          <w:i/>
          <w:iCs/>
          <w:kern w:val="0"/>
          <w:lang w:eastAsia="en-GB"/>
          <w14:ligatures w14:val="none"/>
        </w:rPr>
        <w:t>Journal of singing</w:t>
      </w:r>
      <w:r w:rsidRPr="0014612F">
        <w:rPr>
          <w:rFonts w:ascii="Times New Roman" w:eastAsia="Times New Roman" w:hAnsi="Times New Roman" w:cs="Times New Roman"/>
          <w:kern w:val="0"/>
          <w:lang w:eastAsia="en-GB"/>
          <w14:ligatures w14:val="none"/>
        </w:rPr>
        <w:t>, 81(1), pp. 25–31. Available at: </w:t>
      </w:r>
      <w:hyperlink r:id="rId41" w:tgtFrame="_blank" w:history="1">
        <w:r w:rsidRPr="0014612F">
          <w:rPr>
            <w:rFonts w:ascii="Times New Roman" w:eastAsia="Times New Roman" w:hAnsi="Times New Roman" w:cs="Times New Roman"/>
            <w:kern w:val="0"/>
            <w:u w:val="single"/>
            <w:lang w:eastAsia="en-GB"/>
            <w14:ligatures w14:val="none"/>
          </w:rPr>
          <w:t>https://doi.org/10.53830/sing.00059</w:t>
        </w:r>
      </w:hyperlink>
      <w:r w:rsidRPr="0014612F">
        <w:rPr>
          <w:rFonts w:ascii="Times New Roman" w:eastAsia="Times New Roman" w:hAnsi="Times New Roman" w:cs="Times New Roman"/>
          <w:kern w:val="0"/>
          <w:lang w:eastAsia="en-GB"/>
          <w14:ligatures w14:val="none"/>
        </w:rPr>
        <w:t>.</w:t>
      </w:r>
      <w:r w:rsidRPr="00BF1EF5">
        <w:rPr>
          <w:rFonts w:ascii="Times New Roman" w:eastAsia="Times New Roman" w:hAnsi="Times New Roman" w:cs="Times New Roman"/>
          <w:kern w:val="0"/>
          <w:lang w:eastAsia="en-GB"/>
          <w14:ligatures w14:val="none"/>
        </w:rPr>
        <w:t xml:space="preserve"> (Accessed 14/09/2024)</w:t>
      </w:r>
    </w:p>
    <w:p w14:paraId="75ABE5C8"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5E9B2044"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Mürbe, D. </w:t>
      </w:r>
      <w:r w:rsidRPr="0014612F">
        <w:rPr>
          <w:rFonts w:ascii="Times New Roman" w:eastAsia="Times New Roman" w:hAnsi="Times New Roman" w:cs="Times New Roman"/>
          <w:i/>
          <w:iCs/>
          <w:kern w:val="0"/>
          <w:lang w:eastAsia="en-GB"/>
          <w14:ligatures w14:val="none"/>
        </w:rPr>
        <w:t>et al.</w:t>
      </w:r>
      <w:r w:rsidRPr="0014612F">
        <w:rPr>
          <w:rFonts w:ascii="Times New Roman" w:eastAsia="Times New Roman" w:hAnsi="Times New Roman" w:cs="Times New Roman"/>
          <w:kern w:val="0"/>
          <w:lang w:eastAsia="en-GB"/>
          <w14:ligatures w14:val="none"/>
        </w:rPr>
        <w:t> (2004) ‘Effects of a professional solo singer education on auditory and kinesthetic feedback—a longitudinal study of singers’ pitch control’, </w:t>
      </w:r>
      <w:r w:rsidRPr="0014612F">
        <w:rPr>
          <w:rFonts w:ascii="Times New Roman" w:eastAsia="Times New Roman" w:hAnsi="Times New Roman" w:cs="Times New Roman"/>
          <w:i/>
          <w:iCs/>
          <w:kern w:val="0"/>
          <w:lang w:eastAsia="en-GB"/>
          <w14:ligatures w14:val="none"/>
        </w:rPr>
        <w:t>Journal of voice</w:t>
      </w:r>
      <w:r w:rsidRPr="0014612F">
        <w:rPr>
          <w:rFonts w:ascii="Times New Roman" w:eastAsia="Times New Roman" w:hAnsi="Times New Roman" w:cs="Times New Roman"/>
          <w:kern w:val="0"/>
          <w:lang w:eastAsia="en-GB"/>
          <w14:ligatures w14:val="none"/>
        </w:rPr>
        <w:t>, 18(2), pp. 236–241. Available at: </w:t>
      </w:r>
      <w:hyperlink r:id="rId42" w:tgtFrame="_blank" w:history="1">
        <w:r w:rsidRPr="0014612F">
          <w:rPr>
            <w:rFonts w:ascii="Times New Roman" w:eastAsia="Times New Roman" w:hAnsi="Times New Roman" w:cs="Times New Roman"/>
            <w:kern w:val="0"/>
            <w:u w:val="single"/>
            <w:lang w:eastAsia="en-GB"/>
            <w14:ligatures w14:val="none"/>
          </w:rPr>
          <w:t>https://doi.org/10.1016/j.jvoice.2003.05.001</w:t>
        </w:r>
      </w:hyperlink>
      <w:r w:rsidRPr="00BF1EF5">
        <w:rPr>
          <w:rFonts w:ascii="Times New Roman" w:eastAsia="Times New Roman" w:hAnsi="Times New Roman" w:cs="Times New Roman"/>
          <w:kern w:val="0"/>
          <w:lang w:eastAsia="en-GB"/>
          <w14:ligatures w14:val="none"/>
        </w:rPr>
        <w:t xml:space="preserve"> (Accessed 18/10/2024)</w:t>
      </w:r>
    </w:p>
    <w:p w14:paraId="0031BF3A"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F81C47A"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Nafisi, Julia S.A. (2014) ‘Gestures and body-movements in the teaching of singing: A survey into current practice in Australia and Germany’, </w:t>
      </w:r>
      <w:r w:rsidRPr="0014612F">
        <w:rPr>
          <w:rFonts w:ascii="Times New Roman" w:eastAsia="Times New Roman" w:hAnsi="Times New Roman" w:cs="Times New Roman"/>
          <w:i/>
          <w:iCs/>
          <w:kern w:val="0"/>
          <w:lang w:eastAsia="en-GB"/>
          <w14:ligatures w14:val="none"/>
        </w:rPr>
        <w:t>Australian journal of music education</w:t>
      </w:r>
      <w:r w:rsidRPr="0014612F">
        <w:rPr>
          <w:rFonts w:ascii="Times New Roman" w:eastAsia="Times New Roman" w:hAnsi="Times New Roman" w:cs="Times New Roman"/>
          <w:kern w:val="0"/>
          <w:lang w:eastAsia="en-GB"/>
          <w14:ligatures w14:val="none"/>
        </w:rPr>
        <w:t>, (1), pp. 77–93.</w:t>
      </w:r>
    </w:p>
    <w:p w14:paraId="005B3CD7"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4739AEA5"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Nichols, B., Hua, A. and Wang, Z. (2023) ‘Defining “happy” in happy birthday: Singing accuracy a construct based on range and intervals’, </w:t>
      </w:r>
      <w:r w:rsidRPr="0014612F">
        <w:rPr>
          <w:rFonts w:ascii="Times New Roman" w:eastAsia="Times New Roman" w:hAnsi="Times New Roman" w:cs="Times New Roman"/>
          <w:i/>
          <w:iCs/>
          <w:kern w:val="0"/>
          <w:lang w:eastAsia="en-GB"/>
          <w14:ligatures w14:val="none"/>
        </w:rPr>
        <w:t>Psychology of music</w:t>
      </w:r>
      <w:r w:rsidRPr="0014612F">
        <w:rPr>
          <w:rFonts w:ascii="Times New Roman" w:eastAsia="Times New Roman" w:hAnsi="Times New Roman" w:cs="Times New Roman"/>
          <w:kern w:val="0"/>
          <w:lang w:eastAsia="en-GB"/>
          <w14:ligatures w14:val="none"/>
        </w:rPr>
        <w:t>, 51(4), pp. 1414–1423. Available at: </w:t>
      </w:r>
      <w:hyperlink r:id="rId43" w:tgtFrame="_blank" w:history="1">
        <w:r w:rsidRPr="0014612F">
          <w:rPr>
            <w:rFonts w:ascii="Times New Roman" w:eastAsia="Times New Roman" w:hAnsi="Times New Roman" w:cs="Times New Roman"/>
            <w:kern w:val="0"/>
            <w:u w:val="single"/>
            <w:lang w:eastAsia="en-GB"/>
            <w14:ligatures w14:val="none"/>
          </w:rPr>
          <w:t>https://doi.org/10.1177/03057356221137932</w:t>
        </w:r>
      </w:hyperlink>
      <w:r w:rsidRPr="00BF1EF5">
        <w:rPr>
          <w:rFonts w:ascii="Times New Roman" w:eastAsia="Times New Roman" w:hAnsi="Times New Roman" w:cs="Times New Roman"/>
          <w:kern w:val="0"/>
          <w:lang w:eastAsia="en-GB"/>
          <w14:ligatures w14:val="none"/>
        </w:rPr>
        <w:t xml:space="preserve"> (Accessed 06/07/2024)</w:t>
      </w:r>
    </w:p>
    <w:p w14:paraId="0AEDD83A"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618CECCE"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Paney, A.S. and Tharp, K.L. (2021) ‘The effect of concurrent visual feedback on adult singing accuracy’, </w:t>
      </w:r>
      <w:r w:rsidRPr="0014612F">
        <w:rPr>
          <w:rFonts w:ascii="Times New Roman" w:eastAsia="Times New Roman" w:hAnsi="Times New Roman" w:cs="Times New Roman"/>
          <w:i/>
          <w:iCs/>
          <w:kern w:val="0"/>
          <w:lang w:eastAsia="en-GB"/>
          <w14:ligatures w14:val="none"/>
        </w:rPr>
        <w:t>Psychology of music</w:t>
      </w:r>
      <w:r w:rsidRPr="0014612F">
        <w:rPr>
          <w:rFonts w:ascii="Times New Roman" w:eastAsia="Times New Roman" w:hAnsi="Times New Roman" w:cs="Times New Roman"/>
          <w:kern w:val="0"/>
          <w:lang w:eastAsia="en-GB"/>
          <w14:ligatures w14:val="none"/>
        </w:rPr>
        <w:t>, 49(3), pp. 360–370. Available at: </w:t>
      </w:r>
      <w:hyperlink r:id="rId44" w:tgtFrame="_blank" w:history="1">
        <w:r w:rsidRPr="0014612F">
          <w:rPr>
            <w:rFonts w:ascii="Times New Roman" w:eastAsia="Times New Roman" w:hAnsi="Times New Roman" w:cs="Times New Roman"/>
            <w:kern w:val="0"/>
            <w:u w:val="single"/>
            <w:lang w:eastAsia="en-GB"/>
            <w14:ligatures w14:val="none"/>
          </w:rPr>
          <w:t>https://doi.org/10.1177/0305735619854534</w:t>
        </w:r>
      </w:hyperlink>
      <w:r w:rsidRPr="00BF1EF5">
        <w:rPr>
          <w:rFonts w:ascii="Times New Roman" w:eastAsia="Times New Roman" w:hAnsi="Times New Roman" w:cs="Times New Roman"/>
          <w:kern w:val="0"/>
          <w:lang w:eastAsia="en-GB"/>
          <w14:ligatures w14:val="none"/>
        </w:rPr>
        <w:t xml:space="preserve"> (Accessed 18/10/2024)</w:t>
      </w:r>
    </w:p>
    <w:p w14:paraId="76657C77"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2E64D512"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lastRenderedPageBreak/>
        <w:t>Pennycook, G., Ross, R., Koehler. Derek, J. (2017) ‘Dunning–Kruger effects in reasoning: Theoretical implications of the failure to recognize incompetence’, </w:t>
      </w:r>
      <w:r w:rsidRPr="0014612F">
        <w:rPr>
          <w:rFonts w:ascii="Times New Roman" w:eastAsia="Times New Roman" w:hAnsi="Times New Roman" w:cs="Times New Roman"/>
          <w:i/>
          <w:iCs/>
          <w:kern w:val="0"/>
          <w:lang w:eastAsia="en-GB"/>
          <w14:ligatures w14:val="none"/>
        </w:rPr>
        <w:t>Psychonomic bulletin &amp; review</w:t>
      </w:r>
      <w:r w:rsidRPr="0014612F">
        <w:rPr>
          <w:rFonts w:ascii="Times New Roman" w:eastAsia="Times New Roman" w:hAnsi="Times New Roman" w:cs="Times New Roman"/>
          <w:kern w:val="0"/>
          <w:lang w:eastAsia="en-GB"/>
          <w14:ligatures w14:val="none"/>
        </w:rPr>
        <w:t>, 24(6), pp. 1774–1784. Available at: </w:t>
      </w:r>
      <w:hyperlink r:id="rId45" w:tgtFrame="_blank" w:history="1">
        <w:r w:rsidRPr="0014612F">
          <w:rPr>
            <w:rFonts w:ascii="Times New Roman" w:eastAsia="Times New Roman" w:hAnsi="Times New Roman" w:cs="Times New Roman"/>
            <w:kern w:val="0"/>
            <w:u w:val="single"/>
            <w:lang w:eastAsia="en-GB"/>
            <w14:ligatures w14:val="none"/>
          </w:rPr>
          <w:t>https://doi.org/10.3758/s13423-017-1242-7</w:t>
        </w:r>
      </w:hyperlink>
      <w:r w:rsidRPr="0014612F">
        <w:rPr>
          <w:rFonts w:ascii="Times New Roman" w:eastAsia="Times New Roman" w:hAnsi="Times New Roman" w:cs="Times New Roman"/>
          <w:kern w:val="0"/>
          <w:lang w:eastAsia="en-GB"/>
          <w14:ligatures w14:val="none"/>
        </w:rPr>
        <w:t>.</w:t>
      </w:r>
      <w:r w:rsidRPr="00BF1EF5">
        <w:rPr>
          <w:rFonts w:ascii="Times New Roman" w:eastAsia="Times New Roman" w:hAnsi="Times New Roman" w:cs="Times New Roman"/>
          <w:kern w:val="0"/>
          <w:lang w:eastAsia="en-GB"/>
          <w14:ligatures w14:val="none"/>
        </w:rPr>
        <w:t xml:space="preserve"> (Accessed 12/10/2024)</w:t>
      </w:r>
    </w:p>
    <w:p w14:paraId="6D4EE67B"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6ECFFD0"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Peretz, I. and Coltheart, M. (2003). </w:t>
      </w:r>
      <w:r w:rsidRPr="0014612F">
        <w:rPr>
          <w:rFonts w:ascii="Times New Roman" w:eastAsia="Times New Roman" w:hAnsi="Times New Roman" w:cs="Times New Roman"/>
          <w:i/>
          <w:iCs/>
          <w:kern w:val="0"/>
          <w:lang w:eastAsia="en-GB"/>
          <w14:ligatures w14:val="none"/>
        </w:rPr>
        <w:t>Modularity of music processing</w:t>
      </w:r>
      <w:r w:rsidRPr="0014612F">
        <w:rPr>
          <w:rFonts w:ascii="Times New Roman" w:eastAsia="Times New Roman" w:hAnsi="Times New Roman" w:cs="Times New Roman"/>
          <w:kern w:val="0"/>
          <w:lang w:eastAsia="en-GB"/>
          <w14:ligatures w14:val="none"/>
        </w:rPr>
        <w:t>. Nature Neuroscience 6: 688–691. </w:t>
      </w:r>
      <w:hyperlink r:id="rId46" w:tgtFrame="_blank" w:history="1">
        <w:r w:rsidRPr="0014612F">
          <w:rPr>
            <w:rFonts w:ascii="Times New Roman" w:eastAsia="Times New Roman" w:hAnsi="Times New Roman" w:cs="Times New Roman"/>
            <w:kern w:val="0"/>
            <w:u w:val="single"/>
            <w:lang w:val="fr-FR" w:eastAsia="en-GB"/>
            <w14:ligatures w14:val="none"/>
          </w:rPr>
          <w:t>https://www.nature.com/articles/nn1083</w:t>
        </w:r>
      </w:hyperlink>
      <w:r w:rsidRPr="0014612F">
        <w:rPr>
          <w:rFonts w:ascii="Times New Roman" w:eastAsia="Times New Roman" w:hAnsi="Times New Roman" w:cs="Times New Roman"/>
          <w:kern w:val="0"/>
          <w:lang w:val="fr-FR" w:eastAsia="en-GB"/>
          <w14:ligatures w14:val="none"/>
        </w:rPr>
        <w:t> </w:t>
      </w:r>
      <w:r w:rsidRPr="0014612F">
        <w:rPr>
          <w:rFonts w:ascii="Times New Roman" w:eastAsia="Times New Roman" w:hAnsi="Times New Roman" w:cs="Times New Roman"/>
          <w:kern w:val="0"/>
          <w:lang w:eastAsia="en-GB"/>
          <w14:ligatures w14:val="none"/>
        </w:rPr>
        <w:t>(</w:t>
      </w:r>
      <w:r w:rsidRPr="00BF1EF5">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ccessed 18/09/24)</w:t>
      </w:r>
    </w:p>
    <w:p w14:paraId="4D1E7D3E"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25B79395"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Peretz, I., Ayotte, J., Zatorre, R.J., Mehler, J., Ahad, P., Penhune, V.B., et al. (2002). </w:t>
      </w:r>
      <w:r w:rsidRPr="0014612F">
        <w:rPr>
          <w:rFonts w:ascii="Times New Roman" w:eastAsia="Times New Roman" w:hAnsi="Times New Roman" w:cs="Times New Roman"/>
          <w:i/>
          <w:iCs/>
          <w:kern w:val="0"/>
          <w:lang w:eastAsia="en-GB"/>
          <w14:ligatures w14:val="none"/>
        </w:rPr>
        <w:t>Congenital amusia: A disorder of fine-grained pitch discrimination. </w:t>
      </w:r>
      <w:r w:rsidRPr="0014612F">
        <w:rPr>
          <w:rFonts w:ascii="Times New Roman" w:eastAsia="Times New Roman" w:hAnsi="Times New Roman" w:cs="Times New Roman"/>
          <w:i/>
          <w:iCs/>
          <w:kern w:val="0"/>
          <w:bdr w:val="none" w:sz="0" w:space="0" w:color="auto" w:frame="1"/>
          <w:lang w:eastAsia="en-GB"/>
          <w14:ligatures w14:val="none"/>
        </w:rPr>
        <w:t>Brain</w:t>
      </w:r>
      <w:r w:rsidRPr="0014612F">
        <w:rPr>
          <w:rFonts w:ascii="Times New Roman" w:eastAsia="Times New Roman" w:hAnsi="Times New Roman" w:cs="Times New Roman"/>
          <w:kern w:val="0"/>
          <w:lang w:eastAsia="en-GB"/>
          <w14:ligatures w14:val="none"/>
        </w:rPr>
        <w:t>, Volume 125, Issue 2, 1 February 2002, Pages 238–251, </w:t>
      </w:r>
      <w:hyperlink r:id="rId47" w:tgtFrame="_blank" w:history="1">
        <w:r w:rsidRPr="0014612F">
          <w:rPr>
            <w:rFonts w:ascii="Times New Roman" w:eastAsia="Times New Roman" w:hAnsi="Times New Roman" w:cs="Times New Roman"/>
            <w:kern w:val="0"/>
            <w:u w:val="single"/>
            <w:bdr w:val="none" w:sz="0" w:space="0" w:color="auto" w:frame="1"/>
            <w:lang w:eastAsia="en-GB"/>
            <w14:ligatures w14:val="none"/>
          </w:rPr>
          <w:t>https://doi.org/10.1093/brain/awf028</w:t>
        </w:r>
      </w:hyperlink>
      <w:r w:rsidRPr="0014612F">
        <w:rPr>
          <w:rFonts w:ascii="Times New Roman" w:eastAsia="Times New Roman" w:hAnsi="Times New Roman" w:cs="Times New Roman"/>
          <w:kern w:val="0"/>
          <w:lang w:eastAsia="en-GB"/>
          <w14:ligatures w14:val="none"/>
        </w:rPr>
        <w:t> (</w:t>
      </w:r>
      <w:r w:rsidRPr="00BF1EF5">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ccessed 20/09/24)</w:t>
      </w:r>
    </w:p>
    <w:p w14:paraId="0EA58FBA"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08788D3"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Pfordresher, P.Q. and Demorest, S.M. (2021) ‘The Prevalence and Correlates of Accurate Singing’, </w:t>
      </w:r>
      <w:r w:rsidRPr="0014612F">
        <w:rPr>
          <w:rFonts w:ascii="Times New Roman" w:eastAsia="Times New Roman" w:hAnsi="Times New Roman" w:cs="Times New Roman"/>
          <w:i/>
          <w:iCs/>
          <w:kern w:val="0"/>
          <w:lang w:eastAsia="en-GB"/>
          <w14:ligatures w14:val="none"/>
        </w:rPr>
        <w:t>Journal of research in music education</w:t>
      </w:r>
      <w:r w:rsidRPr="0014612F">
        <w:rPr>
          <w:rFonts w:ascii="Times New Roman" w:eastAsia="Times New Roman" w:hAnsi="Times New Roman" w:cs="Times New Roman"/>
          <w:kern w:val="0"/>
          <w:lang w:eastAsia="en-GB"/>
          <w14:ligatures w14:val="none"/>
        </w:rPr>
        <w:t>, 69(1), pp. 5–23. Available at: </w:t>
      </w:r>
      <w:hyperlink r:id="rId48" w:tgtFrame="_blank" w:history="1">
        <w:r w:rsidRPr="0014612F">
          <w:rPr>
            <w:rFonts w:ascii="Times New Roman" w:eastAsia="Times New Roman" w:hAnsi="Times New Roman" w:cs="Times New Roman"/>
            <w:kern w:val="0"/>
            <w:u w:val="single"/>
            <w:lang w:eastAsia="en-GB"/>
            <w14:ligatures w14:val="none"/>
          </w:rPr>
          <w:t>https://doi.org/10.1177/0022429420951630</w:t>
        </w:r>
      </w:hyperlink>
      <w:r w:rsidRPr="00BF1EF5">
        <w:rPr>
          <w:rFonts w:ascii="Times New Roman" w:eastAsia="Times New Roman" w:hAnsi="Times New Roman" w:cs="Times New Roman"/>
          <w:kern w:val="0"/>
          <w:lang w:eastAsia="en-GB"/>
          <w14:ligatures w14:val="none"/>
        </w:rPr>
        <w:t xml:space="preserve"> (Accessed 18/09/2024)</w:t>
      </w:r>
    </w:p>
    <w:p w14:paraId="6A98A73E" w14:textId="77777777" w:rsidR="00FA6A6D" w:rsidRDefault="00FA6A6D" w:rsidP="00FA6A6D">
      <w:pPr>
        <w:shd w:val="clear" w:color="auto" w:fill="FFFFFF"/>
        <w:spacing w:after="0" w:line="240" w:lineRule="auto"/>
        <w:ind w:left="-360"/>
        <w:rPr>
          <w:rFonts w:ascii="Times New Roman" w:eastAsia="Times New Roman" w:hAnsi="Times New Roman" w:cs="Times New Roman"/>
          <w:kern w:val="0"/>
          <w:lang w:eastAsia="en-GB"/>
          <w14:ligatures w14:val="none"/>
        </w:rPr>
      </w:pPr>
    </w:p>
    <w:p w14:paraId="7D54F63F"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Pfordresher, P.Q. and Halpern, A.R. (2013) ‘Auditory imagery and the poor-pitch singer’, </w:t>
      </w:r>
      <w:r w:rsidRPr="0014612F">
        <w:rPr>
          <w:rFonts w:ascii="Times New Roman" w:eastAsia="Times New Roman" w:hAnsi="Times New Roman" w:cs="Times New Roman"/>
          <w:i/>
          <w:iCs/>
          <w:kern w:val="0"/>
          <w:lang w:eastAsia="en-GB"/>
          <w14:ligatures w14:val="none"/>
        </w:rPr>
        <w:t>Psychonomic bulletin &amp; review</w:t>
      </w:r>
      <w:r w:rsidRPr="0014612F">
        <w:rPr>
          <w:rFonts w:ascii="Times New Roman" w:eastAsia="Times New Roman" w:hAnsi="Times New Roman" w:cs="Times New Roman"/>
          <w:kern w:val="0"/>
          <w:lang w:eastAsia="en-GB"/>
          <w14:ligatures w14:val="none"/>
        </w:rPr>
        <w:t>, 20(4), pp. 747–753. Available at: </w:t>
      </w:r>
      <w:hyperlink r:id="rId49" w:tgtFrame="_blank" w:history="1">
        <w:r w:rsidRPr="0014612F">
          <w:rPr>
            <w:rFonts w:ascii="Times New Roman" w:eastAsia="Times New Roman" w:hAnsi="Times New Roman" w:cs="Times New Roman"/>
            <w:kern w:val="0"/>
            <w:u w:val="single"/>
            <w:lang w:eastAsia="en-GB"/>
            <w14:ligatures w14:val="none"/>
          </w:rPr>
          <w:t>https://doi.org/10.3758/s13423-013-0401-8</w:t>
        </w:r>
      </w:hyperlink>
      <w:r w:rsidRPr="00BF1EF5">
        <w:rPr>
          <w:rFonts w:ascii="Times New Roman" w:eastAsia="Times New Roman" w:hAnsi="Times New Roman" w:cs="Times New Roman"/>
          <w:kern w:val="0"/>
          <w:lang w:eastAsia="en-GB"/>
          <w14:ligatures w14:val="none"/>
        </w:rPr>
        <w:t xml:space="preserve"> (Accessed 12/10/2024)</w:t>
      </w:r>
    </w:p>
    <w:p w14:paraId="3F77DCCD" w14:textId="77777777" w:rsidR="00FA6A6D" w:rsidRPr="00BF1EF5" w:rsidRDefault="00FA6A6D" w:rsidP="00FA6A6D">
      <w:pPr>
        <w:spacing w:after="0" w:line="240" w:lineRule="auto"/>
        <w:rPr>
          <w:rFonts w:ascii="Times New Roman" w:eastAsia="Times New Roman" w:hAnsi="Times New Roman" w:cs="Times New Roman"/>
          <w:kern w:val="0"/>
          <w:lang w:eastAsia="en-GB"/>
          <w14:ligatures w14:val="none"/>
        </w:rPr>
      </w:pPr>
      <w:r w:rsidRPr="00E673E1">
        <w:rPr>
          <w:rFonts w:ascii="Times New Roman" w:eastAsia="Times New Roman" w:hAnsi="Times New Roman" w:cs="Times New Roman"/>
          <w:kern w:val="0"/>
          <w:lang w:eastAsia="en-GB"/>
          <w14:ligatures w14:val="none"/>
        </w:rPr>
        <w:t xml:space="preserve"> </w:t>
      </w:r>
      <w:r w:rsidRPr="00E673E1">
        <w:rPr>
          <w:rFonts w:ascii="Times New Roman" w:eastAsia="Times New Roman" w:hAnsi="Times New Roman" w:cs="Times New Roman"/>
          <w:kern w:val="0"/>
          <w:lang w:eastAsia="en-GB"/>
          <w14:ligatures w14:val="none"/>
        </w:rPr>
        <w:br/>
        <w:t xml:space="preserve">Pfordresher, P.Q. et al. (2010) “Imprecise singing is widespread,” The Journal of the Acoustical Society of America. Acoustical Society of America, p. 2182. doi:10.1121/1.3478782. </w:t>
      </w:r>
    </w:p>
    <w:p w14:paraId="745E7F82"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684E92AA"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SalehifardeFard, M., Hoseini, F.S. and Dehgani, Y. (2021) ‘An Inquiry into The Development of the Self-Conscious Emotions of Shame and Guilt in Primary School Students: The Role of Parenting Dimensions, Child’s Mood, and Self-Concept’, </w:t>
      </w:r>
      <w:r w:rsidRPr="0014612F">
        <w:rPr>
          <w:rFonts w:ascii="Times New Roman" w:eastAsia="Times New Roman" w:hAnsi="Times New Roman" w:cs="Times New Roman"/>
          <w:i/>
          <w:iCs/>
          <w:kern w:val="0"/>
          <w:lang w:eastAsia="en-GB"/>
          <w14:ligatures w14:val="none"/>
        </w:rPr>
        <w:t>Iranian Evolutionary Educational Psychology Journal</w:t>
      </w:r>
      <w:r w:rsidRPr="0014612F">
        <w:rPr>
          <w:rFonts w:ascii="Times New Roman" w:eastAsia="Times New Roman" w:hAnsi="Times New Roman" w:cs="Times New Roman"/>
          <w:kern w:val="0"/>
          <w:lang w:eastAsia="en-GB"/>
          <w14:ligatures w14:val="none"/>
        </w:rPr>
        <w:t>, 3(3), pp. 292–305. Available at: </w:t>
      </w:r>
      <w:hyperlink r:id="rId50" w:tgtFrame="_blank" w:history="1">
        <w:r w:rsidRPr="0014612F">
          <w:rPr>
            <w:rFonts w:ascii="Times New Roman" w:eastAsia="Times New Roman" w:hAnsi="Times New Roman" w:cs="Times New Roman"/>
            <w:kern w:val="0"/>
            <w:u w:val="single"/>
            <w:lang w:eastAsia="en-GB"/>
            <w14:ligatures w14:val="none"/>
          </w:rPr>
          <w:t>https://doi.org/10.52547/ieepj.3.3.292</w:t>
        </w:r>
      </w:hyperlink>
      <w:r w:rsidRPr="0014612F">
        <w:rPr>
          <w:rFonts w:ascii="Times New Roman" w:eastAsia="Times New Roman" w:hAnsi="Times New Roman" w:cs="Times New Roman"/>
          <w:kern w:val="0"/>
          <w:lang w:eastAsia="en-GB"/>
          <w14:ligatures w14:val="none"/>
        </w:rPr>
        <w:t>.</w:t>
      </w:r>
      <w:r w:rsidRPr="00BF1EF5">
        <w:rPr>
          <w:rFonts w:ascii="Times New Roman" w:eastAsia="Times New Roman" w:hAnsi="Times New Roman" w:cs="Times New Roman"/>
          <w:kern w:val="0"/>
          <w:lang w:eastAsia="en-GB"/>
          <w14:ligatures w14:val="none"/>
        </w:rPr>
        <w:t xml:space="preserve"> (Accessed 14/10/2024)</w:t>
      </w:r>
    </w:p>
    <w:p w14:paraId="295D6817"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7F6EF625"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Scheurich, R., Pfordresher, P.Q. and Palmer, C. (2020) ‘Musical training enhances temporal adaptation of auditory-motor synchronization’, </w:t>
      </w:r>
      <w:r w:rsidRPr="0014612F">
        <w:rPr>
          <w:rFonts w:ascii="Times New Roman" w:eastAsia="Times New Roman" w:hAnsi="Times New Roman" w:cs="Times New Roman"/>
          <w:i/>
          <w:iCs/>
          <w:kern w:val="0"/>
          <w:lang w:eastAsia="en-GB"/>
          <w14:ligatures w14:val="none"/>
        </w:rPr>
        <w:t>Experimental brain research</w:t>
      </w:r>
      <w:r w:rsidRPr="0014612F">
        <w:rPr>
          <w:rFonts w:ascii="Times New Roman" w:eastAsia="Times New Roman" w:hAnsi="Times New Roman" w:cs="Times New Roman"/>
          <w:kern w:val="0"/>
          <w:lang w:eastAsia="en-GB"/>
          <w14:ligatures w14:val="none"/>
        </w:rPr>
        <w:t>, 238(1), pp. 81–92. Available at: </w:t>
      </w:r>
      <w:hyperlink r:id="rId51" w:tgtFrame="_blank" w:history="1">
        <w:r w:rsidRPr="0014612F">
          <w:rPr>
            <w:rFonts w:ascii="Times New Roman" w:eastAsia="Times New Roman" w:hAnsi="Times New Roman" w:cs="Times New Roman"/>
            <w:kern w:val="0"/>
            <w:u w:val="single"/>
            <w:lang w:eastAsia="en-GB"/>
            <w14:ligatures w14:val="none"/>
          </w:rPr>
          <w:t>https://doi.org/10.1007/s00221-019-05692-y</w:t>
        </w:r>
      </w:hyperlink>
      <w:r w:rsidRPr="00BF1EF5">
        <w:rPr>
          <w:rFonts w:ascii="Times New Roman" w:eastAsia="Times New Roman" w:hAnsi="Times New Roman" w:cs="Times New Roman"/>
          <w:kern w:val="0"/>
          <w:lang w:eastAsia="en-GB"/>
          <w14:ligatures w14:val="none"/>
        </w:rPr>
        <w:t xml:space="preserve"> (Accessed 18/10/2024)</w:t>
      </w:r>
    </w:p>
    <w:p w14:paraId="5EE5E7B2"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34F6740D"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Schön, D.A. (1991) </w:t>
      </w:r>
      <w:r w:rsidRPr="0014612F">
        <w:rPr>
          <w:rFonts w:ascii="Times New Roman" w:eastAsia="Times New Roman" w:hAnsi="Times New Roman" w:cs="Times New Roman"/>
          <w:i/>
          <w:iCs/>
          <w:kern w:val="0"/>
          <w:lang w:eastAsia="en-GB"/>
          <w14:ligatures w14:val="none"/>
        </w:rPr>
        <w:t>The reflective practitioner</w:t>
      </w:r>
      <w:r w:rsidRPr="0014612F">
        <w:rPr>
          <w:rFonts w:ascii="Times New Roman" w:eastAsia="Times New Roman" w:hAnsi="Times New Roman" w:cs="Times New Roman"/>
          <w:kern w:val="0"/>
          <w:lang w:eastAsia="en-GB"/>
          <w14:ligatures w14:val="none"/>
        </w:rPr>
        <w:t>. Aldershot: Avebury.</w:t>
      </w:r>
    </w:p>
    <w:p w14:paraId="6DCEEF23"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Schunk, D.H. and DiBenedetto, M.K. (2020) ‘Motivation and social cognitive theory’, </w:t>
      </w:r>
      <w:r w:rsidRPr="0014612F">
        <w:rPr>
          <w:rFonts w:ascii="Times New Roman" w:eastAsia="Times New Roman" w:hAnsi="Times New Roman" w:cs="Times New Roman"/>
          <w:i/>
          <w:iCs/>
          <w:kern w:val="0"/>
          <w:lang w:eastAsia="en-GB"/>
          <w14:ligatures w14:val="none"/>
        </w:rPr>
        <w:t>Contemporary educational psychology</w:t>
      </w:r>
      <w:r w:rsidRPr="0014612F">
        <w:rPr>
          <w:rFonts w:ascii="Times New Roman" w:eastAsia="Times New Roman" w:hAnsi="Times New Roman" w:cs="Times New Roman"/>
          <w:kern w:val="0"/>
          <w:lang w:eastAsia="en-GB"/>
          <w14:ligatures w14:val="none"/>
        </w:rPr>
        <w:t>, 60, pp. 101832-. Available at: </w:t>
      </w:r>
      <w:hyperlink r:id="rId52" w:tgtFrame="_blank" w:history="1">
        <w:r w:rsidRPr="0014612F">
          <w:rPr>
            <w:rFonts w:ascii="Times New Roman" w:eastAsia="Times New Roman" w:hAnsi="Times New Roman" w:cs="Times New Roman"/>
            <w:kern w:val="0"/>
            <w:u w:val="single"/>
            <w:lang w:eastAsia="en-GB"/>
            <w14:ligatures w14:val="none"/>
          </w:rPr>
          <w:t>https://doi.org/10.1016/j.cedpsych.2019.101832</w:t>
        </w:r>
      </w:hyperlink>
      <w:r w:rsidRPr="00BF1EF5">
        <w:rPr>
          <w:rFonts w:ascii="Times New Roman" w:eastAsia="Times New Roman" w:hAnsi="Times New Roman" w:cs="Times New Roman"/>
          <w:kern w:val="0"/>
          <w:lang w:eastAsia="en-GB"/>
          <w14:ligatures w14:val="none"/>
        </w:rPr>
        <w:t xml:space="preserve"> (Accessed 20/06/2024)</w:t>
      </w:r>
    </w:p>
    <w:p w14:paraId="36B8F871"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711FE216"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Shewell, C. (2009) ‘Peer Reviewed Article The Voice Skills Perceptual Profile: A Practical Tool for Voice Teachers’, </w:t>
      </w:r>
      <w:r w:rsidRPr="0014612F">
        <w:rPr>
          <w:rFonts w:ascii="Times New Roman" w:eastAsia="Times New Roman" w:hAnsi="Times New Roman" w:cs="Times New Roman"/>
          <w:i/>
          <w:iCs/>
          <w:kern w:val="0"/>
          <w:lang w:eastAsia="en-GB"/>
          <w14:ligatures w14:val="none"/>
        </w:rPr>
        <w:t>Voice &amp; speech review</w:t>
      </w:r>
      <w:r w:rsidRPr="0014612F">
        <w:rPr>
          <w:rFonts w:ascii="Times New Roman" w:eastAsia="Times New Roman" w:hAnsi="Times New Roman" w:cs="Times New Roman"/>
          <w:kern w:val="0"/>
          <w:lang w:eastAsia="en-GB"/>
          <w14:ligatures w14:val="none"/>
        </w:rPr>
        <w:t>, 6(1), pp. 171–184. Available at: </w:t>
      </w:r>
      <w:hyperlink r:id="rId53" w:tgtFrame="_blank" w:history="1">
        <w:r w:rsidRPr="0014612F">
          <w:rPr>
            <w:rFonts w:ascii="Times New Roman" w:eastAsia="Times New Roman" w:hAnsi="Times New Roman" w:cs="Times New Roman"/>
            <w:kern w:val="0"/>
            <w:u w:val="single"/>
            <w:lang w:eastAsia="en-GB"/>
            <w14:ligatures w14:val="none"/>
          </w:rPr>
          <w:t>https://doi.org/10.1080/23268263.2009.10761519</w:t>
        </w:r>
      </w:hyperlink>
      <w:r w:rsidRPr="0014612F">
        <w:rPr>
          <w:rFonts w:ascii="Times New Roman" w:eastAsia="Times New Roman" w:hAnsi="Times New Roman" w:cs="Times New Roman"/>
          <w:kern w:val="0"/>
          <w:lang w:eastAsia="en-GB"/>
          <w14:ligatures w14:val="none"/>
        </w:rPr>
        <w:t>.</w:t>
      </w:r>
      <w:r w:rsidRPr="00BF1EF5">
        <w:rPr>
          <w:rFonts w:ascii="Times New Roman" w:eastAsia="Times New Roman" w:hAnsi="Times New Roman" w:cs="Times New Roman"/>
          <w:kern w:val="0"/>
          <w:lang w:eastAsia="en-GB"/>
          <w14:ligatures w14:val="none"/>
        </w:rPr>
        <w:t xml:space="preserve"> (Accessed 14/10/2024)</w:t>
      </w:r>
    </w:p>
    <w:p w14:paraId="6F315A6E"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5367124A"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Soleimanifar, S., Staisloff, H.E. and Aronoff, J.M., 2021, November. Lyrics provide a small benefit for singing accuracy. In </w:t>
      </w:r>
      <w:r w:rsidRPr="0014612F">
        <w:rPr>
          <w:rFonts w:ascii="Times New Roman" w:eastAsia="Times New Roman" w:hAnsi="Times New Roman" w:cs="Times New Roman"/>
          <w:i/>
          <w:iCs/>
          <w:kern w:val="0"/>
          <w:lang w:eastAsia="en-GB"/>
          <w14:ligatures w14:val="none"/>
        </w:rPr>
        <w:t>Proceedings of Meetings on Acoustics</w:t>
      </w:r>
      <w:r w:rsidRPr="0014612F">
        <w:rPr>
          <w:rFonts w:ascii="Times New Roman" w:eastAsia="Times New Roman" w:hAnsi="Times New Roman" w:cs="Times New Roman"/>
          <w:kern w:val="0"/>
          <w:lang w:eastAsia="en-GB"/>
          <w14:ligatures w14:val="none"/>
        </w:rPr>
        <w:t> (Vol. 45, No. 1). AIP Publishing.</w:t>
      </w:r>
    </w:p>
    <w:p w14:paraId="3435831D"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03F3CE66"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lastRenderedPageBreak/>
        <w:t>Sundberg, J. (2019) ‘The Singing Voice’, in Frühholz, S. and Belin, P. (eds) </w:t>
      </w:r>
      <w:r w:rsidRPr="0014612F">
        <w:rPr>
          <w:rFonts w:ascii="Times New Roman" w:eastAsia="Times New Roman" w:hAnsi="Times New Roman" w:cs="Times New Roman"/>
          <w:i/>
          <w:iCs/>
          <w:kern w:val="0"/>
          <w:lang w:eastAsia="en-GB"/>
          <w14:ligatures w14:val="none"/>
        </w:rPr>
        <w:t>The Oxford handbook of voice perception</w:t>
      </w:r>
      <w:r w:rsidRPr="0014612F">
        <w:rPr>
          <w:rFonts w:ascii="Times New Roman" w:eastAsia="Times New Roman" w:hAnsi="Times New Roman" w:cs="Times New Roman"/>
          <w:kern w:val="0"/>
          <w:lang w:eastAsia="en-GB"/>
          <w14:ligatures w14:val="none"/>
        </w:rPr>
        <w:t>. Oxford Library of Psychology, pp. 117–142. Available at: </w:t>
      </w:r>
      <w:hyperlink r:id="rId54" w:tgtFrame="_blank" w:history="1">
        <w:r w:rsidRPr="0014612F">
          <w:rPr>
            <w:rFonts w:ascii="Times New Roman" w:eastAsia="Times New Roman" w:hAnsi="Times New Roman" w:cs="Times New Roman"/>
            <w:kern w:val="0"/>
            <w:u w:val="single"/>
            <w:lang w:eastAsia="en-GB"/>
            <w14:ligatures w14:val="none"/>
          </w:rPr>
          <w:t>https://doi.org/10.1093/oxfordhb/9780198743187.013.6</w:t>
        </w:r>
      </w:hyperlink>
      <w:r w:rsidRPr="0014612F">
        <w:rPr>
          <w:rFonts w:ascii="Times New Roman" w:eastAsia="Times New Roman" w:hAnsi="Times New Roman" w:cs="Times New Roman"/>
          <w:kern w:val="0"/>
          <w:lang w:eastAsia="en-GB"/>
          <w14:ligatures w14:val="none"/>
        </w:rPr>
        <w:t> (Accessed: 11</w:t>
      </w:r>
      <w:r w:rsidRPr="00BF1EF5">
        <w:rPr>
          <w:rFonts w:ascii="Times New Roman" w:eastAsia="Times New Roman" w:hAnsi="Times New Roman" w:cs="Times New Roman"/>
          <w:kern w:val="0"/>
          <w:lang w:eastAsia="en-GB"/>
          <w14:ligatures w14:val="none"/>
        </w:rPr>
        <w:t>/10/</w:t>
      </w:r>
      <w:r w:rsidRPr="0014612F">
        <w:rPr>
          <w:rFonts w:ascii="Times New Roman" w:eastAsia="Times New Roman" w:hAnsi="Times New Roman" w:cs="Times New Roman"/>
          <w:kern w:val="0"/>
          <w:lang w:eastAsia="en-GB"/>
          <w14:ligatures w14:val="none"/>
        </w:rPr>
        <w:t>2024).</w:t>
      </w:r>
    </w:p>
    <w:p w14:paraId="3B41D0E2"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66F73FEC"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Tham, R. </w:t>
      </w:r>
      <w:r w:rsidRPr="0014612F">
        <w:rPr>
          <w:rFonts w:ascii="Times New Roman" w:eastAsia="Times New Roman" w:hAnsi="Times New Roman" w:cs="Times New Roman"/>
          <w:i/>
          <w:iCs/>
          <w:kern w:val="0"/>
          <w:lang w:eastAsia="en-GB"/>
          <w14:ligatures w14:val="none"/>
        </w:rPr>
        <w:t>et al.</w:t>
      </w:r>
      <w:r w:rsidRPr="0014612F">
        <w:rPr>
          <w:rFonts w:ascii="Times New Roman" w:eastAsia="Times New Roman" w:hAnsi="Times New Roman" w:cs="Times New Roman"/>
          <w:kern w:val="0"/>
          <w:lang w:eastAsia="en-GB"/>
          <w14:ligatures w14:val="none"/>
        </w:rPr>
        <w:t> (2019) ‘Translating education neuroscience for teachers’, </w:t>
      </w:r>
      <w:r w:rsidRPr="0014612F">
        <w:rPr>
          <w:rFonts w:ascii="Times New Roman" w:eastAsia="Times New Roman" w:hAnsi="Times New Roman" w:cs="Times New Roman"/>
          <w:i/>
          <w:iCs/>
          <w:kern w:val="0"/>
          <w:lang w:eastAsia="en-GB"/>
          <w14:ligatures w14:val="none"/>
        </w:rPr>
        <w:t>Learning (Abingdon (England))</w:t>
      </w:r>
      <w:r w:rsidRPr="0014612F">
        <w:rPr>
          <w:rFonts w:ascii="Times New Roman" w:eastAsia="Times New Roman" w:hAnsi="Times New Roman" w:cs="Times New Roman"/>
          <w:kern w:val="0"/>
          <w:lang w:eastAsia="en-GB"/>
          <w14:ligatures w14:val="none"/>
        </w:rPr>
        <w:t>, 5(2), pp. 149–173. Available at: </w:t>
      </w:r>
      <w:hyperlink r:id="rId55" w:tgtFrame="_blank" w:history="1">
        <w:r w:rsidRPr="0014612F">
          <w:rPr>
            <w:rFonts w:ascii="Times New Roman" w:eastAsia="Times New Roman" w:hAnsi="Times New Roman" w:cs="Times New Roman"/>
            <w:kern w:val="0"/>
            <w:u w:val="single"/>
            <w:lang w:eastAsia="en-GB"/>
            <w14:ligatures w14:val="none"/>
          </w:rPr>
          <w:t>https://doi.org/10.1080/23735082.2019.1674909</w:t>
        </w:r>
      </w:hyperlink>
      <w:r w:rsidRPr="0014612F">
        <w:rPr>
          <w:rFonts w:ascii="Times New Roman" w:eastAsia="Times New Roman" w:hAnsi="Times New Roman" w:cs="Times New Roman"/>
          <w:kern w:val="0"/>
          <w:lang w:eastAsia="en-GB"/>
          <w14:ligatures w14:val="none"/>
        </w:rPr>
        <w:t>.</w:t>
      </w:r>
      <w:r w:rsidRPr="00BF1EF5">
        <w:rPr>
          <w:rFonts w:ascii="Times New Roman" w:eastAsia="Times New Roman" w:hAnsi="Times New Roman" w:cs="Times New Roman"/>
          <w:kern w:val="0"/>
          <w:lang w:eastAsia="en-GB"/>
          <w14:ligatures w14:val="none"/>
        </w:rPr>
        <w:t xml:space="preserve"> (Accessed 11/10/2024)</w:t>
      </w:r>
    </w:p>
    <w:p w14:paraId="365C2810" w14:textId="77777777" w:rsidR="00FA6A6D" w:rsidRPr="00E673E1" w:rsidRDefault="00FA6A6D" w:rsidP="00FA6A6D">
      <w:pPr>
        <w:spacing w:after="0" w:line="240" w:lineRule="auto"/>
        <w:rPr>
          <w:rFonts w:ascii="Times New Roman" w:eastAsia="Times New Roman" w:hAnsi="Times New Roman" w:cs="Times New Roman"/>
          <w:kern w:val="0"/>
          <w:lang w:eastAsia="en-GB"/>
          <w14:ligatures w14:val="none"/>
        </w:rPr>
      </w:pPr>
      <w:r w:rsidRPr="00E673E1">
        <w:rPr>
          <w:rFonts w:ascii="Times New Roman" w:eastAsia="Times New Roman" w:hAnsi="Times New Roman" w:cs="Times New Roman"/>
          <w:kern w:val="0"/>
          <w:lang w:eastAsia="en-GB"/>
          <w14:ligatures w14:val="none"/>
        </w:rPr>
        <w:br/>
        <w:t xml:space="preserve">Turøy, A.K.W. (2017) “Once a poor pitch singer, always a poor pitch singer? A bottom up study of factors that may support singing development,” British Journal of Music Education. Cambridge University Press, p. 91. doi:10.1017/s026505171700016x. </w:t>
      </w:r>
    </w:p>
    <w:p w14:paraId="0879B3CD" w14:textId="77777777" w:rsidR="00FA6A6D" w:rsidRPr="00BF1EF5"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3FF3659D"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Van Hedger, S.C., Heald, S.L.M. and Nusbaum, H.C. (2019) ‘Absolute pitch can be learned by some adults’, </w:t>
      </w:r>
      <w:r w:rsidRPr="0014612F">
        <w:rPr>
          <w:rFonts w:ascii="Times New Roman" w:eastAsia="Times New Roman" w:hAnsi="Times New Roman" w:cs="Times New Roman"/>
          <w:i/>
          <w:iCs/>
          <w:kern w:val="0"/>
          <w:lang w:eastAsia="en-GB"/>
          <w14:ligatures w14:val="none"/>
        </w:rPr>
        <w:t>PloS one</w:t>
      </w:r>
      <w:r w:rsidRPr="0014612F">
        <w:rPr>
          <w:rFonts w:ascii="Times New Roman" w:eastAsia="Times New Roman" w:hAnsi="Times New Roman" w:cs="Times New Roman"/>
          <w:kern w:val="0"/>
          <w:lang w:eastAsia="en-GB"/>
          <w14:ligatures w14:val="none"/>
        </w:rPr>
        <w:t>, 14(9), pp. e0223047–e0223047. Available at: </w:t>
      </w:r>
      <w:hyperlink r:id="rId56" w:tgtFrame="_blank" w:history="1">
        <w:r w:rsidRPr="0014612F">
          <w:rPr>
            <w:rFonts w:ascii="Times New Roman" w:eastAsia="Times New Roman" w:hAnsi="Times New Roman" w:cs="Times New Roman"/>
            <w:kern w:val="0"/>
            <w:u w:val="single"/>
            <w:lang w:eastAsia="en-GB"/>
            <w14:ligatures w14:val="none"/>
          </w:rPr>
          <w:t>https://doi.org/10.1371/journal.pone.0223047</w:t>
        </w:r>
      </w:hyperlink>
      <w:r w:rsidRPr="00BF1EF5">
        <w:rPr>
          <w:rFonts w:ascii="Times New Roman" w:eastAsia="Times New Roman" w:hAnsi="Times New Roman" w:cs="Times New Roman"/>
          <w:kern w:val="0"/>
          <w:lang w:eastAsia="en-GB"/>
          <w14:ligatures w14:val="none"/>
        </w:rPr>
        <w:t xml:space="preserve"> (Accessed 18/09/2024)</w:t>
      </w:r>
    </w:p>
    <w:p w14:paraId="778DFCF7"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1D2E9422"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Walker, J. (2017) ‘Shame and Transformation in the Theory and Practice of Adult Learning and Education’, </w:t>
      </w:r>
      <w:r w:rsidRPr="0014612F">
        <w:rPr>
          <w:rFonts w:ascii="Times New Roman" w:eastAsia="Times New Roman" w:hAnsi="Times New Roman" w:cs="Times New Roman"/>
          <w:i/>
          <w:iCs/>
          <w:kern w:val="0"/>
          <w:lang w:eastAsia="en-GB"/>
          <w14:ligatures w14:val="none"/>
        </w:rPr>
        <w:t>Journal of transformative education</w:t>
      </w:r>
      <w:r w:rsidRPr="0014612F">
        <w:rPr>
          <w:rFonts w:ascii="Times New Roman" w:eastAsia="Times New Roman" w:hAnsi="Times New Roman" w:cs="Times New Roman"/>
          <w:kern w:val="0"/>
          <w:lang w:eastAsia="en-GB"/>
          <w14:ligatures w14:val="none"/>
        </w:rPr>
        <w:t>, 15(4), pp. 357–374. Available at: </w:t>
      </w:r>
      <w:hyperlink r:id="rId57" w:tgtFrame="_blank" w:history="1">
        <w:r w:rsidRPr="0014612F">
          <w:rPr>
            <w:rFonts w:ascii="Times New Roman" w:eastAsia="Times New Roman" w:hAnsi="Times New Roman" w:cs="Times New Roman"/>
            <w:kern w:val="0"/>
            <w:u w:val="single"/>
            <w:lang w:eastAsia="en-GB"/>
            <w14:ligatures w14:val="none"/>
          </w:rPr>
          <w:t>https://doi.org/10.1177/1541344617699591.</w:t>
        </w:r>
      </w:hyperlink>
      <w:r>
        <w:rPr>
          <w:rFonts w:ascii="Times New Roman" w:eastAsia="Times New Roman" w:hAnsi="Times New Roman" w:cs="Times New Roman"/>
          <w:kern w:val="0"/>
          <w:lang w:eastAsia="en-GB"/>
          <w14:ligatures w14:val="none"/>
        </w:rPr>
        <w:t xml:space="preserve"> (Accessed 11/10/2024)</w:t>
      </w:r>
    </w:p>
    <w:p w14:paraId="1EF58E55"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4D620C46"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Walliman, Nicholas. (2020). Your Research Project. Designing, planning and getting started. </w:t>
      </w:r>
    </w:p>
    <w:p w14:paraId="457DB884" w14:textId="77777777" w:rsidR="00FA6A6D" w:rsidRDefault="00FA6A6D" w:rsidP="00FA6A6D">
      <w:pPr>
        <w:shd w:val="clear" w:color="auto" w:fill="FFFFFF"/>
        <w:spacing w:after="0" w:line="257" w:lineRule="atLeast"/>
        <w:rPr>
          <w:rFonts w:ascii="Times New Roman" w:eastAsia="Times New Roman" w:hAnsi="Times New Roman" w:cs="Times New Roman"/>
          <w:kern w:val="0"/>
          <w:lang w:eastAsia="en-GB"/>
          <w14:ligatures w14:val="none"/>
        </w:rPr>
      </w:pPr>
    </w:p>
    <w:p w14:paraId="031C66B1" w14:textId="77777777" w:rsidR="00FA6A6D" w:rsidRPr="0014612F" w:rsidRDefault="00FA6A6D" w:rsidP="00FA6A6D">
      <w:pPr>
        <w:shd w:val="clear" w:color="auto" w:fill="FFFFFF"/>
        <w:spacing w:after="0" w:line="257" w:lineRule="atLeast"/>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Watts, C., Murphy, J., and Barnes-Burroughs, K. (2003). </w:t>
      </w:r>
      <w:r w:rsidRPr="0014612F">
        <w:rPr>
          <w:rFonts w:ascii="Times New Roman" w:eastAsia="Times New Roman" w:hAnsi="Times New Roman" w:cs="Times New Roman"/>
          <w:i/>
          <w:iCs/>
          <w:kern w:val="0"/>
          <w:lang w:eastAsia="en-GB"/>
          <w14:ligatures w14:val="none"/>
        </w:rPr>
        <w:t>Pitch matching accuracy of trained singers, untrained subjects with talented singing voices, and untrained subjects with nontalented singing voices in conditions of varying feedback</w:t>
      </w:r>
      <w:r w:rsidRPr="0014612F">
        <w:rPr>
          <w:rFonts w:ascii="Times New Roman" w:eastAsia="Times New Roman" w:hAnsi="Times New Roman" w:cs="Times New Roman"/>
          <w:kern w:val="0"/>
          <w:lang w:eastAsia="en-GB"/>
          <w14:ligatures w14:val="none"/>
        </w:rPr>
        <w:t>. Journal of Voice 17: 185–194. </w:t>
      </w:r>
      <w:hyperlink r:id="rId58" w:tgtFrame="_blank" w:history="1">
        <w:r w:rsidRPr="0014612F">
          <w:rPr>
            <w:rFonts w:ascii="Times New Roman" w:eastAsia="Times New Roman" w:hAnsi="Times New Roman" w:cs="Times New Roman"/>
            <w:kern w:val="0"/>
            <w:u w:val="single"/>
            <w:lang w:eastAsia="en-GB"/>
            <w14:ligatures w14:val="none"/>
          </w:rPr>
          <w:t>https://www.sciencedirect.com/science/article/abs/pii/S0892199703000237</w:t>
        </w:r>
      </w:hyperlink>
      <w:r w:rsidRPr="0014612F">
        <w:rPr>
          <w:rFonts w:ascii="Times New Roman" w:eastAsia="Times New Roman" w:hAnsi="Times New Roman" w:cs="Times New Roman"/>
          <w:kern w:val="0"/>
          <w:lang w:eastAsia="en-GB"/>
          <w14:ligatures w14:val="none"/>
        </w:rPr>
        <w:t>  (</w:t>
      </w:r>
      <w:r>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ccessed 18/09/24)</w:t>
      </w:r>
    </w:p>
    <w:p w14:paraId="739C3365"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4A6C9225"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Watts, Christopher &amp; Barnes-Burroughs, Kathryn &amp; Andrianopoulos, Mary &amp; Hedlund, Meg. (2003). Potential factors related to untrained singing talent: A survey of singing pedagogues. Journal of voice : official journal of the Voice Foundation. 17. 298-307. 10.1067/S0892-1997(03)00068-7</w:t>
      </w:r>
    </w:p>
    <w:p w14:paraId="422F67F0"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2FB33B81"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Welch, G. F., Howard, D. M., &amp; Rush, C. (1989). Real-time Visual Feedback in the Development of Vocal Pitch Accuracy in Singing. Psychology of Music, 17(2), 146-157. </w:t>
      </w:r>
      <w:hyperlink r:id="rId59" w:tgtFrame="_blank" w:history="1">
        <w:r w:rsidRPr="0014612F">
          <w:rPr>
            <w:rFonts w:ascii="Times New Roman" w:eastAsia="Times New Roman" w:hAnsi="Times New Roman" w:cs="Times New Roman"/>
            <w:kern w:val="0"/>
            <w:u w:val="single"/>
            <w:lang w:eastAsia="en-GB"/>
            <w14:ligatures w14:val="none"/>
          </w:rPr>
          <w:t>https://doi.org/10.1177/0305735689172005</w:t>
        </w:r>
      </w:hyperlink>
      <w:r>
        <w:rPr>
          <w:rFonts w:ascii="Times New Roman" w:eastAsia="Times New Roman" w:hAnsi="Times New Roman" w:cs="Times New Roman"/>
          <w:kern w:val="0"/>
          <w:lang w:eastAsia="en-GB"/>
          <w14:ligatures w14:val="none"/>
        </w:rPr>
        <w:t xml:space="preserve"> (Accessed 08/10/2024)</w:t>
      </w:r>
    </w:p>
    <w:p w14:paraId="09FE8B20" w14:textId="77777777" w:rsidR="00FA6A6D" w:rsidRPr="0014612F" w:rsidRDefault="00FA6A6D" w:rsidP="00FA6A6D">
      <w:pPr>
        <w:shd w:val="clear" w:color="auto" w:fill="FFFFFF"/>
        <w:spacing w:after="0" w:line="240" w:lineRule="auto"/>
        <w:ind w:left="360"/>
        <w:rPr>
          <w:rFonts w:ascii="Times New Roman" w:eastAsia="Times New Roman" w:hAnsi="Times New Roman" w:cs="Times New Roman"/>
          <w:kern w:val="0"/>
          <w:lang w:eastAsia="en-GB"/>
          <w14:ligatures w14:val="none"/>
        </w:rPr>
      </w:pPr>
    </w:p>
    <w:p w14:paraId="052BF424"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val="fr-FR" w:eastAsia="en-GB"/>
          <w14:ligatures w14:val="none"/>
        </w:rPr>
        <w:t>Welch, G.F. </w:t>
      </w:r>
      <w:r w:rsidRPr="0014612F">
        <w:rPr>
          <w:rFonts w:ascii="Times New Roman" w:eastAsia="Times New Roman" w:hAnsi="Times New Roman" w:cs="Times New Roman"/>
          <w:i/>
          <w:iCs/>
          <w:kern w:val="0"/>
          <w:lang w:val="fr-FR" w:eastAsia="en-GB"/>
          <w14:ligatures w14:val="none"/>
        </w:rPr>
        <w:t>et al.</w:t>
      </w:r>
      <w:r w:rsidRPr="0014612F">
        <w:rPr>
          <w:rFonts w:ascii="Times New Roman" w:eastAsia="Times New Roman" w:hAnsi="Times New Roman" w:cs="Times New Roman"/>
          <w:kern w:val="0"/>
          <w:lang w:val="fr-FR" w:eastAsia="en-GB"/>
          <w14:ligatures w14:val="none"/>
        </w:rPr>
        <w:t> </w:t>
      </w:r>
      <w:r w:rsidRPr="0014612F">
        <w:rPr>
          <w:rFonts w:ascii="Times New Roman" w:eastAsia="Times New Roman" w:hAnsi="Times New Roman" w:cs="Times New Roman"/>
          <w:kern w:val="0"/>
          <w:lang w:eastAsia="en-GB"/>
          <w14:ligatures w14:val="none"/>
        </w:rPr>
        <w:t>(2005) ‘Real-time feedback in the singing studio: an innovator action-research project using new voice technology’, </w:t>
      </w:r>
      <w:r w:rsidRPr="0014612F">
        <w:rPr>
          <w:rFonts w:ascii="Times New Roman" w:eastAsia="Times New Roman" w:hAnsi="Times New Roman" w:cs="Times New Roman"/>
          <w:i/>
          <w:iCs/>
          <w:kern w:val="0"/>
          <w:lang w:eastAsia="en-GB"/>
          <w14:ligatures w14:val="none"/>
        </w:rPr>
        <w:t>Music education research</w:t>
      </w:r>
      <w:r w:rsidRPr="0014612F">
        <w:rPr>
          <w:rFonts w:ascii="Times New Roman" w:eastAsia="Times New Roman" w:hAnsi="Times New Roman" w:cs="Times New Roman"/>
          <w:kern w:val="0"/>
          <w:lang w:eastAsia="en-GB"/>
          <w14:ligatures w14:val="none"/>
        </w:rPr>
        <w:t>, 7(2), pp. 225–249. Available at: </w:t>
      </w:r>
      <w:hyperlink r:id="rId60" w:tgtFrame="_blank" w:history="1">
        <w:r w:rsidRPr="0014612F">
          <w:rPr>
            <w:rFonts w:ascii="Times New Roman" w:eastAsia="Times New Roman" w:hAnsi="Times New Roman" w:cs="Times New Roman"/>
            <w:kern w:val="0"/>
            <w:u w:val="single"/>
            <w:lang w:eastAsia="en-GB"/>
            <w14:ligatures w14:val="none"/>
          </w:rPr>
          <w:t>https://doi.org/10.1080/14613800500169779</w:t>
        </w:r>
      </w:hyperlink>
      <w:r>
        <w:rPr>
          <w:rFonts w:ascii="Times New Roman" w:eastAsia="Times New Roman" w:hAnsi="Times New Roman" w:cs="Times New Roman"/>
          <w:kern w:val="0"/>
          <w:lang w:eastAsia="en-GB"/>
          <w14:ligatures w14:val="none"/>
        </w:rPr>
        <w:t xml:space="preserve"> (Accessed 08/10/2024)</w:t>
      </w:r>
    </w:p>
    <w:p w14:paraId="0241AE52" w14:textId="77777777" w:rsidR="00FA6A6D" w:rsidRPr="0014612F" w:rsidRDefault="00FA6A6D" w:rsidP="00FA6A6D">
      <w:pPr>
        <w:shd w:val="clear" w:color="auto" w:fill="FFFFFF"/>
        <w:spacing w:after="0" w:line="240" w:lineRule="auto"/>
        <w:ind w:left="360"/>
        <w:rPr>
          <w:rFonts w:ascii="Times New Roman" w:eastAsia="Times New Roman" w:hAnsi="Times New Roman" w:cs="Times New Roman"/>
          <w:kern w:val="0"/>
          <w:lang w:eastAsia="en-GB"/>
          <w14:ligatures w14:val="none"/>
        </w:rPr>
      </w:pPr>
    </w:p>
    <w:p w14:paraId="2CC93DD5"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Winter, D. (2023) ‘Exploring the Narrative: Voice Practitioner Research and the Literature Review Process’, </w:t>
      </w:r>
      <w:r w:rsidRPr="0014612F">
        <w:rPr>
          <w:rFonts w:ascii="Times New Roman" w:eastAsia="Times New Roman" w:hAnsi="Times New Roman" w:cs="Times New Roman"/>
          <w:i/>
          <w:iCs/>
          <w:kern w:val="0"/>
          <w:lang w:eastAsia="en-GB"/>
          <w14:ligatures w14:val="none"/>
        </w:rPr>
        <w:t>Voice &amp; speech review</w:t>
      </w:r>
      <w:r w:rsidRPr="0014612F">
        <w:rPr>
          <w:rFonts w:ascii="Times New Roman" w:eastAsia="Times New Roman" w:hAnsi="Times New Roman" w:cs="Times New Roman"/>
          <w:kern w:val="0"/>
          <w:lang w:eastAsia="en-GB"/>
          <w14:ligatures w14:val="none"/>
        </w:rPr>
        <w:t>, 17(2), pp. 131–150. Available at: </w:t>
      </w:r>
      <w:hyperlink r:id="rId61" w:tgtFrame="_blank" w:history="1">
        <w:r w:rsidRPr="0014612F">
          <w:rPr>
            <w:rFonts w:ascii="Times New Roman" w:eastAsia="Times New Roman" w:hAnsi="Times New Roman" w:cs="Times New Roman"/>
            <w:kern w:val="0"/>
            <w:u w:val="single"/>
            <w:lang w:eastAsia="en-GB"/>
            <w14:ligatures w14:val="none"/>
          </w:rPr>
          <w:t>https://doi.org/10.1080/23268263.2022.2144971</w:t>
        </w:r>
      </w:hyperlink>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(A</w:t>
      </w:r>
      <w:r w:rsidRPr="0014612F">
        <w:rPr>
          <w:rFonts w:ascii="Times New Roman" w:eastAsia="Times New Roman" w:hAnsi="Times New Roman" w:cs="Times New Roman"/>
          <w:kern w:val="0"/>
          <w:lang w:eastAsia="en-GB"/>
          <w14:ligatures w14:val="none"/>
        </w:rPr>
        <w:t>ccessed 08/10/24)</w:t>
      </w:r>
    </w:p>
    <w:p w14:paraId="3F55D725"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5B2B6AD9"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 xml:space="preserve">Wise K, 2015, Defining and Explaining Singing Difficulties in Adults. </w:t>
      </w:r>
      <w:r>
        <w:rPr>
          <w:rFonts w:ascii="Times New Roman" w:eastAsia="Times New Roman" w:hAnsi="Times New Roman" w:cs="Times New Roman"/>
          <w:kern w:val="0"/>
          <w:lang w:eastAsia="en-GB"/>
          <w14:ligatures w14:val="none"/>
        </w:rPr>
        <w:t>Available at:</w:t>
      </w:r>
      <w:r w:rsidRPr="0014612F">
        <w:rPr>
          <w:rFonts w:ascii="Times New Roman" w:eastAsia="Times New Roman" w:hAnsi="Times New Roman" w:cs="Times New Roman"/>
          <w:kern w:val="0"/>
          <w:lang w:eastAsia="en-GB"/>
          <w14:ligatures w14:val="none"/>
        </w:rPr>
        <w:t> </w:t>
      </w:r>
      <w:hyperlink r:id="rId62" w:tgtFrame="_blank" w:history="1">
        <w:r w:rsidRPr="0014612F">
          <w:rPr>
            <w:rFonts w:ascii="Times New Roman" w:eastAsia="Times New Roman" w:hAnsi="Times New Roman" w:cs="Times New Roman"/>
            <w:kern w:val="0"/>
            <w:u w:val="single"/>
            <w:lang w:eastAsia="en-GB"/>
            <w14:ligatures w14:val="none"/>
          </w:rPr>
          <w:t>https://doi.org/10.1093/oxfordhb/9780199660773.013.38</w:t>
        </w:r>
      </w:hyperlink>
      <w:r w:rsidRPr="0014612F">
        <w:rPr>
          <w:rFonts w:ascii="Times New Roman" w:eastAsia="Times New Roman" w:hAnsi="Times New Roman" w:cs="Times New Roman"/>
          <w:kern w:val="0"/>
          <w:lang w:eastAsia="en-GB"/>
          <w14:ligatures w14:val="none"/>
        </w:rPr>
        <w:t xml:space="preserve">  (Accessed </w:t>
      </w:r>
      <w:r>
        <w:rPr>
          <w:rFonts w:ascii="Times New Roman" w:eastAsia="Times New Roman" w:hAnsi="Times New Roman" w:cs="Times New Roman"/>
          <w:kern w:val="0"/>
          <w:lang w:eastAsia="en-GB"/>
          <w14:ligatures w14:val="none"/>
        </w:rPr>
        <w:t>0</w:t>
      </w:r>
      <w:r w:rsidRPr="0014612F">
        <w:rPr>
          <w:rFonts w:ascii="Times New Roman" w:eastAsia="Times New Roman" w:hAnsi="Times New Roman" w:cs="Times New Roman"/>
          <w:kern w:val="0"/>
          <w:lang w:eastAsia="en-GB"/>
          <w14:ligatures w14:val="none"/>
        </w:rPr>
        <w:t>5/10/24)</w:t>
      </w:r>
    </w:p>
    <w:p w14:paraId="2BAF00D1" w14:textId="77777777" w:rsidR="00FA6A6D" w:rsidRPr="0014612F" w:rsidRDefault="00FA6A6D" w:rsidP="00FA6A6D">
      <w:pPr>
        <w:shd w:val="clear" w:color="auto" w:fill="FFFFFF"/>
        <w:spacing w:after="0" w:line="240" w:lineRule="auto"/>
        <w:ind w:left="360"/>
        <w:rPr>
          <w:rFonts w:ascii="Times New Roman" w:eastAsia="Times New Roman" w:hAnsi="Times New Roman" w:cs="Times New Roman"/>
          <w:kern w:val="0"/>
          <w:lang w:eastAsia="en-GB"/>
          <w14:ligatures w14:val="none"/>
        </w:rPr>
      </w:pPr>
    </w:p>
    <w:p w14:paraId="73BF20AC"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Wise, K. (2015) ‘Defining and explaining singing difficulties in adults’, in Welch, G.F., Howard, D.M. and Nix, J. (eds) </w:t>
      </w:r>
      <w:r w:rsidRPr="0014612F">
        <w:rPr>
          <w:rFonts w:ascii="Times New Roman" w:eastAsia="Times New Roman" w:hAnsi="Times New Roman" w:cs="Times New Roman"/>
          <w:i/>
          <w:iCs/>
          <w:kern w:val="0"/>
          <w:lang w:eastAsia="en-GB"/>
          <w14:ligatures w14:val="none"/>
        </w:rPr>
        <w:t>The Oxford handbook of singing</w:t>
      </w:r>
      <w:r w:rsidRPr="0014612F">
        <w:rPr>
          <w:rFonts w:ascii="Times New Roman" w:eastAsia="Times New Roman" w:hAnsi="Times New Roman" w:cs="Times New Roman"/>
          <w:kern w:val="0"/>
          <w:lang w:eastAsia="en-GB"/>
          <w14:ligatures w14:val="none"/>
        </w:rPr>
        <w:t xml:space="preserve">. Oxford Library of </w:t>
      </w:r>
      <w:r w:rsidRPr="0014612F">
        <w:rPr>
          <w:rFonts w:ascii="Times New Roman" w:eastAsia="Times New Roman" w:hAnsi="Times New Roman" w:cs="Times New Roman"/>
          <w:kern w:val="0"/>
          <w:lang w:eastAsia="en-GB"/>
          <w14:ligatures w14:val="none"/>
        </w:rPr>
        <w:lastRenderedPageBreak/>
        <w:t>Psychology. Available at: </w:t>
      </w:r>
      <w:hyperlink r:id="rId63" w:tgtFrame="_blank" w:history="1">
        <w:r w:rsidRPr="0014612F">
          <w:rPr>
            <w:rFonts w:ascii="Times New Roman" w:eastAsia="Times New Roman" w:hAnsi="Times New Roman" w:cs="Times New Roman"/>
            <w:kern w:val="0"/>
            <w:u w:val="single"/>
            <w:lang w:eastAsia="en-GB"/>
            <w14:ligatures w14:val="none"/>
          </w:rPr>
          <w:t>https://doi.org/10.1093/oxfordhb/9780199660773.013.38</w:t>
        </w:r>
      </w:hyperlink>
      <w:r w:rsidRPr="0014612F">
        <w:rPr>
          <w:rFonts w:ascii="Times New Roman" w:eastAsia="Times New Roman" w:hAnsi="Times New Roman" w:cs="Times New Roman"/>
          <w:kern w:val="0"/>
          <w:lang w:eastAsia="en-GB"/>
          <w14:ligatures w14:val="none"/>
        </w:rPr>
        <w:t> (Accessed: 20</w:t>
      </w:r>
      <w:r>
        <w:rPr>
          <w:rFonts w:ascii="Times New Roman" w:eastAsia="Times New Roman" w:hAnsi="Times New Roman" w:cs="Times New Roman"/>
          <w:kern w:val="0"/>
          <w:lang w:eastAsia="en-GB"/>
          <w14:ligatures w14:val="none"/>
        </w:rPr>
        <w:t>/06</w:t>
      </w:r>
      <w:r w:rsidRPr="0014612F">
        <w:rPr>
          <w:rFonts w:ascii="Times New Roman" w:eastAsia="Times New Roman" w:hAnsi="Times New Roman" w:cs="Times New Roman"/>
          <w:kern w:val="0"/>
          <w:lang w:eastAsia="en-GB"/>
          <w14:ligatures w14:val="none"/>
        </w:rPr>
        <w:t>2024).</w:t>
      </w:r>
    </w:p>
    <w:p w14:paraId="06556305"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14C46619"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Wise, K. , (2009). Understanding “tone deafness”: </w:t>
      </w:r>
      <w:r w:rsidRPr="0014612F">
        <w:rPr>
          <w:rFonts w:ascii="Times New Roman" w:eastAsia="Times New Roman" w:hAnsi="Times New Roman" w:cs="Times New Roman"/>
          <w:i/>
          <w:iCs/>
          <w:kern w:val="0"/>
          <w:lang w:eastAsia="en-GB"/>
          <w14:ligatures w14:val="none"/>
        </w:rPr>
        <w:t>A multi-componential analysis of perception, cognition, singing and self-perceptions in adults reporting musical difficulties</w:t>
      </w:r>
      <w:r w:rsidRPr="0014612F">
        <w:rPr>
          <w:rFonts w:ascii="Times New Roman" w:eastAsia="Times New Roman" w:hAnsi="Times New Roman" w:cs="Times New Roman"/>
          <w:kern w:val="0"/>
          <w:lang w:eastAsia="en-GB"/>
          <w14:ligatures w14:val="none"/>
        </w:rPr>
        <w:t>.  PhD Thesis, Keele University. Available at:</w:t>
      </w:r>
      <w:hyperlink r:id="rId64" w:history="1">
        <w:r w:rsidRPr="0014612F">
          <w:rPr>
            <w:rStyle w:val="Hyperlink"/>
            <w:rFonts w:ascii="Times New Roman" w:eastAsia="Times New Roman" w:hAnsi="Times New Roman" w:cs="Times New Roman"/>
            <w:kern w:val="0"/>
            <w:lang w:eastAsia="en-GB"/>
            <w14:ligatures w14:val="none"/>
          </w:rPr>
          <w:t xml:space="preserve"> http://ethos.bl.uk/OrderDetails.do?uin=uk.bl.ethos.502980 </w:t>
        </w:r>
      </w:hyperlink>
      <w:r>
        <w:rPr>
          <w:rFonts w:ascii="Times New Roman" w:eastAsia="Times New Roman" w:hAnsi="Times New Roman" w:cs="Times New Roman"/>
          <w:kern w:val="0"/>
          <w:lang w:eastAsia="en-GB"/>
          <w14:ligatures w14:val="none"/>
        </w:rPr>
        <w:t xml:space="preserve"> (Accessed 07/09/2024)</w:t>
      </w:r>
    </w:p>
    <w:p w14:paraId="4D8D9829" w14:textId="77777777" w:rsidR="00FA6A6D" w:rsidRDefault="00FA6A6D" w:rsidP="00FA6A6D">
      <w:pPr>
        <w:shd w:val="clear" w:color="auto" w:fill="FFFFFF"/>
        <w:spacing w:after="0" w:line="240" w:lineRule="auto"/>
        <w:ind w:left="360"/>
        <w:rPr>
          <w:rFonts w:ascii="Times New Roman" w:eastAsia="Times New Roman" w:hAnsi="Times New Roman" w:cs="Times New Roman"/>
          <w:kern w:val="0"/>
          <w:lang w:eastAsia="en-GB"/>
          <w14:ligatures w14:val="none"/>
        </w:rPr>
      </w:pPr>
    </w:p>
    <w:p w14:paraId="4C1336E2"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Wise, K.J. and Sloboda, J.A. (2008) ‘Establishing an empirical profile of self-defined “tone deafness”: Perception, singing performance and self-assessment’, </w:t>
      </w:r>
      <w:r w:rsidRPr="0014612F">
        <w:rPr>
          <w:rFonts w:ascii="Times New Roman" w:eastAsia="Times New Roman" w:hAnsi="Times New Roman" w:cs="Times New Roman"/>
          <w:i/>
          <w:iCs/>
          <w:kern w:val="0"/>
          <w:lang w:eastAsia="en-GB"/>
          <w14:ligatures w14:val="none"/>
        </w:rPr>
        <w:t>Musicae scientiae</w:t>
      </w:r>
      <w:r w:rsidRPr="0014612F">
        <w:rPr>
          <w:rFonts w:ascii="Times New Roman" w:eastAsia="Times New Roman" w:hAnsi="Times New Roman" w:cs="Times New Roman"/>
          <w:kern w:val="0"/>
          <w:lang w:eastAsia="en-GB"/>
          <w14:ligatures w14:val="none"/>
        </w:rPr>
        <w:t>, 12(1), pp. 3–26. Available at: </w:t>
      </w:r>
      <w:hyperlink r:id="rId65" w:tgtFrame="_blank" w:history="1">
        <w:r w:rsidRPr="0014612F">
          <w:rPr>
            <w:rFonts w:ascii="Times New Roman" w:eastAsia="Times New Roman" w:hAnsi="Times New Roman" w:cs="Times New Roman"/>
            <w:kern w:val="0"/>
            <w:u w:val="single"/>
            <w:lang w:eastAsia="en-GB"/>
            <w14:ligatures w14:val="none"/>
          </w:rPr>
          <w:t>https://doi.org/10.1177/102986490801200102</w:t>
        </w:r>
      </w:hyperlink>
      <w:r>
        <w:rPr>
          <w:rFonts w:ascii="Times New Roman" w:eastAsia="Times New Roman" w:hAnsi="Times New Roman" w:cs="Times New Roman"/>
          <w:kern w:val="0"/>
          <w:lang w:eastAsia="en-GB"/>
          <w14:ligatures w14:val="none"/>
        </w:rPr>
        <w:t xml:space="preserve"> </w:t>
      </w:r>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ccessed 0</w:t>
      </w:r>
      <w:r>
        <w:rPr>
          <w:rFonts w:ascii="Times New Roman" w:eastAsia="Times New Roman" w:hAnsi="Times New Roman" w:cs="Times New Roman"/>
          <w:kern w:val="0"/>
          <w:lang w:eastAsia="en-GB"/>
          <w14:ligatures w14:val="none"/>
        </w:rPr>
        <w:t>6</w:t>
      </w:r>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07</w:t>
      </w:r>
      <w:r w:rsidRPr="0014612F">
        <w:rPr>
          <w:rFonts w:ascii="Times New Roman" w:eastAsia="Times New Roman" w:hAnsi="Times New Roman" w:cs="Times New Roman"/>
          <w:kern w:val="0"/>
          <w:lang w:eastAsia="en-GB"/>
          <w14:ligatures w14:val="none"/>
        </w:rPr>
        <w:t>/24)</w:t>
      </w:r>
    </w:p>
    <w:p w14:paraId="182D5BB6" w14:textId="77777777" w:rsidR="00FA6A6D" w:rsidRDefault="00FA6A6D" w:rsidP="00FA6A6D">
      <w:pPr>
        <w:shd w:val="clear" w:color="auto" w:fill="FFFFFF"/>
        <w:spacing w:after="0" w:line="240" w:lineRule="auto"/>
        <w:ind w:left="360"/>
        <w:rPr>
          <w:rFonts w:ascii="Times New Roman" w:eastAsia="Times New Roman" w:hAnsi="Times New Roman" w:cs="Times New Roman"/>
          <w:kern w:val="0"/>
          <w:lang w:eastAsia="en-GB"/>
          <w14:ligatures w14:val="none"/>
        </w:rPr>
      </w:pPr>
    </w:p>
    <w:p w14:paraId="1F242644" w14:textId="77777777" w:rsidR="00FA6A6D" w:rsidRPr="009534B3"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Wolner, M. and Pyle, W.H. (1933) ‘An experiment in individual training of pitch-deficient children’, </w:t>
      </w:r>
      <w:r w:rsidRPr="0014612F">
        <w:rPr>
          <w:rFonts w:ascii="Times New Roman" w:eastAsia="Times New Roman" w:hAnsi="Times New Roman" w:cs="Times New Roman"/>
          <w:i/>
          <w:iCs/>
          <w:kern w:val="0"/>
          <w:lang w:eastAsia="en-GB"/>
          <w14:ligatures w14:val="none"/>
        </w:rPr>
        <w:t>Journal of educational psychology</w:t>
      </w:r>
      <w:r w:rsidRPr="0014612F">
        <w:rPr>
          <w:rFonts w:ascii="Times New Roman" w:eastAsia="Times New Roman" w:hAnsi="Times New Roman" w:cs="Times New Roman"/>
          <w:kern w:val="0"/>
          <w:lang w:eastAsia="en-GB"/>
          <w14:ligatures w14:val="none"/>
        </w:rPr>
        <w:t>, 24(8), pp. 602–608. Available at: </w:t>
      </w:r>
      <w:hyperlink r:id="rId66" w:tgtFrame="_blank" w:history="1">
        <w:r w:rsidRPr="0014612F">
          <w:rPr>
            <w:rFonts w:ascii="Times New Roman" w:eastAsia="Times New Roman" w:hAnsi="Times New Roman" w:cs="Times New Roman"/>
            <w:kern w:val="0"/>
            <w:u w:val="single"/>
            <w:lang w:eastAsia="en-GB"/>
            <w14:ligatures w14:val="none"/>
          </w:rPr>
          <w:t>https://doi.org/10.1037/h0072250</w:t>
        </w:r>
      </w:hyperlink>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w:t>
      </w:r>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ccessed 08/10/24)</w:t>
      </w:r>
    </w:p>
    <w:p w14:paraId="48DCCDAD" w14:textId="77777777" w:rsidR="00FA6A6D" w:rsidRDefault="00FA6A6D" w:rsidP="00FA6A6D">
      <w:pPr>
        <w:shd w:val="clear" w:color="auto" w:fill="FFFFFF"/>
        <w:spacing w:after="0" w:line="240" w:lineRule="auto"/>
        <w:ind w:left="360"/>
        <w:rPr>
          <w:rFonts w:ascii="Times New Roman" w:eastAsia="Times New Roman" w:hAnsi="Times New Roman" w:cs="Times New Roman"/>
          <w:kern w:val="0"/>
          <w:lang w:val="fr-FR" w:eastAsia="en-GB"/>
          <w14:ligatures w14:val="none"/>
        </w:rPr>
      </w:pPr>
    </w:p>
    <w:p w14:paraId="59CB50EB"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val="fr-FR" w:eastAsia="en-GB"/>
          <w14:ligatures w14:val="none"/>
        </w:rPr>
        <w:t>Wong, Y.K. </w:t>
      </w:r>
      <w:r w:rsidRPr="0014612F">
        <w:rPr>
          <w:rFonts w:ascii="Times New Roman" w:eastAsia="Times New Roman" w:hAnsi="Times New Roman" w:cs="Times New Roman"/>
          <w:i/>
          <w:iCs/>
          <w:kern w:val="0"/>
          <w:lang w:val="fr-FR" w:eastAsia="en-GB"/>
          <w14:ligatures w14:val="none"/>
        </w:rPr>
        <w:t>et al.</w:t>
      </w:r>
      <w:r w:rsidRPr="0014612F">
        <w:rPr>
          <w:rFonts w:ascii="Times New Roman" w:eastAsia="Times New Roman" w:hAnsi="Times New Roman" w:cs="Times New Roman"/>
          <w:kern w:val="0"/>
          <w:lang w:val="fr-FR" w:eastAsia="en-GB"/>
          <w14:ligatures w14:val="none"/>
        </w:rPr>
        <w:t> </w:t>
      </w:r>
      <w:r w:rsidRPr="0014612F">
        <w:rPr>
          <w:rFonts w:ascii="Times New Roman" w:eastAsia="Times New Roman" w:hAnsi="Times New Roman" w:cs="Times New Roman"/>
          <w:kern w:val="0"/>
          <w:lang w:eastAsia="en-GB"/>
          <w14:ligatures w14:val="none"/>
        </w:rPr>
        <w:t>(2020) ‘Is it impossible to acquire absolute pitch in adulthood?’, </w:t>
      </w:r>
      <w:r w:rsidRPr="0014612F">
        <w:rPr>
          <w:rFonts w:ascii="Times New Roman" w:eastAsia="Times New Roman" w:hAnsi="Times New Roman" w:cs="Times New Roman"/>
          <w:i/>
          <w:iCs/>
          <w:kern w:val="0"/>
          <w:lang w:eastAsia="en-GB"/>
          <w14:ligatures w14:val="none"/>
        </w:rPr>
        <w:t>Attention, perception &amp; psychophysics</w:t>
      </w:r>
      <w:r w:rsidRPr="0014612F">
        <w:rPr>
          <w:rFonts w:ascii="Times New Roman" w:eastAsia="Times New Roman" w:hAnsi="Times New Roman" w:cs="Times New Roman"/>
          <w:kern w:val="0"/>
          <w:lang w:eastAsia="en-GB"/>
          <w14:ligatures w14:val="none"/>
        </w:rPr>
        <w:t>, 82(3), pp. 1407–1430. Available at: </w:t>
      </w:r>
      <w:hyperlink r:id="rId67" w:tgtFrame="_blank" w:history="1">
        <w:r w:rsidRPr="0014612F">
          <w:rPr>
            <w:rFonts w:ascii="Times New Roman" w:eastAsia="Times New Roman" w:hAnsi="Times New Roman" w:cs="Times New Roman"/>
            <w:kern w:val="0"/>
            <w:u w:val="single"/>
            <w:lang w:eastAsia="en-GB"/>
            <w14:ligatures w14:val="none"/>
          </w:rPr>
          <w:t>https://doi.org/10.3758/s13414-019-01869-3</w:t>
        </w:r>
      </w:hyperlink>
      <w:r>
        <w:rPr>
          <w:rFonts w:ascii="Times New Roman" w:eastAsia="Times New Roman" w:hAnsi="Times New Roman" w:cs="Times New Roman"/>
          <w:kern w:val="0"/>
          <w:lang w:eastAsia="en-GB"/>
          <w14:ligatures w14:val="none"/>
        </w:rPr>
        <w:t xml:space="preserve"> </w:t>
      </w:r>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ccessed 08/10/24)</w:t>
      </w:r>
    </w:p>
    <w:p w14:paraId="67EC36DD"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Woodward-Kron, R. (2008) ‘More than just jargon – the nature and role of specialist language in learning disciplinary knowledge’, </w:t>
      </w:r>
      <w:r w:rsidRPr="0014612F">
        <w:rPr>
          <w:rFonts w:ascii="Times New Roman" w:eastAsia="Times New Roman" w:hAnsi="Times New Roman" w:cs="Times New Roman"/>
          <w:i/>
          <w:iCs/>
          <w:kern w:val="0"/>
          <w:lang w:eastAsia="en-GB"/>
          <w14:ligatures w14:val="none"/>
        </w:rPr>
        <w:t>Journal of English for academic purposes</w:t>
      </w:r>
      <w:r w:rsidRPr="0014612F">
        <w:rPr>
          <w:rFonts w:ascii="Times New Roman" w:eastAsia="Times New Roman" w:hAnsi="Times New Roman" w:cs="Times New Roman"/>
          <w:kern w:val="0"/>
          <w:lang w:eastAsia="en-GB"/>
          <w14:ligatures w14:val="none"/>
        </w:rPr>
        <w:t>, 7(4), pp. 234–249. Available at: </w:t>
      </w:r>
      <w:hyperlink r:id="rId68" w:tgtFrame="_blank" w:history="1">
        <w:r w:rsidRPr="0014612F">
          <w:rPr>
            <w:rFonts w:ascii="Times New Roman" w:eastAsia="Times New Roman" w:hAnsi="Times New Roman" w:cs="Times New Roman"/>
            <w:kern w:val="0"/>
            <w:u w:val="single"/>
            <w:lang w:eastAsia="en-GB"/>
            <w14:ligatures w14:val="none"/>
          </w:rPr>
          <w:t>https://doi.org/10.1016/j.jeap.2008.10.004</w:t>
        </w:r>
      </w:hyperlink>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(Accessed 10/09/2024)</w:t>
      </w:r>
    </w:p>
    <w:p w14:paraId="6C01A0E9" w14:textId="77777777" w:rsidR="00FA6A6D"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p>
    <w:p w14:paraId="158708AD" w14:textId="77777777" w:rsidR="00FA6A6D" w:rsidRPr="0014612F" w:rsidRDefault="00FA6A6D" w:rsidP="00FA6A6D">
      <w:pPr>
        <w:shd w:val="clear" w:color="auto" w:fill="FFFFFF"/>
        <w:spacing w:after="0" w:line="240" w:lineRule="auto"/>
        <w:rPr>
          <w:rFonts w:ascii="Times New Roman" w:eastAsia="Times New Roman" w:hAnsi="Times New Roman" w:cs="Times New Roman"/>
          <w:kern w:val="0"/>
          <w:lang w:eastAsia="en-GB"/>
          <w14:ligatures w14:val="none"/>
        </w:rPr>
      </w:pPr>
      <w:r w:rsidRPr="0014612F">
        <w:rPr>
          <w:rFonts w:ascii="Times New Roman" w:eastAsia="Times New Roman" w:hAnsi="Times New Roman" w:cs="Times New Roman"/>
          <w:kern w:val="0"/>
          <w:lang w:eastAsia="en-GB"/>
          <w14:ligatures w14:val="none"/>
        </w:rPr>
        <w:t>Young, S. (2002). </w:t>
      </w:r>
      <w:r w:rsidRPr="0014612F">
        <w:rPr>
          <w:rFonts w:ascii="Times New Roman" w:eastAsia="Times New Roman" w:hAnsi="Times New Roman" w:cs="Times New Roman"/>
          <w:i/>
          <w:iCs/>
          <w:kern w:val="0"/>
          <w:lang w:eastAsia="en-GB"/>
          <w14:ligatures w14:val="none"/>
        </w:rPr>
        <w:t>Young childrenʼs spontaneous vocalizations in free-play: Observations of two- to three-year-olds in a day-care setting</w:t>
      </w:r>
      <w:r w:rsidRPr="0014612F">
        <w:rPr>
          <w:rFonts w:ascii="Times New Roman" w:eastAsia="Times New Roman" w:hAnsi="Times New Roman" w:cs="Times New Roman"/>
          <w:kern w:val="0"/>
          <w:lang w:eastAsia="en-GB"/>
          <w14:ligatures w14:val="none"/>
        </w:rPr>
        <w:t xml:space="preserve">. Bulletin of the Council for Research in Music Education 152: 43–53 </w:t>
      </w:r>
      <w:bookmarkStart w:id="2" w:name="_Hlk183799532"/>
      <w:r w:rsidRPr="0014612F">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A</w:t>
      </w:r>
      <w:r w:rsidRPr="0014612F">
        <w:rPr>
          <w:rFonts w:ascii="Times New Roman" w:eastAsia="Times New Roman" w:hAnsi="Times New Roman" w:cs="Times New Roman"/>
          <w:kern w:val="0"/>
          <w:lang w:eastAsia="en-GB"/>
          <w14:ligatures w14:val="none"/>
        </w:rPr>
        <w:t>ccessed 08/10/24)</w:t>
      </w:r>
      <w:bookmarkEnd w:id="2"/>
    </w:p>
    <w:p w14:paraId="78649C67" w14:textId="77777777" w:rsidR="00FA6A6D" w:rsidRPr="00BD0E8B" w:rsidRDefault="00FA6A6D" w:rsidP="00FA6A6D">
      <w:pPr>
        <w:rPr>
          <w:rFonts w:ascii="Times New Roman" w:hAnsi="Times New Roman" w:cs="Times New Roman"/>
        </w:rPr>
      </w:pPr>
    </w:p>
    <w:p w14:paraId="46D1072A" w14:textId="77777777" w:rsidR="00FA6A6D" w:rsidRPr="0014612F" w:rsidRDefault="00FA6A6D" w:rsidP="00FA6A6D">
      <w:pPr>
        <w:shd w:val="clear" w:color="auto" w:fill="FFFFFF"/>
        <w:spacing w:after="0" w:line="240" w:lineRule="auto"/>
        <w:ind w:left="360"/>
        <w:rPr>
          <w:rFonts w:ascii="Times New Roman" w:eastAsia="Times New Roman" w:hAnsi="Times New Roman" w:cs="Times New Roman"/>
          <w:color w:val="222222"/>
          <w:kern w:val="0"/>
          <w:lang w:eastAsia="en-GB"/>
          <w14:ligatures w14:val="none"/>
        </w:rPr>
      </w:pPr>
    </w:p>
    <w:p w14:paraId="5C0CB7E3" w14:textId="77777777" w:rsidR="00FA6A6D" w:rsidRPr="0014612F" w:rsidRDefault="00FA6A6D" w:rsidP="00FA6A6D">
      <w:pPr>
        <w:spacing w:after="0" w:line="240" w:lineRule="auto"/>
        <w:ind w:left="360"/>
        <w:rPr>
          <w:rFonts w:ascii="Times New Roman" w:eastAsia="Times New Roman" w:hAnsi="Times New Roman" w:cs="Times New Roman"/>
          <w:color w:val="888888"/>
          <w:kern w:val="0"/>
          <w:shd w:val="clear" w:color="auto" w:fill="FFFFFF"/>
          <w:lang w:eastAsia="en-GB"/>
          <w14:ligatures w14:val="none"/>
        </w:rPr>
      </w:pPr>
      <w:r w:rsidRPr="0014612F">
        <w:rPr>
          <w:rFonts w:ascii="Times" w:eastAsia="Times New Roman" w:hAnsi="Times" w:cs="Times New Roman"/>
          <w:i/>
          <w:iCs/>
          <w:color w:val="888888"/>
          <w:kern w:val="0"/>
          <w:shd w:val="clear" w:color="auto" w:fill="FFFFFF"/>
          <w:lang w:eastAsia="en-GB"/>
          <w14:ligatures w14:val="none"/>
        </w:rPr>
        <w:t> </w:t>
      </w:r>
    </w:p>
    <w:p w14:paraId="6EF7734D" w14:textId="77777777" w:rsidR="00FA6A6D" w:rsidRDefault="00FA6A6D" w:rsidP="00FA6A6D"/>
    <w:p w14:paraId="45688BAF" w14:textId="77777777" w:rsidR="00FA6A6D" w:rsidRDefault="00FA6A6D"/>
    <w:sectPr w:rsidR="00FA6A6D">
      <w:headerReference w:type="defaul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3F99D9" w14:textId="77777777" w:rsidR="00A868AF" w:rsidRDefault="00A868AF" w:rsidP="00A868AF">
      <w:pPr>
        <w:spacing w:after="0" w:line="240" w:lineRule="auto"/>
      </w:pPr>
      <w:r>
        <w:separator/>
      </w:r>
    </w:p>
  </w:endnote>
  <w:endnote w:type="continuationSeparator" w:id="0">
    <w:p w14:paraId="6E28BF36" w14:textId="77777777" w:rsidR="00A868AF" w:rsidRDefault="00A868AF" w:rsidP="00A868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Times">
    <w:panose1 w:val="02020603050405020304"/>
    <w:charset w:val="00"/>
    <w:family w:val="auto"/>
    <w:pitch w:val="variable"/>
    <w:sig w:usb0="E00002FF" w:usb1="5000205A"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73B4F2" w14:textId="77777777" w:rsidR="00A868AF" w:rsidRDefault="00A868AF" w:rsidP="00A868AF">
      <w:pPr>
        <w:spacing w:after="0" w:line="240" w:lineRule="auto"/>
      </w:pPr>
      <w:r>
        <w:separator/>
      </w:r>
    </w:p>
  </w:footnote>
  <w:footnote w:type="continuationSeparator" w:id="0">
    <w:p w14:paraId="60732B1D" w14:textId="77777777" w:rsidR="00A868AF" w:rsidRDefault="00A868AF" w:rsidP="00A868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486FCC" w14:textId="2C286766" w:rsidR="00A868AF" w:rsidRPr="00A868AF" w:rsidRDefault="00A868AF" w:rsidP="00A868AF">
    <w:pPr>
      <w:pStyle w:val="Header"/>
      <w:jc w:val="right"/>
      <w:rPr>
        <w:sz w:val="20"/>
        <w:szCs w:val="20"/>
      </w:rPr>
    </w:pPr>
    <w:r w:rsidRPr="00A868AF">
      <w:rPr>
        <w:sz w:val="20"/>
        <w:szCs w:val="20"/>
      </w:rPr>
      <w:t>BMPF7013</w:t>
    </w:r>
  </w:p>
  <w:p w14:paraId="7A261CA3" w14:textId="7B4C4E78" w:rsidR="00A868AF" w:rsidRPr="00A868AF" w:rsidRDefault="00A868AF" w:rsidP="00A868AF">
    <w:pPr>
      <w:pStyle w:val="Header"/>
      <w:jc w:val="right"/>
      <w:rPr>
        <w:sz w:val="20"/>
        <w:szCs w:val="20"/>
      </w:rPr>
    </w:pPr>
    <w:r w:rsidRPr="00A868AF">
      <w:rPr>
        <w:sz w:val="20"/>
        <w:szCs w:val="20"/>
      </w:rPr>
      <w:t>Grace Heap</w:t>
    </w:r>
  </w:p>
  <w:p w14:paraId="666FC25F" w14:textId="7E57D913" w:rsidR="00A868AF" w:rsidRPr="00A868AF" w:rsidRDefault="00A868AF" w:rsidP="00A868AF">
    <w:pPr>
      <w:pStyle w:val="Header"/>
      <w:jc w:val="right"/>
      <w:rPr>
        <w:sz w:val="20"/>
        <w:szCs w:val="20"/>
      </w:rPr>
    </w:pPr>
    <w:r w:rsidRPr="00A868AF">
      <w:rPr>
        <w:sz w:val="20"/>
        <w:szCs w:val="20"/>
      </w:rPr>
      <w:t>2130103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7147D0"/>
    <w:multiLevelType w:val="multilevel"/>
    <w:tmpl w:val="863AF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7620FEF"/>
    <w:multiLevelType w:val="hybridMultilevel"/>
    <w:tmpl w:val="E9063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395C27"/>
    <w:multiLevelType w:val="multilevel"/>
    <w:tmpl w:val="2A7E9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C3C77AF"/>
    <w:multiLevelType w:val="hybridMultilevel"/>
    <w:tmpl w:val="7E920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6469861">
    <w:abstractNumId w:val="3"/>
  </w:num>
  <w:num w:numId="2" w16cid:durableId="1634943521">
    <w:abstractNumId w:val="1"/>
  </w:num>
  <w:num w:numId="3" w16cid:durableId="1094671222">
    <w:abstractNumId w:val="2"/>
  </w:num>
  <w:num w:numId="4" w16cid:durableId="405229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8AF"/>
    <w:rsid w:val="000E1928"/>
    <w:rsid w:val="00134ADD"/>
    <w:rsid w:val="00136CBD"/>
    <w:rsid w:val="002226AD"/>
    <w:rsid w:val="002435D2"/>
    <w:rsid w:val="0054730D"/>
    <w:rsid w:val="005E5B3D"/>
    <w:rsid w:val="0073609F"/>
    <w:rsid w:val="0076388B"/>
    <w:rsid w:val="008C4E9A"/>
    <w:rsid w:val="009F1E30"/>
    <w:rsid w:val="00A45B3D"/>
    <w:rsid w:val="00A868AF"/>
    <w:rsid w:val="00B26994"/>
    <w:rsid w:val="00B738FA"/>
    <w:rsid w:val="00BE5640"/>
    <w:rsid w:val="00F624A0"/>
    <w:rsid w:val="00FA6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E030D"/>
  <w15:chartTrackingRefBased/>
  <w15:docId w15:val="{C3038EFA-653E-4017-A434-7F8FDF974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68AF"/>
  </w:style>
  <w:style w:type="paragraph" w:styleId="Heading1">
    <w:name w:val="heading 1"/>
    <w:basedOn w:val="Normal"/>
    <w:next w:val="Normal"/>
    <w:link w:val="Heading1Char"/>
    <w:uiPriority w:val="9"/>
    <w:qFormat/>
    <w:rsid w:val="00A868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68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68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68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68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68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68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68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68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8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68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68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68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68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68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68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68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68AF"/>
    <w:rPr>
      <w:rFonts w:eastAsiaTheme="majorEastAsia" w:cstheme="majorBidi"/>
      <w:color w:val="272727" w:themeColor="text1" w:themeTint="D8"/>
    </w:rPr>
  </w:style>
  <w:style w:type="paragraph" w:styleId="Title">
    <w:name w:val="Title"/>
    <w:basedOn w:val="Normal"/>
    <w:next w:val="Normal"/>
    <w:link w:val="TitleChar"/>
    <w:uiPriority w:val="10"/>
    <w:qFormat/>
    <w:rsid w:val="00A868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68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68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68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68AF"/>
    <w:pPr>
      <w:spacing w:before="160"/>
      <w:jc w:val="center"/>
    </w:pPr>
    <w:rPr>
      <w:i/>
      <w:iCs/>
      <w:color w:val="404040" w:themeColor="text1" w:themeTint="BF"/>
    </w:rPr>
  </w:style>
  <w:style w:type="character" w:customStyle="1" w:styleId="QuoteChar">
    <w:name w:val="Quote Char"/>
    <w:basedOn w:val="DefaultParagraphFont"/>
    <w:link w:val="Quote"/>
    <w:uiPriority w:val="29"/>
    <w:rsid w:val="00A868AF"/>
    <w:rPr>
      <w:i/>
      <w:iCs/>
      <w:color w:val="404040" w:themeColor="text1" w:themeTint="BF"/>
    </w:rPr>
  </w:style>
  <w:style w:type="paragraph" w:styleId="ListParagraph">
    <w:name w:val="List Paragraph"/>
    <w:basedOn w:val="Normal"/>
    <w:uiPriority w:val="34"/>
    <w:qFormat/>
    <w:rsid w:val="00A868AF"/>
    <w:pPr>
      <w:ind w:left="720"/>
      <w:contextualSpacing/>
    </w:pPr>
  </w:style>
  <w:style w:type="character" w:styleId="IntenseEmphasis">
    <w:name w:val="Intense Emphasis"/>
    <w:basedOn w:val="DefaultParagraphFont"/>
    <w:uiPriority w:val="21"/>
    <w:qFormat/>
    <w:rsid w:val="00A868AF"/>
    <w:rPr>
      <w:i/>
      <w:iCs/>
      <w:color w:val="0F4761" w:themeColor="accent1" w:themeShade="BF"/>
    </w:rPr>
  </w:style>
  <w:style w:type="paragraph" w:styleId="IntenseQuote">
    <w:name w:val="Intense Quote"/>
    <w:basedOn w:val="Normal"/>
    <w:next w:val="Normal"/>
    <w:link w:val="IntenseQuoteChar"/>
    <w:uiPriority w:val="30"/>
    <w:qFormat/>
    <w:rsid w:val="00A868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68AF"/>
    <w:rPr>
      <w:i/>
      <w:iCs/>
      <w:color w:val="0F4761" w:themeColor="accent1" w:themeShade="BF"/>
    </w:rPr>
  </w:style>
  <w:style w:type="character" w:styleId="IntenseReference">
    <w:name w:val="Intense Reference"/>
    <w:basedOn w:val="DefaultParagraphFont"/>
    <w:uiPriority w:val="32"/>
    <w:qFormat/>
    <w:rsid w:val="00A868AF"/>
    <w:rPr>
      <w:b/>
      <w:bCs/>
      <w:smallCaps/>
      <w:color w:val="0F4761" w:themeColor="accent1" w:themeShade="BF"/>
      <w:spacing w:val="5"/>
    </w:rPr>
  </w:style>
  <w:style w:type="paragraph" w:styleId="NormalWeb">
    <w:name w:val="Normal (Web)"/>
    <w:basedOn w:val="Normal"/>
    <w:uiPriority w:val="99"/>
    <w:unhideWhenUsed/>
    <w:rsid w:val="00A868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A868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68AF"/>
  </w:style>
  <w:style w:type="paragraph" w:styleId="Footer">
    <w:name w:val="footer"/>
    <w:basedOn w:val="Normal"/>
    <w:link w:val="FooterChar"/>
    <w:uiPriority w:val="99"/>
    <w:unhideWhenUsed/>
    <w:rsid w:val="00A868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8AF"/>
  </w:style>
  <w:style w:type="character" w:styleId="Hyperlink">
    <w:name w:val="Hyperlink"/>
    <w:basedOn w:val="DefaultParagraphFont"/>
    <w:uiPriority w:val="99"/>
    <w:unhideWhenUsed/>
    <w:rsid w:val="00FA6A6D"/>
    <w:rPr>
      <w:color w:val="467886" w:themeColor="hyperlink"/>
      <w:u w:val="single"/>
    </w:rPr>
  </w:style>
  <w:style w:type="paragraph" w:customStyle="1" w:styleId="Default">
    <w:name w:val="Default"/>
    <w:rsid w:val="00FA6A6D"/>
    <w:pPr>
      <w:autoSpaceDE w:val="0"/>
      <w:autoSpaceDN w:val="0"/>
      <w:adjustRightInd w:val="0"/>
      <w:spacing w:after="0" w:line="240" w:lineRule="auto"/>
    </w:pPr>
    <w:rPr>
      <w:rFonts w:ascii="Arial" w:hAnsi="Arial" w:cs="Arial"/>
      <w:color w:val="000000"/>
      <w:kern w:val="0"/>
    </w:rPr>
  </w:style>
  <w:style w:type="table" w:styleId="TableGrid">
    <w:name w:val="Table Grid"/>
    <w:basedOn w:val="TableNormal"/>
    <w:uiPriority w:val="39"/>
    <w:rsid w:val="00A45B3D"/>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7255366">
      <w:bodyDiv w:val="1"/>
      <w:marLeft w:val="0"/>
      <w:marRight w:val="0"/>
      <w:marTop w:val="0"/>
      <w:marBottom w:val="0"/>
      <w:divBdr>
        <w:top w:val="none" w:sz="0" w:space="0" w:color="auto"/>
        <w:left w:val="none" w:sz="0" w:space="0" w:color="auto"/>
        <w:bottom w:val="none" w:sz="0" w:space="0" w:color="auto"/>
        <w:right w:val="none" w:sz="0" w:space="0" w:color="auto"/>
      </w:divBdr>
      <w:divsChild>
        <w:div w:id="805122827">
          <w:marLeft w:val="0"/>
          <w:marRight w:val="0"/>
          <w:marTop w:val="0"/>
          <w:marBottom w:val="0"/>
          <w:divBdr>
            <w:top w:val="none" w:sz="0" w:space="0" w:color="auto"/>
            <w:left w:val="none" w:sz="0" w:space="0" w:color="auto"/>
            <w:bottom w:val="none" w:sz="0" w:space="0" w:color="auto"/>
            <w:right w:val="none" w:sz="0" w:space="0" w:color="auto"/>
          </w:divBdr>
          <w:divsChild>
            <w:div w:id="154934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277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jvoice.2013.01.001" TargetMode="External"/><Relationship Id="rId21" Type="http://schemas.openxmlformats.org/officeDocument/2006/relationships/hyperlink" Target="https://doi.org/10.1177/135581960501000110" TargetMode="External"/><Relationship Id="rId42" Type="http://schemas.openxmlformats.org/officeDocument/2006/relationships/hyperlink" Target="https://doi.org/10.1016/j.jvoice.2003.05.001" TargetMode="External"/><Relationship Id="rId47" Type="http://schemas.openxmlformats.org/officeDocument/2006/relationships/hyperlink" Target="https://doi.org/10.1093/brain/awf028" TargetMode="External"/><Relationship Id="rId63" Type="http://schemas.openxmlformats.org/officeDocument/2006/relationships/hyperlink" Target="https://doi.org/10.1093/oxfordhb/9780199660773.013.38" TargetMode="External"/><Relationship Id="rId68" Type="http://schemas.openxmlformats.org/officeDocument/2006/relationships/hyperlink" Target="https://doi.org/10.1016/j.jeap.2008.10.004" TargetMode="External"/><Relationship Id="rId7" Type="http://schemas.openxmlformats.org/officeDocument/2006/relationships/hyperlink" Target="https://www.cambridge.org/core/search?filters%5BauthorTerms%5D=Hermann%20Ackermann&amp;eventCode=SE-AU" TargetMode="External"/><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07/s10648-024-09847-4" TargetMode="External"/><Relationship Id="rId29" Type="http://schemas.openxmlformats.org/officeDocument/2006/relationships/hyperlink" Target="https://doi.org/10.1111/j.1365-2729.2006.00178.x" TargetMode="External"/><Relationship Id="rId11" Type="http://schemas.openxmlformats.org/officeDocument/2006/relationships/hyperlink" Target="https://pubs.aip.org/asa/jasa/article-abstract/113/2/1102/545183/The-effect-of-superior-auditory-skills-on-vocal" TargetMode="External"/><Relationship Id="rId24" Type="http://schemas.openxmlformats.org/officeDocument/2006/relationships/hyperlink" Target="http://lww.com/" TargetMode="External"/><Relationship Id="rId32" Type="http://schemas.openxmlformats.org/officeDocument/2006/relationships/hyperlink" Target="https://doi.org/10.1111/j.1469-1809.1980.tb01571.x" TargetMode="External"/><Relationship Id="rId37" Type="http://schemas.openxmlformats.org/officeDocument/2006/relationships/hyperlink" Target="https://doi.org/10.1177/0255761408092525" TargetMode="External"/><Relationship Id="rId40" Type="http://schemas.openxmlformats.org/officeDocument/2006/relationships/hyperlink" Target="https://doi.org/10.53830/sing.00047" TargetMode="External"/><Relationship Id="rId45" Type="http://schemas.openxmlformats.org/officeDocument/2006/relationships/hyperlink" Target="https://doi.org/10.3758/s13423-017-1242-7" TargetMode="External"/><Relationship Id="rId53" Type="http://schemas.openxmlformats.org/officeDocument/2006/relationships/hyperlink" Target="https://doi.org/10.1080/23268263.2009.10761519" TargetMode="External"/><Relationship Id="rId58" Type="http://schemas.openxmlformats.org/officeDocument/2006/relationships/hyperlink" Target="https://www.sciencedirect.com/science/article/abs/pii/S0892199703000237" TargetMode="External"/><Relationship Id="rId66" Type="http://schemas.openxmlformats.org/officeDocument/2006/relationships/hyperlink" Target="https://doi.org/10.1037/h0072250" TargetMode="External"/><Relationship Id="rId5" Type="http://schemas.openxmlformats.org/officeDocument/2006/relationships/footnotes" Target="footnotes.xml"/><Relationship Id="rId61" Type="http://schemas.openxmlformats.org/officeDocument/2006/relationships/hyperlink" Target="https://doi.org/10.1080/23268263.2022.2144971" TargetMode="External"/><Relationship Id="rId19" Type="http://schemas.openxmlformats.org/officeDocument/2006/relationships/hyperlink" Target="https://doi.org/10.1177/0027432120906198" TargetMode="External"/><Relationship Id="rId14" Type="http://schemas.openxmlformats.org/officeDocument/2006/relationships/hyperlink" Target="https://doi.org/10.1016/j.jvoice.2004.07.010" TargetMode="External"/><Relationship Id="rId22" Type="http://schemas.openxmlformats.org/officeDocument/2006/relationships/hyperlink" Target="https://doi.org/10.1515/9780691202006" TargetMode="External"/><Relationship Id="rId27" Type="http://schemas.openxmlformats.org/officeDocument/2006/relationships/hyperlink" Target="https://doi.org/10.1177/0305735620959430" TargetMode="External"/><Relationship Id="rId30" Type="http://schemas.openxmlformats.org/officeDocument/2006/relationships/hyperlink" Target="https://doi.org/10.1037/a0025064" TargetMode="External"/><Relationship Id="rId35" Type="http://schemas.openxmlformats.org/officeDocument/2006/relationships/hyperlink" Target="https://doi.org/10.1037/0022-3514.77.6.1121" TargetMode="External"/><Relationship Id="rId43" Type="http://schemas.openxmlformats.org/officeDocument/2006/relationships/hyperlink" Target="https://doi.org/10.1177/03057356221137932" TargetMode="External"/><Relationship Id="rId48" Type="http://schemas.openxmlformats.org/officeDocument/2006/relationships/hyperlink" Target="https://doi.org/10.1177/0022429420951630" TargetMode="External"/><Relationship Id="rId56" Type="http://schemas.openxmlformats.org/officeDocument/2006/relationships/hyperlink" Target="https://doi.org/10.1371/journal.pone.0223047" TargetMode="External"/><Relationship Id="rId64" Type="http://schemas.openxmlformats.org/officeDocument/2006/relationships/hyperlink" Target="https://d.docs.live.net/407b5367db22af1c/Desktop/University/BMPF7013%20-%20Independent%20Study/&#160;http:/ethos.bl.uk/OrderDetails.do?uin=uk.bl.ethos.502980%2007/09/2024" TargetMode="External"/><Relationship Id="rId69" Type="http://schemas.openxmlformats.org/officeDocument/2006/relationships/header" Target="header1.xml"/><Relationship Id="rId8" Type="http://schemas.openxmlformats.org/officeDocument/2006/relationships/hyperlink" Target="https://www.cambridge.org/core/search?filters%5BauthorTerms%5D=Steffen%20R.%20Hage&amp;eventCode=SE-AU" TargetMode="External"/><Relationship Id="rId51" Type="http://schemas.openxmlformats.org/officeDocument/2006/relationships/hyperlink" Target="https://doi.org/10.1007/s00221-019-05692-y" TargetMode="External"/><Relationship Id="rId3" Type="http://schemas.openxmlformats.org/officeDocument/2006/relationships/settings" Target="settings.xml"/><Relationship Id="rId12" Type="http://schemas.openxmlformats.org/officeDocument/2006/relationships/hyperlink" Target="https://doi.org/10.1093/brain/awf028" TargetMode="External"/><Relationship Id="rId17" Type="http://schemas.openxmlformats.org/officeDocument/2006/relationships/hyperlink" Target="https://doi.org/10.1055/s-0037-1603763" TargetMode="External"/><Relationship Id="rId25" Type="http://schemas.openxmlformats.org/officeDocument/2006/relationships/hyperlink" Target="https://doi.org/10.1080/23268263.2017.1370833" TargetMode="External"/><Relationship Id="rId33" Type="http://schemas.openxmlformats.org/officeDocument/2006/relationships/hyperlink" Target="https://doi.org/10.1093/oxfordhb/9780199660773.013.015" TargetMode="External"/><Relationship Id="rId38" Type="http://schemas.openxmlformats.org/officeDocument/2006/relationships/hyperlink" Target="https://doi.org/10.1002/bmb.20922" TargetMode="External"/><Relationship Id="rId46" Type="http://schemas.openxmlformats.org/officeDocument/2006/relationships/hyperlink" Target="https://www.nature.com/articles/nn1083" TargetMode="External"/><Relationship Id="rId59" Type="http://schemas.openxmlformats.org/officeDocument/2006/relationships/hyperlink" Target="https://doi.org/10.1177/0305735689172005" TargetMode="External"/><Relationship Id="rId67" Type="http://schemas.openxmlformats.org/officeDocument/2006/relationships/hyperlink" Target="https://doi.org/10.3758/s13414-019-01869-3" TargetMode="External"/><Relationship Id="rId20" Type="http://schemas.openxmlformats.org/officeDocument/2006/relationships/hyperlink" Target="https://pubs.aip.org/asa/jasa/article-abstract/121/2/1182/921155/Singing-proficiency-in-the-general-population?redirectedFrom=fulltext" TargetMode="External"/><Relationship Id="rId41" Type="http://schemas.openxmlformats.org/officeDocument/2006/relationships/hyperlink" Target="https://doi.org/10.53830/sing.00059" TargetMode="External"/><Relationship Id="rId54" Type="http://schemas.openxmlformats.org/officeDocument/2006/relationships/hyperlink" Target="https://doi.org/10.1093/oxfordhb/9780198743187.013.6" TargetMode="External"/><Relationship Id="rId62" Type="http://schemas.openxmlformats.org/officeDocument/2006/relationships/hyperlink" Target="https://doi.org/10.1093/oxfordhb/9780199660773.013.38" TargetMode="External"/><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2307/3344564" TargetMode="External"/><Relationship Id="rId23" Type="http://schemas.openxmlformats.org/officeDocument/2006/relationships/hyperlink" Target="https://doi.org/10.1093/cercor/bhaa182" TargetMode="External"/><Relationship Id="rId28" Type="http://schemas.openxmlformats.org/officeDocument/2006/relationships/hyperlink" Target="https://doi.org/10.1177/1321103X20930426" TargetMode="External"/><Relationship Id="rId36" Type="http://schemas.openxmlformats.org/officeDocument/2006/relationships/hyperlink" Target="https://doi.org/10.3390/app122110781" TargetMode="External"/><Relationship Id="rId49" Type="http://schemas.openxmlformats.org/officeDocument/2006/relationships/hyperlink" Target="https://doi.org/10.3758/s13423-013-0401-8" TargetMode="External"/><Relationship Id="rId57" Type="http://schemas.openxmlformats.org/officeDocument/2006/relationships/hyperlink" Target="https://doi.org/10.1177/1541344617699591" TargetMode="External"/><Relationship Id="rId10" Type="http://schemas.openxmlformats.org/officeDocument/2006/relationships/hyperlink" Target="https://www.cambridge.org/core/journals/behavioral-and-brain-sciences/article/abs/brain-mechanisms-of-acoustic-communication-in-humans-and-nonhuman-primates-an-evolutionary-perspective/1FD5C5F020904229F13B5C015BCB6626" TargetMode="External"/><Relationship Id="rId31" Type="http://schemas.openxmlformats.org/officeDocument/2006/relationships/hyperlink" Target="https://doi.org/10.3758/s13414-014-0732-1" TargetMode="External"/><Relationship Id="rId44" Type="http://schemas.openxmlformats.org/officeDocument/2006/relationships/hyperlink" Target="https://doi.org/10.1177/0305735619854534" TargetMode="External"/><Relationship Id="rId52" Type="http://schemas.openxmlformats.org/officeDocument/2006/relationships/hyperlink" Target="https://doi.org/10.1016/j.cedpsych.2019.101832" TargetMode="External"/><Relationship Id="rId60" Type="http://schemas.openxmlformats.org/officeDocument/2006/relationships/hyperlink" Target="https://doi.org/10.1080/14613800500169779" TargetMode="External"/><Relationship Id="rId65" Type="http://schemas.openxmlformats.org/officeDocument/2006/relationships/hyperlink" Target="https://doi.org/10.1177/102986490801200102" TargetMode="External"/><Relationship Id="rId4" Type="http://schemas.openxmlformats.org/officeDocument/2006/relationships/webSettings" Target="webSettings.xml"/><Relationship Id="rId9" Type="http://schemas.openxmlformats.org/officeDocument/2006/relationships/hyperlink" Target="https://www.cambridge.org/core/search?filters%5BauthorTerms%5D=Wolfram%20Ziegler&amp;eventCode=SE-AU" TargetMode="External"/><Relationship Id="rId13" Type="http://schemas.openxmlformats.org/officeDocument/2006/relationships/hyperlink" Target="https://doi.org/10.1177/03057356211026730" TargetMode="External"/><Relationship Id="rId18" Type="http://schemas.openxmlformats.org/officeDocument/2006/relationships/hyperlink" Target="https://doi.org/10.1196/annals.1360.026" TargetMode="External"/><Relationship Id="rId39" Type="http://schemas.openxmlformats.org/officeDocument/2006/relationships/hyperlink" Target="https://doi.org/10.1098/rsos.191727" TargetMode="External"/><Relationship Id="rId34" Type="http://schemas.openxmlformats.org/officeDocument/2006/relationships/hyperlink" Target="https://doi.org/10.1093/oxfordhb/9780199660773.013.48" TargetMode="External"/><Relationship Id="rId50" Type="http://schemas.openxmlformats.org/officeDocument/2006/relationships/hyperlink" Target="https://doi.org/10.52547/ieepj.3.3.292" TargetMode="External"/><Relationship Id="rId55" Type="http://schemas.openxmlformats.org/officeDocument/2006/relationships/hyperlink" Target="https://doi.org/10.1080/23735082.2019.16749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24</Pages>
  <Words>11789</Words>
  <Characters>67199</Characters>
  <Application>Microsoft Office Word</Application>
  <DocSecurity>0</DocSecurity>
  <Lines>559</Lines>
  <Paragraphs>157</Paragraphs>
  <ScaleCrop>false</ScaleCrop>
  <Company/>
  <LinksUpToDate>false</LinksUpToDate>
  <CharactersWithSpaces>78831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Heap</dc:creator>
  <cp:keywords/>
  <dc:description/>
  <cp:lastModifiedBy>Grace Heap</cp:lastModifiedBy>
  <cp:revision>14</cp:revision>
  <dcterms:created xsi:type="dcterms:W3CDTF">2024-11-29T23:31:00Z</dcterms:created>
  <dcterms:modified xsi:type="dcterms:W3CDTF">2024-11-29T23:50:00Z</dcterms:modified>
</cp:coreProperties>
</file>