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0F44C" w14:textId="77777777" w:rsidR="000427B3" w:rsidRDefault="000427B3" w:rsidP="003B3973">
      <w:pPr>
        <w:rPr>
          <w:b/>
          <w:bCs/>
        </w:rPr>
      </w:pPr>
    </w:p>
    <w:p w14:paraId="1AF08937" w14:textId="77777777" w:rsidR="000427B3" w:rsidRDefault="000427B3" w:rsidP="003B3973">
      <w:pPr>
        <w:rPr>
          <w:b/>
          <w:bCs/>
        </w:rPr>
      </w:pPr>
    </w:p>
    <w:p w14:paraId="02B0FEF6" w14:textId="77777777" w:rsidR="000427B3" w:rsidRDefault="000427B3" w:rsidP="003B3973">
      <w:pPr>
        <w:rPr>
          <w:b/>
          <w:bCs/>
        </w:rPr>
      </w:pPr>
    </w:p>
    <w:p w14:paraId="22484B6E" w14:textId="77777777" w:rsidR="000427B3" w:rsidRPr="0016791A" w:rsidRDefault="000427B3" w:rsidP="0016791A">
      <w:pPr>
        <w:spacing w:line="360" w:lineRule="auto"/>
        <w:rPr>
          <w:rFonts w:ascii="Arial" w:hAnsi="Arial" w:cs="Arial"/>
          <w:b/>
          <w:bCs/>
        </w:rPr>
      </w:pPr>
    </w:p>
    <w:p w14:paraId="0ABC3A61" w14:textId="77777777" w:rsidR="000427B3" w:rsidRPr="0016791A" w:rsidRDefault="000427B3" w:rsidP="0016791A">
      <w:pPr>
        <w:spacing w:line="360" w:lineRule="auto"/>
        <w:rPr>
          <w:rFonts w:ascii="Arial" w:hAnsi="Arial" w:cs="Arial"/>
          <w:b/>
          <w:bCs/>
        </w:rPr>
      </w:pPr>
    </w:p>
    <w:p w14:paraId="27FE2642" w14:textId="77777777" w:rsidR="000427B3" w:rsidRPr="0016791A" w:rsidRDefault="000427B3" w:rsidP="0016791A">
      <w:pPr>
        <w:spacing w:line="360" w:lineRule="auto"/>
        <w:rPr>
          <w:rFonts w:ascii="Arial" w:hAnsi="Arial" w:cs="Arial"/>
          <w:b/>
          <w:bCs/>
        </w:rPr>
      </w:pPr>
    </w:p>
    <w:p w14:paraId="3544A088" w14:textId="77777777" w:rsidR="000427B3" w:rsidRPr="0016791A" w:rsidRDefault="000427B3" w:rsidP="0016791A">
      <w:pPr>
        <w:spacing w:line="360" w:lineRule="auto"/>
        <w:rPr>
          <w:rFonts w:ascii="Arial" w:hAnsi="Arial" w:cs="Arial"/>
          <w:b/>
          <w:bCs/>
        </w:rPr>
      </w:pPr>
    </w:p>
    <w:p w14:paraId="3DB941ED" w14:textId="3DB94C7D" w:rsidR="000427B3" w:rsidRPr="0016791A" w:rsidRDefault="000427B3" w:rsidP="0016791A">
      <w:pPr>
        <w:spacing w:line="360" w:lineRule="auto"/>
        <w:jc w:val="center"/>
        <w:rPr>
          <w:rFonts w:ascii="Arial" w:hAnsi="Arial" w:cs="Arial"/>
          <w:b/>
          <w:bCs/>
        </w:rPr>
      </w:pPr>
      <w:r w:rsidRPr="0016791A">
        <w:rPr>
          <w:rFonts w:ascii="Arial" w:hAnsi="Arial" w:cs="Arial"/>
          <w:b/>
          <w:bCs/>
        </w:rPr>
        <w:t>Academic Report</w:t>
      </w:r>
      <w:r w:rsidRPr="0016791A">
        <w:rPr>
          <w:rFonts w:ascii="Arial" w:hAnsi="Arial" w:cs="Arial"/>
          <w:b/>
          <w:bCs/>
        </w:rPr>
        <w:br/>
      </w:r>
      <w:r w:rsidRPr="0016791A">
        <w:rPr>
          <w:rFonts w:ascii="Arial" w:hAnsi="Arial" w:cs="Arial"/>
          <w:b/>
          <w:bCs/>
        </w:rPr>
        <w:br/>
        <w:t>Module Name: Understanding &amp; Engaging Stakeholders</w:t>
      </w:r>
      <w:r w:rsidRPr="0016791A">
        <w:rPr>
          <w:rFonts w:ascii="Arial" w:hAnsi="Arial" w:cs="Arial"/>
          <w:b/>
          <w:bCs/>
        </w:rPr>
        <w:br/>
        <w:t>Module Code: LCLM5001</w:t>
      </w:r>
      <w:r w:rsidRPr="0016791A">
        <w:rPr>
          <w:rFonts w:ascii="Arial" w:hAnsi="Arial" w:cs="Arial"/>
          <w:b/>
          <w:bCs/>
        </w:rPr>
        <w:br/>
        <w:t>Student Name: Radu Popovici</w:t>
      </w:r>
      <w:r w:rsidRPr="0016791A">
        <w:rPr>
          <w:rFonts w:ascii="Arial" w:hAnsi="Arial" w:cs="Arial"/>
          <w:b/>
          <w:bCs/>
        </w:rPr>
        <w:br/>
        <w:t>Student ID: 2424015</w:t>
      </w:r>
    </w:p>
    <w:p w14:paraId="64F30FFE" w14:textId="77777777" w:rsidR="000427B3" w:rsidRPr="0016791A" w:rsidRDefault="000427B3" w:rsidP="0016791A">
      <w:pPr>
        <w:spacing w:line="360" w:lineRule="auto"/>
        <w:rPr>
          <w:rFonts w:ascii="Arial" w:hAnsi="Arial" w:cs="Arial"/>
          <w:b/>
          <w:bCs/>
        </w:rPr>
      </w:pPr>
    </w:p>
    <w:p w14:paraId="76C1F351" w14:textId="77777777" w:rsidR="000427B3" w:rsidRPr="0016791A" w:rsidRDefault="000427B3" w:rsidP="0016791A">
      <w:pPr>
        <w:spacing w:line="360" w:lineRule="auto"/>
        <w:rPr>
          <w:rFonts w:ascii="Arial" w:hAnsi="Arial" w:cs="Arial"/>
          <w:b/>
          <w:bCs/>
        </w:rPr>
      </w:pPr>
    </w:p>
    <w:p w14:paraId="69B47968" w14:textId="77777777" w:rsidR="000427B3" w:rsidRPr="0016791A" w:rsidRDefault="000427B3" w:rsidP="0016791A">
      <w:pPr>
        <w:spacing w:line="360" w:lineRule="auto"/>
        <w:rPr>
          <w:rFonts w:ascii="Arial" w:hAnsi="Arial" w:cs="Arial"/>
          <w:b/>
          <w:bCs/>
        </w:rPr>
      </w:pPr>
    </w:p>
    <w:p w14:paraId="32A9FA87" w14:textId="77777777" w:rsidR="000427B3" w:rsidRPr="0016791A" w:rsidRDefault="000427B3" w:rsidP="0016791A">
      <w:pPr>
        <w:spacing w:line="360" w:lineRule="auto"/>
        <w:rPr>
          <w:rFonts w:ascii="Arial" w:hAnsi="Arial" w:cs="Arial"/>
          <w:b/>
          <w:bCs/>
        </w:rPr>
      </w:pPr>
    </w:p>
    <w:p w14:paraId="26414B2B" w14:textId="77777777" w:rsidR="000427B3" w:rsidRPr="0016791A" w:rsidRDefault="000427B3" w:rsidP="0016791A">
      <w:pPr>
        <w:spacing w:line="360" w:lineRule="auto"/>
        <w:rPr>
          <w:rFonts w:ascii="Arial" w:hAnsi="Arial" w:cs="Arial"/>
          <w:b/>
          <w:bCs/>
        </w:rPr>
      </w:pPr>
    </w:p>
    <w:p w14:paraId="7F2256D7" w14:textId="77777777" w:rsidR="000427B3" w:rsidRPr="0016791A" w:rsidRDefault="000427B3" w:rsidP="0016791A">
      <w:pPr>
        <w:spacing w:line="360" w:lineRule="auto"/>
        <w:rPr>
          <w:rFonts w:ascii="Arial" w:hAnsi="Arial" w:cs="Arial"/>
          <w:b/>
          <w:bCs/>
        </w:rPr>
      </w:pPr>
    </w:p>
    <w:p w14:paraId="0571F013" w14:textId="77777777" w:rsidR="000427B3" w:rsidRPr="0016791A" w:rsidRDefault="000427B3" w:rsidP="0016791A">
      <w:pPr>
        <w:spacing w:line="360" w:lineRule="auto"/>
        <w:rPr>
          <w:rFonts w:ascii="Arial" w:hAnsi="Arial" w:cs="Arial"/>
          <w:b/>
          <w:bCs/>
        </w:rPr>
      </w:pPr>
    </w:p>
    <w:p w14:paraId="3370C3F0" w14:textId="77777777" w:rsidR="000427B3" w:rsidRPr="0016791A" w:rsidRDefault="000427B3" w:rsidP="0016791A">
      <w:pPr>
        <w:spacing w:line="360" w:lineRule="auto"/>
        <w:rPr>
          <w:rFonts w:ascii="Arial" w:hAnsi="Arial" w:cs="Arial"/>
          <w:b/>
          <w:bCs/>
        </w:rPr>
      </w:pPr>
    </w:p>
    <w:p w14:paraId="588CC607" w14:textId="77777777" w:rsidR="000427B3" w:rsidRPr="0016791A" w:rsidRDefault="000427B3" w:rsidP="0016791A">
      <w:pPr>
        <w:spacing w:line="360" w:lineRule="auto"/>
        <w:rPr>
          <w:rFonts w:ascii="Arial" w:hAnsi="Arial" w:cs="Arial"/>
          <w:b/>
          <w:bCs/>
        </w:rPr>
      </w:pPr>
    </w:p>
    <w:p w14:paraId="3062E9DC" w14:textId="77777777" w:rsidR="000427B3" w:rsidRPr="0016791A" w:rsidRDefault="000427B3" w:rsidP="0016791A">
      <w:pPr>
        <w:spacing w:line="360" w:lineRule="auto"/>
        <w:rPr>
          <w:rFonts w:ascii="Arial" w:hAnsi="Arial" w:cs="Arial"/>
          <w:b/>
          <w:bCs/>
        </w:rPr>
      </w:pPr>
    </w:p>
    <w:p w14:paraId="1DFF5C81" w14:textId="77777777" w:rsidR="000427B3" w:rsidRPr="0016791A" w:rsidRDefault="000427B3" w:rsidP="0016791A">
      <w:pPr>
        <w:spacing w:line="360" w:lineRule="auto"/>
        <w:rPr>
          <w:rFonts w:ascii="Arial" w:hAnsi="Arial" w:cs="Arial"/>
          <w:b/>
          <w:bCs/>
        </w:rPr>
      </w:pPr>
    </w:p>
    <w:p w14:paraId="7054F3E5" w14:textId="77777777" w:rsidR="000427B3" w:rsidRPr="0016791A" w:rsidRDefault="000427B3" w:rsidP="0016791A">
      <w:pPr>
        <w:spacing w:line="360" w:lineRule="auto"/>
        <w:rPr>
          <w:rFonts w:ascii="Arial" w:hAnsi="Arial" w:cs="Arial"/>
          <w:b/>
          <w:bCs/>
        </w:rPr>
      </w:pPr>
    </w:p>
    <w:p w14:paraId="35C00B38" w14:textId="77777777" w:rsidR="000427B3" w:rsidRPr="0016791A" w:rsidRDefault="000427B3" w:rsidP="0016791A">
      <w:pPr>
        <w:spacing w:line="360" w:lineRule="auto"/>
        <w:rPr>
          <w:rFonts w:ascii="Arial" w:hAnsi="Arial" w:cs="Arial"/>
          <w:b/>
          <w:bCs/>
        </w:rPr>
      </w:pPr>
    </w:p>
    <w:p w14:paraId="4862F734" w14:textId="77777777" w:rsidR="000427B3" w:rsidRPr="0016791A" w:rsidRDefault="000427B3" w:rsidP="0016791A">
      <w:pPr>
        <w:spacing w:line="360" w:lineRule="auto"/>
        <w:rPr>
          <w:rFonts w:ascii="Arial" w:hAnsi="Arial" w:cs="Arial"/>
          <w:b/>
          <w:bCs/>
        </w:rPr>
      </w:pPr>
    </w:p>
    <w:p w14:paraId="33E0DA25" w14:textId="77777777" w:rsidR="000427B3" w:rsidRPr="0016791A" w:rsidRDefault="000427B3" w:rsidP="0016791A">
      <w:pPr>
        <w:spacing w:line="360" w:lineRule="auto"/>
        <w:rPr>
          <w:rFonts w:ascii="Arial" w:hAnsi="Arial" w:cs="Arial"/>
          <w:b/>
          <w:bCs/>
        </w:rPr>
      </w:pPr>
    </w:p>
    <w:p w14:paraId="0E66D526" w14:textId="77777777" w:rsidR="000427B3" w:rsidRPr="0016791A" w:rsidRDefault="000427B3" w:rsidP="0016791A">
      <w:pPr>
        <w:spacing w:line="360" w:lineRule="auto"/>
        <w:rPr>
          <w:rFonts w:ascii="Arial" w:hAnsi="Arial" w:cs="Arial"/>
          <w:b/>
          <w:bCs/>
        </w:rPr>
      </w:pPr>
    </w:p>
    <w:p w14:paraId="542982A4" w14:textId="77777777" w:rsidR="000427B3" w:rsidRPr="0016791A" w:rsidRDefault="000427B3" w:rsidP="0016791A">
      <w:pPr>
        <w:spacing w:line="360" w:lineRule="auto"/>
        <w:rPr>
          <w:rFonts w:ascii="Arial" w:hAnsi="Arial" w:cs="Arial"/>
          <w:b/>
          <w:bCs/>
        </w:rPr>
      </w:pPr>
    </w:p>
    <w:p w14:paraId="3FFB4872" w14:textId="77777777" w:rsidR="000427B3" w:rsidRPr="0016791A" w:rsidRDefault="000427B3" w:rsidP="0016791A">
      <w:pPr>
        <w:spacing w:line="360" w:lineRule="auto"/>
        <w:rPr>
          <w:rFonts w:ascii="Arial" w:hAnsi="Arial" w:cs="Arial"/>
          <w:b/>
          <w:bCs/>
        </w:rPr>
      </w:pPr>
    </w:p>
    <w:p w14:paraId="5DD89650" w14:textId="77777777" w:rsidR="000427B3" w:rsidRPr="0016791A" w:rsidRDefault="000427B3" w:rsidP="0016791A">
      <w:pPr>
        <w:spacing w:line="360" w:lineRule="auto"/>
        <w:rPr>
          <w:rFonts w:ascii="Arial" w:hAnsi="Arial" w:cs="Arial"/>
          <w:b/>
          <w:bCs/>
        </w:rPr>
      </w:pPr>
    </w:p>
    <w:p w14:paraId="22A55504" w14:textId="77777777" w:rsidR="000427B3" w:rsidRPr="0016791A" w:rsidRDefault="000427B3" w:rsidP="0016791A">
      <w:pPr>
        <w:spacing w:line="360" w:lineRule="auto"/>
        <w:rPr>
          <w:rFonts w:ascii="Arial" w:hAnsi="Arial" w:cs="Arial"/>
          <w:b/>
          <w:bCs/>
        </w:rPr>
      </w:pPr>
    </w:p>
    <w:p w14:paraId="17D7E9E2" w14:textId="77777777" w:rsidR="000427B3" w:rsidRPr="0016791A" w:rsidRDefault="000427B3" w:rsidP="0016791A">
      <w:pPr>
        <w:spacing w:line="360" w:lineRule="auto"/>
        <w:rPr>
          <w:rFonts w:ascii="Arial" w:hAnsi="Arial" w:cs="Arial"/>
          <w:b/>
          <w:bCs/>
        </w:rPr>
      </w:pPr>
    </w:p>
    <w:p w14:paraId="5ED052E3" w14:textId="77777777" w:rsidR="000427B3" w:rsidRPr="0016791A" w:rsidRDefault="000427B3" w:rsidP="0016791A">
      <w:pPr>
        <w:spacing w:line="360" w:lineRule="auto"/>
        <w:rPr>
          <w:rFonts w:ascii="Arial" w:hAnsi="Arial" w:cs="Arial"/>
          <w:b/>
          <w:bCs/>
        </w:rPr>
      </w:pPr>
    </w:p>
    <w:p w14:paraId="5FE4FF33" w14:textId="77777777" w:rsidR="000427B3" w:rsidRPr="0016791A" w:rsidRDefault="000427B3" w:rsidP="0016791A">
      <w:pPr>
        <w:spacing w:line="360" w:lineRule="auto"/>
        <w:rPr>
          <w:rFonts w:ascii="Arial" w:hAnsi="Arial" w:cs="Arial"/>
          <w:b/>
          <w:bCs/>
        </w:rPr>
      </w:pPr>
    </w:p>
    <w:p w14:paraId="3D547E1E" w14:textId="7908C11A" w:rsidR="003B3973" w:rsidRPr="003B3973" w:rsidRDefault="003B3973" w:rsidP="0016791A">
      <w:pPr>
        <w:spacing w:line="360" w:lineRule="auto"/>
        <w:rPr>
          <w:rFonts w:ascii="Arial" w:hAnsi="Arial" w:cs="Arial"/>
          <w:b/>
          <w:bCs/>
        </w:rPr>
      </w:pPr>
      <w:r w:rsidRPr="003B3973">
        <w:rPr>
          <w:rFonts w:ascii="Arial" w:hAnsi="Arial" w:cs="Arial"/>
          <w:b/>
          <w:bCs/>
        </w:rPr>
        <w:t>Executive Summary</w:t>
      </w:r>
    </w:p>
    <w:p w14:paraId="6D770EB3" w14:textId="4656AD7E" w:rsidR="003B3973" w:rsidRPr="003B3973" w:rsidRDefault="003B3973" w:rsidP="0016791A">
      <w:pPr>
        <w:spacing w:line="360" w:lineRule="auto"/>
        <w:rPr>
          <w:rFonts w:ascii="Arial" w:hAnsi="Arial" w:cs="Arial"/>
        </w:rPr>
      </w:pPr>
      <w:r w:rsidRPr="003B3973">
        <w:rPr>
          <w:rFonts w:ascii="Arial" w:hAnsi="Arial" w:cs="Arial"/>
        </w:rPr>
        <w:t xml:space="preserve">This report, prepared for Hilton Hotel and Hospitality Group, provides a comprehensive analysis of the stakeholder landscape, engagement strategies, and the critical impact of stakeholder management in the global launch of </w:t>
      </w:r>
      <w:proofErr w:type="spellStart"/>
      <w:r w:rsidRPr="003B3973">
        <w:rPr>
          <w:rFonts w:ascii="Arial" w:hAnsi="Arial" w:cs="Arial"/>
        </w:rPr>
        <w:t>StaySmart</w:t>
      </w:r>
      <w:proofErr w:type="spellEnd"/>
      <w:r w:rsidRPr="003B3973">
        <w:rPr>
          <w:rFonts w:ascii="Arial" w:hAnsi="Arial" w:cs="Arial"/>
        </w:rPr>
        <w:t xml:space="preserve">+, Hilton’s new premium customer experience service. </w:t>
      </w:r>
      <w:proofErr w:type="spellStart"/>
      <w:r w:rsidRPr="003B3973">
        <w:rPr>
          <w:rFonts w:ascii="Arial" w:hAnsi="Arial" w:cs="Arial"/>
        </w:rPr>
        <w:t>StaySmart</w:t>
      </w:r>
      <w:proofErr w:type="spellEnd"/>
      <w:r w:rsidRPr="003B3973">
        <w:rPr>
          <w:rFonts w:ascii="Arial" w:hAnsi="Arial" w:cs="Arial"/>
        </w:rPr>
        <w:t>+ integrates AI-driven guest interaction tools, personalized travel planning, and sustainability-focused amenities, and will be deployed across selected hotels worldwide within six months. The report begins with an introduction to Hilton’s flagship London and Birmingham properties, followed by a detailed SWOT and PESTLE analysis of Hilton Worldwide. It systematically identifies and categorizes key internal and external stakeholders, elaborates on their roles, benefits, and challenges, and applies leading frameworks such as the stakeholder matrix, RACI matrix, and engagement plans. Th</w:t>
      </w:r>
      <w:r w:rsidR="00205EE1" w:rsidRPr="0016791A">
        <w:rPr>
          <w:rFonts w:ascii="Arial" w:hAnsi="Arial" w:cs="Arial"/>
        </w:rPr>
        <w:t>is</w:t>
      </w:r>
      <w:r w:rsidRPr="003B3973">
        <w:rPr>
          <w:rFonts w:ascii="Arial" w:hAnsi="Arial" w:cs="Arial"/>
        </w:rPr>
        <w:t xml:space="preserve"> report evaluates the impact of stakeholder engagement on business performance, addresses ethical and cultural considerations, and concludes with actionable recommendations for maximizing collaboration, trust, and commitment in a complex, multicultural hospitality environment. Th</w:t>
      </w:r>
      <w:r w:rsidR="00205EE1" w:rsidRPr="0016791A">
        <w:rPr>
          <w:rFonts w:ascii="Arial" w:hAnsi="Arial" w:cs="Arial"/>
        </w:rPr>
        <w:t>is analysis is based o</w:t>
      </w:r>
      <w:r w:rsidRPr="003B3973">
        <w:rPr>
          <w:rFonts w:ascii="Arial" w:hAnsi="Arial" w:cs="Arial"/>
        </w:rPr>
        <w:t>n</w:t>
      </w:r>
      <w:r w:rsidR="00205EE1" w:rsidRPr="0016791A">
        <w:rPr>
          <w:rFonts w:ascii="Arial" w:hAnsi="Arial" w:cs="Arial"/>
        </w:rPr>
        <w:t xml:space="preserve"> and around</w:t>
      </w:r>
      <w:r w:rsidRPr="003B3973">
        <w:rPr>
          <w:rFonts w:ascii="Arial" w:hAnsi="Arial" w:cs="Arial"/>
        </w:rPr>
        <w:t xml:space="preserve"> stakeholder theory, strategic management principles, and real-world evidence from the hospitality sector, with robust academic and industry references throughout.</w:t>
      </w:r>
    </w:p>
    <w:p w14:paraId="0B7BE603" w14:textId="3C505265" w:rsidR="003B3973" w:rsidRPr="003B3973" w:rsidRDefault="003B3973" w:rsidP="0016791A">
      <w:pPr>
        <w:spacing w:line="360" w:lineRule="auto"/>
        <w:rPr>
          <w:rFonts w:ascii="Arial" w:hAnsi="Arial" w:cs="Arial"/>
          <w:b/>
          <w:bCs/>
        </w:rPr>
      </w:pPr>
      <w:r w:rsidRPr="003B3973">
        <w:rPr>
          <w:rFonts w:ascii="Arial" w:hAnsi="Arial" w:cs="Arial"/>
          <w:b/>
          <w:bCs/>
        </w:rPr>
        <w:t>Hilton’s Flagship Properties in London and Birmingham</w:t>
      </w:r>
    </w:p>
    <w:p w14:paraId="2B33B3AB" w14:textId="77777777" w:rsidR="003B3973" w:rsidRPr="003B3973" w:rsidRDefault="003B3973" w:rsidP="0016791A">
      <w:pPr>
        <w:spacing w:line="360" w:lineRule="auto"/>
        <w:rPr>
          <w:rFonts w:ascii="Arial" w:hAnsi="Arial" w:cs="Arial"/>
        </w:rPr>
      </w:pPr>
      <w:r w:rsidRPr="003B3973">
        <w:rPr>
          <w:rFonts w:ascii="Arial" w:hAnsi="Arial" w:cs="Arial"/>
        </w:rPr>
        <w:t>Hilton Worldwide Holdings Inc. stands as a paragon of global hospitality, with a portfolio that spans over 7,600 properties in 125 countries and territories. In the United Kingdom, Hilton’s presence is marked by both heritage and innovation, particularly through its flagship properties in London and Birmingham. The imminent launch of '</w:t>
      </w:r>
      <w:proofErr w:type="spellStart"/>
      <w:r w:rsidRPr="003B3973">
        <w:rPr>
          <w:rFonts w:ascii="Arial" w:hAnsi="Arial" w:cs="Arial"/>
        </w:rPr>
        <w:t>StaySmart</w:t>
      </w:r>
      <w:proofErr w:type="spellEnd"/>
      <w:r w:rsidRPr="003B3973">
        <w:rPr>
          <w:rFonts w:ascii="Arial" w:hAnsi="Arial" w:cs="Arial"/>
        </w:rPr>
        <w:t>+'—a premium, AI-driven guest experience—will be piloted in these cities, leveraging their status as international business and tourism hubs.</w:t>
      </w:r>
    </w:p>
    <w:p w14:paraId="798071E5" w14:textId="77777777" w:rsidR="003B3973" w:rsidRPr="003B3973" w:rsidRDefault="003B3973" w:rsidP="0016791A">
      <w:pPr>
        <w:spacing w:line="360" w:lineRule="auto"/>
        <w:rPr>
          <w:rFonts w:ascii="Arial" w:hAnsi="Arial" w:cs="Arial"/>
          <w:b/>
          <w:bCs/>
        </w:rPr>
      </w:pPr>
      <w:r w:rsidRPr="003B3973">
        <w:rPr>
          <w:rFonts w:ascii="Arial" w:hAnsi="Arial" w:cs="Arial"/>
          <w:b/>
          <w:bCs/>
        </w:rPr>
        <w:lastRenderedPageBreak/>
        <w:t>Waldorf Astoria London Admiralty Arch</w:t>
      </w:r>
    </w:p>
    <w:p w14:paraId="4F9E6908" w14:textId="03971B71" w:rsidR="003B3973" w:rsidRPr="003B3973" w:rsidRDefault="003B3973" w:rsidP="0016791A">
      <w:pPr>
        <w:spacing w:line="360" w:lineRule="auto"/>
        <w:rPr>
          <w:rFonts w:ascii="Arial" w:hAnsi="Arial" w:cs="Arial"/>
        </w:rPr>
      </w:pPr>
      <w:r w:rsidRPr="003B3973">
        <w:rPr>
          <w:rFonts w:ascii="Arial" w:hAnsi="Arial" w:cs="Arial"/>
        </w:rPr>
        <w:t>The Waldorf Astoria London Admiralty Arch</w:t>
      </w:r>
      <w:r w:rsidR="00205EE1" w:rsidRPr="0016791A">
        <w:rPr>
          <w:rFonts w:ascii="Arial" w:hAnsi="Arial" w:cs="Arial"/>
        </w:rPr>
        <w:t xml:space="preserve"> (Nick Carvell, Walpole, 2026)</w:t>
      </w:r>
      <w:r w:rsidRPr="003B3973">
        <w:rPr>
          <w:rFonts w:ascii="Arial" w:hAnsi="Arial" w:cs="Arial"/>
        </w:rPr>
        <w:t>, opening in Spring 2026, epitomizes Hilton’s commitment to luxury, heritage, and innovation. Situated at the end of The Mall, opposite Buckingham Palace, this Grade I-listed monument has been meticulously restored in partnership with the Reuben Brothers. The hotel will feature 100 elegantly designed rooms and suites, Michelin-starred dining, a world-class spa, and state-of-the-art wellness facilities. Its unique location, historical significance, and blend of tradition with modern amenities position it as a flagship for Hilton’s luxury segment and a prime site for the '</w:t>
      </w:r>
      <w:proofErr w:type="spellStart"/>
      <w:r w:rsidRPr="003B3973">
        <w:rPr>
          <w:rFonts w:ascii="Arial" w:hAnsi="Arial" w:cs="Arial"/>
        </w:rPr>
        <w:t>StaySmart</w:t>
      </w:r>
      <w:proofErr w:type="spellEnd"/>
      <w:r w:rsidRPr="003B3973">
        <w:rPr>
          <w:rFonts w:ascii="Arial" w:hAnsi="Arial" w:cs="Arial"/>
        </w:rPr>
        <w:t>+' rollout.</w:t>
      </w:r>
    </w:p>
    <w:p w14:paraId="0B304814" w14:textId="77777777" w:rsidR="003B3973" w:rsidRPr="003B3973" w:rsidRDefault="003B3973" w:rsidP="0016791A">
      <w:pPr>
        <w:spacing w:line="360" w:lineRule="auto"/>
        <w:rPr>
          <w:rFonts w:ascii="Arial" w:hAnsi="Arial" w:cs="Arial"/>
          <w:b/>
          <w:bCs/>
        </w:rPr>
      </w:pPr>
      <w:r w:rsidRPr="003B3973">
        <w:rPr>
          <w:rFonts w:ascii="Arial" w:hAnsi="Arial" w:cs="Arial"/>
          <w:b/>
          <w:bCs/>
        </w:rPr>
        <w:t>The Derby, The City (Curio Collection by Hilton)</w:t>
      </w:r>
    </w:p>
    <w:p w14:paraId="5649D785" w14:textId="7543F7C6" w:rsidR="003B3973" w:rsidRPr="003B3973" w:rsidRDefault="003B3973" w:rsidP="0016791A">
      <w:pPr>
        <w:spacing w:line="360" w:lineRule="auto"/>
        <w:rPr>
          <w:rFonts w:ascii="Arial" w:hAnsi="Arial" w:cs="Arial"/>
        </w:rPr>
      </w:pPr>
      <w:r w:rsidRPr="003B3973">
        <w:rPr>
          <w:rFonts w:ascii="Arial" w:hAnsi="Arial" w:cs="Arial"/>
        </w:rPr>
        <w:t xml:space="preserve">The Derby, </w:t>
      </w:r>
      <w:r w:rsidR="00EB4EDC" w:rsidRPr="0016791A">
        <w:rPr>
          <w:rFonts w:ascii="Arial" w:hAnsi="Arial" w:cs="Arial"/>
        </w:rPr>
        <w:t>which has recently opened in</w:t>
      </w:r>
      <w:r w:rsidRPr="003B3973">
        <w:rPr>
          <w:rFonts w:ascii="Arial" w:hAnsi="Arial" w:cs="Arial"/>
        </w:rPr>
        <w:t xml:space="preserve"> April 2026, is Hilton’s latest addition to the City of London, offering </w:t>
      </w:r>
      <w:r w:rsidR="00EB4EDC" w:rsidRPr="0016791A">
        <w:rPr>
          <w:rFonts w:ascii="Arial" w:hAnsi="Arial" w:cs="Arial"/>
        </w:rPr>
        <w:t>over 200</w:t>
      </w:r>
      <w:r w:rsidRPr="003B3973">
        <w:rPr>
          <w:rFonts w:ascii="Arial" w:hAnsi="Arial" w:cs="Arial"/>
        </w:rPr>
        <w:t xml:space="preserve"> contemporary rooms and 15 signature suites with panoramic city views. The hotel’s design pays homage to London’s financial heritage, with curated experiences such as Mercer’s Market and the Golden Hour ritual. Its proximity to major landmarks and business districts makes it an ideal testbed for AI-driven guest interaction and personalized travel planning, core components of '</w:t>
      </w:r>
      <w:proofErr w:type="spellStart"/>
      <w:r w:rsidRPr="003B3973">
        <w:rPr>
          <w:rFonts w:ascii="Arial" w:hAnsi="Arial" w:cs="Arial"/>
        </w:rPr>
        <w:t>StaySmart</w:t>
      </w:r>
      <w:proofErr w:type="spellEnd"/>
      <w:r w:rsidRPr="003B3973">
        <w:rPr>
          <w:rFonts w:ascii="Arial" w:hAnsi="Arial" w:cs="Arial"/>
        </w:rPr>
        <w:t>+'.</w:t>
      </w:r>
    </w:p>
    <w:p w14:paraId="22713668" w14:textId="77777777" w:rsidR="00EA7DC6" w:rsidRPr="0016791A" w:rsidRDefault="00EA7DC6" w:rsidP="0016791A">
      <w:pPr>
        <w:spacing w:line="360" w:lineRule="auto"/>
        <w:rPr>
          <w:rFonts w:ascii="Arial" w:hAnsi="Arial" w:cs="Arial"/>
          <w:b/>
          <w:bCs/>
        </w:rPr>
      </w:pPr>
    </w:p>
    <w:p w14:paraId="159D8AFB" w14:textId="77777777" w:rsidR="00EA7DC6" w:rsidRPr="0016791A" w:rsidRDefault="00EA7DC6" w:rsidP="0016791A">
      <w:pPr>
        <w:spacing w:line="360" w:lineRule="auto"/>
        <w:rPr>
          <w:rFonts w:ascii="Arial" w:hAnsi="Arial" w:cs="Arial"/>
          <w:b/>
          <w:bCs/>
        </w:rPr>
      </w:pPr>
    </w:p>
    <w:p w14:paraId="343C33E9" w14:textId="77777777" w:rsidR="00EA7DC6" w:rsidRPr="0016791A" w:rsidRDefault="00EA7DC6" w:rsidP="0016791A">
      <w:pPr>
        <w:spacing w:line="360" w:lineRule="auto"/>
        <w:rPr>
          <w:rFonts w:ascii="Arial" w:hAnsi="Arial" w:cs="Arial"/>
          <w:b/>
          <w:bCs/>
        </w:rPr>
      </w:pPr>
    </w:p>
    <w:p w14:paraId="11354B7C" w14:textId="77777777" w:rsidR="00EA7DC6" w:rsidRPr="0016791A" w:rsidRDefault="00EA7DC6" w:rsidP="0016791A">
      <w:pPr>
        <w:spacing w:line="360" w:lineRule="auto"/>
        <w:rPr>
          <w:rFonts w:ascii="Arial" w:hAnsi="Arial" w:cs="Arial"/>
          <w:b/>
          <w:bCs/>
        </w:rPr>
      </w:pPr>
    </w:p>
    <w:p w14:paraId="69DDE241" w14:textId="04A0359C" w:rsidR="003B3973" w:rsidRPr="003B3973" w:rsidRDefault="003B3973" w:rsidP="0016791A">
      <w:pPr>
        <w:spacing w:line="360" w:lineRule="auto"/>
        <w:rPr>
          <w:rFonts w:ascii="Arial" w:hAnsi="Arial" w:cs="Arial"/>
          <w:b/>
          <w:bCs/>
        </w:rPr>
      </w:pPr>
      <w:r w:rsidRPr="003B3973">
        <w:rPr>
          <w:rFonts w:ascii="Arial" w:hAnsi="Arial" w:cs="Arial"/>
          <w:b/>
          <w:bCs/>
        </w:rPr>
        <w:t>Hilton Birmingham Metropole</w:t>
      </w:r>
    </w:p>
    <w:p w14:paraId="003DC8C2" w14:textId="33B83184" w:rsidR="003B3973" w:rsidRPr="003B3973" w:rsidRDefault="003B3973" w:rsidP="0016791A">
      <w:pPr>
        <w:spacing w:line="360" w:lineRule="auto"/>
        <w:rPr>
          <w:rFonts w:ascii="Arial" w:hAnsi="Arial" w:cs="Arial"/>
        </w:rPr>
      </w:pPr>
      <w:r w:rsidRPr="003B3973">
        <w:rPr>
          <w:rFonts w:ascii="Arial" w:hAnsi="Arial" w:cs="Arial"/>
        </w:rPr>
        <w:t xml:space="preserve">In Birmingham, the Hilton Birmingham Metropole stands as the city’s largest conference and events hotel, directly connected to the NEC complex and within easy reach of Birmingham International Airport. With </w:t>
      </w:r>
      <w:r w:rsidR="00EB4EDC" w:rsidRPr="0016791A">
        <w:rPr>
          <w:rFonts w:ascii="Arial" w:hAnsi="Arial" w:cs="Arial"/>
        </w:rPr>
        <w:t>up to 800 available rooms</w:t>
      </w:r>
      <w:r w:rsidRPr="003B3973">
        <w:rPr>
          <w:rFonts w:ascii="Arial" w:hAnsi="Arial" w:cs="Arial"/>
        </w:rPr>
        <w:t xml:space="preserve">, three restaurants, and extensive wellness facilities, it caters to both business and leisure </w:t>
      </w:r>
      <w:r w:rsidR="00EB4EDC" w:rsidRPr="0016791A">
        <w:rPr>
          <w:rFonts w:ascii="Arial" w:hAnsi="Arial" w:cs="Arial"/>
        </w:rPr>
        <w:t>guests</w:t>
      </w:r>
      <w:r w:rsidRPr="003B3973">
        <w:rPr>
          <w:rFonts w:ascii="Arial" w:hAnsi="Arial" w:cs="Arial"/>
        </w:rPr>
        <w:t>. The property’s scale, diverse clientele, and operational complexity provide a robust environment for sustainability-focused amenities and advanced guest interaction technologies.</w:t>
      </w:r>
    </w:p>
    <w:p w14:paraId="5D4B7897" w14:textId="77777777" w:rsidR="003B3973" w:rsidRPr="003B3973" w:rsidRDefault="003B3973" w:rsidP="0016791A">
      <w:pPr>
        <w:spacing w:line="360" w:lineRule="auto"/>
        <w:rPr>
          <w:rFonts w:ascii="Arial" w:hAnsi="Arial" w:cs="Arial"/>
          <w:b/>
          <w:bCs/>
        </w:rPr>
      </w:pPr>
      <w:r w:rsidRPr="003B3973">
        <w:rPr>
          <w:rFonts w:ascii="Arial" w:hAnsi="Arial" w:cs="Arial"/>
          <w:b/>
          <w:bCs/>
        </w:rPr>
        <w:t>Strategic Importance</w:t>
      </w:r>
    </w:p>
    <w:p w14:paraId="335E28F3" w14:textId="3879D808" w:rsidR="003B3973" w:rsidRPr="0016791A" w:rsidRDefault="003B3973" w:rsidP="0016791A">
      <w:pPr>
        <w:spacing w:line="360" w:lineRule="auto"/>
        <w:rPr>
          <w:rFonts w:ascii="Arial" w:hAnsi="Arial" w:cs="Arial"/>
        </w:rPr>
      </w:pPr>
      <w:r w:rsidRPr="003B3973">
        <w:rPr>
          <w:rFonts w:ascii="Arial" w:hAnsi="Arial" w:cs="Arial"/>
        </w:rPr>
        <w:t>London and Birmingham are not only economic powerhouses but also cultural melting pots, attracting a global clientele with diverse expectations. The deployment of '</w:t>
      </w:r>
      <w:proofErr w:type="spellStart"/>
      <w:r w:rsidRPr="003B3973">
        <w:rPr>
          <w:rFonts w:ascii="Arial" w:hAnsi="Arial" w:cs="Arial"/>
        </w:rPr>
        <w:t>StaySmart</w:t>
      </w:r>
      <w:proofErr w:type="spellEnd"/>
      <w:r w:rsidRPr="003B3973">
        <w:rPr>
          <w:rFonts w:ascii="Arial" w:hAnsi="Arial" w:cs="Arial"/>
        </w:rPr>
        <w:t xml:space="preserve">+' in these locations will allow Hilton to showcase its leadership in digital innovation, sustainability, and personalized hospitality, while gathering critical feedback from a broad </w:t>
      </w:r>
      <w:r w:rsidRPr="003B3973">
        <w:rPr>
          <w:rFonts w:ascii="Arial" w:hAnsi="Arial" w:cs="Arial"/>
        </w:rPr>
        <w:lastRenderedPageBreak/>
        <w:t xml:space="preserve">spectrum of stakeholders. These properties serve as both brand ambassadors and </w:t>
      </w:r>
      <w:r w:rsidR="00EB4EDC" w:rsidRPr="0016791A">
        <w:rPr>
          <w:rFonts w:ascii="Arial" w:hAnsi="Arial" w:cs="Arial"/>
        </w:rPr>
        <w:t>innovative powerhouses</w:t>
      </w:r>
      <w:r w:rsidRPr="003B3973">
        <w:rPr>
          <w:rFonts w:ascii="Arial" w:hAnsi="Arial" w:cs="Arial"/>
        </w:rPr>
        <w:t>, setting the standard for subsequent international rollouts.</w:t>
      </w:r>
    </w:p>
    <w:p w14:paraId="7825F0F4" w14:textId="77777777" w:rsidR="00EB4EDC" w:rsidRPr="003B3973" w:rsidRDefault="00EB4EDC" w:rsidP="0016791A">
      <w:pPr>
        <w:spacing w:line="360" w:lineRule="auto"/>
        <w:rPr>
          <w:rFonts w:ascii="Arial" w:hAnsi="Arial" w:cs="Arial"/>
        </w:rPr>
      </w:pPr>
    </w:p>
    <w:p w14:paraId="3E55D050" w14:textId="77777777" w:rsidR="003B3973" w:rsidRPr="003B3973" w:rsidRDefault="003B3973" w:rsidP="0016791A">
      <w:pPr>
        <w:spacing w:line="360" w:lineRule="auto"/>
        <w:rPr>
          <w:rFonts w:ascii="Arial" w:hAnsi="Arial" w:cs="Arial"/>
          <w:b/>
          <w:bCs/>
        </w:rPr>
      </w:pPr>
      <w:r w:rsidRPr="003B3973">
        <w:rPr>
          <w:rFonts w:ascii="Arial" w:hAnsi="Arial" w:cs="Arial"/>
          <w:b/>
          <w:bCs/>
        </w:rPr>
        <w:t>Situational Analysis: SWOT and PESTLE of Hilton Worldwide</w:t>
      </w:r>
    </w:p>
    <w:p w14:paraId="7D256553" w14:textId="77777777" w:rsidR="003B3973" w:rsidRPr="003B3973" w:rsidRDefault="003B3973" w:rsidP="0016791A">
      <w:pPr>
        <w:spacing w:line="360" w:lineRule="auto"/>
        <w:rPr>
          <w:rFonts w:ascii="Arial" w:hAnsi="Arial" w:cs="Arial"/>
          <w:b/>
          <w:bCs/>
        </w:rPr>
      </w:pPr>
      <w:r w:rsidRPr="003B3973">
        <w:rPr>
          <w:rFonts w:ascii="Arial" w:hAnsi="Arial" w:cs="Arial"/>
          <w:b/>
          <w:bCs/>
        </w:rPr>
        <w:t>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45"/>
        <w:gridCol w:w="81"/>
      </w:tblGrid>
      <w:tr w:rsidR="003B3973" w:rsidRPr="003B3973" w14:paraId="5F7201B9" w14:textId="77777777">
        <w:trPr>
          <w:tblHeader/>
          <w:tblCellSpacing w:w="15" w:type="dxa"/>
        </w:trPr>
        <w:tc>
          <w:tcPr>
            <w:tcW w:w="0" w:type="auto"/>
            <w:vAlign w:val="center"/>
            <w:hideMark/>
          </w:tcPr>
          <w:p w14:paraId="1EAD204F" w14:textId="77777777" w:rsidR="003B3973" w:rsidRPr="003B3973" w:rsidRDefault="003B3973" w:rsidP="0016791A">
            <w:pPr>
              <w:spacing w:line="360" w:lineRule="auto"/>
              <w:rPr>
                <w:rFonts w:ascii="Arial" w:hAnsi="Arial" w:cs="Arial"/>
              </w:rPr>
            </w:pPr>
          </w:p>
        </w:tc>
        <w:tc>
          <w:tcPr>
            <w:tcW w:w="0" w:type="auto"/>
            <w:vAlign w:val="center"/>
            <w:hideMark/>
          </w:tcPr>
          <w:p w14:paraId="72BD339D" w14:textId="77777777" w:rsidR="003B3973" w:rsidRPr="003B3973" w:rsidRDefault="003B3973" w:rsidP="0016791A">
            <w:pPr>
              <w:spacing w:line="360" w:lineRule="auto"/>
              <w:rPr>
                <w:rFonts w:ascii="Arial" w:hAnsi="Arial" w:cs="Arial"/>
              </w:rPr>
            </w:pPr>
          </w:p>
        </w:tc>
      </w:tr>
      <w:tr w:rsidR="003B3973" w:rsidRPr="003B3973" w14:paraId="4005D8EE" w14:textId="77777777">
        <w:trPr>
          <w:tblCellSpacing w:w="15" w:type="dxa"/>
        </w:trPr>
        <w:tc>
          <w:tcPr>
            <w:tcW w:w="0" w:type="auto"/>
            <w:vAlign w:val="center"/>
            <w:hideMark/>
          </w:tcPr>
          <w:p w14:paraId="33B9016E" w14:textId="77777777" w:rsidR="003B3973" w:rsidRPr="003B3973" w:rsidRDefault="003B3973" w:rsidP="0016791A">
            <w:pPr>
              <w:spacing w:line="360" w:lineRule="auto"/>
              <w:rPr>
                <w:rFonts w:ascii="Arial" w:hAnsi="Arial" w:cs="Arial"/>
              </w:rPr>
            </w:pPr>
          </w:p>
        </w:tc>
        <w:tc>
          <w:tcPr>
            <w:tcW w:w="0" w:type="auto"/>
            <w:vAlign w:val="center"/>
            <w:hideMark/>
          </w:tcPr>
          <w:p w14:paraId="5B78B007" w14:textId="77777777" w:rsidR="003B3973" w:rsidRPr="003B3973" w:rsidRDefault="003B3973" w:rsidP="0016791A">
            <w:pPr>
              <w:spacing w:line="360" w:lineRule="auto"/>
              <w:rPr>
                <w:rFonts w:ascii="Arial" w:hAnsi="Arial" w:cs="Arial"/>
              </w:rPr>
            </w:pPr>
          </w:p>
        </w:tc>
      </w:tr>
      <w:tr w:rsidR="003B3973" w:rsidRPr="003B3973" w14:paraId="60AFA268" w14:textId="77777777">
        <w:trPr>
          <w:tblCellSpacing w:w="15" w:type="dxa"/>
        </w:trPr>
        <w:tc>
          <w:tcPr>
            <w:tcW w:w="0" w:type="auto"/>
            <w:vAlign w:val="center"/>
            <w:hideMark/>
          </w:tcPr>
          <w:p w14:paraId="3B5FFAE0" w14:textId="77777777" w:rsidR="003B3973" w:rsidRPr="003B3973" w:rsidRDefault="003B3973" w:rsidP="0016791A">
            <w:pPr>
              <w:spacing w:line="360" w:lineRule="auto"/>
              <w:rPr>
                <w:rFonts w:ascii="Arial" w:hAnsi="Arial" w:cs="Arial"/>
              </w:rPr>
            </w:pPr>
          </w:p>
        </w:tc>
        <w:tc>
          <w:tcPr>
            <w:tcW w:w="0" w:type="auto"/>
            <w:vAlign w:val="center"/>
            <w:hideMark/>
          </w:tcPr>
          <w:p w14:paraId="6C284A19" w14:textId="77777777" w:rsidR="003B3973" w:rsidRPr="003B3973" w:rsidRDefault="003B3973" w:rsidP="0016791A">
            <w:pPr>
              <w:spacing w:line="360" w:lineRule="auto"/>
              <w:rPr>
                <w:rFonts w:ascii="Arial" w:hAnsi="Arial" w:cs="Arial"/>
              </w:rPr>
            </w:pPr>
          </w:p>
        </w:tc>
      </w:tr>
      <w:tr w:rsidR="003B3973" w:rsidRPr="003B3973" w14:paraId="58CCF0D9" w14:textId="77777777">
        <w:trPr>
          <w:tblCellSpacing w:w="15" w:type="dxa"/>
        </w:trPr>
        <w:tc>
          <w:tcPr>
            <w:tcW w:w="0" w:type="auto"/>
            <w:vAlign w:val="center"/>
            <w:hideMark/>
          </w:tcPr>
          <w:p w14:paraId="4CF65D67" w14:textId="77777777" w:rsidR="003B3973" w:rsidRPr="003B3973" w:rsidRDefault="003B3973" w:rsidP="0016791A">
            <w:pPr>
              <w:spacing w:line="360" w:lineRule="auto"/>
              <w:rPr>
                <w:rFonts w:ascii="Arial" w:hAnsi="Arial" w:cs="Arial"/>
              </w:rPr>
            </w:pPr>
          </w:p>
        </w:tc>
        <w:tc>
          <w:tcPr>
            <w:tcW w:w="0" w:type="auto"/>
            <w:vAlign w:val="center"/>
            <w:hideMark/>
          </w:tcPr>
          <w:p w14:paraId="226A084B" w14:textId="77777777" w:rsidR="003B3973" w:rsidRPr="003B3973" w:rsidRDefault="003B3973" w:rsidP="0016791A">
            <w:pPr>
              <w:spacing w:line="360" w:lineRule="auto"/>
              <w:rPr>
                <w:rFonts w:ascii="Arial" w:hAnsi="Arial" w:cs="Arial"/>
              </w:rPr>
            </w:pPr>
          </w:p>
        </w:tc>
      </w:tr>
      <w:tr w:rsidR="003B3973" w:rsidRPr="003B3973" w14:paraId="2A5CFAFB" w14:textId="77777777">
        <w:trPr>
          <w:tblCellSpacing w:w="15" w:type="dxa"/>
        </w:trPr>
        <w:tc>
          <w:tcPr>
            <w:tcW w:w="0" w:type="auto"/>
            <w:vAlign w:val="center"/>
            <w:hideMark/>
          </w:tcPr>
          <w:p w14:paraId="1582697E" w14:textId="77777777" w:rsidR="003B3973" w:rsidRPr="003B3973" w:rsidRDefault="003B3973" w:rsidP="0016791A">
            <w:pPr>
              <w:spacing w:line="360" w:lineRule="auto"/>
              <w:rPr>
                <w:rFonts w:ascii="Arial" w:hAnsi="Arial" w:cs="Arial"/>
              </w:rPr>
            </w:pPr>
          </w:p>
        </w:tc>
        <w:tc>
          <w:tcPr>
            <w:tcW w:w="0" w:type="auto"/>
            <w:vAlign w:val="center"/>
            <w:hideMark/>
          </w:tcPr>
          <w:p w14:paraId="4715CCC2" w14:textId="77777777" w:rsidR="003B3973" w:rsidRPr="003B3973" w:rsidRDefault="003B3973" w:rsidP="0016791A">
            <w:pPr>
              <w:spacing w:line="360" w:lineRule="auto"/>
              <w:rPr>
                <w:rFonts w:ascii="Arial" w:hAnsi="Arial" w:cs="Arial"/>
              </w:rPr>
            </w:pPr>
          </w:p>
        </w:tc>
      </w:tr>
      <w:tr w:rsidR="003B3973" w:rsidRPr="003B3973" w14:paraId="3430E917" w14:textId="77777777">
        <w:trPr>
          <w:tblCellSpacing w:w="15" w:type="dxa"/>
        </w:trPr>
        <w:tc>
          <w:tcPr>
            <w:tcW w:w="0" w:type="auto"/>
            <w:vAlign w:val="center"/>
            <w:hideMark/>
          </w:tcPr>
          <w:p w14:paraId="4C15341E" w14:textId="5CA50E54" w:rsidR="003B3973" w:rsidRPr="003B3973" w:rsidRDefault="00EA7DC6" w:rsidP="0016791A">
            <w:pPr>
              <w:spacing w:line="360" w:lineRule="auto"/>
              <w:rPr>
                <w:rFonts w:ascii="Arial" w:hAnsi="Arial" w:cs="Arial"/>
              </w:rPr>
            </w:pPr>
            <w:r w:rsidRPr="0016791A">
              <w:rPr>
                <w:rFonts w:ascii="Arial" w:hAnsi="Arial" w:cs="Arial"/>
                <w:noProof/>
              </w:rPr>
              <w:drawing>
                <wp:inline distT="0" distB="0" distL="0" distR="0" wp14:anchorId="698316C2" wp14:editId="13C08B1A">
                  <wp:extent cx="5723890" cy="3017520"/>
                  <wp:effectExtent l="0" t="0" r="0" b="0"/>
                  <wp:docPr id="11385571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3890" cy="3017520"/>
                          </a:xfrm>
                          <a:prstGeom prst="rect">
                            <a:avLst/>
                          </a:prstGeom>
                          <a:noFill/>
                          <a:ln>
                            <a:noFill/>
                          </a:ln>
                        </pic:spPr>
                      </pic:pic>
                    </a:graphicData>
                  </a:graphic>
                </wp:inline>
              </w:drawing>
            </w:r>
          </w:p>
        </w:tc>
        <w:tc>
          <w:tcPr>
            <w:tcW w:w="0" w:type="auto"/>
            <w:vAlign w:val="center"/>
            <w:hideMark/>
          </w:tcPr>
          <w:p w14:paraId="647D40EE" w14:textId="77777777" w:rsidR="003B3973" w:rsidRPr="003B3973" w:rsidRDefault="003B3973" w:rsidP="0016791A">
            <w:pPr>
              <w:spacing w:line="360" w:lineRule="auto"/>
              <w:rPr>
                <w:rFonts w:ascii="Arial" w:hAnsi="Arial" w:cs="Arial"/>
              </w:rPr>
            </w:pPr>
          </w:p>
        </w:tc>
      </w:tr>
    </w:tbl>
    <w:p w14:paraId="6C737826" w14:textId="35675102" w:rsidR="00DD4785" w:rsidRPr="0016791A" w:rsidRDefault="00EA7DC6" w:rsidP="0016791A">
      <w:pPr>
        <w:spacing w:line="360" w:lineRule="auto"/>
        <w:rPr>
          <w:rFonts w:ascii="Arial" w:hAnsi="Arial" w:cs="Arial"/>
        </w:rPr>
      </w:pPr>
      <w:r w:rsidRPr="0016791A">
        <w:rPr>
          <w:rFonts w:ascii="Arial" w:hAnsi="Arial" w:cs="Arial"/>
        </w:rPr>
        <w:t>(Sammut-Bonnici et al. 2015)</w:t>
      </w:r>
      <w:r w:rsidRPr="0016791A">
        <w:rPr>
          <w:rFonts w:ascii="Arial" w:hAnsi="Arial" w:cs="Arial"/>
        </w:rPr>
        <w:br/>
      </w:r>
    </w:p>
    <w:p w14:paraId="12D49633" w14:textId="0092DA21" w:rsidR="00EA7DC6" w:rsidRPr="0016791A" w:rsidRDefault="003B3973" w:rsidP="0016791A">
      <w:pPr>
        <w:spacing w:line="360" w:lineRule="auto"/>
        <w:rPr>
          <w:rFonts w:ascii="Arial" w:hAnsi="Arial" w:cs="Arial"/>
        </w:rPr>
      </w:pPr>
      <w:r w:rsidRPr="003B3973">
        <w:rPr>
          <w:rFonts w:ascii="Arial" w:hAnsi="Arial" w:cs="Arial"/>
        </w:rPr>
        <w:t xml:space="preserve">Hilton’s strengths lie in its scale, loyalty ecosystem, and brand diversity, which create formidable barriers </w:t>
      </w:r>
      <w:r w:rsidR="006A1D2F" w:rsidRPr="0016791A">
        <w:rPr>
          <w:rFonts w:ascii="Arial" w:hAnsi="Arial" w:cs="Arial"/>
        </w:rPr>
        <w:t>of</w:t>
      </w:r>
      <w:r w:rsidRPr="003B3973">
        <w:rPr>
          <w:rFonts w:ascii="Arial" w:hAnsi="Arial" w:cs="Arial"/>
        </w:rPr>
        <w:t xml:space="preserve"> entry and enable rapid innovation. However, the company faces challenges in managing brand complexity, franchisee consistency, and technological modernization. Opportunities abound in international expansion, AI-driven guest experiences, and sustainability leadership, but threats from economic volatility, competition, and regulatory changes remain significant</w:t>
      </w:r>
      <w:r w:rsidR="00EA7DC6" w:rsidRPr="0016791A">
        <w:rPr>
          <w:rFonts w:ascii="Arial" w:hAnsi="Arial" w:cs="Arial"/>
        </w:rPr>
        <w:t>.</w:t>
      </w:r>
    </w:p>
    <w:p w14:paraId="488B9EA5" w14:textId="239B2B30" w:rsidR="003B3973" w:rsidRPr="003B3973" w:rsidRDefault="003B3973" w:rsidP="0016791A">
      <w:pPr>
        <w:spacing w:line="360" w:lineRule="auto"/>
        <w:rPr>
          <w:rFonts w:ascii="Arial" w:hAnsi="Arial" w:cs="Arial"/>
        </w:rPr>
      </w:pPr>
      <w:r w:rsidRPr="003B3973">
        <w:rPr>
          <w:rFonts w:ascii="Arial" w:hAnsi="Arial" w:cs="Arial"/>
          <w:b/>
          <w:bCs/>
        </w:rPr>
        <w:t>PESTLE Analysis</w:t>
      </w:r>
    </w:p>
    <w:p w14:paraId="7B997392" w14:textId="05EC7B01" w:rsidR="003B3973" w:rsidRPr="0016791A" w:rsidRDefault="00DD4785" w:rsidP="0016791A">
      <w:pPr>
        <w:spacing w:line="360" w:lineRule="auto"/>
        <w:rPr>
          <w:rFonts w:ascii="Arial" w:hAnsi="Arial" w:cs="Arial"/>
        </w:rPr>
      </w:pPr>
      <w:r w:rsidRPr="0016791A">
        <w:rPr>
          <w:rFonts w:ascii="Arial" w:hAnsi="Arial" w:cs="Arial"/>
          <w:b/>
          <w:bCs/>
        </w:rPr>
        <w:t>Political Factors:</w:t>
      </w:r>
      <w:r w:rsidRPr="0016791A">
        <w:rPr>
          <w:rFonts w:ascii="Arial" w:hAnsi="Arial" w:cs="Arial"/>
        </w:rPr>
        <w:br/>
      </w:r>
      <w:r w:rsidRPr="0016791A">
        <w:rPr>
          <w:rFonts w:ascii="Arial" w:hAnsi="Arial" w:cs="Arial"/>
        </w:rPr>
        <w:br/>
        <w:t xml:space="preserve">Considering the expansiveness of the Hilton group, issues may arise when dealing with the many different Countries and Governments that Hilton operates within. With the rise of AI, each country may take different measures in tackling this upcoming issue, resulting in </w:t>
      </w:r>
      <w:r w:rsidRPr="0016791A">
        <w:rPr>
          <w:rFonts w:ascii="Arial" w:hAnsi="Arial" w:cs="Arial"/>
        </w:rPr>
        <w:lastRenderedPageBreak/>
        <w:t>variations of legislation that may become speed bumps for Hilton in the future.</w:t>
      </w:r>
      <w:r w:rsidRPr="0016791A">
        <w:rPr>
          <w:rFonts w:ascii="Arial" w:hAnsi="Arial" w:cs="Arial"/>
        </w:rPr>
        <w:br/>
        <w:t xml:space="preserve">Within the same sense, current geopolitical instability may present challenges in different regions, with a considerable potential impact to the ROI when implementing </w:t>
      </w:r>
      <w:proofErr w:type="spellStart"/>
      <w:r w:rsidRPr="0016791A">
        <w:rPr>
          <w:rFonts w:ascii="Arial" w:hAnsi="Arial" w:cs="Arial"/>
        </w:rPr>
        <w:t>StaySmart</w:t>
      </w:r>
      <w:proofErr w:type="spellEnd"/>
      <w:r w:rsidRPr="0016791A">
        <w:rPr>
          <w:rFonts w:ascii="Arial" w:hAnsi="Arial" w:cs="Arial"/>
        </w:rPr>
        <w:t>+ within said places.</w:t>
      </w:r>
      <w:r w:rsidRPr="0016791A">
        <w:rPr>
          <w:rFonts w:ascii="Arial" w:hAnsi="Arial" w:cs="Arial"/>
        </w:rPr>
        <w:br/>
      </w:r>
      <w:r w:rsidRPr="0016791A">
        <w:rPr>
          <w:rFonts w:ascii="Arial" w:hAnsi="Arial" w:cs="Arial"/>
        </w:rPr>
        <w:br/>
        <w:t xml:space="preserve">On the other hand, with most governments currently incentivising sustainability, the program may meet tax benefits as well as eco-friendly grants. This may quality Hilton for incentives that may lead to rollout cost reductions. </w:t>
      </w:r>
      <w:r w:rsidRPr="0016791A">
        <w:rPr>
          <w:rFonts w:ascii="Arial" w:hAnsi="Arial" w:cs="Arial"/>
        </w:rPr>
        <w:br/>
        <w:t xml:space="preserve">Likewise, with some governments encouraging tourism innovation, Hilton could leverage these relationships to pilot </w:t>
      </w:r>
      <w:proofErr w:type="spellStart"/>
      <w:r w:rsidRPr="0016791A">
        <w:rPr>
          <w:rFonts w:ascii="Arial" w:hAnsi="Arial" w:cs="Arial"/>
        </w:rPr>
        <w:t>StaySmart</w:t>
      </w:r>
      <w:proofErr w:type="spellEnd"/>
      <w:r w:rsidRPr="0016791A">
        <w:rPr>
          <w:rFonts w:ascii="Arial" w:hAnsi="Arial" w:cs="Arial"/>
        </w:rPr>
        <w:t xml:space="preserve">+ in strategically chosen cities, further increasing </w:t>
      </w:r>
      <w:proofErr w:type="gramStart"/>
      <w:r w:rsidRPr="0016791A">
        <w:rPr>
          <w:rFonts w:ascii="Arial" w:hAnsi="Arial" w:cs="Arial"/>
        </w:rPr>
        <w:t>it’s</w:t>
      </w:r>
      <w:proofErr w:type="gramEnd"/>
      <w:r w:rsidRPr="0016791A">
        <w:rPr>
          <w:rFonts w:ascii="Arial" w:hAnsi="Arial" w:cs="Arial"/>
        </w:rPr>
        <w:t xml:space="preserve"> chances of a good reception.</w:t>
      </w:r>
    </w:p>
    <w:p w14:paraId="744A9C23" w14:textId="77777777" w:rsidR="003B3973" w:rsidRPr="0016791A" w:rsidRDefault="003B3973" w:rsidP="0016791A">
      <w:pPr>
        <w:spacing w:line="360" w:lineRule="auto"/>
        <w:rPr>
          <w:rFonts w:ascii="Arial" w:hAnsi="Arial" w:cs="Arial"/>
        </w:rPr>
      </w:pPr>
    </w:p>
    <w:p w14:paraId="3E7E10F7" w14:textId="77777777" w:rsidR="009B2E54" w:rsidRPr="0016791A" w:rsidRDefault="00DD4785" w:rsidP="0016791A">
      <w:pPr>
        <w:spacing w:line="360" w:lineRule="auto"/>
        <w:rPr>
          <w:rFonts w:ascii="Arial" w:hAnsi="Arial" w:cs="Arial"/>
        </w:rPr>
      </w:pPr>
      <w:r w:rsidRPr="0016791A">
        <w:rPr>
          <w:rFonts w:ascii="Arial" w:hAnsi="Arial" w:cs="Arial"/>
          <w:b/>
          <w:bCs/>
        </w:rPr>
        <w:t>Economic Factors:</w:t>
      </w:r>
      <w:r w:rsidRPr="0016791A">
        <w:rPr>
          <w:rFonts w:ascii="Arial" w:hAnsi="Arial" w:cs="Arial"/>
        </w:rPr>
        <w:br/>
      </w:r>
      <w:r w:rsidRPr="0016791A">
        <w:rPr>
          <w:rFonts w:ascii="Arial" w:hAnsi="Arial" w:cs="Arial"/>
        </w:rPr>
        <w:br/>
        <w:t xml:space="preserve">With the current geopolitical landscape, we expect economic fluctuations on a large scale. By virtue of their unpredictable nature, currency volatility and inflation may influence our guests’ willingness to pay for premium expenses. </w:t>
      </w:r>
      <w:r w:rsidRPr="0016791A">
        <w:rPr>
          <w:rFonts w:ascii="Arial" w:hAnsi="Arial" w:cs="Arial"/>
        </w:rPr>
        <w:br/>
      </w:r>
      <w:r w:rsidR="009B2E54" w:rsidRPr="0016791A">
        <w:rPr>
          <w:rFonts w:ascii="Arial" w:hAnsi="Arial" w:cs="Arial"/>
        </w:rPr>
        <w:t xml:space="preserve">Additionally, the initial investment in AI systems, staff training and sustainability upgrades has to be balanced against long-term efficiency gains. </w:t>
      </w:r>
    </w:p>
    <w:p w14:paraId="63FC73EC" w14:textId="7D7DF5E4" w:rsidR="003B3973" w:rsidRPr="0016791A" w:rsidRDefault="00DD4785" w:rsidP="0016791A">
      <w:pPr>
        <w:spacing w:line="360" w:lineRule="auto"/>
        <w:rPr>
          <w:rFonts w:ascii="Arial" w:hAnsi="Arial" w:cs="Arial"/>
        </w:rPr>
      </w:pPr>
      <w:r w:rsidRPr="0016791A">
        <w:rPr>
          <w:rFonts w:ascii="Arial" w:hAnsi="Arial" w:cs="Arial"/>
        </w:rPr>
        <w:t xml:space="preserve">However, the opportunity of complementing staff via AI automatic may help offset rising labour costs, improving efficiency and increasing profit. </w:t>
      </w:r>
      <w:r w:rsidRPr="0016791A">
        <w:rPr>
          <w:rFonts w:ascii="Arial" w:hAnsi="Arial" w:cs="Arial"/>
        </w:rPr>
        <w:br/>
      </w:r>
      <w:r w:rsidRPr="0016791A">
        <w:rPr>
          <w:rFonts w:ascii="Arial" w:hAnsi="Arial" w:cs="Arial"/>
        </w:rPr>
        <w:br/>
      </w:r>
      <w:r w:rsidR="009B2E54" w:rsidRPr="0016791A">
        <w:rPr>
          <w:rFonts w:ascii="Arial" w:hAnsi="Arial" w:cs="Arial"/>
          <w:b/>
          <w:bCs/>
        </w:rPr>
        <w:t>Social Factors:</w:t>
      </w:r>
      <w:r w:rsidR="009B2E54" w:rsidRPr="0016791A">
        <w:rPr>
          <w:rFonts w:ascii="Arial" w:hAnsi="Arial" w:cs="Arial"/>
        </w:rPr>
        <w:br/>
      </w:r>
      <w:r w:rsidR="009B2E54" w:rsidRPr="0016791A">
        <w:rPr>
          <w:rFonts w:ascii="Arial" w:hAnsi="Arial" w:cs="Arial"/>
        </w:rPr>
        <w:br/>
        <w:t xml:space="preserve">Some cultural differences when it comes to AI acceptance must be taken into account, due to some cultures preferring a human-centric service. Hilton should calibrate this demand accordingly. </w:t>
      </w:r>
      <w:r w:rsidR="009B2E54" w:rsidRPr="0016791A">
        <w:rPr>
          <w:rFonts w:ascii="Arial" w:hAnsi="Arial" w:cs="Arial"/>
        </w:rPr>
        <w:br/>
        <w:t xml:space="preserve">Alternatively, the rise of sustainability awareness, eco-conscious guests may prefer brands that demonstrate environmental responsibility. </w:t>
      </w:r>
      <w:r w:rsidR="009B2E54" w:rsidRPr="0016791A">
        <w:rPr>
          <w:rFonts w:ascii="Arial" w:hAnsi="Arial" w:cs="Arial"/>
        </w:rPr>
        <w:br/>
        <w:t xml:space="preserve">Additionally, guests increasingly expect tailored commendations, directly aligning with </w:t>
      </w:r>
      <w:proofErr w:type="spellStart"/>
      <w:r w:rsidR="009B2E54" w:rsidRPr="0016791A">
        <w:rPr>
          <w:rFonts w:ascii="Arial" w:hAnsi="Arial" w:cs="Arial"/>
        </w:rPr>
        <w:t>StaySmart</w:t>
      </w:r>
      <w:proofErr w:type="spellEnd"/>
      <w:r w:rsidR="009B2E54" w:rsidRPr="0016791A">
        <w:rPr>
          <w:rFonts w:ascii="Arial" w:hAnsi="Arial" w:cs="Arial"/>
        </w:rPr>
        <w:t>+’s goals and targets.</w:t>
      </w:r>
      <w:r w:rsidR="009B2E54" w:rsidRPr="0016791A">
        <w:rPr>
          <w:rFonts w:ascii="Arial" w:hAnsi="Arial" w:cs="Arial"/>
        </w:rPr>
        <w:br/>
      </w:r>
      <w:r w:rsidR="009B2E54" w:rsidRPr="0016791A">
        <w:rPr>
          <w:rFonts w:ascii="Arial" w:hAnsi="Arial" w:cs="Arial"/>
        </w:rPr>
        <w:br/>
      </w:r>
      <w:r w:rsidR="009B2E54" w:rsidRPr="0016791A">
        <w:rPr>
          <w:rFonts w:ascii="Arial" w:hAnsi="Arial" w:cs="Arial"/>
          <w:b/>
          <w:bCs/>
        </w:rPr>
        <w:t>Technological Factors:</w:t>
      </w:r>
      <w:r w:rsidR="009B2E54" w:rsidRPr="0016791A">
        <w:rPr>
          <w:rFonts w:ascii="Arial" w:hAnsi="Arial" w:cs="Arial"/>
        </w:rPr>
        <w:br/>
      </w:r>
      <w:r w:rsidR="009B2E54" w:rsidRPr="0016791A">
        <w:rPr>
          <w:rFonts w:ascii="Arial" w:hAnsi="Arial" w:cs="Arial"/>
        </w:rPr>
        <w:br/>
        <w:t xml:space="preserve">The current rapid advancements that AI is undergoing </w:t>
      </w:r>
      <w:r w:rsidR="00E32957" w:rsidRPr="0016791A">
        <w:rPr>
          <w:rFonts w:ascii="Arial" w:hAnsi="Arial" w:cs="Arial"/>
        </w:rPr>
        <w:t>allow us to better adapt and in a fast-</w:t>
      </w:r>
      <w:r w:rsidR="00E32957" w:rsidRPr="0016791A">
        <w:rPr>
          <w:rFonts w:ascii="Arial" w:hAnsi="Arial" w:cs="Arial"/>
        </w:rPr>
        <w:lastRenderedPageBreak/>
        <w:t xml:space="preserve">evolving market. </w:t>
      </w:r>
      <w:r w:rsidR="00E32957" w:rsidRPr="0016791A">
        <w:rPr>
          <w:rFonts w:ascii="Arial" w:hAnsi="Arial" w:cs="Arial"/>
        </w:rPr>
        <w:br/>
        <w:t>This ends up benefitting integration, as it allows us to build on top of our already diverse portfolio of existing tech infrastructure.</w:t>
      </w:r>
    </w:p>
    <w:p w14:paraId="4A22BA34" w14:textId="03FC27AC" w:rsidR="003B3973" w:rsidRPr="0016791A" w:rsidRDefault="00E32957" w:rsidP="0016791A">
      <w:pPr>
        <w:spacing w:line="360" w:lineRule="auto"/>
        <w:rPr>
          <w:rFonts w:ascii="Arial" w:hAnsi="Arial" w:cs="Arial"/>
        </w:rPr>
      </w:pPr>
      <w:r w:rsidRPr="0016791A">
        <w:rPr>
          <w:rFonts w:ascii="Arial" w:hAnsi="Arial" w:cs="Arial"/>
        </w:rPr>
        <w:t>On the other hand, since this particular model heavily relies on personal data, there are risks we need to prevent by employing stronger cybersecurity protocols, in order to maintain trust with our guests.</w:t>
      </w:r>
    </w:p>
    <w:p w14:paraId="67BD410A" w14:textId="77777777" w:rsidR="00385E8A" w:rsidRPr="0016791A" w:rsidRDefault="00385E8A" w:rsidP="0016791A">
      <w:pPr>
        <w:spacing w:line="360" w:lineRule="auto"/>
        <w:rPr>
          <w:rFonts w:ascii="Arial" w:hAnsi="Arial" w:cs="Arial"/>
        </w:rPr>
      </w:pPr>
      <w:r w:rsidRPr="0016791A">
        <w:rPr>
          <w:rFonts w:ascii="Arial" w:hAnsi="Arial" w:cs="Arial"/>
          <w:b/>
          <w:bCs/>
        </w:rPr>
        <w:t>Legal Factors:</w:t>
      </w:r>
      <w:r w:rsidRPr="0016791A">
        <w:rPr>
          <w:rFonts w:ascii="Arial" w:hAnsi="Arial" w:cs="Arial"/>
        </w:rPr>
        <w:br/>
      </w:r>
      <w:r w:rsidRPr="0016791A">
        <w:rPr>
          <w:rFonts w:ascii="Arial" w:hAnsi="Arial" w:cs="Arial"/>
        </w:rPr>
        <w:br/>
        <w:t xml:space="preserve">Since </w:t>
      </w:r>
      <w:proofErr w:type="spellStart"/>
      <w:r w:rsidRPr="0016791A">
        <w:rPr>
          <w:rFonts w:ascii="Arial" w:hAnsi="Arial" w:cs="Arial"/>
        </w:rPr>
        <w:t>StaySmart</w:t>
      </w:r>
      <w:proofErr w:type="spellEnd"/>
      <w:r w:rsidRPr="0016791A">
        <w:rPr>
          <w:rFonts w:ascii="Arial" w:hAnsi="Arial" w:cs="Arial"/>
        </w:rPr>
        <w:t xml:space="preserve">+ relies on collecting and analysing guest data, compliance with GDPR, CCPA and other privacy frameworks is paramount to the model’s success. </w:t>
      </w:r>
      <w:r w:rsidRPr="0016791A">
        <w:rPr>
          <w:rFonts w:ascii="Arial" w:hAnsi="Arial" w:cs="Arial"/>
        </w:rPr>
        <w:br/>
        <w:t xml:space="preserve">We must ensure clear, transparent communication when it comes to disclosing when we use </w:t>
      </w:r>
      <w:proofErr w:type="spellStart"/>
      <w:r w:rsidRPr="0016791A">
        <w:rPr>
          <w:rFonts w:ascii="Arial" w:hAnsi="Arial" w:cs="Arial"/>
        </w:rPr>
        <w:t>StaySmart</w:t>
      </w:r>
      <w:proofErr w:type="spellEnd"/>
      <w:r w:rsidRPr="0016791A">
        <w:rPr>
          <w:rFonts w:ascii="Arial" w:hAnsi="Arial" w:cs="Arial"/>
        </w:rPr>
        <w:t>+ and how.</w:t>
      </w:r>
    </w:p>
    <w:p w14:paraId="0EDB1AF4" w14:textId="317B44BA" w:rsidR="005B4704" w:rsidRPr="0016791A" w:rsidRDefault="00385E8A" w:rsidP="0016791A">
      <w:pPr>
        <w:spacing w:line="360" w:lineRule="auto"/>
        <w:rPr>
          <w:rFonts w:ascii="Arial" w:hAnsi="Arial" w:cs="Arial"/>
        </w:rPr>
      </w:pPr>
      <w:r w:rsidRPr="0016791A">
        <w:rPr>
          <w:rFonts w:ascii="Arial" w:hAnsi="Arial" w:cs="Arial"/>
        </w:rPr>
        <w:br/>
      </w:r>
      <w:r w:rsidR="00E32957" w:rsidRPr="0016791A">
        <w:rPr>
          <w:rFonts w:ascii="Arial" w:hAnsi="Arial" w:cs="Arial"/>
          <w:b/>
          <w:bCs/>
        </w:rPr>
        <w:t>Environmental Factors:</w:t>
      </w:r>
      <w:r w:rsidR="00E32957" w:rsidRPr="0016791A">
        <w:rPr>
          <w:rFonts w:ascii="Arial" w:hAnsi="Arial" w:cs="Arial"/>
        </w:rPr>
        <w:br/>
      </w:r>
      <w:r w:rsidR="00E32957" w:rsidRPr="0016791A">
        <w:rPr>
          <w:rFonts w:ascii="Arial" w:hAnsi="Arial" w:cs="Arial"/>
        </w:rPr>
        <w:br/>
        <w:t xml:space="preserve">With our tool being custom tailored to each guest using it, we can reduce water and electricity consumption accordingly, thus lowering operational costs and environmental impact. </w:t>
      </w:r>
      <w:r w:rsidR="00E32957" w:rsidRPr="0016791A">
        <w:rPr>
          <w:rFonts w:ascii="Arial" w:hAnsi="Arial" w:cs="Arial"/>
        </w:rPr>
        <w:br/>
        <w:t xml:space="preserve">This works hand in hand with various countries tightening environmental standards for hotels, giving us a better tool for managing Hilton’s compliance targets. </w:t>
      </w:r>
      <w:r w:rsidR="00E32957" w:rsidRPr="0016791A">
        <w:rPr>
          <w:rFonts w:ascii="Arial" w:hAnsi="Arial" w:cs="Arial"/>
        </w:rPr>
        <w:br/>
        <w:t xml:space="preserve">Unfortunately, with some of our hotels being more weather-dependent, extreme weather events may affect travel patterns and hotel operations, which may influence </w:t>
      </w:r>
      <w:proofErr w:type="spellStart"/>
      <w:r w:rsidR="00E32957" w:rsidRPr="0016791A">
        <w:rPr>
          <w:rFonts w:ascii="Arial" w:hAnsi="Arial" w:cs="Arial"/>
        </w:rPr>
        <w:t>StaySmart</w:t>
      </w:r>
      <w:proofErr w:type="spellEnd"/>
      <w:r w:rsidR="00E32957" w:rsidRPr="0016791A">
        <w:rPr>
          <w:rFonts w:ascii="Arial" w:hAnsi="Arial" w:cs="Arial"/>
        </w:rPr>
        <w:t>+’s deployment and use at scale.</w:t>
      </w:r>
      <w:r w:rsidR="00E32957" w:rsidRPr="0016791A">
        <w:rPr>
          <w:rFonts w:ascii="Arial" w:hAnsi="Arial" w:cs="Arial"/>
        </w:rPr>
        <w:tab/>
      </w:r>
      <w:r w:rsidR="00E32957" w:rsidRPr="0016791A">
        <w:rPr>
          <w:rFonts w:ascii="Arial" w:hAnsi="Arial" w:cs="Arial"/>
        </w:rPr>
        <w:br/>
      </w:r>
      <w:r w:rsidR="00E32957" w:rsidRPr="0016791A">
        <w:rPr>
          <w:rFonts w:ascii="Arial" w:hAnsi="Arial" w:cs="Arial"/>
        </w:rPr>
        <w:br/>
      </w:r>
    </w:p>
    <w:p w14:paraId="48F3AE29" w14:textId="29E9F594" w:rsidR="003B3973" w:rsidRPr="003B3973" w:rsidRDefault="003B3973" w:rsidP="0016791A">
      <w:pPr>
        <w:spacing w:line="360" w:lineRule="auto"/>
        <w:rPr>
          <w:rFonts w:ascii="Arial" w:hAnsi="Arial" w:cs="Arial"/>
          <w:b/>
          <w:bCs/>
        </w:rPr>
      </w:pPr>
      <w:r w:rsidRPr="003B3973">
        <w:rPr>
          <w:rFonts w:ascii="Arial" w:hAnsi="Arial" w:cs="Arial"/>
          <w:b/>
          <w:bCs/>
        </w:rPr>
        <w:t>Stakeholder Identificatio</w:t>
      </w:r>
      <w:r w:rsidR="002A578C" w:rsidRPr="0016791A">
        <w:rPr>
          <w:rFonts w:ascii="Arial" w:hAnsi="Arial" w:cs="Arial"/>
          <w:b/>
          <w:bCs/>
        </w:rPr>
        <w:t>n</w:t>
      </w:r>
      <w:r w:rsidR="005B4704" w:rsidRPr="0016791A">
        <w:rPr>
          <w:rFonts w:ascii="Arial" w:hAnsi="Arial" w:cs="Arial"/>
          <w:b/>
          <w:bCs/>
        </w:rPr>
        <w:t>:</w:t>
      </w:r>
    </w:p>
    <w:p w14:paraId="476D3A21" w14:textId="77777777" w:rsidR="003B3973" w:rsidRPr="003B3973" w:rsidRDefault="003B3973" w:rsidP="0016791A">
      <w:pPr>
        <w:spacing w:line="360" w:lineRule="auto"/>
        <w:rPr>
          <w:rFonts w:ascii="Arial" w:hAnsi="Arial" w:cs="Arial"/>
          <w:b/>
          <w:bCs/>
        </w:rPr>
      </w:pPr>
      <w:r w:rsidRPr="003B3973">
        <w:rPr>
          <w:rFonts w:ascii="Arial" w:hAnsi="Arial" w:cs="Arial"/>
          <w:b/>
          <w:bCs/>
        </w:rPr>
        <w:t>Key Internal Stakeholders</w:t>
      </w:r>
    </w:p>
    <w:p w14:paraId="445BD8A8" w14:textId="77777777" w:rsidR="003B3973" w:rsidRPr="003B3973" w:rsidRDefault="003B3973" w:rsidP="0016791A">
      <w:pPr>
        <w:spacing w:line="360" w:lineRule="auto"/>
        <w:rPr>
          <w:rFonts w:ascii="Arial" w:hAnsi="Arial" w:cs="Arial"/>
        </w:rPr>
      </w:pPr>
      <w:r w:rsidRPr="003B3973">
        <w:rPr>
          <w:rFonts w:ascii="Arial" w:hAnsi="Arial" w:cs="Arial"/>
          <w:b/>
          <w:bCs/>
        </w:rPr>
        <w:t>Executive Leadership</w:t>
      </w:r>
      <w:r w:rsidRPr="003B3973">
        <w:rPr>
          <w:rFonts w:ascii="Arial" w:hAnsi="Arial" w:cs="Arial"/>
        </w:rPr>
        <w:t>: CEO, COO, CIO, Chief Sustainability Officer, and other C-suite executives responsible for strategic direction, resource allocation, and governance.</w:t>
      </w:r>
    </w:p>
    <w:p w14:paraId="1293889D" w14:textId="77777777" w:rsidR="003B3973" w:rsidRPr="003B3973" w:rsidRDefault="003B3973" w:rsidP="0016791A">
      <w:pPr>
        <w:spacing w:line="360" w:lineRule="auto"/>
        <w:rPr>
          <w:rFonts w:ascii="Arial" w:hAnsi="Arial" w:cs="Arial"/>
        </w:rPr>
      </w:pPr>
      <w:r w:rsidRPr="003B3973">
        <w:rPr>
          <w:rFonts w:ascii="Arial" w:hAnsi="Arial" w:cs="Arial"/>
          <w:b/>
          <w:bCs/>
        </w:rPr>
        <w:t>Hotel General Managers</w:t>
      </w:r>
      <w:r w:rsidRPr="003B3973">
        <w:rPr>
          <w:rFonts w:ascii="Arial" w:hAnsi="Arial" w:cs="Arial"/>
        </w:rPr>
        <w:t>: Oversee property-level implementation, staff engagement, and guest experience.</w:t>
      </w:r>
    </w:p>
    <w:p w14:paraId="40ECB1DF" w14:textId="77777777" w:rsidR="003B3973" w:rsidRPr="003B3973" w:rsidRDefault="003B3973" w:rsidP="0016791A">
      <w:pPr>
        <w:spacing w:line="360" w:lineRule="auto"/>
        <w:rPr>
          <w:rFonts w:ascii="Arial" w:hAnsi="Arial" w:cs="Arial"/>
        </w:rPr>
      </w:pPr>
      <w:r w:rsidRPr="003B3973">
        <w:rPr>
          <w:rFonts w:ascii="Arial" w:hAnsi="Arial" w:cs="Arial"/>
          <w:b/>
          <w:bCs/>
        </w:rPr>
        <w:t>Department Heads</w:t>
      </w:r>
      <w:r w:rsidRPr="003B3973">
        <w:rPr>
          <w:rFonts w:ascii="Arial" w:hAnsi="Arial" w:cs="Arial"/>
        </w:rPr>
        <w:t>: Leaders of operations, IT, marketing, HR, finance, and sustainability at both corporate and property levels.</w:t>
      </w:r>
    </w:p>
    <w:p w14:paraId="537092C0" w14:textId="1008C39F" w:rsidR="003B3973" w:rsidRPr="003B3973" w:rsidRDefault="003B3973" w:rsidP="0016791A">
      <w:pPr>
        <w:spacing w:line="360" w:lineRule="auto"/>
        <w:rPr>
          <w:rFonts w:ascii="Arial" w:hAnsi="Arial" w:cs="Arial"/>
        </w:rPr>
      </w:pPr>
      <w:r w:rsidRPr="003B3973">
        <w:rPr>
          <w:rFonts w:ascii="Arial" w:hAnsi="Arial" w:cs="Arial"/>
          <w:b/>
          <w:bCs/>
        </w:rPr>
        <w:lastRenderedPageBreak/>
        <w:t>Frontline Employees</w:t>
      </w:r>
      <w:r w:rsidRPr="003B3973">
        <w:rPr>
          <w:rFonts w:ascii="Arial" w:hAnsi="Arial" w:cs="Arial"/>
        </w:rPr>
        <w:t>: Receptionists, concierges, housekeeping and wellness teams who deliver the guest experience and interact directly with new technologies.</w:t>
      </w:r>
    </w:p>
    <w:p w14:paraId="20BAA851" w14:textId="2F3B2EB3" w:rsidR="003B3973" w:rsidRPr="003B3973" w:rsidRDefault="003B3973" w:rsidP="0016791A">
      <w:pPr>
        <w:spacing w:line="360" w:lineRule="auto"/>
        <w:rPr>
          <w:rFonts w:ascii="Arial" w:hAnsi="Arial" w:cs="Arial"/>
        </w:rPr>
      </w:pPr>
      <w:r w:rsidRPr="003B3973">
        <w:rPr>
          <w:rFonts w:ascii="Arial" w:hAnsi="Arial" w:cs="Arial"/>
          <w:b/>
          <w:bCs/>
        </w:rPr>
        <w:t>IT and Digital Teams</w:t>
      </w:r>
      <w:r w:rsidRPr="003B3973">
        <w:rPr>
          <w:rFonts w:ascii="Arial" w:hAnsi="Arial" w:cs="Arial"/>
        </w:rPr>
        <w:t>: Responsible for deploying AI platforms, integrating PMS, and ensuring</w:t>
      </w:r>
      <w:r w:rsidR="006147FF" w:rsidRPr="0016791A">
        <w:rPr>
          <w:rFonts w:ascii="Arial" w:hAnsi="Arial" w:cs="Arial"/>
        </w:rPr>
        <w:t xml:space="preserve"> </w:t>
      </w:r>
      <w:r w:rsidRPr="003B3973">
        <w:rPr>
          <w:rFonts w:ascii="Arial" w:hAnsi="Arial" w:cs="Arial"/>
        </w:rPr>
        <w:t>cybersecurity.</w:t>
      </w:r>
    </w:p>
    <w:p w14:paraId="33D7F9BA" w14:textId="77777777" w:rsidR="003B3973" w:rsidRPr="003B3973" w:rsidRDefault="003B3973" w:rsidP="0016791A">
      <w:pPr>
        <w:spacing w:line="360" w:lineRule="auto"/>
        <w:rPr>
          <w:rFonts w:ascii="Arial" w:hAnsi="Arial" w:cs="Arial"/>
        </w:rPr>
      </w:pPr>
      <w:r w:rsidRPr="003B3973">
        <w:rPr>
          <w:rFonts w:ascii="Arial" w:hAnsi="Arial" w:cs="Arial"/>
          <w:b/>
          <w:bCs/>
        </w:rPr>
        <w:t>Sustainability and ESG Teams</w:t>
      </w:r>
      <w:r w:rsidRPr="003B3973">
        <w:rPr>
          <w:rFonts w:ascii="Arial" w:hAnsi="Arial" w:cs="Arial"/>
        </w:rPr>
        <w:t>: Drive environmental initiatives, compliance, and reporting.</w:t>
      </w:r>
    </w:p>
    <w:p w14:paraId="7F94274A" w14:textId="77777777" w:rsidR="003B3973" w:rsidRPr="003B3973" w:rsidRDefault="003B3973" w:rsidP="0016791A">
      <w:pPr>
        <w:spacing w:line="360" w:lineRule="auto"/>
        <w:rPr>
          <w:rFonts w:ascii="Arial" w:hAnsi="Arial" w:cs="Arial"/>
        </w:rPr>
      </w:pPr>
      <w:r w:rsidRPr="003B3973">
        <w:rPr>
          <w:rFonts w:ascii="Arial" w:hAnsi="Arial" w:cs="Arial"/>
          <w:b/>
          <w:bCs/>
        </w:rPr>
        <w:t>Project Management Office (PMO)</w:t>
      </w:r>
      <w:r w:rsidRPr="003B3973">
        <w:rPr>
          <w:rFonts w:ascii="Arial" w:hAnsi="Arial" w:cs="Arial"/>
        </w:rPr>
        <w:t>: Coordinates the '</w:t>
      </w:r>
      <w:proofErr w:type="spellStart"/>
      <w:r w:rsidRPr="003B3973">
        <w:rPr>
          <w:rFonts w:ascii="Arial" w:hAnsi="Arial" w:cs="Arial"/>
        </w:rPr>
        <w:t>StaySmart</w:t>
      </w:r>
      <w:proofErr w:type="spellEnd"/>
      <w:r w:rsidRPr="003B3973">
        <w:rPr>
          <w:rFonts w:ascii="Arial" w:hAnsi="Arial" w:cs="Arial"/>
        </w:rPr>
        <w:t>+' rollout, manages timelines, and ensures cross-functional collaboration.</w:t>
      </w:r>
    </w:p>
    <w:p w14:paraId="7430C9B5" w14:textId="77777777" w:rsidR="005B38C8" w:rsidRPr="0016791A" w:rsidRDefault="005B38C8" w:rsidP="0016791A">
      <w:pPr>
        <w:spacing w:line="360" w:lineRule="auto"/>
        <w:rPr>
          <w:rFonts w:ascii="Arial" w:hAnsi="Arial" w:cs="Arial"/>
        </w:rPr>
      </w:pPr>
    </w:p>
    <w:p w14:paraId="1F124ACB" w14:textId="77777777" w:rsidR="005B38C8" w:rsidRPr="0016791A" w:rsidRDefault="005B38C8" w:rsidP="0016791A">
      <w:pPr>
        <w:spacing w:line="360" w:lineRule="auto"/>
        <w:rPr>
          <w:rFonts w:ascii="Arial" w:hAnsi="Arial" w:cs="Arial"/>
        </w:rPr>
      </w:pPr>
    </w:p>
    <w:p w14:paraId="7EB63E16" w14:textId="77777777" w:rsidR="005B38C8" w:rsidRPr="0016791A" w:rsidRDefault="005B38C8" w:rsidP="0016791A">
      <w:pPr>
        <w:spacing w:line="360" w:lineRule="auto"/>
        <w:rPr>
          <w:rFonts w:ascii="Arial" w:hAnsi="Arial" w:cs="Arial"/>
        </w:rPr>
      </w:pPr>
    </w:p>
    <w:p w14:paraId="27FEE480" w14:textId="77777777" w:rsidR="005B38C8" w:rsidRPr="0016791A" w:rsidRDefault="005B38C8" w:rsidP="0016791A">
      <w:pPr>
        <w:spacing w:line="360" w:lineRule="auto"/>
        <w:rPr>
          <w:rFonts w:ascii="Arial" w:hAnsi="Arial" w:cs="Arial"/>
        </w:rPr>
      </w:pPr>
    </w:p>
    <w:p w14:paraId="11FD10A6" w14:textId="77777777" w:rsidR="00EA7DC6" w:rsidRPr="0016791A" w:rsidRDefault="00EA7DC6" w:rsidP="0016791A">
      <w:pPr>
        <w:spacing w:line="360" w:lineRule="auto"/>
        <w:rPr>
          <w:rFonts w:ascii="Arial" w:hAnsi="Arial" w:cs="Arial"/>
        </w:rPr>
      </w:pPr>
    </w:p>
    <w:p w14:paraId="7336EDF4" w14:textId="77777777" w:rsidR="00EA7DC6" w:rsidRPr="0016791A" w:rsidRDefault="00EA7DC6" w:rsidP="0016791A">
      <w:pPr>
        <w:spacing w:line="360" w:lineRule="auto"/>
        <w:rPr>
          <w:rFonts w:ascii="Arial" w:hAnsi="Arial" w:cs="Arial"/>
        </w:rPr>
      </w:pPr>
    </w:p>
    <w:p w14:paraId="71B4301A" w14:textId="34747846" w:rsidR="003B3973" w:rsidRPr="003B3973" w:rsidRDefault="003B3973" w:rsidP="0016791A">
      <w:pPr>
        <w:spacing w:line="360" w:lineRule="auto"/>
        <w:rPr>
          <w:rFonts w:ascii="Arial" w:hAnsi="Arial" w:cs="Arial"/>
          <w:b/>
          <w:bCs/>
        </w:rPr>
      </w:pPr>
      <w:r w:rsidRPr="003B3973">
        <w:rPr>
          <w:rFonts w:ascii="Arial" w:hAnsi="Arial" w:cs="Arial"/>
          <w:b/>
          <w:bCs/>
        </w:rPr>
        <w:t>Key External Stakeholders</w:t>
      </w:r>
    </w:p>
    <w:p w14:paraId="28A636C7" w14:textId="77777777" w:rsidR="003B3973" w:rsidRPr="003B3973" w:rsidRDefault="003B3973" w:rsidP="0016791A">
      <w:pPr>
        <w:spacing w:line="360" w:lineRule="auto"/>
        <w:rPr>
          <w:rFonts w:ascii="Arial" w:hAnsi="Arial" w:cs="Arial"/>
        </w:rPr>
      </w:pPr>
      <w:r w:rsidRPr="003B3973">
        <w:rPr>
          <w:rFonts w:ascii="Arial" w:hAnsi="Arial" w:cs="Arial"/>
          <w:b/>
          <w:bCs/>
        </w:rPr>
        <w:t>Guests and Customers</w:t>
      </w:r>
      <w:r w:rsidRPr="003B3973">
        <w:rPr>
          <w:rFonts w:ascii="Arial" w:hAnsi="Arial" w:cs="Arial"/>
        </w:rPr>
        <w:t xml:space="preserve">: Business </w:t>
      </w:r>
      <w:proofErr w:type="spellStart"/>
      <w:r w:rsidRPr="003B3973">
        <w:rPr>
          <w:rFonts w:ascii="Arial" w:hAnsi="Arial" w:cs="Arial"/>
        </w:rPr>
        <w:t>travelers</w:t>
      </w:r>
      <w:proofErr w:type="spellEnd"/>
      <w:r w:rsidRPr="003B3973">
        <w:rPr>
          <w:rFonts w:ascii="Arial" w:hAnsi="Arial" w:cs="Arial"/>
        </w:rPr>
        <w:t>, leisure tourists, loyalty program members, and special segments (e.g., families, wellness seekers).</w:t>
      </w:r>
    </w:p>
    <w:p w14:paraId="0B904856" w14:textId="77777777" w:rsidR="003B3973" w:rsidRPr="003B3973" w:rsidRDefault="003B3973" w:rsidP="0016791A">
      <w:pPr>
        <w:spacing w:line="360" w:lineRule="auto"/>
        <w:rPr>
          <w:rFonts w:ascii="Arial" w:hAnsi="Arial" w:cs="Arial"/>
        </w:rPr>
      </w:pPr>
      <w:r w:rsidRPr="003B3973">
        <w:rPr>
          <w:rFonts w:ascii="Arial" w:hAnsi="Arial" w:cs="Arial"/>
          <w:b/>
          <w:bCs/>
        </w:rPr>
        <w:t>Hotel Owners and Franchisees</w:t>
      </w:r>
      <w:r w:rsidRPr="003B3973">
        <w:rPr>
          <w:rFonts w:ascii="Arial" w:hAnsi="Arial" w:cs="Arial"/>
        </w:rPr>
        <w:t>: Investors and property owners whose buy-in is essential for capital investment and operational alignment.</w:t>
      </w:r>
    </w:p>
    <w:p w14:paraId="3933CF21" w14:textId="77777777" w:rsidR="003B3973" w:rsidRPr="003B3973" w:rsidRDefault="003B3973" w:rsidP="0016791A">
      <w:pPr>
        <w:spacing w:line="360" w:lineRule="auto"/>
        <w:rPr>
          <w:rFonts w:ascii="Arial" w:hAnsi="Arial" w:cs="Arial"/>
        </w:rPr>
      </w:pPr>
      <w:r w:rsidRPr="003B3973">
        <w:rPr>
          <w:rFonts w:ascii="Arial" w:hAnsi="Arial" w:cs="Arial"/>
          <w:b/>
          <w:bCs/>
        </w:rPr>
        <w:t>Suppliers and Technology Vendors</w:t>
      </w:r>
      <w:r w:rsidRPr="003B3973">
        <w:rPr>
          <w:rFonts w:ascii="Arial" w:hAnsi="Arial" w:cs="Arial"/>
        </w:rPr>
        <w:t xml:space="preserve">: Providers of AI platforms (e.g., </w:t>
      </w:r>
      <w:proofErr w:type="spellStart"/>
      <w:r w:rsidRPr="003B3973">
        <w:rPr>
          <w:rFonts w:ascii="Arial" w:hAnsi="Arial" w:cs="Arial"/>
        </w:rPr>
        <w:t>HiJiffy</w:t>
      </w:r>
      <w:proofErr w:type="spellEnd"/>
      <w:r w:rsidRPr="003B3973">
        <w:rPr>
          <w:rFonts w:ascii="Arial" w:hAnsi="Arial" w:cs="Arial"/>
        </w:rPr>
        <w:t>, Oracle integrations), sustainability solutions, and amenities.</w:t>
      </w:r>
    </w:p>
    <w:p w14:paraId="139DEE32" w14:textId="77777777" w:rsidR="003B3973" w:rsidRPr="003B3973" w:rsidRDefault="003B3973" w:rsidP="0016791A">
      <w:pPr>
        <w:spacing w:line="360" w:lineRule="auto"/>
        <w:rPr>
          <w:rFonts w:ascii="Arial" w:hAnsi="Arial" w:cs="Arial"/>
        </w:rPr>
      </w:pPr>
      <w:r w:rsidRPr="003B3973">
        <w:rPr>
          <w:rFonts w:ascii="Arial" w:hAnsi="Arial" w:cs="Arial"/>
          <w:b/>
          <w:bCs/>
        </w:rPr>
        <w:t>Travel Management Companies (TMCs) and OTAs</w:t>
      </w:r>
      <w:r w:rsidRPr="003B3973">
        <w:rPr>
          <w:rFonts w:ascii="Arial" w:hAnsi="Arial" w:cs="Arial"/>
        </w:rPr>
        <w:t>: Partners in distribution, booking, and guest acquisition.</w:t>
      </w:r>
    </w:p>
    <w:p w14:paraId="2CC7B966" w14:textId="77777777" w:rsidR="003B3973" w:rsidRPr="003B3973" w:rsidRDefault="003B3973" w:rsidP="0016791A">
      <w:pPr>
        <w:spacing w:line="360" w:lineRule="auto"/>
        <w:rPr>
          <w:rFonts w:ascii="Arial" w:hAnsi="Arial" w:cs="Arial"/>
        </w:rPr>
      </w:pPr>
      <w:r w:rsidRPr="003B3973">
        <w:rPr>
          <w:rFonts w:ascii="Arial" w:hAnsi="Arial" w:cs="Arial"/>
          <w:b/>
          <w:bCs/>
        </w:rPr>
        <w:t>Local Communities and NGOs</w:t>
      </w:r>
      <w:r w:rsidRPr="003B3973">
        <w:rPr>
          <w:rFonts w:ascii="Arial" w:hAnsi="Arial" w:cs="Arial"/>
        </w:rPr>
        <w:t>: Impacted by hotel operations, employment, and sustainability initiatives.</w:t>
      </w:r>
    </w:p>
    <w:p w14:paraId="0520519B" w14:textId="77777777" w:rsidR="003B3973" w:rsidRPr="003B3973" w:rsidRDefault="003B3973" w:rsidP="0016791A">
      <w:pPr>
        <w:spacing w:line="360" w:lineRule="auto"/>
        <w:rPr>
          <w:rFonts w:ascii="Arial" w:hAnsi="Arial" w:cs="Arial"/>
        </w:rPr>
      </w:pPr>
      <w:r w:rsidRPr="003B3973">
        <w:rPr>
          <w:rFonts w:ascii="Arial" w:hAnsi="Arial" w:cs="Arial"/>
          <w:b/>
          <w:bCs/>
        </w:rPr>
        <w:t>Government and Regulatory Bodies</w:t>
      </w:r>
      <w:r w:rsidRPr="003B3973">
        <w:rPr>
          <w:rFonts w:ascii="Arial" w:hAnsi="Arial" w:cs="Arial"/>
        </w:rPr>
        <w:t xml:space="preserve">: Enforce compliance with health, safety, </w:t>
      </w:r>
      <w:proofErr w:type="spellStart"/>
      <w:r w:rsidRPr="003B3973">
        <w:rPr>
          <w:rFonts w:ascii="Arial" w:hAnsi="Arial" w:cs="Arial"/>
        </w:rPr>
        <w:t>labor</w:t>
      </w:r>
      <w:proofErr w:type="spellEnd"/>
      <w:r w:rsidRPr="003B3973">
        <w:rPr>
          <w:rFonts w:ascii="Arial" w:hAnsi="Arial" w:cs="Arial"/>
        </w:rPr>
        <w:t>, data protection, and environmental regulations.</w:t>
      </w:r>
    </w:p>
    <w:p w14:paraId="43E748BA" w14:textId="77777777" w:rsidR="003B3973" w:rsidRPr="003B3973" w:rsidRDefault="003B3973" w:rsidP="0016791A">
      <w:pPr>
        <w:spacing w:line="360" w:lineRule="auto"/>
        <w:rPr>
          <w:rFonts w:ascii="Arial" w:hAnsi="Arial" w:cs="Arial"/>
        </w:rPr>
      </w:pPr>
      <w:r w:rsidRPr="003B3973">
        <w:rPr>
          <w:rFonts w:ascii="Arial" w:hAnsi="Arial" w:cs="Arial"/>
          <w:b/>
          <w:bCs/>
        </w:rPr>
        <w:t>Industry Associations</w:t>
      </w:r>
      <w:r w:rsidRPr="003B3973">
        <w:rPr>
          <w:rFonts w:ascii="Arial" w:hAnsi="Arial" w:cs="Arial"/>
        </w:rPr>
        <w:t>: Hospitality and tourism boards, sustainability alliances, and professional networks.</w:t>
      </w:r>
    </w:p>
    <w:p w14:paraId="1ADDE1DD" w14:textId="77777777" w:rsidR="003B3973" w:rsidRPr="003B3973" w:rsidRDefault="003B3973" w:rsidP="0016791A">
      <w:pPr>
        <w:spacing w:line="360" w:lineRule="auto"/>
        <w:rPr>
          <w:rFonts w:ascii="Arial" w:hAnsi="Arial" w:cs="Arial"/>
        </w:rPr>
      </w:pPr>
      <w:r w:rsidRPr="003B3973">
        <w:rPr>
          <w:rFonts w:ascii="Arial" w:hAnsi="Arial" w:cs="Arial"/>
          <w:b/>
          <w:bCs/>
        </w:rPr>
        <w:lastRenderedPageBreak/>
        <w:t>Media and Influencers</w:t>
      </w:r>
      <w:r w:rsidRPr="003B3973">
        <w:rPr>
          <w:rFonts w:ascii="Arial" w:hAnsi="Arial" w:cs="Arial"/>
        </w:rPr>
        <w:t>: Shape public perception and reputation through coverage and reviews.</w:t>
      </w:r>
    </w:p>
    <w:p w14:paraId="4D2E8A0A" w14:textId="77777777" w:rsidR="003B3973" w:rsidRPr="003B3973" w:rsidRDefault="003B3973" w:rsidP="0016791A">
      <w:pPr>
        <w:spacing w:line="360" w:lineRule="auto"/>
        <w:rPr>
          <w:rFonts w:ascii="Arial" w:hAnsi="Arial" w:cs="Arial"/>
        </w:rPr>
      </w:pPr>
      <w:r w:rsidRPr="003B3973">
        <w:rPr>
          <w:rFonts w:ascii="Arial" w:hAnsi="Arial" w:cs="Arial"/>
          <w:b/>
          <w:bCs/>
        </w:rPr>
        <w:t>Corporate Clients and Event Planners</w:t>
      </w:r>
      <w:r w:rsidRPr="003B3973">
        <w:rPr>
          <w:rFonts w:ascii="Arial" w:hAnsi="Arial" w:cs="Arial"/>
        </w:rPr>
        <w:t>: Key B2B customers for meetings, incentives, conferences, and events (MICE).</w:t>
      </w:r>
    </w:p>
    <w:p w14:paraId="59C83C14" w14:textId="7890C017" w:rsidR="005B38C8" w:rsidRPr="0016791A" w:rsidRDefault="003B3973" w:rsidP="0016791A">
      <w:pPr>
        <w:spacing w:line="360" w:lineRule="auto"/>
        <w:rPr>
          <w:rFonts w:ascii="Arial" w:hAnsi="Arial" w:cs="Arial"/>
        </w:rPr>
      </w:pPr>
      <w:r w:rsidRPr="003B3973">
        <w:rPr>
          <w:rFonts w:ascii="Arial" w:hAnsi="Arial" w:cs="Arial"/>
          <w:b/>
          <w:bCs/>
        </w:rPr>
        <w:t>Competitors</w:t>
      </w:r>
      <w:r w:rsidRPr="003B3973">
        <w:rPr>
          <w:rFonts w:ascii="Arial" w:hAnsi="Arial" w:cs="Arial"/>
        </w:rPr>
        <w:t>: Indirect stakeholders influencing market standards and innovation pace (e.g., Marriott, Accor, Six Senses).</w:t>
      </w:r>
    </w:p>
    <w:p w14:paraId="2474D77B" w14:textId="77777777" w:rsidR="005B38C8" w:rsidRPr="003B3973" w:rsidRDefault="005B38C8" w:rsidP="0016791A">
      <w:pPr>
        <w:spacing w:line="360" w:lineRule="auto"/>
        <w:rPr>
          <w:rFonts w:ascii="Arial" w:hAnsi="Arial" w:cs="Arial"/>
        </w:rPr>
      </w:pPr>
    </w:p>
    <w:p w14:paraId="7278F695" w14:textId="77777777" w:rsidR="000427B3" w:rsidRPr="0016791A" w:rsidRDefault="000427B3" w:rsidP="0016791A">
      <w:pPr>
        <w:spacing w:line="360" w:lineRule="auto"/>
        <w:rPr>
          <w:rFonts w:ascii="Arial" w:hAnsi="Arial" w:cs="Arial"/>
          <w:b/>
          <w:bCs/>
        </w:rPr>
      </w:pPr>
    </w:p>
    <w:p w14:paraId="6E48F543" w14:textId="77777777" w:rsidR="000427B3" w:rsidRPr="0016791A" w:rsidRDefault="000427B3" w:rsidP="0016791A">
      <w:pPr>
        <w:spacing w:line="360" w:lineRule="auto"/>
        <w:rPr>
          <w:rFonts w:ascii="Arial" w:hAnsi="Arial" w:cs="Arial"/>
          <w:b/>
          <w:bCs/>
        </w:rPr>
      </w:pPr>
    </w:p>
    <w:p w14:paraId="1990AE6D" w14:textId="77777777" w:rsidR="000427B3" w:rsidRPr="0016791A" w:rsidRDefault="000427B3" w:rsidP="0016791A">
      <w:pPr>
        <w:spacing w:line="360" w:lineRule="auto"/>
        <w:rPr>
          <w:rFonts w:ascii="Arial" w:hAnsi="Arial" w:cs="Arial"/>
          <w:b/>
          <w:bCs/>
        </w:rPr>
      </w:pPr>
    </w:p>
    <w:p w14:paraId="7A7BFC80" w14:textId="77777777" w:rsidR="000427B3" w:rsidRPr="0016791A" w:rsidRDefault="000427B3" w:rsidP="0016791A">
      <w:pPr>
        <w:spacing w:line="360" w:lineRule="auto"/>
        <w:rPr>
          <w:rFonts w:ascii="Arial" w:hAnsi="Arial" w:cs="Arial"/>
          <w:b/>
          <w:bCs/>
        </w:rPr>
      </w:pPr>
    </w:p>
    <w:p w14:paraId="73F7A9CF" w14:textId="77777777" w:rsidR="000427B3" w:rsidRPr="0016791A" w:rsidRDefault="000427B3" w:rsidP="0016791A">
      <w:pPr>
        <w:spacing w:line="360" w:lineRule="auto"/>
        <w:rPr>
          <w:rFonts w:ascii="Arial" w:hAnsi="Arial" w:cs="Arial"/>
          <w:b/>
          <w:bCs/>
        </w:rPr>
      </w:pPr>
    </w:p>
    <w:p w14:paraId="7D5342AC" w14:textId="77777777" w:rsidR="000427B3" w:rsidRPr="0016791A" w:rsidRDefault="000427B3" w:rsidP="0016791A">
      <w:pPr>
        <w:spacing w:line="360" w:lineRule="auto"/>
        <w:rPr>
          <w:rFonts w:ascii="Arial" w:hAnsi="Arial" w:cs="Arial"/>
          <w:b/>
          <w:bCs/>
        </w:rPr>
      </w:pPr>
    </w:p>
    <w:p w14:paraId="5380CB4A" w14:textId="77777777" w:rsidR="000427B3" w:rsidRPr="0016791A" w:rsidRDefault="000427B3" w:rsidP="0016791A">
      <w:pPr>
        <w:spacing w:line="360" w:lineRule="auto"/>
        <w:rPr>
          <w:rFonts w:ascii="Arial" w:hAnsi="Arial" w:cs="Arial"/>
          <w:b/>
          <w:bCs/>
        </w:rPr>
      </w:pPr>
    </w:p>
    <w:p w14:paraId="1E02C0A7" w14:textId="77777777" w:rsidR="000427B3" w:rsidRPr="0016791A" w:rsidRDefault="000427B3" w:rsidP="0016791A">
      <w:pPr>
        <w:spacing w:line="360" w:lineRule="auto"/>
        <w:rPr>
          <w:rFonts w:ascii="Arial" w:hAnsi="Arial" w:cs="Arial"/>
          <w:b/>
          <w:bCs/>
        </w:rPr>
      </w:pPr>
    </w:p>
    <w:p w14:paraId="6D620009" w14:textId="77777777" w:rsidR="000427B3" w:rsidRPr="0016791A" w:rsidRDefault="000427B3" w:rsidP="0016791A">
      <w:pPr>
        <w:spacing w:line="360" w:lineRule="auto"/>
        <w:rPr>
          <w:rFonts w:ascii="Arial" w:hAnsi="Arial" w:cs="Arial"/>
          <w:b/>
          <w:bCs/>
        </w:rPr>
      </w:pPr>
    </w:p>
    <w:p w14:paraId="7DF18BDD" w14:textId="6AA5956A" w:rsidR="003B3973" w:rsidRPr="003B3973" w:rsidRDefault="003B3973" w:rsidP="0016791A">
      <w:pPr>
        <w:spacing w:line="360" w:lineRule="auto"/>
        <w:rPr>
          <w:rFonts w:ascii="Arial" w:hAnsi="Arial" w:cs="Arial"/>
          <w:b/>
          <w:bCs/>
        </w:rPr>
      </w:pPr>
      <w:r w:rsidRPr="003B3973">
        <w:rPr>
          <w:rFonts w:ascii="Arial" w:hAnsi="Arial" w:cs="Arial"/>
          <w:b/>
          <w:bCs/>
        </w:rPr>
        <w:t>Stakeholder Map (Power-Interest Matrix)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1"/>
      </w:tblGrid>
      <w:tr w:rsidR="003B3973" w:rsidRPr="003B3973" w14:paraId="33C0D273" w14:textId="77777777">
        <w:trPr>
          <w:tblHeader/>
          <w:tblCellSpacing w:w="15" w:type="dxa"/>
        </w:trPr>
        <w:tc>
          <w:tcPr>
            <w:tcW w:w="0" w:type="auto"/>
            <w:vAlign w:val="center"/>
            <w:hideMark/>
          </w:tcPr>
          <w:p w14:paraId="368FA0A3" w14:textId="77777777" w:rsidR="003B3973" w:rsidRPr="003B3973" w:rsidRDefault="003B3973" w:rsidP="0016791A">
            <w:pPr>
              <w:spacing w:line="360" w:lineRule="auto"/>
              <w:rPr>
                <w:rFonts w:ascii="Arial" w:hAnsi="Arial" w:cs="Arial"/>
              </w:rPr>
            </w:pPr>
          </w:p>
        </w:tc>
        <w:tc>
          <w:tcPr>
            <w:tcW w:w="0" w:type="auto"/>
            <w:vAlign w:val="center"/>
            <w:hideMark/>
          </w:tcPr>
          <w:p w14:paraId="3F1250BA" w14:textId="77777777" w:rsidR="003B3973" w:rsidRPr="003B3973" w:rsidRDefault="003B3973" w:rsidP="0016791A">
            <w:pPr>
              <w:spacing w:line="360" w:lineRule="auto"/>
              <w:rPr>
                <w:rFonts w:ascii="Arial" w:hAnsi="Arial" w:cs="Arial"/>
              </w:rPr>
            </w:pPr>
          </w:p>
        </w:tc>
        <w:tc>
          <w:tcPr>
            <w:tcW w:w="0" w:type="auto"/>
            <w:vAlign w:val="center"/>
            <w:hideMark/>
          </w:tcPr>
          <w:p w14:paraId="3CAFBC4C" w14:textId="77777777" w:rsidR="003B3973" w:rsidRPr="003B3973" w:rsidRDefault="003B3973" w:rsidP="0016791A">
            <w:pPr>
              <w:spacing w:line="360" w:lineRule="auto"/>
              <w:rPr>
                <w:rFonts w:ascii="Arial" w:hAnsi="Arial" w:cs="Arial"/>
              </w:rPr>
            </w:pPr>
          </w:p>
        </w:tc>
        <w:tc>
          <w:tcPr>
            <w:tcW w:w="0" w:type="auto"/>
            <w:vAlign w:val="center"/>
            <w:hideMark/>
          </w:tcPr>
          <w:p w14:paraId="3CD78973" w14:textId="77777777" w:rsidR="003B3973" w:rsidRPr="003B3973" w:rsidRDefault="003B3973" w:rsidP="0016791A">
            <w:pPr>
              <w:spacing w:line="360" w:lineRule="auto"/>
              <w:rPr>
                <w:rFonts w:ascii="Arial" w:hAnsi="Arial" w:cs="Arial"/>
              </w:rPr>
            </w:pPr>
          </w:p>
        </w:tc>
      </w:tr>
      <w:tr w:rsidR="003B3973" w:rsidRPr="003B3973" w14:paraId="494BE47A" w14:textId="77777777">
        <w:trPr>
          <w:tblCellSpacing w:w="15" w:type="dxa"/>
        </w:trPr>
        <w:tc>
          <w:tcPr>
            <w:tcW w:w="0" w:type="auto"/>
            <w:vAlign w:val="center"/>
            <w:hideMark/>
          </w:tcPr>
          <w:p w14:paraId="07565F2C" w14:textId="77777777" w:rsidR="003B3973" w:rsidRPr="003B3973" w:rsidRDefault="003B3973" w:rsidP="0016791A">
            <w:pPr>
              <w:spacing w:line="360" w:lineRule="auto"/>
              <w:rPr>
                <w:rFonts w:ascii="Arial" w:hAnsi="Arial" w:cs="Arial"/>
              </w:rPr>
            </w:pPr>
          </w:p>
        </w:tc>
        <w:tc>
          <w:tcPr>
            <w:tcW w:w="0" w:type="auto"/>
            <w:vAlign w:val="center"/>
            <w:hideMark/>
          </w:tcPr>
          <w:p w14:paraId="178DC2D9" w14:textId="77777777" w:rsidR="003B3973" w:rsidRPr="003B3973" w:rsidRDefault="003B3973" w:rsidP="0016791A">
            <w:pPr>
              <w:spacing w:line="360" w:lineRule="auto"/>
              <w:rPr>
                <w:rFonts w:ascii="Arial" w:hAnsi="Arial" w:cs="Arial"/>
              </w:rPr>
            </w:pPr>
          </w:p>
        </w:tc>
        <w:tc>
          <w:tcPr>
            <w:tcW w:w="0" w:type="auto"/>
            <w:vAlign w:val="center"/>
            <w:hideMark/>
          </w:tcPr>
          <w:p w14:paraId="3478CA96" w14:textId="77777777" w:rsidR="003B3973" w:rsidRPr="003B3973" w:rsidRDefault="003B3973" w:rsidP="0016791A">
            <w:pPr>
              <w:spacing w:line="360" w:lineRule="auto"/>
              <w:rPr>
                <w:rFonts w:ascii="Arial" w:hAnsi="Arial" w:cs="Arial"/>
              </w:rPr>
            </w:pPr>
          </w:p>
        </w:tc>
        <w:tc>
          <w:tcPr>
            <w:tcW w:w="0" w:type="auto"/>
            <w:vAlign w:val="center"/>
            <w:hideMark/>
          </w:tcPr>
          <w:p w14:paraId="1900A879" w14:textId="77777777" w:rsidR="003B3973" w:rsidRPr="003B3973" w:rsidRDefault="003B3973" w:rsidP="0016791A">
            <w:pPr>
              <w:spacing w:line="360" w:lineRule="auto"/>
              <w:rPr>
                <w:rFonts w:ascii="Arial" w:hAnsi="Arial" w:cs="Arial"/>
              </w:rPr>
            </w:pPr>
          </w:p>
        </w:tc>
      </w:tr>
      <w:tr w:rsidR="003B3973" w:rsidRPr="003B3973" w14:paraId="237A7404" w14:textId="77777777">
        <w:trPr>
          <w:tblCellSpacing w:w="15" w:type="dxa"/>
        </w:trPr>
        <w:tc>
          <w:tcPr>
            <w:tcW w:w="0" w:type="auto"/>
            <w:vAlign w:val="center"/>
            <w:hideMark/>
          </w:tcPr>
          <w:p w14:paraId="7F88F0D6" w14:textId="77777777" w:rsidR="003B3973" w:rsidRPr="003B3973" w:rsidRDefault="003B3973" w:rsidP="0016791A">
            <w:pPr>
              <w:spacing w:line="360" w:lineRule="auto"/>
              <w:rPr>
                <w:rFonts w:ascii="Arial" w:hAnsi="Arial" w:cs="Arial"/>
              </w:rPr>
            </w:pPr>
          </w:p>
        </w:tc>
        <w:tc>
          <w:tcPr>
            <w:tcW w:w="0" w:type="auto"/>
            <w:vAlign w:val="center"/>
            <w:hideMark/>
          </w:tcPr>
          <w:p w14:paraId="438C3DC0" w14:textId="77777777" w:rsidR="003B3973" w:rsidRPr="003B3973" w:rsidRDefault="003B3973" w:rsidP="0016791A">
            <w:pPr>
              <w:spacing w:line="360" w:lineRule="auto"/>
              <w:rPr>
                <w:rFonts w:ascii="Arial" w:hAnsi="Arial" w:cs="Arial"/>
              </w:rPr>
            </w:pPr>
          </w:p>
        </w:tc>
        <w:tc>
          <w:tcPr>
            <w:tcW w:w="0" w:type="auto"/>
            <w:vAlign w:val="center"/>
            <w:hideMark/>
          </w:tcPr>
          <w:p w14:paraId="7629B9E6" w14:textId="77777777" w:rsidR="003B3973" w:rsidRPr="003B3973" w:rsidRDefault="003B3973" w:rsidP="0016791A">
            <w:pPr>
              <w:spacing w:line="360" w:lineRule="auto"/>
              <w:rPr>
                <w:rFonts w:ascii="Arial" w:hAnsi="Arial" w:cs="Arial"/>
              </w:rPr>
            </w:pPr>
          </w:p>
        </w:tc>
        <w:tc>
          <w:tcPr>
            <w:tcW w:w="0" w:type="auto"/>
            <w:vAlign w:val="center"/>
            <w:hideMark/>
          </w:tcPr>
          <w:p w14:paraId="39CDB3E0" w14:textId="77777777" w:rsidR="003B3973" w:rsidRPr="003B3973" w:rsidRDefault="003B3973" w:rsidP="0016791A">
            <w:pPr>
              <w:spacing w:line="360" w:lineRule="auto"/>
              <w:rPr>
                <w:rFonts w:ascii="Arial" w:hAnsi="Arial" w:cs="Arial"/>
              </w:rPr>
            </w:pPr>
          </w:p>
        </w:tc>
      </w:tr>
      <w:tr w:rsidR="003B3973" w:rsidRPr="003B3973" w14:paraId="03905BAE" w14:textId="77777777">
        <w:trPr>
          <w:tblCellSpacing w:w="15" w:type="dxa"/>
        </w:trPr>
        <w:tc>
          <w:tcPr>
            <w:tcW w:w="0" w:type="auto"/>
            <w:vAlign w:val="center"/>
            <w:hideMark/>
          </w:tcPr>
          <w:p w14:paraId="2BC1768D" w14:textId="77777777" w:rsidR="003B3973" w:rsidRPr="003B3973" w:rsidRDefault="003B3973" w:rsidP="0016791A">
            <w:pPr>
              <w:spacing w:line="360" w:lineRule="auto"/>
              <w:rPr>
                <w:rFonts w:ascii="Arial" w:hAnsi="Arial" w:cs="Arial"/>
              </w:rPr>
            </w:pPr>
          </w:p>
        </w:tc>
        <w:tc>
          <w:tcPr>
            <w:tcW w:w="0" w:type="auto"/>
            <w:vAlign w:val="center"/>
            <w:hideMark/>
          </w:tcPr>
          <w:p w14:paraId="37EDC26F" w14:textId="77777777" w:rsidR="003B3973" w:rsidRPr="003B3973" w:rsidRDefault="003B3973" w:rsidP="0016791A">
            <w:pPr>
              <w:spacing w:line="360" w:lineRule="auto"/>
              <w:rPr>
                <w:rFonts w:ascii="Arial" w:hAnsi="Arial" w:cs="Arial"/>
              </w:rPr>
            </w:pPr>
          </w:p>
        </w:tc>
        <w:tc>
          <w:tcPr>
            <w:tcW w:w="0" w:type="auto"/>
            <w:vAlign w:val="center"/>
            <w:hideMark/>
          </w:tcPr>
          <w:p w14:paraId="3748F38B" w14:textId="77777777" w:rsidR="003B3973" w:rsidRPr="003B3973" w:rsidRDefault="003B3973" w:rsidP="0016791A">
            <w:pPr>
              <w:spacing w:line="360" w:lineRule="auto"/>
              <w:rPr>
                <w:rFonts w:ascii="Arial" w:hAnsi="Arial" w:cs="Arial"/>
              </w:rPr>
            </w:pPr>
          </w:p>
        </w:tc>
        <w:tc>
          <w:tcPr>
            <w:tcW w:w="0" w:type="auto"/>
            <w:vAlign w:val="center"/>
            <w:hideMark/>
          </w:tcPr>
          <w:p w14:paraId="04B3DF76" w14:textId="77777777" w:rsidR="003B3973" w:rsidRPr="003B3973" w:rsidRDefault="003B3973" w:rsidP="0016791A">
            <w:pPr>
              <w:spacing w:line="360" w:lineRule="auto"/>
              <w:rPr>
                <w:rFonts w:ascii="Arial" w:hAnsi="Arial" w:cs="Arial"/>
              </w:rPr>
            </w:pPr>
          </w:p>
        </w:tc>
      </w:tr>
      <w:tr w:rsidR="003B3973" w:rsidRPr="003B3973" w14:paraId="72BEBEED" w14:textId="77777777">
        <w:trPr>
          <w:tblCellSpacing w:w="15" w:type="dxa"/>
        </w:trPr>
        <w:tc>
          <w:tcPr>
            <w:tcW w:w="0" w:type="auto"/>
            <w:vAlign w:val="center"/>
            <w:hideMark/>
          </w:tcPr>
          <w:p w14:paraId="5419E353" w14:textId="77777777" w:rsidR="003B3973" w:rsidRPr="003B3973" w:rsidRDefault="003B3973" w:rsidP="0016791A">
            <w:pPr>
              <w:spacing w:line="360" w:lineRule="auto"/>
              <w:rPr>
                <w:rFonts w:ascii="Arial" w:hAnsi="Arial" w:cs="Arial"/>
              </w:rPr>
            </w:pPr>
          </w:p>
        </w:tc>
        <w:tc>
          <w:tcPr>
            <w:tcW w:w="0" w:type="auto"/>
            <w:vAlign w:val="center"/>
            <w:hideMark/>
          </w:tcPr>
          <w:p w14:paraId="0032BB14" w14:textId="77777777" w:rsidR="003B3973" w:rsidRPr="003B3973" w:rsidRDefault="003B3973" w:rsidP="0016791A">
            <w:pPr>
              <w:spacing w:line="360" w:lineRule="auto"/>
              <w:rPr>
                <w:rFonts w:ascii="Arial" w:hAnsi="Arial" w:cs="Arial"/>
              </w:rPr>
            </w:pPr>
          </w:p>
        </w:tc>
        <w:tc>
          <w:tcPr>
            <w:tcW w:w="0" w:type="auto"/>
            <w:vAlign w:val="center"/>
            <w:hideMark/>
          </w:tcPr>
          <w:p w14:paraId="353F8C2A" w14:textId="77777777" w:rsidR="003B3973" w:rsidRPr="003B3973" w:rsidRDefault="003B3973" w:rsidP="0016791A">
            <w:pPr>
              <w:spacing w:line="360" w:lineRule="auto"/>
              <w:rPr>
                <w:rFonts w:ascii="Arial" w:hAnsi="Arial" w:cs="Arial"/>
              </w:rPr>
            </w:pPr>
          </w:p>
        </w:tc>
        <w:tc>
          <w:tcPr>
            <w:tcW w:w="0" w:type="auto"/>
            <w:vAlign w:val="center"/>
            <w:hideMark/>
          </w:tcPr>
          <w:p w14:paraId="61F0ECF1" w14:textId="77777777" w:rsidR="003B3973" w:rsidRPr="003B3973" w:rsidRDefault="003B3973" w:rsidP="0016791A">
            <w:pPr>
              <w:spacing w:line="360" w:lineRule="auto"/>
              <w:rPr>
                <w:rFonts w:ascii="Arial" w:hAnsi="Arial" w:cs="Arial"/>
              </w:rPr>
            </w:pPr>
          </w:p>
        </w:tc>
      </w:tr>
      <w:tr w:rsidR="003B3973" w:rsidRPr="003B3973" w14:paraId="0321B82E" w14:textId="77777777">
        <w:trPr>
          <w:tblCellSpacing w:w="15" w:type="dxa"/>
        </w:trPr>
        <w:tc>
          <w:tcPr>
            <w:tcW w:w="0" w:type="auto"/>
            <w:vAlign w:val="center"/>
            <w:hideMark/>
          </w:tcPr>
          <w:p w14:paraId="1AAF8116" w14:textId="77777777" w:rsidR="003B3973" w:rsidRPr="003B3973" w:rsidRDefault="003B3973" w:rsidP="0016791A">
            <w:pPr>
              <w:spacing w:line="360" w:lineRule="auto"/>
              <w:rPr>
                <w:rFonts w:ascii="Arial" w:hAnsi="Arial" w:cs="Arial"/>
              </w:rPr>
            </w:pPr>
          </w:p>
        </w:tc>
        <w:tc>
          <w:tcPr>
            <w:tcW w:w="0" w:type="auto"/>
            <w:vAlign w:val="center"/>
            <w:hideMark/>
          </w:tcPr>
          <w:p w14:paraId="59F7ED8D" w14:textId="77777777" w:rsidR="003B3973" w:rsidRPr="003B3973" w:rsidRDefault="003B3973" w:rsidP="0016791A">
            <w:pPr>
              <w:spacing w:line="360" w:lineRule="auto"/>
              <w:rPr>
                <w:rFonts w:ascii="Arial" w:hAnsi="Arial" w:cs="Arial"/>
              </w:rPr>
            </w:pPr>
          </w:p>
        </w:tc>
        <w:tc>
          <w:tcPr>
            <w:tcW w:w="0" w:type="auto"/>
            <w:vAlign w:val="center"/>
            <w:hideMark/>
          </w:tcPr>
          <w:p w14:paraId="17611BC8" w14:textId="77777777" w:rsidR="003B3973" w:rsidRPr="003B3973" w:rsidRDefault="003B3973" w:rsidP="0016791A">
            <w:pPr>
              <w:spacing w:line="360" w:lineRule="auto"/>
              <w:rPr>
                <w:rFonts w:ascii="Arial" w:hAnsi="Arial" w:cs="Arial"/>
              </w:rPr>
            </w:pPr>
          </w:p>
        </w:tc>
        <w:tc>
          <w:tcPr>
            <w:tcW w:w="0" w:type="auto"/>
            <w:vAlign w:val="center"/>
            <w:hideMark/>
          </w:tcPr>
          <w:p w14:paraId="03738E2B" w14:textId="77777777" w:rsidR="003B3973" w:rsidRPr="003B3973" w:rsidRDefault="003B3973" w:rsidP="0016791A">
            <w:pPr>
              <w:spacing w:line="360" w:lineRule="auto"/>
              <w:rPr>
                <w:rFonts w:ascii="Arial" w:hAnsi="Arial" w:cs="Arial"/>
              </w:rPr>
            </w:pPr>
          </w:p>
        </w:tc>
      </w:tr>
      <w:tr w:rsidR="003B3973" w:rsidRPr="003B3973" w14:paraId="43D7523B" w14:textId="77777777">
        <w:trPr>
          <w:tblCellSpacing w:w="15" w:type="dxa"/>
        </w:trPr>
        <w:tc>
          <w:tcPr>
            <w:tcW w:w="0" w:type="auto"/>
            <w:vAlign w:val="center"/>
            <w:hideMark/>
          </w:tcPr>
          <w:p w14:paraId="3FA364CC" w14:textId="77777777" w:rsidR="003B3973" w:rsidRPr="003B3973" w:rsidRDefault="003B3973" w:rsidP="0016791A">
            <w:pPr>
              <w:spacing w:line="360" w:lineRule="auto"/>
              <w:rPr>
                <w:rFonts w:ascii="Arial" w:hAnsi="Arial" w:cs="Arial"/>
              </w:rPr>
            </w:pPr>
          </w:p>
        </w:tc>
        <w:tc>
          <w:tcPr>
            <w:tcW w:w="0" w:type="auto"/>
            <w:vAlign w:val="center"/>
            <w:hideMark/>
          </w:tcPr>
          <w:p w14:paraId="7A5EC6C4" w14:textId="77777777" w:rsidR="003B3973" w:rsidRPr="003B3973" w:rsidRDefault="003B3973" w:rsidP="0016791A">
            <w:pPr>
              <w:spacing w:line="360" w:lineRule="auto"/>
              <w:rPr>
                <w:rFonts w:ascii="Arial" w:hAnsi="Arial" w:cs="Arial"/>
              </w:rPr>
            </w:pPr>
          </w:p>
        </w:tc>
        <w:tc>
          <w:tcPr>
            <w:tcW w:w="0" w:type="auto"/>
            <w:vAlign w:val="center"/>
            <w:hideMark/>
          </w:tcPr>
          <w:p w14:paraId="20FC4A30" w14:textId="77777777" w:rsidR="003B3973" w:rsidRPr="003B3973" w:rsidRDefault="003B3973" w:rsidP="0016791A">
            <w:pPr>
              <w:spacing w:line="360" w:lineRule="auto"/>
              <w:rPr>
                <w:rFonts w:ascii="Arial" w:hAnsi="Arial" w:cs="Arial"/>
              </w:rPr>
            </w:pPr>
          </w:p>
        </w:tc>
        <w:tc>
          <w:tcPr>
            <w:tcW w:w="0" w:type="auto"/>
            <w:vAlign w:val="center"/>
            <w:hideMark/>
          </w:tcPr>
          <w:p w14:paraId="09B6C605" w14:textId="77777777" w:rsidR="003B3973" w:rsidRPr="003B3973" w:rsidRDefault="003B3973" w:rsidP="0016791A">
            <w:pPr>
              <w:spacing w:line="360" w:lineRule="auto"/>
              <w:rPr>
                <w:rFonts w:ascii="Arial" w:hAnsi="Arial" w:cs="Arial"/>
              </w:rPr>
            </w:pPr>
          </w:p>
        </w:tc>
      </w:tr>
      <w:tr w:rsidR="003B3973" w:rsidRPr="003B3973" w14:paraId="2AE3933F" w14:textId="77777777">
        <w:trPr>
          <w:tblCellSpacing w:w="15" w:type="dxa"/>
        </w:trPr>
        <w:tc>
          <w:tcPr>
            <w:tcW w:w="0" w:type="auto"/>
            <w:vAlign w:val="center"/>
            <w:hideMark/>
          </w:tcPr>
          <w:p w14:paraId="367A85EA" w14:textId="77777777" w:rsidR="003B3973" w:rsidRPr="003B3973" w:rsidRDefault="003B3973" w:rsidP="0016791A">
            <w:pPr>
              <w:spacing w:line="360" w:lineRule="auto"/>
              <w:rPr>
                <w:rFonts w:ascii="Arial" w:hAnsi="Arial" w:cs="Arial"/>
              </w:rPr>
            </w:pPr>
          </w:p>
        </w:tc>
        <w:tc>
          <w:tcPr>
            <w:tcW w:w="0" w:type="auto"/>
            <w:vAlign w:val="center"/>
            <w:hideMark/>
          </w:tcPr>
          <w:p w14:paraId="15702BBD" w14:textId="77777777" w:rsidR="003B3973" w:rsidRPr="003B3973" w:rsidRDefault="003B3973" w:rsidP="0016791A">
            <w:pPr>
              <w:spacing w:line="360" w:lineRule="auto"/>
              <w:rPr>
                <w:rFonts w:ascii="Arial" w:hAnsi="Arial" w:cs="Arial"/>
              </w:rPr>
            </w:pPr>
          </w:p>
        </w:tc>
        <w:tc>
          <w:tcPr>
            <w:tcW w:w="0" w:type="auto"/>
            <w:vAlign w:val="center"/>
            <w:hideMark/>
          </w:tcPr>
          <w:p w14:paraId="0B4AC150" w14:textId="77777777" w:rsidR="003B3973" w:rsidRPr="003B3973" w:rsidRDefault="003B3973" w:rsidP="0016791A">
            <w:pPr>
              <w:spacing w:line="360" w:lineRule="auto"/>
              <w:rPr>
                <w:rFonts w:ascii="Arial" w:hAnsi="Arial" w:cs="Arial"/>
              </w:rPr>
            </w:pPr>
          </w:p>
        </w:tc>
        <w:tc>
          <w:tcPr>
            <w:tcW w:w="0" w:type="auto"/>
            <w:vAlign w:val="center"/>
            <w:hideMark/>
          </w:tcPr>
          <w:p w14:paraId="4DE6D0C2" w14:textId="77777777" w:rsidR="003B3973" w:rsidRPr="003B3973" w:rsidRDefault="003B3973" w:rsidP="0016791A">
            <w:pPr>
              <w:spacing w:line="360" w:lineRule="auto"/>
              <w:rPr>
                <w:rFonts w:ascii="Arial" w:hAnsi="Arial" w:cs="Arial"/>
              </w:rPr>
            </w:pPr>
          </w:p>
        </w:tc>
      </w:tr>
      <w:tr w:rsidR="003B3973" w:rsidRPr="003B3973" w14:paraId="29D1EB42" w14:textId="77777777">
        <w:trPr>
          <w:tblCellSpacing w:w="15" w:type="dxa"/>
        </w:trPr>
        <w:tc>
          <w:tcPr>
            <w:tcW w:w="0" w:type="auto"/>
            <w:vAlign w:val="center"/>
            <w:hideMark/>
          </w:tcPr>
          <w:p w14:paraId="77949985" w14:textId="77777777" w:rsidR="003B3973" w:rsidRPr="003B3973" w:rsidRDefault="003B3973" w:rsidP="0016791A">
            <w:pPr>
              <w:spacing w:line="360" w:lineRule="auto"/>
              <w:rPr>
                <w:rFonts w:ascii="Arial" w:hAnsi="Arial" w:cs="Arial"/>
              </w:rPr>
            </w:pPr>
          </w:p>
        </w:tc>
        <w:tc>
          <w:tcPr>
            <w:tcW w:w="0" w:type="auto"/>
            <w:vAlign w:val="center"/>
            <w:hideMark/>
          </w:tcPr>
          <w:p w14:paraId="1AD28804" w14:textId="77777777" w:rsidR="003B3973" w:rsidRPr="003B3973" w:rsidRDefault="003B3973" w:rsidP="0016791A">
            <w:pPr>
              <w:spacing w:line="360" w:lineRule="auto"/>
              <w:rPr>
                <w:rFonts w:ascii="Arial" w:hAnsi="Arial" w:cs="Arial"/>
              </w:rPr>
            </w:pPr>
          </w:p>
        </w:tc>
        <w:tc>
          <w:tcPr>
            <w:tcW w:w="0" w:type="auto"/>
            <w:vAlign w:val="center"/>
            <w:hideMark/>
          </w:tcPr>
          <w:p w14:paraId="19B8CF4E" w14:textId="77777777" w:rsidR="003B3973" w:rsidRPr="003B3973" w:rsidRDefault="003B3973" w:rsidP="0016791A">
            <w:pPr>
              <w:spacing w:line="360" w:lineRule="auto"/>
              <w:rPr>
                <w:rFonts w:ascii="Arial" w:hAnsi="Arial" w:cs="Arial"/>
              </w:rPr>
            </w:pPr>
          </w:p>
        </w:tc>
        <w:tc>
          <w:tcPr>
            <w:tcW w:w="0" w:type="auto"/>
            <w:vAlign w:val="center"/>
            <w:hideMark/>
          </w:tcPr>
          <w:p w14:paraId="61F5B29C" w14:textId="77777777" w:rsidR="003B3973" w:rsidRPr="003B3973" w:rsidRDefault="003B3973" w:rsidP="0016791A">
            <w:pPr>
              <w:spacing w:line="360" w:lineRule="auto"/>
              <w:rPr>
                <w:rFonts w:ascii="Arial" w:hAnsi="Arial" w:cs="Arial"/>
              </w:rPr>
            </w:pPr>
          </w:p>
        </w:tc>
      </w:tr>
      <w:tr w:rsidR="003B3973" w:rsidRPr="003B3973" w14:paraId="2EC385A0" w14:textId="77777777">
        <w:trPr>
          <w:tblCellSpacing w:w="15" w:type="dxa"/>
        </w:trPr>
        <w:tc>
          <w:tcPr>
            <w:tcW w:w="0" w:type="auto"/>
            <w:vAlign w:val="center"/>
            <w:hideMark/>
          </w:tcPr>
          <w:p w14:paraId="753AFB9F" w14:textId="77777777" w:rsidR="003B3973" w:rsidRPr="003B3973" w:rsidRDefault="003B3973" w:rsidP="0016791A">
            <w:pPr>
              <w:spacing w:line="360" w:lineRule="auto"/>
              <w:rPr>
                <w:rFonts w:ascii="Arial" w:hAnsi="Arial" w:cs="Arial"/>
              </w:rPr>
            </w:pPr>
          </w:p>
        </w:tc>
        <w:tc>
          <w:tcPr>
            <w:tcW w:w="0" w:type="auto"/>
            <w:vAlign w:val="center"/>
            <w:hideMark/>
          </w:tcPr>
          <w:p w14:paraId="72D3E8E3" w14:textId="77777777" w:rsidR="003B3973" w:rsidRPr="003B3973" w:rsidRDefault="003B3973" w:rsidP="0016791A">
            <w:pPr>
              <w:spacing w:line="360" w:lineRule="auto"/>
              <w:rPr>
                <w:rFonts w:ascii="Arial" w:hAnsi="Arial" w:cs="Arial"/>
              </w:rPr>
            </w:pPr>
          </w:p>
        </w:tc>
        <w:tc>
          <w:tcPr>
            <w:tcW w:w="0" w:type="auto"/>
            <w:vAlign w:val="center"/>
            <w:hideMark/>
          </w:tcPr>
          <w:p w14:paraId="469A3C7C" w14:textId="77777777" w:rsidR="003B3973" w:rsidRPr="003B3973" w:rsidRDefault="003B3973" w:rsidP="0016791A">
            <w:pPr>
              <w:spacing w:line="360" w:lineRule="auto"/>
              <w:rPr>
                <w:rFonts w:ascii="Arial" w:hAnsi="Arial" w:cs="Arial"/>
              </w:rPr>
            </w:pPr>
          </w:p>
        </w:tc>
        <w:tc>
          <w:tcPr>
            <w:tcW w:w="0" w:type="auto"/>
            <w:vAlign w:val="center"/>
            <w:hideMark/>
          </w:tcPr>
          <w:p w14:paraId="260F29CE" w14:textId="77777777" w:rsidR="003B3973" w:rsidRPr="003B3973" w:rsidRDefault="003B3973" w:rsidP="0016791A">
            <w:pPr>
              <w:spacing w:line="360" w:lineRule="auto"/>
              <w:rPr>
                <w:rFonts w:ascii="Arial" w:hAnsi="Arial" w:cs="Arial"/>
              </w:rPr>
            </w:pPr>
          </w:p>
        </w:tc>
      </w:tr>
      <w:tr w:rsidR="003B3973" w:rsidRPr="003B3973" w14:paraId="209C1534" w14:textId="77777777">
        <w:trPr>
          <w:tblCellSpacing w:w="15" w:type="dxa"/>
        </w:trPr>
        <w:tc>
          <w:tcPr>
            <w:tcW w:w="0" w:type="auto"/>
            <w:vAlign w:val="center"/>
            <w:hideMark/>
          </w:tcPr>
          <w:p w14:paraId="1DEA1109" w14:textId="77777777" w:rsidR="003B3973" w:rsidRPr="003B3973" w:rsidRDefault="003B3973" w:rsidP="0016791A">
            <w:pPr>
              <w:spacing w:line="360" w:lineRule="auto"/>
              <w:rPr>
                <w:rFonts w:ascii="Arial" w:hAnsi="Arial" w:cs="Arial"/>
              </w:rPr>
            </w:pPr>
          </w:p>
        </w:tc>
        <w:tc>
          <w:tcPr>
            <w:tcW w:w="0" w:type="auto"/>
            <w:vAlign w:val="center"/>
            <w:hideMark/>
          </w:tcPr>
          <w:p w14:paraId="379C4BCE" w14:textId="77777777" w:rsidR="003B3973" w:rsidRPr="003B3973" w:rsidRDefault="003B3973" w:rsidP="0016791A">
            <w:pPr>
              <w:spacing w:line="360" w:lineRule="auto"/>
              <w:rPr>
                <w:rFonts w:ascii="Arial" w:hAnsi="Arial" w:cs="Arial"/>
              </w:rPr>
            </w:pPr>
          </w:p>
        </w:tc>
        <w:tc>
          <w:tcPr>
            <w:tcW w:w="0" w:type="auto"/>
            <w:vAlign w:val="center"/>
            <w:hideMark/>
          </w:tcPr>
          <w:p w14:paraId="0214E6E5" w14:textId="77777777" w:rsidR="003B3973" w:rsidRPr="003B3973" w:rsidRDefault="003B3973" w:rsidP="0016791A">
            <w:pPr>
              <w:spacing w:line="360" w:lineRule="auto"/>
              <w:rPr>
                <w:rFonts w:ascii="Arial" w:hAnsi="Arial" w:cs="Arial"/>
              </w:rPr>
            </w:pPr>
          </w:p>
        </w:tc>
        <w:tc>
          <w:tcPr>
            <w:tcW w:w="0" w:type="auto"/>
            <w:vAlign w:val="center"/>
            <w:hideMark/>
          </w:tcPr>
          <w:p w14:paraId="76EA967C" w14:textId="77777777" w:rsidR="003B3973" w:rsidRPr="003B3973" w:rsidRDefault="003B3973" w:rsidP="0016791A">
            <w:pPr>
              <w:spacing w:line="360" w:lineRule="auto"/>
              <w:rPr>
                <w:rFonts w:ascii="Arial" w:hAnsi="Arial" w:cs="Arial"/>
              </w:rPr>
            </w:pPr>
          </w:p>
        </w:tc>
      </w:tr>
    </w:tbl>
    <w:p w14:paraId="1EE62391" w14:textId="649B4966" w:rsidR="003B3973" w:rsidRPr="0016791A" w:rsidRDefault="005B38C8" w:rsidP="0016791A">
      <w:pPr>
        <w:spacing w:line="360" w:lineRule="auto"/>
        <w:rPr>
          <w:rFonts w:ascii="Arial" w:hAnsi="Arial" w:cs="Arial"/>
        </w:rPr>
      </w:pPr>
      <w:r w:rsidRPr="0016791A">
        <w:rPr>
          <w:rFonts w:ascii="Arial" w:hAnsi="Arial" w:cs="Arial"/>
          <w:noProof/>
        </w:rPr>
        <w:lastRenderedPageBreak/>
        <w:drawing>
          <wp:inline distT="0" distB="0" distL="0" distR="0" wp14:anchorId="5C27D505" wp14:editId="14773003">
            <wp:extent cx="5723890" cy="2843530"/>
            <wp:effectExtent l="0" t="0" r="0" b="0"/>
            <wp:docPr id="17270909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3890" cy="2843530"/>
                    </a:xfrm>
                    <a:prstGeom prst="rect">
                      <a:avLst/>
                    </a:prstGeom>
                    <a:noFill/>
                    <a:ln>
                      <a:noFill/>
                    </a:ln>
                  </pic:spPr>
                </pic:pic>
              </a:graphicData>
            </a:graphic>
          </wp:inline>
        </w:drawing>
      </w:r>
      <w:r w:rsidRPr="0016791A">
        <w:rPr>
          <w:rFonts w:ascii="Arial" w:hAnsi="Arial" w:cs="Arial"/>
        </w:rPr>
        <w:br/>
      </w:r>
      <w:proofErr w:type="spellStart"/>
      <w:r w:rsidRPr="0016791A">
        <w:rPr>
          <w:rFonts w:ascii="Arial" w:hAnsi="Arial" w:cs="Arial"/>
        </w:rPr>
        <w:t>Slabá</w:t>
      </w:r>
      <w:proofErr w:type="spellEnd"/>
      <w:r w:rsidRPr="0016791A">
        <w:rPr>
          <w:rFonts w:ascii="Arial" w:hAnsi="Arial" w:cs="Arial"/>
        </w:rPr>
        <w:t>, M. (2014)</w:t>
      </w:r>
      <w:r w:rsidRPr="0016791A">
        <w:rPr>
          <w:rFonts w:ascii="Arial" w:hAnsi="Arial" w:cs="Arial"/>
        </w:rPr>
        <w:br/>
      </w:r>
      <w:r w:rsidR="003B3973" w:rsidRPr="003B3973">
        <w:rPr>
          <w:rFonts w:ascii="Arial" w:hAnsi="Arial" w:cs="Arial"/>
        </w:rPr>
        <w:t>This mapping enables Hilton to prioritize engagement efforts, ensuring that high-power, high-interest stakeholders are managed closely, while others are kept informed or consulted as appropriate.</w:t>
      </w:r>
      <w:r w:rsidRPr="0016791A">
        <w:rPr>
          <w:rFonts w:ascii="Arial" w:hAnsi="Arial" w:cs="Arial"/>
        </w:rPr>
        <w:t xml:space="preserve"> </w:t>
      </w:r>
    </w:p>
    <w:p w14:paraId="5F835A60" w14:textId="77777777" w:rsidR="003B3973" w:rsidRPr="003B3973" w:rsidRDefault="003B3973" w:rsidP="0016791A">
      <w:pPr>
        <w:spacing w:line="360" w:lineRule="auto"/>
        <w:rPr>
          <w:rFonts w:ascii="Arial" w:hAnsi="Arial" w:cs="Arial"/>
        </w:rPr>
      </w:pPr>
    </w:p>
    <w:p w14:paraId="7DEF2393" w14:textId="77777777" w:rsidR="003B3973" w:rsidRPr="003B3973" w:rsidRDefault="003B3973" w:rsidP="0016791A">
      <w:pPr>
        <w:spacing w:line="360" w:lineRule="auto"/>
        <w:rPr>
          <w:rFonts w:ascii="Arial" w:hAnsi="Arial" w:cs="Arial"/>
          <w:b/>
          <w:bCs/>
        </w:rPr>
      </w:pPr>
      <w:r w:rsidRPr="003B3973">
        <w:rPr>
          <w:rFonts w:ascii="Arial" w:hAnsi="Arial" w:cs="Arial"/>
          <w:b/>
          <w:bCs/>
        </w:rPr>
        <w:t>Stakeholder Roles, Benefits, and Challenges</w:t>
      </w:r>
    </w:p>
    <w:p w14:paraId="5A34BD8E" w14:textId="77777777" w:rsidR="003B3973" w:rsidRPr="003B3973" w:rsidRDefault="003B3973" w:rsidP="0016791A">
      <w:pPr>
        <w:spacing w:line="360" w:lineRule="auto"/>
        <w:rPr>
          <w:rFonts w:ascii="Arial" w:hAnsi="Arial" w:cs="Arial"/>
          <w:b/>
          <w:bCs/>
        </w:rPr>
      </w:pPr>
      <w:r w:rsidRPr="003B3973">
        <w:rPr>
          <w:rFonts w:ascii="Arial" w:hAnsi="Arial" w:cs="Arial"/>
          <w:b/>
          <w:bCs/>
        </w:rPr>
        <w:t>Internal Stakeholders</w:t>
      </w:r>
    </w:p>
    <w:p w14:paraId="3458D3DE" w14:textId="77777777" w:rsidR="003B3973" w:rsidRPr="003B3973" w:rsidRDefault="003B3973" w:rsidP="0016791A">
      <w:pPr>
        <w:spacing w:line="360" w:lineRule="auto"/>
        <w:rPr>
          <w:rFonts w:ascii="Arial" w:hAnsi="Arial" w:cs="Arial"/>
        </w:rPr>
      </w:pPr>
      <w:r w:rsidRPr="003B3973">
        <w:rPr>
          <w:rFonts w:ascii="Arial" w:hAnsi="Arial" w:cs="Arial"/>
          <w:b/>
          <w:bCs/>
        </w:rPr>
        <w:t>Executive Leadership</w:t>
      </w:r>
      <w:r w:rsidRPr="003B3973">
        <w:rPr>
          <w:rFonts w:ascii="Arial" w:hAnsi="Arial" w:cs="Arial"/>
        </w:rPr>
        <w:t>: Set the vision for '</w:t>
      </w:r>
      <w:proofErr w:type="spellStart"/>
      <w:r w:rsidRPr="003B3973">
        <w:rPr>
          <w:rFonts w:ascii="Arial" w:hAnsi="Arial" w:cs="Arial"/>
        </w:rPr>
        <w:t>StaySmart</w:t>
      </w:r>
      <w:proofErr w:type="spellEnd"/>
      <w:r w:rsidRPr="003B3973">
        <w:rPr>
          <w:rFonts w:ascii="Arial" w:hAnsi="Arial" w:cs="Arial"/>
        </w:rPr>
        <w:t>+', allocate resources, and champion the initiative across the organization. Their commitment is crucial for overcoming resistance and ensuring alignment with Hilton’s strategic goals. The benefit is enhanced brand equity and long-term competitiveness, but challenges include balancing short-term financial pressures with long-term innovation and sustainability.</w:t>
      </w:r>
    </w:p>
    <w:p w14:paraId="4EC4B8F9" w14:textId="77777777" w:rsidR="003B3973" w:rsidRPr="003B3973" w:rsidRDefault="003B3973" w:rsidP="0016791A">
      <w:pPr>
        <w:spacing w:line="360" w:lineRule="auto"/>
        <w:rPr>
          <w:rFonts w:ascii="Arial" w:hAnsi="Arial" w:cs="Arial"/>
        </w:rPr>
      </w:pPr>
      <w:r w:rsidRPr="003B3973">
        <w:rPr>
          <w:rFonts w:ascii="Arial" w:hAnsi="Arial" w:cs="Arial"/>
          <w:b/>
          <w:bCs/>
        </w:rPr>
        <w:t>Hotel General Managers</w:t>
      </w:r>
      <w:r w:rsidRPr="003B3973">
        <w:rPr>
          <w:rFonts w:ascii="Arial" w:hAnsi="Arial" w:cs="Arial"/>
        </w:rPr>
        <w:t>: Act as change agents at the property level, translating corporate strategy into operational reality. They benefit from improved guest satisfaction and operational efficiency but face challenges in managing staff adaptation, training, and local market nuances.</w:t>
      </w:r>
    </w:p>
    <w:p w14:paraId="6BF913AD" w14:textId="77777777" w:rsidR="003B3973" w:rsidRPr="003B3973" w:rsidRDefault="003B3973" w:rsidP="0016791A">
      <w:pPr>
        <w:spacing w:line="360" w:lineRule="auto"/>
        <w:rPr>
          <w:rFonts w:ascii="Arial" w:hAnsi="Arial" w:cs="Arial"/>
        </w:rPr>
      </w:pPr>
      <w:r w:rsidRPr="003B3973">
        <w:rPr>
          <w:rFonts w:ascii="Arial" w:hAnsi="Arial" w:cs="Arial"/>
          <w:b/>
          <w:bCs/>
        </w:rPr>
        <w:t>Department Heads</w:t>
      </w:r>
      <w:r w:rsidRPr="003B3973">
        <w:rPr>
          <w:rFonts w:ascii="Arial" w:hAnsi="Arial" w:cs="Arial"/>
        </w:rPr>
        <w:t>: Drive functional excellence in their domains (e.g., IT, HR, sustainability). Their engagement ensures that '</w:t>
      </w:r>
      <w:proofErr w:type="spellStart"/>
      <w:r w:rsidRPr="003B3973">
        <w:rPr>
          <w:rFonts w:ascii="Arial" w:hAnsi="Arial" w:cs="Arial"/>
        </w:rPr>
        <w:t>StaySmart</w:t>
      </w:r>
      <w:proofErr w:type="spellEnd"/>
      <w:r w:rsidRPr="003B3973">
        <w:rPr>
          <w:rFonts w:ascii="Arial" w:hAnsi="Arial" w:cs="Arial"/>
        </w:rPr>
        <w:t>+' is integrated into daily operations. Benefits include professional development and recognition, while challenges involve cross-departmental coordination and resource constraints.</w:t>
      </w:r>
    </w:p>
    <w:p w14:paraId="4D74D147" w14:textId="77777777" w:rsidR="003B3973" w:rsidRPr="003B3973" w:rsidRDefault="003B3973" w:rsidP="0016791A">
      <w:pPr>
        <w:spacing w:line="360" w:lineRule="auto"/>
        <w:rPr>
          <w:rFonts w:ascii="Arial" w:hAnsi="Arial" w:cs="Arial"/>
        </w:rPr>
      </w:pPr>
      <w:r w:rsidRPr="003B3973">
        <w:rPr>
          <w:rFonts w:ascii="Arial" w:hAnsi="Arial" w:cs="Arial"/>
          <w:b/>
          <w:bCs/>
        </w:rPr>
        <w:lastRenderedPageBreak/>
        <w:t>Frontline Employees</w:t>
      </w:r>
      <w:r w:rsidRPr="003B3973">
        <w:rPr>
          <w:rFonts w:ascii="Arial" w:hAnsi="Arial" w:cs="Arial"/>
        </w:rPr>
        <w:t>: Deliver the guest experience and are the face of '</w:t>
      </w:r>
      <w:proofErr w:type="spellStart"/>
      <w:r w:rsidRPr="003B3973">
        <w:rPr>
          <w:rFonts w:ascii="Arial" w:hAnsi="Arial" w:cs="Arial"/>
        </w:rPr>
        <w:t>StaySmart</w:t>
      </w:r>
      <w:proofErr w:type="spellEnd"/>
      <w:r w:rsidRPr="003B3973">
        <w:rPr>
          <w:rFonts w:ascii="Arial" w:hAnsi="Arial" w:cs="Arial"/>
        </w:rPr>
        <w:t>+'. They benefit from upskilling, job enrichment, and enhanced engagement but may experience anxiety over AI adoption, job security, and increased performance expectations.</w:t>
      </w:r>
    </w:p>
    <w:p w14:paraId="158D6D55" w14:textId="77777777" w:rsidR="003B3973" w:rsidRPr="003B3973" w:rsidRDefault="003B3973" w:rsidP="0016791A">
      <w:pPr>
        <w:spacing w:line="360" w:lineRule="auto"/>
        <w:rPr>
          <w:rFonts w:ascii="Arial" w:hAnsi="Arial" w:cs="Arial"/>
        </w:rPr>
      </w:pPr>
      <w:r w:rsidRPr="003B3973">
        <w:rPr>
          <w:rFonts w:ascii="Arial" w:hAnsi="Arial" w:cs="Arial"/>
          <w:b/>
          <w:bCs/>
        </w:rPr>
        <w:t>IT and Digital Teams</w:t>
      </w:r>
      <w:r w:rsidRPr="003B3973">
        <w:rPr>
          <w:rFonts w:ascii="Arial" w:hAnsi="Arial" w:cs="Arial"/>
        </w:rPr>
        <w:t>: Responsible for technical deployment, data integration, and cybersecurity. They gain from exposure to cutting-edge technologies but must manage legacy system integration, data privacy, and rapid troubleshooting.</w:t>
      </w:r>
    </w:p>
    <w:p w14:paraId="6DA815DD" w14:textId="77777777" w:rsidR="003B3973" w:rsidRPr="003B3973" w:rsidRDefault="003B3973" w:rsidP="0016791A">
      <w:pPr>
        <w:spacing w:line="360" w:lineRule="auto"/>
        <w:rPr>
          <w:rFonts w:ascii="Arial" w:hAnsi="Arial" w:cs="Arial"/>
        </w:rPr>
      </w:pPr>
      <w:r w:rsidRPr="003B3973">
        <w:rPr>
          <w:rFonts w:ascii="Arial" w:hAnsi="Arial" w:cs="Arial"/>
          <w:b/>
          <w:bCs/>
        </w:rPr>
        <w:t>Sustainability and ESG Teams</w:t>
      </w:r>
      <w:r w:rsidRPr="003B3973">
        <w:rPr>
          <w:rFonts w:ascii="Arial" w:hAnsi="Arial" w:cs="Arial"/>
        </w:rPr>
        <w:t>: Ensure that environmental and social goals are embedded in the service. Benefits include leadership in ESG reporting and community impact, but challenges include measuring outcomes and aligning diverse stakeholder interests.</w:t>
      </w:r>
    </w:p>
    <w:p w14:paraId="645BC422" w14:textId="77777777" w:rsidR="003B3973" w:rsidRPr="003B3973" w:rsidRDefault="003B3973" w:rsidP="0016791A">
      <w:pPr>
        <w:spacing w:line="360" w:lineRule="auto"/>
        <w:rPr>
          <w:rFonts w:ascii="Arial" w:hAnsi="Arial" w:cs="Arial"/>
        </w:rPr>
      </w:pPr>
      <w:r w:rsidRPr="003B3973">
        <w:rPr>
          <w:rFonts w:ascii="Arial" w:hAnsi="Arial" w:cs="Arial"/>
        </w:rPr>
        <w:t>External Stakeholders</w:t>
      </w:r>
    </w:p>
    <w:p w14:paraId="2F802824" w14:textId="77777777" w:rsidR="003B3973" w:rsidRPr="003B3973" w:rsidRDefault="003B3973" w:rsidP="0016791A">
      <w:pPr>
        <w:spacing w:line="360" w:lineRule="auto"/>
        <w:rPr>
          <w:rFonts w:ascii="Arial" w:hAnsi="Arial" w:cs="Arial"/>
        </w:rPr>
      </w:pPr>
      <w:r w:rsidRPr="003B3973">
        <w:rPr>
          <w:rFonts w:ascii="Arial" w:hAnsi="Arial" w:cs="Arial"/>
          <w:b/>
          <w:bCs/>
        </w:rPr>
        <w:t>Guests and Customers</w:t>
      </w:r>
      <w:r w:rsidRPr="003B3973">
        <w:rPr>
          <w:rFonts w:ascii="Arial" w:hAnsi="Arial" w:cs="Arial"/>
        </w:rPr>
        <w:t>: The primary beneficiaries of '</w:t>
      </w:r>
      <w:proofErr w:type="spellStart"/>
      <w:r w:rsidRPr="003B3973">
        <w:rPr>
          <w:rFonts w:ascii="Arial" w:hAnsi="Arial" w:cs="Arial"/>
        </w:rPr>
        <w:t>StaySmart</w:t>
      </w:r>
      <w:proofErr w:type="spellEnd"/>
      <w:r w:rsidRPr="003B3973">
        <w:rPr>
          <w:rFonts w:ascii="Arial" w:hAnsi="Arial" w:cs="Arial"/>
        </w:rPr>
        <w:t>+', enjoying personalized, seamless, and sustainable experiences. Their feedback drives continuous improvement, but privacy concerns and varying digital literacy levels present challenges.</w:t>
      </w:r>
    </w:p>
    <w:p w14:paraId="6290B41C" w14:textId="77777777" w:rsidR="003B3973" w:rsidRPr="003B3973" w:rsidRDefault="003B3973" w:rsidP="0016791A">
      <w:pPr>
        <w:spacing w:line="360" w:lineRule="auto"/>
        <w:rPr>
          <w:rFonts w:ascii="Arial" w:hAnsi="Arial" w:cs="Arial"/>
        </w:rPr>
      </w:pPr>
      <w:r w:rsidRPr="003B3973">
        <w:rPr>
          <w:rFonts w:ascii="Arial" w:hAnsi="Arial" w:cs="Arial"/>
          <w:b/>
          <w:bCs/>
        </w:rPr>
        <w:t>Hotel Owners and Franchisees</w:t>
      </w:r>
      <w:r w:rsidRPr="003B3973">
        <w:rPr>
          <w:rFonts w:ascii="Arial" w:hAnsi="Arial" w:cs="Arial"/>
        </w:rPr>
        <w:t>: Invest in property upgrades and share in the financial rewards of enhanced guest satisfaction and operational efficiency. However, they may resist capital expenditure and require clear ROI justification.</w:t>
      </w:r>
    </w:p>
    <w:p w14:paraId="645A7780" w14:textId="77777777" w:rsidR="003B3973" w:rsidRPr="003B3973" w:rsidRDefault="003B3973" w:rsidP="0016791A">
      <w:pPr>
        <w:spacing w:line="360" w:lineRule="auto"/>
        <w:rPr>
          <w:rFonts w:ascii="Arial" w:hAnsi="Arial" w:cs="Arial"/>
        </w:rPr>
      </w:pPr>
      <w:r w:rsidRPr="003B3973">
        <w:rPr>
          <w:rFonts w:ascii="Arial" w:hAnsi="Arial" w:cs="Arial"/>
          <w:b/>
          <w:bCs/>
        </w:rPr>
        <w:t>Suppliers and Technology Vendors</w:t>
      </w:r>
      <w:r w:rsidRPr="003B3973">
        <w:rPr>
          <w:rFonts w:ascii="Arial" w:hAnsi="Arial" w:cs="Arial"/>
        </w:rPr>
        <w:t>: Gain business opportunities and co-innovation potential but must meet Hilton’s high standards for quality, security, and sustainability.</w:t>
      </w:r>
    </w:p>
    <w:p w14:paraId="7DA767D3" w14:textId="77777777" w:rsidR="003B3973" w:rsidRPr="003B3973" w:rsidRDefault="003B3973" w:rsidP="0016791A">
      <w:pPr>
        <w:spacing w:line="360" w:lineRule="auto"/>
        <w:rPr>
          <w:rFonts w:ascii="Arial" w:hAnsi="Arial" w:cs="Arial"/>
        </w:rPr>
      </w:pPr>
      <w:r w:rsidRPr="003B3973">
        <w:rPr>
          <w:rFonts w:ascii="Arial" w:hAnsi="Arial" w:cs="Arial"/>
          <w:b/>
          <w:bCs/>
        </w:rPr>
        <w:t>TMCs and OTAs</w:t>
      </w:r>
      <w:r w:rsidRPr="003B3973">
        <w:rPr>
          <w:rFonts w:ascii="Arial" w:hAnsi="Arial" w:cs="Arial"/>
        </w:rPr>
        <w:t>: Benefit from improved guest experiences and loyalty integration but may face disintermediation as Hilton pushes for more direct bookings.</w:t>
      </w:r>
    </w:p>
    <w:p w14:paraId="1A47134C" w14:textId="77777777" w:rsidR="003B3973" w:rsidRPr="003B3973" w:rsidRDefault="003B3973" w:rsidP="0016791A">
      <w:pPr>
        <w:spacing w:line="360" w:lineRule="auto"/>
        <w:rPr>
          <w:rFonts w:ascii="Arial" w:hAnsi="Arial" w:cs="Arial"/>
        </w:rPr>
      </w:pPr>
      <w:r w:rsidRPr="003B3973">
        <w:rPr>
          <w:rFonts w:ascii="Arial" w:hAnsi="Arial" w:cs="Arial"/>
          <w:b/>
          <w:bCs/>
        </w:rPr>
        <w:t>Local Communities and NGOs</w:t>
      </w:r>
      <w:r w:rsidRPr="003B3973">
        <w:rPr>
          <w:rFonts w:ascii="Arial" w:hAnsi="Arial" w:cs="Arial"/>
        </w:rPr>
        <w:t>: Benefit from employment, community engagement, and environmental stewardship but may be concerned about gentrification, resource use, or cultural impacts.</w:t>
      </w:r>
    </w:p>
    <w:p w14:paraId="33BC1803" w14:textId="77777777" w:rsidR="003B3973" w:rsidRPr="003B3973" w:rsidRDefault="003B3973" w:rsidP="0016791A">
      <w:pPr>
        <w:spacing w:line="360" w:lineRule="auto"/>
        <w:rPr>
          <w:rFonts w:ascii="Arial" w:hAnsi="Arial" w:cs="Arial"/>
        </w:rPr>
      </w:pPr>
      <w:r w:rsidRPr="003B3973">
        <w:rPr>
          <w:rFonts w:ascii="Arial" w:hAnsi="Arial" w:cs="Arial"/>
          <w:b/>
          <w:bCs/>
        </w:rPr>
        <w:t>Government and Regulatory Bodies</w:t>
      </w:r>
      <w:r w:rsidRPr="003B3973">
        <w:rPr>
          <w:rFonts w:ascii="Arial" w:hAnsi="Arial" w:cs="Arial"/>
        </w:rPr>
        <w:t>: Ensure compliance and public interest protection. They benefit from responsible corporate citizenship but may impose complex or evolving requirements.</w:t>
      </w:r>
    </w:p>
    <w:p w14:paraId="51F1F6EB" w14:textId="77777777" w:rsidR="003B3973" w:rsidRPr="003B3973" w:rsidRDefault="003B3973" w:rsidP="0016791A">
      <w:pPr>
        <w:spacing w:line="360" w:lineRule="auto"/>
        <w:rPr>
          <w:rFonts w:ascii="Arial" w:hAnsi="Arial" w:cs="Arial"/>
        </w:rPr>
      </w:pPr>
      <w:r w:rsidRPr="003B3973">
        <w:rPr>
          <w:rFonts w:ascii="Arial" w:hAnsi="Arial" w:cs="Arial"/>
          <w:b/>
          <w:bCs/>
        </w:rPr>
        <w:t>Industry Associations</w:t>
      </w:r>
      <w:r w:rsidRPr="003B3973">
        <w:rPr>
          <w:rFonts w:ascii="Arial" w:hAnsi="Arial" w:cs="Arial"/>
        </w:rPr>
        <w:t>: Facilitate knowledge sharing and advocacy but must balance diverse member interests.</w:t>
      </w:r>
    </w:p>
    <w:p w14:paraId="4A9A6851" w14:textId="77777777" w:rsidR="003B3973" w:rsidRPr="003B3973" w:rsidRDefault="003B3973" w:rsidP="0016791A">
      <w:pPr>
        <w:spacing w:line="360" w:lineRule="auto"/>
        <w:rPr>
          <w:rFonts w:ascii="Arial" w:hAnsi="Arial" w:cs="Arial"/>
        </w:rPr>
      </w:pPr>
      <w:r w:rsidRPr="003B3973">
        <w:rPr>
          <w:rFonts w:ascii="Arial" w:hAnsi="Arial" w:cs="Arial"/>
          <w:b/>
          <w:bCs/>
        </w:rPr>
        <w:t>Media and Influencers</w:t>
      </w:r>
      <w:r w:rsidRPr="003B3973">
        <w:rPr>
          <w:rFonts w:ascii="Arial" w:hAnsi="Arial" w:cs="Arial"/>
        </w:rPr>
        <w:t>: Gain content and access but can amplify both positive and negative narratives.</w:t>
      </w:r>
    </w:p>
    <w:p w14:paraId="20A0C830" w14:textId="77777777" w:rsidR="003B3973" w:rsidRPr="003B3973" w:rsidRDefault="003B3973" w:rsidP="0016791A">
      <w:pPr>
        <w:spacing w:line="360" w:lineRule="auto"/>
        <w:rPr>
          <w:rFonts w:ascii="Arial" w:hAnsi="Arial" w:cs="Arial"/>
        </w:rPr>
      </w:pPr>
      <w:r w:rsidRPr="003B3973">
        <w:rPr>
          <w:rFonts w:ascii="Arial" w:hAnsi="Arial" w:cs="Arial"/>
          <w:b/>
          <w:bCs/>
        </w:rPr>
        <w:t>Corporate Clients and Event Planners</w:t>
      </w:r>
      <w:r w:rsidRPr="003B3973">
        <w:rPr>
          <w:rFonts w:ascii="Arial" w:hAnsi="Arial" w:cs="Arial"/>
        </w:rPr>
        <w:t>: Benefit from enhanced MICE offerings but require assurance of reliability and value.</w:t>
      </w:r>
    </w:p>
    <w:p w14:paraId="532CAE55" w14:textId="77777777" w:rsidR="003B3973" w:rsidRPr="003B3973" w:rsidRDefault="003B3973" w:rsidP="0016791A">
      <w:pPr>
        <w:spacing w:line="360" w:lineRule="auto"/>
        <w:rPr>
          <w:rFonts w:ascii="Arial" w:hAnsi="Arial" w:cs="Arial"/>
        </w:rPr>
      </w:pPr>
      <w:r w:rsidRPr="003B3973">
        <w:rPr>
          <w:rFonts w:ascii="Arial" w:hAnsi="Arial" w:cs="Arial"/>
          <w:b/>
          <w:bCs/>
        </w:rPr>
        <w:lastRenderedPageBreak/>
        <w:t>Competitors</w:t>
      </w:r>
      <w:r w:rsidRPr="003B3973">
        <w:rPr>
          <w:rFonts w:ascii="Arial" w:hAnsi="Arial" w:cs="Arial"/>
        </w:rPr>
        <w:t>: Indirectly benefit from industry innovation but may escalate competitive pressures.</w:t>
      </w:r>
    </w:p>
    <w:p w14:paraId="7428C4FF" w14:textId="77777777" w:rsidR="003B3973" w:rsidRPr="003B3973" w:rsidRDefault="003B3973" w:rsidP="0016791A">
      <w:pPr>
        <w:spacing w:line="360" w:lineRule="auto"/>
        <w:rPr>
          <w:rFonts w:ascii="Arial" w:hAnsi="Arial" w:cs="Arial"/>
          <w:b/>
          <w:bCs/>
        </w:rPr>
      </w:pPr>
      <w:r w:rsidRPr="003B3973">
        <w:rPr>
          <w:rFonts w:ascii="Arial" w:hAnsi="Arial" w:cs="Arial"/>
          <w:b/>
          <w:bCs/>
        </w:rPr>
        <w:t>Challenges in Stakeholder Engagement</w:t>
      </w:r>
    </w:p>
    <w:p w14:paraId="5B1A6DD6" w14:textId="77777777" w:rsidR="003B3973" w:rsidRPr="003B3973" w:rsidRDefault="003B3973" w:rsidP="0016791A">
      <w:pPr>
        <w:spacing w:line="360" w:lineRule="auto"/>
        <w:rPr>
          <w:rFonts w:ascii="Arial" w:hAnsi="Arial" w:cs="Arial"/>
        </w:rPr>
      </w:pPr>
      <w:r w:rsidRPr="003B3973">
        <w:rPr>
          <w:rFonts w:ascii="Arial" w:hAnsi="Arial" w:cs="Arial"/>
          <w:b/>
          <w:bCs/>
        </w:rPr>
        <w:t>Alignment of Interests</w:t>
      </w:r>
      <w:r w:rsidRPr="003B3973">
        <w:rPr>
          <w:rFonts w:ascii="Arial" w:hAnsi="Arial" w:cs="Arial"/>
        </w:rPr>
        <w:t xml:space="preserve">: Balancing the </w:t>
      </w:r>
      <w:proofErr w:type="gramStart"/>
      <w:r w:rsidRPr="003B3973">
        <w:rPr>
          <w:rFonts w:ascii="Arial" w:hAnsi="Arial" w:cs="Arial"/>
        </w:rPr>
        <w:t>sometimes conflicting</w:t>
      </w:r>
      <w:proofErr w:type="gramEnd"/>
      <w:r w:rsidRPr="003B3973">
        <w:rPr>
          <w:rFonts w:ascii="Arial" w:hAnsi="Arial" w:cs="Arial"/>
        </w:rPr>
        <w:t xml:space="preserve"> priorities of owners, guests, employees, and communities.</w:t>
      </w:r>
    </w:p>
    <w:p w14:paraId="1FF486AE" w14:textId="77777777" w:rsidR="003B3973" w:rsidRPr="003B3973" w:rsidRDefault="003B3973" w:rsidP="0016791A">
      <w:pPr>
        <w:spacing w:line="360" w:lineRule="auto"/>
        <w:rPr>
          <w:rFonts w:ascii="Arial" w:hAnsi="Arial" w:cs="Arial"/>
        </w:rPr>
      </w:pPr>
      <w:r w:rsidRPr="003B3973">
        <w:rPr>
          <w:rFonts w:ascii="Arial" w:hAnsi="Arial" w:cs="Arial"/>
          <w:b/>
          <w:bCs/>
        </w:rPr>
        <w:t>Change Management</w:t>
      </w:r>
      <w:r w:rsidRPr="003B3973">
        <w:rPr>
          <w:rFonts w:ascii="Arial" w:hAnsi="Arial" w:cs="Arial"/>
        </w:rPr>
        <w:t>: Overcoming resistance to new technologies and processes, especially among frontline staff and franchisees.</w:t>
      </w:r>
    </w:p>
    <w:p w14:paraId="02DF962F" w14:textId="77777777" w:rsidR="003B3973" w:rsidRPr="003B3973" w:rsidRDefault="003B3973" w:rsidP="0016791A">
      <w:pPr>
        <w:spacing w:line="360" w:lineRule="auto"/>
        <w:rPr>
          <w:rFonts w:ascii="Arial" w:hAnsi="Arial" w:cs="Arial"/>
        </w:rPr>
      </w:pPr>
      <w:r w:rsidRPr="003B3973">
        <w:rPr>
          <w:rFonts w:ascii="Arial" w:hAnsi="Arial" w:cs="Arial"/>
          <w:b/>
          <w:bCs/>
        </w:rPr>
        <w:t>Cultural Diversity</w:t>
      </w:r>
      <w:r w:rsidRPr="003B3973">
        <w:rPr>
          <w:rFonts w:ascii="Arial" w:hAnsi="Arial" w:cs="Arial"/>
        </w:rPr>
        <w:t>: Navigating different expectations, communication styles, and regulatory environments across markets.</w:t>
      </w:r>
    </w:p>
    <w:p w14:paraId="56913BCD" w14:textId="77777777" w:rsidR="003B3973" w:rsidRPr="003B3973" w:rsidRDefault="003B3973" w:rsidP="0016791A">
      <w:pPr>
        <w:spacing w:line="360" w:lineRule="auto"/>
        <w:rPr>
          <w:rFonts w:ascii="Arial" w:hAnsi="Arial" w:cs="Arial"/>
        </w:rPr>
      </w:pPr>
      <w:r w:rsidRPr="003B3973">
        <w:rPr>
          <w:rFonts w:ascii="Arial" w:hAnsi="Arial" w:cs="Arial"/>
          <w:b/>
          <w:bCs/>
        </w:rPr>
        <w:t>Data Privacy and Ethics</w:t>
      </w:r>
      <w:r w:rsidRPr="003B3973">
        <w:rPr>
          <w:rFonts w:ascii="Arial" w:hAnsi="Arial" w:cs="Arial"/>
        </w:rPr>
        <w:t>: Ensuring compliance with GDPR, AI Act, and ethical use of guest data.</w:t>
      </w:r>
    </w:p>
    <w:p w14:paraId="1CB00031" w14:textId="77777777" w:rsidR="003B3973" w:rsidRPr="003B3973" w:rsidRDefault="003B3973" w:rsidP="0016791A">
      <w:pPr>
        <w:spacing w:line="360" w:lineRule="auto"/>
        <w:rPr>
          <w:rFonts w:ascii="Arial" w:hAnsi="Arial" w:cs="Arial"/>
        </w:rPr>
      </w:pPr>
      <w:r w:rsidRPr="003B3973">
        <w:rPr>
          <w:rFonts w:ascii="Arial" w:hAnsi="Arial" w:cs="Arial"/>
          <w:b/>
          <w:bCs/>
        </w:rPr>
        <w:t>Resource Constraints</w:t>
      </w:r>
      <w:r w:rsidRPr="003B3973">
        <w:rPr>
          <w:rFonts w:ascii="Arial" w:hAnsi="Arial" w:cs="Arial"/>
        </w:rPr>
        <w:t>: Managing investment, training, and operational demands within budgetary limits.</w:t>
      </w:r>
    </w:p>
    <w:p w14:paraId="270424AE" w14:textId="77777777" w:rsidR="003B3973" w:rsidRPr="003B3973" w:rsidRDefault="003B3973" w:rsidP="0016791A">
      <w:pPr>
        <w:spacing w:line="360" w:lineRule="auto"/>
        <w:rPr>
          <w:rFonts w:ascii="Arial" w:hAnsi="Arial" w:cs="Arial"/>
        </w:rPr>
      </w:pPr>
      <w:r w:rsidRPr="003B3973">
        <w:rPr>
          <w:rFonts w:ascii="Arial" w:hAnsi="Arial" w:cs="Arial"/>
          <w:b/>
          <w:bCs/>
        </w:rPr>
        <w:t>Measurement and Accountability</w:t>
      </w:r>
      <w:r w:rsidRPr="003B3973">
        <w:rPr>
          <w:rFonts w:ascii="Arial" w:hAnsi="Arial" w:cs="Arial"/>
        </w:rPr>
        <w:t>: Defining and tracking KPIs that reflect both financial and non-financial value creation.</w:t>
      </w:r>
    </w:p>
    <w:p w14:paraId="64FFE89F" w14:textId="77777777" w:rsidR="003B3973" w:rsidRPr="003B3973" w:rsidRDefault="003B3973" w:rsidP="0016791A">
      <w:pPr>
        <w:spacing w:line="360" w:lineRule="auto"/>
        <w:rPr>
          <w:rFonts w:ascii="Arial" w:hAnsi="Arial" w:cs="Arial"/>
        </w:rPr>
      </w:pPr>
      <w:r w:rsidRPr="003B3973">
        <w:rPr>
          <w:rFonts w:ascii="Arial" w:hAnsi="Arial" w:cs="Arial"/>
        </w:rPr>
        <w:t>Application of Frameworks and Theories</w:t>
      </w:r>
    </w:p>
    <w:p w14:paraId="488C0B8E" w14:textId="77777777" w:rsidR="003B3973" w:rsidRPr="003B3973" w:rsidRDefault="003B3973" w:rsidP="0016791A">
      <w:pPr>
        <w:spacing w:line="360" w:lineRule="auto"/>
        <w:rPr>
          <w:rFonts w:ascii="Arial" w:hAnsi="Arial" w:cs="Arial"/>
        </w:rPr>
      </w:pPr>
      <w:r w:rsidRPr="003B3973">
        <w:rPr>
          <w:rFonts w:ascii="Arial" w:hAnsi="Arial" w:cs="Arial"/>
        </w:rPr>
        <w:t>Stakeholder Matrix (Power-Interest Grid)</w:t>
      </w:r>
    </w:p>
    <w:p w14:paraId="3FA420BA" w14:textId="77777777" w:rsidR="003B3973" w:rsidRPr="003B3973" w:rsidRDefault="003B3973" w:rsidP="0016791A">
      <w:pPr>
        <w:spacing w:line="360" w:lineRule="auto"/>
        <w:rPr>
          <w:rFonts w:ascii="Arial" w:hAnsi="Arial" w:cs="Arial"/>
        </w:rPr>
      </w:pPr>
      <w:r w:rsidRPr="003B3973">
        <w:rPr>
          <w:rFonts w:ascii="Arial" w:hAnsi="Arial" w:cs="Arial"/>
        </w:rPr>
        <w:t>The stakeholder matrix is a foundational tool for categorizing stakeholders based on their level of power (influence) and interest in the project. For '</w:t>
      </w:r>
      <w:proofErr w:type="spellStart"/>
      <w:r w:rsidRPr="003B3973">
        <w:rPr>
          <w:rFonts w:ascii="Arial" w:hAnsi="Arial" w:cs="Arial"/>
        </w:rPr>
        <w:t>StaySmart</w:t>
      </w:r>
      <w:proofErr w:type="spellEnd"/>
      <w:r w:rsidRPr="003B3973">
        <w:rPr>
          <w:rFonts w:ascii="Arial" w:hAnsi="Arial" w:cs="Arial"/>
        </w:rPr>
        <w:t>+', the matrix helps Hilton prioritize engagement and allocate resources effectively.</w:t>
      </w:r>
    </w:p>
    <w:p w14:paraId="168846C1" w14:textId="77777777" w:rsidR="003B3973" w:rsidRPr="003B3973" w:rsidRDefault="003B3973" w:rsidP="0016791A">
      <w:pPr>
        <w:spacing w:line="360" w:lineRule="auto"/>
        <w:rPr>
          <w:rFonts w:ascii="Arial" w:hAnsi="Arial" w:cs="Arial"/>
        </w:rPr>
      </w:pPr>
      <w:r w:rsidRPr="003B3973">
        <w:rPr>
          <w:rFonts w:ascii="Arial" w:hAnsi="Arial" w:cs="Arial"/>
          <w:b/>
          <w:bCs/>
        </w:rPr>
        <w:t>Manage Closely</w:t>
      </w:r>
      <w:r w:rsidRPr="003B3973">
        <w:rPr>
          <w:rFonts w:ascii="Arial" w:hAnsi="Arial" w:cs="Arial"/>
        </w:rPr>
        <w:t>: Executive leadership, hotel owners, general managers—these stakeholders have both high power and high interest. They require regular, transparent communication, involvement in decision-making, and opportunities to shape outcomes.</w:t>
      </w:r>
    </w:p>
    <w:p w14:paraId="050F2306" w14:textId="77777777" w:rsidR="003B3973" w:rsidRPr="003B3973" w:rsidRDefault="003B3973" w:rsidP="0016791A">
      <w:pPr>
        <w:spacing w:line="360" w:lineRule="auto"/>
        <w:rPr>
          <w:rFonts w:ascii="Arial" w:hAnsi="Arial" w:cs="Arial"/>
        </w:rPr>
      </w:pPr>
      <w:r w:rsidRPr="003B3973">
        <w:rPr>
          <w:rFonts w:ascii="Arial" w:hAnsi="Arial" w:cs="Arial"/>
          <w:b/>
          <w:bCs/>
        </w:rPr>
        <w:t>Keep Satisfied</w:t>
      </w:r>
      <w:r w:rsidRPr="003B3973">
        <w:rPr>
          <w:rFonts w:ascii="Arial" w:hAnsi="Arial" w:cs="Arial"/>
        </w:rPr>
        <w:t>: Regulators and key suppliers—high power but lower day-to-day interest. Engagement focuses on compliance, contractual clarity, and periodic updates.</w:t>
      </w:r>
    </w:p>
    <w:p w14:paraId="30BF468B" w14:textId="77777777" w:rsidR="003B3973" w:rsidRPr="003B3973" w:rsidRDefault="003B3973" w:rsidP="0016791A">
      <w:pPr>
        <w:spacing w:line="360" w:lineRule="auto"/>
        <w:rPr>
          <w:rFonts w:ascii="Arial" w:hAnsi="Arial" w:cs="Arial"/>
        </w:rPr>
      </w:pPr>
      <w:r w:rsidRPr="003B3973">
        <w:rPr>
          <w:rFonts w:ascii="Arial" w:hAnsi="Arial" w:cs="Arial"/>
          <w:b/>
          <w:bCs/>
        </w:rPr>
        <w:t>Keep Informed</w:t>
      </w:r>
      <w:r w:rsidRPr="003B3973">
        <w:rPr>
          <w:rFonts w:ascii="Arial" w:hAnsi="Arial" w:cs="Arial"/>
        </w:rPr>
        <w:t>: Guests, frontline employees, local communities—high interest but lower power. Engagement involves regular updates, feedback mechanisms, and opportunities for input.</w:t>
      </w:r>
    </w:p>
    <w:p w14:paraId="3502002A" w14:textId="77777777" w:rsidR="003B3973" w:rsidRPr="003B3973" w:rsidRDefault="003B3973" w:rsidP="0016791A">
      <w:pPr>
        <w:spacing w:line="360" w:lineRule="auto"/>
        <w:rPr>
          <w:rFonts w:ascii="Arial" w:hAnsi="Arial" w:cs="Arial"/>
        </w:rPr>
      </w:pPr>
      <w:r w:rsidRPr="003B3973">
        <w:rPr>
          <w:rFonts w:ascii="Arial" w:hAnsi="Arial" w:cs="Arial"/>
          <w:b/>
          <w:bCs/>
        </w:rPr>
        <w:t>Monitor</w:t>
      </w:r>
      <w:r w:rsidRPr="003B3973">
        <w:rPr>
          <w:rFonts w:ascii="Arial" w:hAnsi="Arial" w:cs="Arial"/>
        </w:rPr>
        <w:t>: Media, competitors—lower power and interest but can become critical in crisis situations.</w:t>
      </w:r>
    </w:p>
    <w:p w14:paraId="28CD118B" w14:textId="77777777" w:rsidR="003B3973" w:rsidRPr="003B3973" w:rsidRDefault="003B3973" w:rsidP="0016791A">
      <w:pPr>
        <w:spacing w:line="360" w:lineRule="auto"/>
        <w:rPr>
          <w:rFonts w:ascii="Arial" w:hAnsi="Arial" w:cs="Arial"/>
        </w:rPr>
      </w:pPr>
      <w:r w:rsidRPr="003B3973">
        <w:rPr>
          <w:rFonts w:ascii="Arial" w:hAnsi="Arial" w:cs="Arial"/>
        </w:rPr>
        <w:lastRenderedPageBreak/>
        <w:t>This approach aligns with best practices in stakeholder management, ensuring that resources are focused where they will have the greatest impact.</w:t>
      </w:r>
    </w:p>
    <w:p w14:paraId="512FFB5E" w14:textId="77777777" w:rsidR="003B3973" w:rsidRPr="003B3973" w:rsidRDefault="003B3973" w:rsidP="0016791A">
      <w:pPr>
        <w:spacing w:line="360" w:lineRule="auto"/>
        <w:rPr>
          <w:rFonts w:ascii="Arial" w:hAnsi="Arial" w:cs="Arial"/>
          <w:b/>
          <w:bCs/>
        </w:rPr>
      </w:pPr>
      <w:r w:rsidRPr="003B3973">
        <w:rPr>
          <w:rFonts w:ascii="Arial" w:hAnsi="Arial" w:cs="Arial"/>
          <w:b/>
          <w:bCs/>
        </w:rPr>
        <w:t>Stakeholder Engagement Plan</w:t>
      </w:r>
    </w:p>
    <w:p w14:paraId="38CB231C" w14:textId="77777777" w:rsidR="003B3973" w:rsidRPr="003B3973" w:rsidRDefault="003B3973" w:rsidP="0016791A">
      <w:pPr>
        <w:spacing w:line="360" w:lineRule="auto"/>
        <w:rPr>
          <w:rFonts w:ascii="Arial" w:hAnsi="Arial" w:cs="Arial"/>
        </w:rPr>
      </w:pPr>
      <w:r w:rsidRPr="003B3973">
        <w:rPr>
          <w:rFonts w:ascii="Arial" w:hAnsi="Arial" w:cs="Arial"/>
        </w:rPr>
        <w:t>A robust engagement plan includes:</w:t>
      </w:r>
    </w:p>
    <w:p w14:paraId="640EBA78" w14:textId="77777777" w:rsidR="003B3973" w:rsidRPr="003B3973" w:rsidRDefault="003B3973" w:rsidP="0016791A">
      <w:pPr>
        <w:spacing w:line="360" w:lineRule="auto"/>
        <w:rPr>
          <w:rFonts w:ascii="Arial" w:hAnsi="Arial" w:cs="Arial"/>
        </w:rPr>
      </w:pPr>
      <w:r w:rsidRPr="003B3973">
        <w:rPr>
          <w:rFonts w:ascii="Arial" w:hAnsi="Arial" w:cs="Arial"/>
          <w:b/>
          <w:bCs/>
        </w:rPr>
        <w:t>Stakeholder Mapping</w:t>
      </w:r>
      <w:r w:rsidRPr="003B3973">
        <w:rPr>
          <w:rFonts w:ascii="Arial" w:hAnsi="Arial" w:cs="Arial"/>
        </w:rPr>
        <w:t>: Identify and categorize all stakeholders.</w:t>
      </w:r>
    </w:p>
    <w:p w14:paraId="24146A82" w14:textId="77777777" w:rsidR="003B3973" w:rsidRPr="003B3973" w:rsidRDefault="003B3973" w:rsidP="0016791A">
      <w:pPr>
        <w:spacing w:line="360" w:lineRule="auto"/>
        <w:rPr>
          <w:rFonts w:ascii="Arial" w:hAnsi="Arial" w:cs="Arial"/>
        </w:rPr>
      </w:pPr>
      <w:r w:rsidRPr="003B3973">
        <w:rPr>
          <w:rFonts w:ascii="Arial" w:hAnsi="Arial" w:cs="Arial"/>
          <w:b/>
          <w:bCs/>
        </w:rPr>
        <w:t>Engagement Objectives</w:t>
      </w:r>
      <w:r w:rsidRPr="003B3973">
        <w:rPr>
          <w:rFonts w:ascii="Arial" w:hAnsi="Arial" w:cs="Arial"/>
        </w:rPr>
        <w:t>: Define what Hilton seeks to achieve with each group (e.g., buy-in, feedback, compliance).</w:t>
      </w:r>
    </w:p>
    <w:p w14:paraId="3E46B9B2" w14:textId="77777777" w:rsidR="003B3973" w:rsidRPr="003B3973" w:rsidRDefault="003B3973" w:rsidP="0016791A">
      <w:pPr>
        <w:spacing w:line="360" w:lineRule="auto"/>
        <w:rPr>
          <w:rFonts w:ascii="Arial" w:hAnsi="Arial" w:cs="Arial"/>
        </w:rPr>
      </w:pPr>
      <w:r w:rsidRPr="003B3973">
        <w:rPr>
          <w:rFonts w:ascii="Arial" w:hAnsi="Arial" w:cs="Arial"/>
          <w:b/>
          <w:bCs/>
        </w:rPr>
        <w:t>Communication Channels</w:t>
      </w:r>
      <w:r w:rsidRPr="003B3973">
        <w:rPr>
          <w:rFonts w:ascii="Arial" w:hAnsi="Arial" w:cs="Arial"/>
        </w:rPr>
        <w:t>: Tailor methods (meetings, digital platforms, surveys) to stakeholder preferences and cultural contexts.</w:t>
      </w:r>
    </w:p>
    <w:p w14:paraId="3A4EAB8B" w14:textId="77777777" w:rsidR="003B3973" w:rsidRPr="003B3973" w:rsidRDefault="003B3973" w:rsidP="0016791A">
      <w:pPr>
        <w:spacing w:line="360" w:lineRule="auto"/>
        <w:rPr>
          <w:rFonts w:ascii="Arial" w:hAnsi="Arial" w:cs="Arial"/>
        </w:rPr>
      </w:pPr>
      <w:r w:rsidRPr="003B3973">
        <w:rPr>
          <w:rFonts w:ascii="Arial" w:hAnsi="Arial" w:cs="Arial"/>
          <w:b/>
          <w:bCs/>
        </w:rPr>
        <w:t>Feedback Loops</w:t>
      </w:r>
      <w:r w:rsidRPr="003B3973">
        <w:rPr>
          <w:rFonts w:ascii="Arial" w:hAnsi="Arial" w:cs="Arial"/>
        </w:rPr>
        <w:t>: Establish mechanisms for two-way communication and continuous improvement.</w:t>
      </w:r>
    </w:p>
    <w:p w14:paraId="7717D114" w14:textId="77777777" w:rsidR="003B3973" w:rsidRPr="003B3973" w:rsidRDefault="003B3973" w:rsidP="0016791A">
      <w:pPr>
        <w:spacing w:line="360" w:lineRule="auto"/>
        <w:rPr>
          <w:rFonts w:ascii="Arial" w:hAnsi="Arial" w:cs="Arial"/>
        </w:rPr>
      </w:pPr>
      <w:r w:rsidRPr="003B3973">
        <w:rPr>
          <w:rFonts w:ascii="Arial" w:hAnsi="Arial" w:cs="Arial"/>
          <w:b/>
          <w:bCs/>
        </w:rPr>
        <w:t>Monitoring and Evaluation</w:t>
      </w:r>
      <w:r w:rsidRPr="003B3973">
        <w:rPr>
          <w:rFonts w:ascii="Arial" w:hAnsi="Arial" w:cs="Arial"/>
        </w:rPr>
        <w:t>: Set KPIs (e.g., NPS, employee engagement, sustainability metrics) and review regularly.</w:t>
      </w:r>
    </w:p>
    <w:p w14:paraId="67BCE772" w14:textId="77777777" w:rsidR="003B3973" w:rsidRPr="003B3973" w:rsidRDefault="003B3973" w:rsidP="0016791A">
      <w:pPr>
        <w:spacing w:line="360" w:lineRule="auto"/>
        <w:rPr>
          <w:rFonts w:ascii="Arial" w:hAnsi="Arial" w:cs="Arial"/>
        </w:rPr>
      </w:pPr>
      <w:r w:rsidRPr="003B3973">
        <w:rPr>
          <w:rFonts w:ascii="Arial" w:hAnsi="Arial" w:cs="Arial"/>
        </w:rPr>
        <w:t>Communication Plan</w:t>
      </w:r>
    </w:p>
    <w:p w14:paraId="5507F1EE" w14:textId="77777777" w:rsidR="003B3973" w:rsidRPr="003B3973" w:rsidRDefault="003B3973" w:rsidP="0016791A">
      <w:pPr>
        <w:spacing w:line="360" w:lineRule="auto"/>
        <w:rPr>
          <w:rFonts w:ascii="Arial" w:hAnsi="Arial" w:cs="Arial"/>
        </w:rPr>
      </w:pPr>
      <w:r w:rsidRPr="003B3973">
        <w:rPr>
          <w:rFonts w:ascii="Arial" w:hAnsi="Arial" w:cs="Arial"/>
        </w:rPr>
        <w:t>Effective communication is central to stakeholder engagement, especially in a global, multicultural context. The plan should:</w:t>
      </w:r>
    </w:p>
    <w:p w14:paraId="2CD9186B" w14:textId="77777777" w:rsidR="003B3973" w:rsidRPr="003B3973" w:rsidRDefault="003B3973" w:rsidP="0016791A">
      <w:pPr>
        <w:spacing w:line="360" w:lineRule="auto"/>
        <w:rPr>
          <w:rFonts w:ascii="Arial" w:hAnsi="Arial" w:cs="Arial"/>
        </w:rPr>
      </w:pPr>
      <w:r w:rsidRPr="003B3973">
        <w:rPr>
          <w:rFonts w:ascii="Arial" w:hAnsi="Arial" w:cs="Arial"/>
          <w:b/>
          <w:bCs/>
        </w:rPr>
        <w:t>Segment Audiences</w:t>
      </w:r>
      <w:r w:rsidRPr="003B3973">
        <w:rPr>
          <w:rFonts w:ascii="Arial" w:hAnsi="Arial" w:cs="Arial"/>
        </w:rPr>
        <w:t>: Customize messages for internal (staff, owners) and external (guests, regulators) stakeholders.</w:t>
      </w:r>
    </w:p>
    <w:p w14:paraId="1F8A9C5C" w14:textId="77777777" w:rsidR="003B3973" w:rsidRPr="003B3973" w:rsidRDefault="003B3973" w:rsidP="0016791A">
      <w:pPr>
        <w:spacing w:line="360" w:lineRule="auto"/>
        <w:rPr>
          <w:rFonts w:ascii="Arial" w:hAnsi="Arial" w:cs="Arial"/>
        </w:rPr>
      </w:pPr>
      <w:r w:rsidRPr="003B3973">
        <w:rPr>
          <w:rFonts w:ascii="Arial" w:hAnsi="Arial" w:cs="Arial"/>
          <w:b/>
          <w:bCs/>
        </w:rPr>
        <w:t>Select Channels</w:t>
      </w:r>
      <w:r w:rsidRPr="003B3973">
        <w:rPr>
          <w:rFonts w:ascii="Arial" w:hAnsi="Arial" w:cs="Arial"/>
        </w:rPr>
        <w:t>: Use a mix of digital (apps, email, intranet), face-to-face (town halls, workshops), and traditional (newsletters, press releases) methods.</w:t>
      </w:r>
    </w:p>
    <w:p w14:paraId="239D46F2" w14:textId="77777777" w:rsidR="003B3973" w:rsidRPr="003B3973" w:rsidRDefault="003B3973" w:rsidP="0016791A">
      <w:pPr>
        <w:spacing w:line="360" w:lineRule="auto"/>
        <w:rPr>
          <w:rFonts w:ascii="Arial" w:hAnsi="Arial" w:cs="Arial"/>
        </w:rPr>
      </w:pPr>
      <w:r w:rsidRPr="003B3973">
        <w:rPr>
          <w:rFonts w:ascii="Arial" w:hAnsi="Arial" w:cs="Arial"/>
          <w:b/>
          <w:bCs/>
        </w:rPr>
        <w:t>Frequency and Timing</w:t>
      </w:r>
      <w:r w:rsidRPr="003B3973">
        <w:rPr>
          <w:rFonts w:ascii="Arial" w:hAnsi="Arial" w:cs="Arial"/>
        </w:rPr>
        <w:t>: Schedule communications to align with project milestones and stakeholder needs.</w:t>
      </w:r>
    </w:p>
    <w:p w14:paraId="63B77D5D" w14:textId="77777777" w:rsidR="003B3973" w:rsidRPr="003B3973" w:rsidRDefault="003B3973" w:rsidP="0016791A">
      <w:pPr>
        <w:spacing w:line="360" w:lineRule="auto"/>
        <w:rPr>
          <w:rFonts w:ascii="Arial" w:hAnsi="Arial" w:cs="Arial"/>
        </w:rPr>
      </w:pPr>
      <w:r w:rsidRPr="003B3973">
        <w:rPr>
          <w:rFonts w:ascii="Arial" w:hAnsi="Arial" w:cs="Arial"/>
          <w:b/>
          <w:bCs/>
        </w:rPr>
        <w:t>Cultural Sensitivity</w:t>
      </w:r>
      <w:r w:rsidRPr="003B3973">
        <w:rPr>
          <w:rFonts w:ascii="Arial" w:hAnsi="Arial" w:cs="Arial"/>
        </w:rPr>
        <w:t>: Adapt language, tone, and content to local norms and expectations.</w:t>
      </w:r>
    </w:p>
    <w:p w14:paraId="1151559E" w14:textId="77777777" w:rsidR="003B3973" w:rsidRPr="003B3973" w:rsidRDefault="003B3973" w:rsidP="0016791A">
      <w:pPr>
        <w:spacing w:line="360" w:lineRule="auto"/>
        <w:rPr>
          <w:rFonts w:ascii="Arial" w:hAnsi="Arial" w:cs="Arial"/>
        </w:rPr>
      </w:pPr>
      <w:r w:rsidRPr="003B3973">
        <w:rPr>
          <w:rFonts w:ascii="Arial" w:hAnsi="Arial" w:cs="Arial"/>
          <w:b/>
          <w:bCs/>
        </w:rPr>
        <w:t>Crisis Communication</w:t>
      </w:r>
      <w:r w:rsidRPr="003B3973">
        <w:rPr>
          <w:rFonts w:ascii="Arial" w:hAnsi="Arial" w:cs="Arial"/>
        </w:rPr>
        <w:t>: Prepare protocols for rapid, transparent response to issues (e.g., data breaches, service disruptions).</w:t>
      </w:r>
    </w:p>
    <w:p w14:paraId="784E5966" w14:textId="77777777" w:rsidR="003B3973" w:rsidRPr="003B3973" w:rsidRDefault="003B3973" w:rsidP="0016791A">
      <w:pPr>
        <w:spacing w:line="360" w:lineRule="auto"/>
        <w:rPr>
          <w:rFonts w:ascii="Arial" w:hAnsi="Arial" w:cs="Arial"/>
        </w:rPr>
      </w:pPr>
      <w:r w:rsidRPr="003B3973">
        <w:rPr>
          <w:rFonts w:ascii="Arial" w:hAnsi="Arial" w:cs="Arial"/>
        </w:rPr>
        <w:t>Integration with Standards</w:t>
      </w:r>
    </w:p>
    <w:p w14:paraId="70C89770" w14:textId="77777777" w:rsidR="003B3973" w:rsidRPr="003B3973" w:rsidRDefault="003B3973" w:rsidP="0016791A">
      <w:pPr>
        <w:spacing w:line="360" w:lineRule="auto"/>
        <w:rPr>
          <w:rFonts w:ascii="Arial" w:hAnsi="Arial" w:cs="Arial"/>
        </w:rPr>
      </w:pPr>
      <w:r w:rsidRPr="003B3973">
        <w:rPr>
          <w:rFonts w:ascii="Arial" w:hAnsi="Arial" w:cs="Arial"/>
        </w:rPr>
        <w:t>Hilton’s engagement frameworks are informed by leading standards:</w:t>
      </w:r>
    </w:p>
    <w:p w14:paraId="5A66876A" w14:textId="77777777" w:rsidR="003B3973" w:rsidRPr="003B3973" w:rsidRDefault="003B3973" w:rsidP="0016791A">
      <w:pPr>
        <w:spacing w:line="360" w:lineRule="auto"/>
        <w:rPr>
          <w:rFonts w:ascii="Arial" w:hAnsi="Arial" w:cs="Arial"/>
        </w:rPr>
      </w:pPr>
      <w:r w:rsidRPr="003B3973">
        <w:rPr>
          <w:rFonts w:ascii="Arial" w:hAnsi="Arial" w:cs="Arial"/>
          <w:b/>
          <w:bCs/>
        </w:rPr>
        <w:t>AA1000 Stakeholder Engagement Standard (SES)</w:t>
      </w:r>
      <w:r w:rsidRPr="003B3973">
        <w:rPr>
          <w:rFonts w:ascii="Arial" w:hAnsi="Arial" w:cs="Arial"/>
        </w:rPr>
        <w:t>: Emphasizes inclusiveness, materiality, and responsiveness in engagement processes.</w:t>
      </w:r>
    </w:p>
    <w:p w14:paraId="2A65E4B8" w14:textId="77777777" w:rsidR="003B3973" w:rsidRPr="003B3973" w:rsidRDefault="003B3973" w:rsidP="0016791A">
      <w:pPr>
        <w:spacing w:line="360" w:lineRule="auto"/>
        <w:rPr>
          <w:rFonts w:ascii="Arial" w:hAnsi="Arial" w:cs="Arial"/>
        </w:rPr>
      </w:pPr>
      <w:r w:rsidRPr="003B3973">
        <w:rPr>
          <w:rFonts w:ascii="Arial" w:hAnsi="Arial" w:cs="Arial"/>
          <w:b/>
          <w:bCs/>
        </w:rPr>
        <w:lastRenderedPageBreak/>
        <w:t>Global Reporting Initiative (GRI)</w:t>
      </w:r>
      <w:r w:rsidRPr="003B3973">
        <w:rPr>
          <w:rFonts w:ascii="Arial" w:hAnsi="Arial" w:cs="Arial"/>
        </w:rPr>
        <w:t>: Guides sustainability reporting and stakeholder disclosure.</w:t>
      </w:r>
    </w:p>
    <w:p w14:paraId="2204404F" w14:textId="77777777" w:rsidR="003B3973" w:rsidRPr="003B3973" w:rsidRDefault="003B3973" w:rsidP="0016791A">
      <w:pPr>
        <w:spacing w:line="360" w:lineRule="auto"/>
        <w:rPr>
          <w:rFonts w:ascii="Arial" w:hAnsi="Arial" w:cs="Arial"/>
        </w:rPr>
      </w:pPr>
      <w:r w:rsidRPr="003B3973">
        <w:rPr>
          <w:rFonts w:ascii="Arial" w:hAnsi="Arial" w:cs="Arial"/>
          <w:b/>
          <w:bCs/>
        </w:rPr>
        <w:t>ISO 27001</w:t>
      </w:r>
      <w:r w:rsidRPr="003B3973">
        <w:rPr>
          <w:rFonts w:ascii="Arial" w:hAnsi="Arial" w:cs="Arial"/>
        </w:rPr>
        <w:t>: Ensures information security and data privacy, critical for AI-driven services.</w:t>
      </w:r>
    </w:p>
    <w:p w14:paraId="1823EBE5" w14:textId="77777777" w:rsidR="003B3973" w:rsidRPr="003B3973" w:rsidRDefault="003B3973" w:rsidP="0016791A">
      <w:pPr>
        <w:spacing w:line="360" w:lineRule="auto"/>
        <w:rPr>
          <w:rFonts w:ascii="Arial" w:hAnsi="Arial" w:cs="Arial"/>
        </w:rPr>
      </w:pPr>
      <w:r w:rsidRPr="003B3973">
        <w:rPr>
          <w:rFonts w:ascii="Arial" w:hAnsi="Arial" w:cs="Arial"/>
        </w:rPr>
        <w:t>Stakeholder Engagement Process: The 4C’s Model</w:t>
      </w:r>
    </w:p>
    <w:p w14:paraId="351D77D3" w14:textId="77777777" w:rsidR="003B3973" w:rsidRPr="003B3973" w:rsidRDefault="003B3973" w:rsidP="0016791A">
      <w:pPr>
        <w:spacing w:line="360" w:lineRule="auto"/>
        <w:rPr>
          <w:rFonts w:ascii="Arial" w:hAnsi="Arial" w:cs="Arial"/>
        </w:rPr>
      </w:pPr>
      <w:r w:rsidRPr="003B3973">
        <w:rPr>
          <w:rFonts w:ascii="Arial" w:hAnsi="Arial" w:cs="Arial"/>
        </w:rPr>
        <w:t>The 4C’s model—Commitment, Communication, Consultation, Collaboration—provides a structured approach to stakeholder engagement, ensuring that Hilton’s strategies are both inclusive and effective.</w:t>
      </w:r>
    </w:p>
    <w:p w14:paraId="468AA601" w14:textId="77777777" w:rsidR="003B3973" w:rsidRPr="003B3973" w:rsidRDefault="003B3973" w:rsidP="0016791A">
      <w:pPr>
        <w:spacing w:line="360" w:lineRule="auto"/>
        <w:rPr>
          <w:rFonts w:ascii="Arial" w:hAnsi="Arial" w:cs="Arial"/>
        </w:rPr>
      </w:pPr>
      <w:r w:rsidRPr="003B3973">
        <w:rPr>
          <w:rFonts w:ascii="Arial" w:hAnsi="Arial" w:cs="Arial"/>
        </w:rPr>
        <w:t>1. Commitment</w:t>
      </w:r>
    </w:p>
    <w:p w14:paraId="500F51B9" w14:textId="77777777" w:rsidR="003B3973" w:rsidRPr="003B3973" w:rsidRDefault="003B3973" w:rsidP="0016791A">
      <w:pPr>
        <w:spacing w:line="360" w:lineRule="auto"/>
        <w:rPr>
          <w:rFonts w:ascii="Arial" w:hAnsi="Arial" w:cs="Arial"/>
        </w:rPr>
      </w:pPr>
      <w:r w:rsidRPr="003B3973">
        <w:rPr>
          <w:rFonts w:ascii="Arial" w:hAnsi="Arial" w:cs="Arial"/>
          <w:b/>
          <w:bCs/>
        </w:rPr>
        <w:t>Definition</w:t>
      </w:r>
      <w:r w:rsidRPr="003B3973">
        <w:rPr>
          <w:rFonts w:ascii="Arial" w:hAnsi="Arial" w:cs="Arial"/>
        </w:rPr>
        <w:t>: Demonstrating organizational resolve to engage stakeholders meaningfully, allocate resources, and integrate their input into decision-making.</w:t>
      </w:r>
    </w:p>
    <w:p w14:paraId="76BF0C7B" w14:textId="77777777" w:rsidR="003B3973" w:rsidRPr="003B3973" w:rsidRDefault="003B3973" w:rsidP="0016791A">
      <w:pPr>
        <w:spacing w:line="360" w:lineRule="auto"/>
        <w:rPr>
          <w:rFonts w:ascii="Arial" w:hAnsi="Arial" w:cs="Arial"/>
        </w:rPr>
      </w:pPr>
      <w:r w:rsidRPr="003B3973">
        <w:rPr>
          <w:rFonts w:ascii="Arial" w:hAnsi="Arial" w:cs="Arial"/>
          <w:b/>
          <w:bCs/>
        </w:rPr>
        <w:t>Application</w:t>
      </w:r>
      <w:r w:rsidRPr="003B3973">
        <w:rPr>
          <w:rFonts w:ascii="Arial" w:hAnsi="Arial" w:cs="Arial"/>
        </w:rPr>
        <w:t>: Hilton’s executive leadership must visibly champion '</w:t>
      </w:r>
      <w:proofErr w:type="spellStart"/>
      <w:r w:rsidRPr="003B3973">
        <w:rPr>
          <w:rFonts w:ascii="Arial" w:hAnsi="Arial" w:cs="Arial"/>
        </w:rPr>
        <w:t>StaySmart</w:t>
      </w:r>
      <w:proofErr w:type="spellEnd"/>
      <w:r w:rsidRPr="003B3973">
        <w:rPr>
          <w:rFonts w:ascii="Arial" w:hAnsi="Arial" w:cs="Arial"/>
        </w:rPr>
        <w:t xml:space="preserve">+', embedding stakeholder engagement into the company’s mission and values. This includes setting clear ESG targets, investing in training, and holding leaders accountable for engagement outcomes. Commitment is also reflected in Hilton’s public reporting (e.g., Travel with Purpose, </w:t>
      </w:r>
      <w:proofErr w:type="spellStart"/>
      <w:r w:rsidRPr="003B3973">
        <w:rPr>
          <w:rFonts w:ascii="Arial" w:hAnsi="Arial" w:cs="Arial"/>
        </w:rPr>
        <w:t>LightStay</w:t>
      </w:r>
      <w:proofErr w:type="spellEnd"/>
      <w:r w:rsidRPr="003B3973">
        <w:rPr>
          <w:rFonts w:ascii="Arial" w:hAnsi="Arial" w:cs="Arial"/>
        </w:rPr>
        <w:t xml:space="preserve">), </w:t>
      </w:r>
      <w:proofErr w:type="spellStart"/>
      <w:r w:rsidRPr="003B3973">
        <w:rPr>
          <w:rFonts w:ascii="Arial" w:hAnsi="Arial" w:cs="Arial"/>
        </w:rPr>
        <w:t>signaling</w:t>
      </w:r>
      <w:proofErr w:type="spellEnd"/>
      <w:r w:rsidRPr="003B3973">
        <w:rPr>
          <w:rFonts w:ascii="Arial" w:hAnsi="Arial" w:cs="Arial"/>
        </w:rPr>
        <w:t xml:space="preserve"> to all stakeholders that engagement is not a one-off activity but a core business process.</w:t>
      </w:r>
    </w:p>
    <w:p w14:paraId="1A4EC891" w14:textId="77777777" w:rsidR="003B3973" w:rsidRPr="003B3973" w:rsidRDefault="003B3973" w:rsidP="0016791A">
      <w:pPr>
        <w:spacing w:line="360" w:lineRule="auto"/>
        <w:rPr>
          <w:rFonts w:ascii="Arial" w:hAnsi="Arial" w:cs="Arial"/>
        </w:rPr>
      </w:pPr>
      <w:r w:rsidRPr="003B3973">
        <w:rPr>
          <w:rFonts w:ascii="Arial" w:hAnsi="Arial" w:cs="Arial"/>
          <w:b/>
          <w:bCs/>
        </w:rPr>
        <w:t>Challenges</w:t>
      </w:r>
      <w:r w:rsidRPr="003B3973">
        <w:rPr>
          <w:rFonts w:ascii="Arial" w:hAnsi="Arial" w:cs="Arial"/>
        </w:rPr>
        <w:t>: Sustaining commitment amid competing priorities, especially when short-term financial pressures arise. Ensuring that commitment is cascaded from the C-suite to property-level managers and frontline staff.</w:t>
      </w:r>
    </w:p>
    <w:p w14:paraId="5B711C25" w14:textId="77777777" w:rsidR="003B3973" w:rsidRPr="003B3973" w:rsidRDefault="003B3973" w:rsidP="0016791A">
      <w:pPr>
        <w:spacing w:line="360" w:lineRule="auto"/>
        <w:rPr>
          <w:rFonts w:ascii="Arial" w:hAnsi="Arial" w:cs="Arial"/>
        </w:rPr>
      </w:pPr>
      <w:r w:rsidRPr="003B3973">
        <w:rPr>
          <w:rFonts w:ascii="Arial" w:hAnsi="Arial" w:cs="Arial"/>
        </w:rPr>
        <w:t>2. Communication</w:t>
      </w:r>
    </w:p>
    <w:p w14:paraId="1D519D7F" w14:textId="77777777" w:rsidR="003B3973" w:rsidRPr="003B3973" w:rsidRDefault="003B3973" w:rsidP="0016791A">
      <w:pPr>
        <w:spacing w:line="360" w:lineRule="auto"/>
        <w:rPr>
          <w:rFonts w:ascii="Arial" w:hAnsi="Arial" w:cs="Arial"/>
        </w:rPr>
      </w:pPr>
      <w:r w:rsidRPr="003B3973">
        <w:rPr>
          <w:rFonts w:ascii="Arial" w:hAnsi="Arial" w:cs="Arial"/>
          <w:b/>
          <w:bCs/>
        </w:rPr>
        <w:t>Definition</w:t>
      </w:r>
      <w:r w:rsidRPr="003B3973">
        <w:rPr>
          <w:rFonts w:ascii="Arial" w:hAnsi="Arial" w:cs="Arial"/>
        </w:rPr>
        <w:t>: Establishing transparent, timely, and culturally sensitive information flows between Hilton and its stakeholders.</w:t>
      </w:r>
    </w:p>
    <w:p w14:paraId="5F13D3BF" w14:textId="77777777" w:rsidR="003B3973" w:rsidRPr="003B3973" w:rsidRDefault="003B3973" w:rsidP="0016791A">
      <w:pPr>
        <w:spacing w:line="360" w:lineRule="auto"/>
        <w:rPr>
          <w:rFonts w:ascii="Arial" w:hAnsi="Arial" w:cs="Arial"/>
        </w:rPr>
      </w:pPr>
      <w:r w:rsidRPr="003B3973">
        <w:rPr>
          <w:rFonts w:ascii="Arial" w:hAnsi="Arial" w:cs="Arial"/>
          <w:b/>
          <w:bCs/>
        </w:rPr>
        <w:t>Application</w:t>
      </w:r>
      <w:r w:rsidRPr="003B3973">
        <w:rPr>
          <w:rFonts w:ascii="Arial" w:hAnsi="Arial" w:cs="Arial"/>
        </w:rPr>
        <w:t>: Communication must be two-way, leveraging digital platforms (e.g., Hilton Honors app, AI chatbots), in-person meetings, and feedback surveys. For '</w:t>
      </w:r>
      <w:proofErr w:type="spellStart"/>
      <w:r w:rsidRPr="003B3973">
        <w:rPr>
          <w:rFonts w:ascii="Arial" w:hAnsi="Arial" w:cs="Arial"/>
        </w:rPr>
        <w:t>StaySmart</w:t>
      </w:r>
      <w:proofErr w:type="spellEnd"/>
      <w:r w:rsidRPr="003B3973">
        <w:rPr>
          <w:rFonts w:ascii="Arial" w:hAnsi="Arial" w:cs="Arial"/>
        </w:rPr>
        <w:t>+', this includes pre-launch teasers, training modules, guest education on AI features, and sustainability messaging. Communication plans should address data privacy, ethical use of AI, and the benefits of personalized and sustainable amenities.</w:t>
      </w:r>
    </w:p>
    <w:p w14:paraId="16AF3296" w14:textId="77777777" w:rsidR="003B3973" w:rsidRPr="003B3973" w:rsidRDefault="003B3973" w:rsidP="0016791A">
      <w:pPr>
        <w:spacing w:line="360" w:lineRule="auto"/>
        <w:rPr>
          <w:rFonts w:ascii="Arial" w:hAnsi="Arial" w:cs="Arial"/>
        </w:rPr>
      </w:pPr>
      <w:r w:rsidRPr="003B3973">
        <w:rPr>
          <w:rFonts w:ascii="Arial" w:hAnsi="Arial" w:cs="Arial"/>
          <w:b/>
          <w:bCs/>
        </w:rPr>
        <w:t>Cultural Considerations</w:t>
      </w:r>
      <w:r w:rsidRPr="003B3973">
        <w:rPr>
          <w:rFonts w:ascii="Arial" w:hAnsi="Arial" w:cs="Arial"/>
        </w:rPr>
        <w:t>: Adapting communication styles to local norms (e.g., high-context vs. low-context cultures), providing multilingual support, and respecting local customs and holidays.</w:t>
      </w:r>
    </w:p>
    <w:p w14:paraId="5A34630E" w14:textId="77777777" w:rsidR="003B3973" w:rsidRPr="003B3973" w:rsidRDefault="003B3973" w:rsidP="0016791A">
      <w:pPr>
        <w:spacing w:line="360" w:lineRule="auto"/>
        <w:rPr>
          <w:rFonts w:ascii="Arial" w:hAnsi="Arial" w:cs="Arial"/>
        </w:rPr>
      </w:pPr>
      <w:r w:rsidRPr="003B3973">
        <w:rPr>
          <w:rFonts w:ascii="Arial" w:hAnsi="Arial" w:cs="Arial"/>
          <w:b/>
          <w:bCs/>
        </w:rPr>
        <w:t>Challenges</w:t>
      </w:r>
      <w:r w:rsidRPr="003B3973">
        <w:rPr>
          <w:rFonts w:ascii="Arial" w:hAnsi="Arial" w:cs="Arial"/>
        </w:rPr>
        <w:t>: Avoiding information overload, ensuring consistency across channels, and managing misinformation or negative feedback (especially on social media).</w:t>
      </w:r>
    </w:p>
    <w:p w14:paraId="26C903A1" w14:textId="77777777" w:rsidR="003B3973" w:rsidRPr="003B3973" w:rsidRDefault="003B3973" w:rsidP="0016791A">
      <w:pPr>
        <w:spacing w:line="360" w:lineRule="auto"/>
        <w:rPr>
          <w:rFonts w:ascii="Arial" w:hAnsi="Arial" w:cs="Arial"/>
        </w:rPr>
      </w:pPr>
      <w:r w:rsidRPr="003B3973">
        <w:rPr>
          <w:rFonts w:ascii="Arial" w:hAnsi="Arial" w:cs="Arial"/>
        </w:rPr>
        <w:lastRenderedPageBreak/>
        <w:t>3. Consultation</w:t>
      </w:r>
    </w:p>
    <w:p w14:paraId="089CEE6A" w14:textId="77777777" w:rsidR="003B3973" w:rsidRPr="003B3973" w:rsidRDefault="003B3973" w:rsidP="0016791A">
      <w:pPr>
        <w:spacing w:line="360" w:lineRule="auto"/>
        <w:rPr>
          <w:rFonts w:ascii="Arial" w:hAnsi="Arial" w:cs="Arial"/>
        </w:rPr>
      </w:pPr>
      <w:r w:rsidRPr="003B3973">
        <w:rPr>
          <w:rFonts w:ascii="Arial" w:hAnsi="Arial" w:cs="Arial"/>
          <w:b/>
          <w:bCs/>
        </w:rPr>
        <w:t>Definition</w:t>
      </w:r>
      <w:r w:rsidRPr="003B3973">
        <w:rPr>
          <w:rFonts w:ascii="Arial" w:hAnsi="Arial" w:cs="Arial"/>
        </w:rPr>
        <w:t>: Actively seeking stakeholder input, listening to concerns, and incorporating feedback into project design and execution.</w:t>
      </w:r>
    </w:p>
    <w:p w14:paraId="07731175" w14:textId="77777777" w:rsidR="003B3973" w:rsidRPr="003B3973" w:rsidRDefault="003B3973" w:rsidP="0016791A">
      <w:pPr>
        <w:spacing w:line="360" w:lineRule="auto"/>
        <w:rPr>
          <w:rFonts w:ascii="Arial" w:hAnsi="Arial" w:cs="Arial"/>
        </w:rPr>
      </w:pPr>
      <w:r w:rsidRPr="003B3973">
        <w:rPr>
          <w:rFonts w:ascii="Arial" w:hAnsi="Arial" w:cs="Arial"/>
          <w:b/>
          <w:bCs/>
        </w:rPr>
        <w:t>Application</w:t>
      </w:r>
      <w:r w:rsidRPr="003B3973">
        <w:rPr>
          <w:rFonts w:ascii="Arial" w:hAnsi="Arial" w:cs="Arial"/>
        </w:rPr>
        <w:t>: Hilton should conduct stakeholder consultations through focus groups, advisory panels, and pilot programs. For example, involving frontline employees in the design of AI tools ensures usability and buy-in, while engaging guests through beta testing and feedback surveys helps tailor features to real needs. Consultation with local communities and NGOs can identify potential social or environmental impacts and co-create solutions.</w:t>
      </w:r>
    </w:p>
    <w:p w14:paraId="64716AC7" w14:textId="77777777" w:rsidR="003B3973" w:rsidRPr="003B3973" w:rsidRDefault="003B3973" w:rsidP="0016791A">
      <w:pPr>
        <w:spacing w:line="360" w:lineRule="auto"/>
        <w:rPr>
          <w:rFonts w:ascii="Arial" w:hAnsi="Arial" w:cs="Arial"/>
        </w:rPr>
      </w:pPr>
      <w:r w:rsidRPr="003B3973">
        <w:rPr>
          <w:rFonts w:ascii="Arial" w:hAnsi="Arial" w:cs="Arial"/>
          <w:b/>
          <w:bCs/>
        </w:rPr>
        <w:t>Ethical Considerations</w:t>
      </w:r>
      <w:r w:rsidRPr="003B3973">
        <w:rPr>
          <w:rFonts w:ascii="Arial" w:hAnsi="Arial" w:cs="Arial"/>
        </w:rPr>
        <w:t>: Ensuring that consultation is genuine, not tokenistic, and that stakeholder voices—especially those of marginalized groups—are heard and acted upon.</w:t>
      </w:r>
    </w:p>
    <w:p w14:paraId="6E1A33C0" w14:textId="77777777" w:rsidR="003B3973" w:rsidRPr="003B3973" w:rsidRDefault="003B3973" w:rsidP="0016791A">
      <w:pPr>
        <w:spacing w:line="360" w:lineRule="auto"/>
        <w:rPr>
          <w:rFonts w:ascii="Arial" w:hAnsi="Arial" w:cs="Arial"/>
        </w:rPr>
      </w:pPr>
      <w:r w:rsidRPr="003B3973">
        <w:rPr>
          <w:rFonts w:ascii="Arial" w:hAnsi="Arial" w:cs="Arial"/>
          <w:b/>
          <w:bCs/>
        </w:rPr>
        <w:t>Challenges</w:t>
      </w:r>
      <w:r w:rsidRPr="003B3973">
        <w:rPr>
          <w:rFonts w:ascii="Arial" w:hAnsi="Arial" w:cs="Arial"/>
        </w:rPr>
        <w:t>: Balancing diverse and sometimes conflicting inputs, managing expectations, and demonstrating how feedback has influenced decisions.</w:t>
      </w:r>
    </w:p>
    <w:p w14:paraId="7E403652" w14:textId="77777777" w:rsidR="003B3973" w:rsidRPr="003B3973" w:rsidRDefault="003B3973" w:rsidP="0016791A">
      <w:pPr>
        <w:spacing w:line="360" w:lineRule="auto"/>
        <w:rPr>
          <w:rFonts w:ascii="Arial" w:hAnsi="Arial" w:cs="Arial"/>
        </w:rPr>
      </w:pPr>
      <w:r w:rsidRPr="003B3973">
        <w:rPr>
          <w:rFonts w:ascii="Arial" w:hAnsi="Arial" w:cs="Arial"/>
        </w:rPr>
        <w:t>4. Collaboration</w:t>
      </w:r>
    </w:p>
    <w:p w14:paraId="0070E573" w14:textId="77777777" w:rsidR="003B3973" w:rsidRPr="003B3973" w:rsidRDefault="003B3973" w:rsidP="0016791A">
      <w:pPr>
        <w:spacing w:line="360" w:lineRule="auto"/>
        <w:rPr>
          <w:rFonts w:ascii="Arial" w:hAnsi="Arial" w:cs="Arial"/>
        </w:rPr>
      </w:pPr>
      <w:r w:rsidRPr="003B3973">
        <w:rPr>
          <w:rFonts w:ascii="Arial" w:hAnsi="Arial" w:cs="Arial"/>
          <w:b/>
          <w:bCs/>
        </w:rPr>
        <w:t>Definition</w:t>
      </w:r>
      <w:r w:rsidRPr="003B3973">
        <w:rPr>
          <w:rFonts w:ascii="Arial" w:hAnsi="Arial" w:cs="Arial"/>
        </w:rPr>
        <w:t>: Building partnerships with stakeholders to co-create value, share risks and rewards, and drive innovation.</w:t>
      </w:r>
    </w:p>
    <w:p w14:paraId="061F116C" w14:textId="77777777" w:rsidR="003B3973" w:rsidRPr="003B3973" w:rsidRDefault="003B3973" w:rsidP="0016791A">
      <w:pPr>
        <w:spacing w:line="360" w:lineRule="auto"/>
        <w:rPr>
          <w:rFonts w:ascii="Arial" w:hAnsi="Arial" w:cs="Arial"/>
        </w:rPr>
      </w:pPr>
      <w:r w:rsidRPr="003B3973">
        <w:rPr>
          <w:rFonts w:ascii="Arial" w:hAnsi="Arial" w:cs="Arial"/>
          <w:b/>
          <w:bCs/>
        </w:rPr>
        <w:t>Application</w:t>
      </w:r>
      <w:r w:rsidRPr="003B3973">
        <w:rPr>
          <w:rFonts w:ascii="Arial" w:hAnsi="Arial" w:cs="Arial"/>
        </w:rPr>
        <w:t xml:space="preserve">: Collaboration is exemplified by Hilton’s partnerships with technology vendors (e.g., </w:t>
      </w:r>
      <w:proofErr w:type="spellStart"/>
      <w:r w:rsidRPr="003B3973">
        <w:rPr>
          <w:rFonts w:ascii="Arial" w:hAnsi="Arial" w:cs="Arial"/>
        </w:rPr>
        <w:t>HiJiffy</w:t>
      </w:r>
      <w:proofErr w:type="spellEnd"/>
      <w:r w:rsidRPr="003B3973">
        <w:rPr>
          <w:rFonts w:ascii="Arial" w:hAnsi="Arial" w:cs="Arial"/>
        </w:rPr>
        <w:t>, Oracle), sustainability organizations (e.g., The Felix Project), and local artisans for amenities and experiences. Joint training programs with suppliers, co-marketing with TMCs, and community development initiatives further illustrate collaborative engagement.</w:t>
      </w:r>
    </w:p>
    <w:p w14:paraId="70EC08E4" w14:textId="77777777" w:rsidR="003B3973" w:rsidRPr="003B3973" w:rsidRDefault="003B3973" w:rsidP="0016791A">
      <w:pPr>
        <w:spacing w:line="360" w:lineRule="auto"/>
        <w:rPr>
          <w:rFonts w:ascii="Arial" w:hAnsi="Arial" w:cs="Arial"/>
        </w:rPr>
      </w:pPr>
      <w:r w:rsidRPr="003B3973">
        <w:rPr>
          <w:rFonts w:ascii="Arial" w:hAnsi="Arial" w:cs="Arial"/>
          <w:b/>
          <w:bCs/>
        </w:rPr>
        <w:t>Benefits</w:t>
      </w:r>
      <w:r w:rsidRPr="003B3973">
        <w:rPr>
          <w:rFonts w:ascii="Arial" w:hAnsi="Arial" w:cs="Arial"/>
        </w:rPr>
        <w:t>: Enhanced innovation, shared ownership of outcomes, and stronger stakeholder loyalty.</w:t>
      </w:r>
    </w:p>
    <w:p w14:paraId="2A1E020E" w14:textId="77777777" w:rsidR="003B3973" w:rsidRPr="003B3973" w:rsidRDefault="003B3973" w:rsidP="0016791A">
      <w:pPr>
        <w:spacing w:line="360" w:lineRule="auto"/>
        <w:rPr>
          <w:rFonts w:ascii="Arial" w:hAnsi="Arial" w:cs="Arial"/>
        </w:rPr>
      </w:pPr>
      <w:r w:rsidRPr="003B3973">
        <w:rPr>
          <w:rFonts w:ascii="Arial" w:hAnsi="Arial" w:cs="Arial"/>
          <w:b/>
          <w:bCs/>
        </w:rPr>
        <w:t>Challenges</w:t>
      </w:r>
      <w:r w:rsidRPr="003B3973">
        <w:rPr>
          <w:rFonts w:ascii="Arial" w:hAnsi="Arial" w:cs="Arial"/>
        </w:rPr>
        <w:t>: Aligning objectives, managing intellectual property, and navigating power dynamics.</w:t>
      </w:r>
    </w:p>
    <w:p w14:paraId="5C41AAFA" w14:textId="77777777" w:rsidR="003B3973" w:rsidRPr="003B3973" w:rsidRDefault="003B3973" w:rsidP="0016791A">
      <w:pPr>
        <w:spacing w:line="360" w:lineRule="auto"/>
        <w:rPr>
          <w:rFonts w:ascii="Arial" w:hAnsi="Arial" w:cs="Arial"/>
        </w:rPr>
      </w:pPr>
      <w:r w:rsidRPr="003B3973">
        <w:rPr>
          <w:rFonts w:ascii="Arial" w:hAnsi="Arial" w:cs="Arial"/>
        </w:rPr>
        <w:t>Integration and Continuous Improvement</w:t>
      </w:r>
    </w:p>
    <w:p w14:paraId="5E491521" w14:textId="77777777" w:rsidR="003B3973" w:rsidRPr="003B3973" w:rsidRDefault="003B3973" w:rsidP="0016791A">
      <w:pPr>
        <w:spacing w:line="360" w:lineRule="auto"/>
        <w:rPr>
          <w:rFonts w:ascii="Arial" w:hAnsi="Arial" w:cs="Arial"/>
        </w:rPr>
      </w:pPr>
      <w:r w:rsidRPr="003B3973">
        <w:rPr>
          <w:rFonts w:ascii="Arial" w:hAnsi="Arial" w:cs="Arial"/>
        </w:rPr>
        <w:t>The 4C’s are not linear but iterative. Hilton must regularly review engagement effectiveness, adapt strategies based on stakeholder feedback, and celebrate successes. Embedding the 4C’s into Hilton’s governance structures (e.g., ESG committees, cross-functional teams) ensures that engagement is sustained and evolves with stakeholder needs.</w:t>
      </w:r>
    </w:p>
    <w:p w14:paraId="34BC8ACD" w14:textId="77777777" w:rsidR="003B3973" w:rsidRPr="003B3973" w:rsidRDefault="003B3973" w:rsidP="0016791A">
      <w:pPr>
        <w:spacing w:line="360" w:lineRule="auto"/>
        <w:rPr>
          <w:rFonts w:ascii="Arial" w:hAnsi="Arial" w:cs="Arial"/>
        </w:rPr>
      </w:pPr>
      <w:r w:rsidRPr="003B3973">
        <w:rPr>
          <w:rFonts w:ascii="Arial" w:hAnsi="Arial" w:cs="Arial"/>
        </w:rPr>
        <w:t>Evaluation of Stakeholder Engagement Impact and Recommendations</w:t>
      </w:r>
    </w:p>
    <w:p w14:paraId="40259EF5" w14:textId="77777777" w:rsidR="003B3973" w:rsidRPr="003B3973" w:rsidRDefault="003B3973" w:rsidP="0016791A">
      <w:pPr>
        <w:spacing w:line="360" w:lineRule="auto"/>
        <w:rPr>
          <w:rFonts w:ascii="Arial" w:hAnsi="Arial" w:cs="Arial"/>
        </w:rPr>
      </w:pPr>
      <w:r w:rsidRPr="003B3973">
        <w:rPr>
          <w:rFonts w:ascii="Arial" w:hAnsi="Arial" w:cs="Arial"/>
        </w:rPr>
        <w:t>Impact on Business Performance</w:t>
      </w:r>
    </w:p>
    <w:p w14:paraId="7E4FF797" w14:textId="77777777" w:rsidR="003B3973" w:rsidRPr="003B3973" w:rsidRDefault="003B3973" w:rsidP="0016791A">
      <w:pPr>
        <w:spacing w:line="360" w:lineRule="auto"/>
        <w:rPr>
          <w:rFonts w:ascii="Arial" w:hAnsi="Arial" w:cs="Arial"/>
        </w:rPr>
      </w:pPr>
      <w:r w:rsidRPr="003B3973">
        <w:rPr>
          <w:rFonts w:ascii="Arial" w:hAnsi="Arial" w:cs="Arial"/>
          <w:b/>
          <w:bCs/>
        </w:rPr>
        <w:lastRenderedPageBreak/>
        <w:t>Financial Performance</w:t>
      </w:r>
      <w:r w:rsidRPr="003B3973">
        <w:rPr>
          <w:rFonts w:ascii="Arial" w:hAnsi="Arial" w:cs="Arial"/>
        </w:rPr>
        <w:t>: Effective stakeholder engagement drives higher guest satisfaction (CSAT, NPS), leading to increased repeat bookings, direct channel growth, and improved RevPAR and GOPPAR. Marriott’s AI-driven personalization, for example, resulted in a 12% increase in guest satisfaction and a 15% RevPAR uplift in pilot properties. Hilton’s own loyalty program and digital innovations have been linked to higher retention and direct booking rates.</w:t>
      </w:r>
    </w:p>
    <w:p w14:paraId="5CDA4CD9" w14:textId="77777777" w:rsidR="003B3973" w:rsidRPr="003B3973" w:rsidRDefault="003B3973" w:rsidP="0016791A">
      <w:pPr>
        <w:spacing w:line="360" w:lineRule="auto"/>
        <w:rPr>
          <w:rFonts w:ascii="Arial" w:hAnsi="Arial" w:cs="Arial"/>
        </w:rPr>
      </w:pPr>
      <w:r w:rsidRPr="003B3973">
        <w:rPr>
          <w:rFonts w:ascii="Arial" w:hAnsi="Arial" w:cs="Arial"/>
          <w:b/>
          <w:bCs/>
        </w:rPr>
        <w:t>Operational Efficiency</w:t>
      </w:r>
      <w:r w:rsidRPr="003B3973">
        <w:rPr>
          <w:rFonts w:ascii="Arial" w:hAnsi="Arial" w:cs="Arial"/>
        </w:rPr>
        <w:t>: Engaged employees are more productive, innovative, and resilient to change. AI-driven training and real-time feedback enhance staff performance and reduce turnover. Clear RACI matrices and communication plans prevent duplication, delays, and role confusion, especially in complex, multi-property rollouts.</w:t>
      </w:r>
    </w:p>
    <w:p w14:paraId="3DC2F760" w14:textId="77777777" w:rsidR="003B3973" w:rsidRPr="003B3973" w:rsidRDefault="003B3973" w:rsidP="0016791A">
      <w:pPr>
        <w:spacing w:line="360" w:lineRule="auto"/>
        <w:rPr>
          <w:rFonts w:ascii="Arial" w:hAnsi="Arial" w:cs="Arial"/>
        </w:rPr>
      </w:pPr>
      <w:r w:rsidRPr="003B3973">
        <w:rPr>
          <w:rFonts w:ascii="Arial" w:hAnsi="Arial" w:cs="Arial"/>
          <w:b/>
          <w:bCs/>
        </w:rPr>
        <w:t>Brand Reputation and Risk Management</w:t>
      </w:r>
      <w:r w:rsidRPr="003B3973">
        <w:rPr>
          <w:rFonts w:ascii="Arial" w:hAnsi="Arial" w:cs="Arial"/>
        </w:rPr>
        <w:t>: Transparent engagement with guests, communities, and media strengthens Hilton’s reputation and mitigates risks from crises (e.g., data breaches, negative reviews). AI-powered sentiment analysis and real-time response tools enable proactive reputation management.</w:t>
      </w:r>
    </w:p>
    <w:p w14:paraId="7B98EFD8" w14:textId="77777777" w:rsidR="003B3973" w:rsidRPr="003B3973" w:rsidRDefault="003B3973" w:rsidP="0016791A">
      <w:pPr>
        <w:spacing w:line="360" w:lineRule="auto"/>
        <w:rPr>
          <w:rFonts w:ascii="Arial" w:hAnsi="Arial" w:cs="Arial"/>
        </w:rPr>
      </w:pPr>
      <w:r w:rsidRPr="003B3973">
        <w:rPr>
          <w:rFonts w:ascii="Arial" w:hAnsi="Arial" w:cs="Arial"/>
          <w:b/>
          <w:bCs/>
        </w:rPr>
        <w:t>Sustainability and ESG Outcomes</w:t>
      </w:r>
      <w:r w:rsidRPr="003B3973">
        <w:rPr>
          <w:rFonts w:ascii="Arial" w:hAnsi="Arial" w:cs="Arial"/>
        </w:rPr>
        <w:t>: Collaboration with local communities, NGOs, and sustainability partners enables Hilton to achieve its Travel with Purpose 2030 goals, reduce environmental impact, and enhance social inclusion. Stakeholder engagement is critical for meeting regulatory requirements and securing green certifications.</w:t>
      </w:r>
    </w:p>
    <w:p w14:paraId="353626BC" w14:textId="77777777" w:rsidR="003B3973" w:rsidRPr="003B3973" w:rsidRDefault="003B3973" w:rsidP="0016791A">
      <w:pPr>
        <w:spacing w:line="360" w:lineRule="auto"/>
        <w:rPr>
          <w:rFonts w:ascii="Arial" w:hAnsi="Arial" w:cs="Arial"/>
        </w:rPr>
      </w:pPr>
      <w:r w:rsidRPr="003B3973">
        <w:rPr>
          <w:rFonts w:ascii="Arial" w:hAnsi="Arial" w:cs="Arial"/>
          <w:b/>
          <w:bCs/>
        </w:rPr>
        <w:t>Innovation and Competitive Advantage</w:t>
      </w:r>
      <w:r w:rsidRPr="003B3973">
        <w:rPr>
          <w:rFonts w:ascii="Arial" w:hAnsi="Arial" w:cs="Arial"/>
        </w:rPr>
        <w:t>: Co-creation with technology vendors and guests accelerates innovation cycles, ensuring that Hilton remains at the forefront of digital and experiential hospitality. Engaged stakeholders are more likely to advocate for the brand and contribute to continuous improvement.</w:t>
      </w:r>
    </w:p>
    <w:p w14:paraId="7978B81C" w14:textId="77777777" w:rsidR="003B3973" w:rsidRPr="003B3973" w:rsidRDefault="003B3973" w:rsidP="0016791A">
      <w:pPr>
        <w:spacing w:line="360" w:lineRule="auto"/>
        <w:rPr>
          <w:rFonts w:ascii="Arial" w:hAnsi="Arial" w:cs="Arial"/>
        </w:rPr>
      </w:pPr>
      <w:r w:rsidRPr="003B3973">
        <w:rPr>
          <w:rFonts w:ascii="Arial" w:hAnsi="Arial" w:cs="Arial"/>
        </w:rPr>
        <w:t>Challenges and Ethical Considerations</w:t>
      </w:r>
    </w:p>
    <w:p w14:paraId="273C04C2" w14:textId="77777777" w:rsidR="003B3973" w:rsidRPr="003B3973" w:rsidRDefault="003B3973" w:rsidP="0016791A">
      <w:pPr>
        <w:spacing w:line="360" w:lineRule="auto"/>
        <w:rPr>
          <w:rFonts w:ascii="Arial" w:hAnsi="Arial" w:cs="Arial"/>
        </w:rPr>
      </w:pPr>
      <w:r w:rsidRPr="003B3973">
        <w:rPr>
          <w:rFonts w:ascii="Arial" w:hAnsi="Arial" w:cs="Arial"/>
          <w:b/>
          <w:bCs/>
        </w:rPr>
        <w:t>Data Privacy and AI Ethics</w:t>
      </w:r>
      <w:r w:rsidRPr="003B3973">
        <w:rPr>
          <w:rFonts w:ascii="Arial" w:hAnsi="Arial" w:cs="Arial"/>
        </w:rPr>
        <w:t>: The use of AI for personalization raises concerns about data security, consent, and algorithmic bias. Hilton must comply with GDPR, the EU AI Act, and emerging best practices for ethical AI, ensuring transparency and guest control over personal data.</w:t>
      </w:r>
    </w:p>
    <w:p w14:paraId="448F403F" w14:textId="77777777" w:rsidR="003B3973" w:rsidRPr="003B3973" w:rsidRDefault="003B3973" w:rsidP="0016791A">
      <w:pPr>
        <w:spacing w:line="360" w:lineRule="auto"/>
        <w:rPr>
          <w:rFonts w:ascii="Arial" w:hAnsi="Arial" w:cs="Arial"/>
        </w:rPr>
      </w:pPr>
      <w:r w:rsidRPr="003B3973">
        <w:rPr>
          <w:rFonts w:ascii="Arial" w:hAnsi="Arial" w:cs="Arial"/>
          <w:b/>
          <w:bCs/>
        </w:rPr>
        <w:t>Cultural Sensitivity</w:t>
      </w:r>
      <w:r w:rsidRPr="003B3973">
        <w:rPr>
          <w:rFonts w:ascii="Arial" w:hAnsi="Arial" w:cs="Arial"/>
        </w:rPr>
        <w:t>: Global rollouts require adaptation to local cultures, languages, and regulatory environments. Failure to respect local norms can lead to resistance, reputational damage, or regulatory sanctions.</w:t>
      </w:r>
    </w:p>
    <w:p w14:paraId="46A08C73" w14:textId="77777777" w:rsidR="003B3973" w:rsidRPr="003B3973" w:rsidRDefault="003B3973" w:rsidP="0016791A">
      <w:pPr>
        <w:spacing w:line="360" w:lineRule="auto"/>
        <w:rPr>
          <w:rFonts w:ascii="Arial" w:hAnsi="Arial" w:cs="Arial"/>
        </w:rPr>
      </w:pPr>
      <w:r w:rsidRPr="003B3973">
        <w:rPr>
          <w:rFonts w:ascii="Arial" w:hAnsi="Arial" w:cs="Arial"/>
          <w:b/>
          <w:bCs/>
        </w:rPr>
        <w:t>Inclusivity and Accessibility</w:t>
      </w:r>
      <w:r w:rsidRPr="003B3973">
        <w:rPr>
          <w:rFonts w:ascii="Arial" w:hAnsi="Arial" w:cs="Arial"/>
        </w:rPr>
        <w:t>: Stakeholder engagement must be inclusive, ensuring that marginalized groups (e.g., people with disabilities, minority communities) are represented and their needs addressed.</w:t>
      </w:r>
    </w:p>
    <w:p w14:paraId="1838F045" w14:textId="77777777" w:rsidR="003B3973" w:rsidRPr="003B3973" w:rsidRDefault="003B3973" w:rsidP="0016791A">
      <w:pPr>
        <w:spacing w:line="360" w:lineRule="auto"/>
        <w:rPr>
          <w:rFonts w:ascii="Arial" w:hAnsi="Arial" w:cs="Arial"/>
        </w:rPr>
      </w:pPr>
      <w:r w:rsidRPr="003B3973">
        <w:rPr>
          <w:rFonts w:ascii="Arial" w:hAnsi="Arial" w:cs="Arial"/>
          <w:b/>
          <w:bCs/>
        </w:rPr>
        <w:lastRenderedPageBreak/>
        <w:t>Vendor and Supply Chain Risks</w:t>
      </w:r>
      <w:r w:rsidRPr="003B3973">
        <w:rPr>
          <w:rFonts w:ascii="Arial" w:hAnsi="Arial" w:cs="Arial"/>
        </w:rPr>
        <w:t>: Reliance on third-party vendors for AI and sustainability solutions introduces risks related to quality, compliance, and continuity. Robust vendor agreements and SLAs are essential.</w:t>
      </w:r>
    </w:p>
    <w:p w14:paraId="5B664E66" w14:textId="77777777" w:rsidR="003B3973" w:rsidRPr="003B3973" w:rsidRDefault="003B3973" w:rsidP="0016791A">
      <w:pPr>
        <w:spacing w:line="360" w:lineRule="auto"/>
        <w:rPr>
          <w:rFonts w:ascii="Arial" w:hAnsi="Arial" w:cs="Arial"/>
        </w:rPr>
      </w:pPr>
      <w:r w:rsidRPr="003B3973">
        <w:rPr>
          <w:rFonts w:ascii="Arial" w:hAnsi="Arial" w:cs="Arial"/>
        </w:rPr>
        <w:t>Recommendations</w:t>
      </w:r>
    </w:p>
    <w:p w14:paraId="7EDA75E5" w14:textId="77777777" w:rsidR="003B3973" w:rsidRPr="003B3973" w:rsidRDefault="003B3973" w:rsidP="0016791A">
      <w:pPr>
        <w:numPr>
          <w:ilvl w:val="0"/>
          <w:numId w:val="10"/>
        </w:numPr>
        <w:spacing w:line="360" w:lineRule="auto"/>
        <w:rPr>
          <w:rFonts w:ascii="Arial" w:hAnsi="Arial" w:cs="Arial"/>
        </w:rPr>
      </w:pPr>
      <w:r w:rsidRPr="003B3973">
        <w:rPr>
          <w:rFonts w:ascii="Arial" w:hAnsi="Arial" w:cs="Arial"/>
          <w:b/>
          <w:bCs/>
        </w:rPr>
        <w:t>Strengthen Executive Sponsorship</w:t>
      </w:r>
      <w:r w:rsidRPr="003B3973">
        <w:rPr>
          <w:rFonts w:ascii="Arial" w:hAnsi="Arial" w:cs="Arial"/>
        </w:rPr>
        <w:t>: Ensure visible, sustained commitment from the C-suite, with clear accountability for stakeholder engagement outcomes.</w:t>
      </w:r>
    </w:p>
    <w:p w14:paraId="1DE9C00A" w14:textId="77777777" w:rsidR="003B3973" w:rsidRPr="003B3973" w:rsidRDefault="003B3973" w:rsidP="0016791A">
      <w:pPr>
        <w:numPr>
          <w:ilvl w:val="0"/>
          <w:numId w:val="10"/>
        </w:numPr>
        <w:spacing w:line="360" w:lineRule="auto"/>
        <w:rPr>
          <w:rFonts w:ascii="Arial" w:hAnsi="Arial" w:cs="Arial"/>
        </w:rPr>
      </w:pPr>
      <w:r w:rsidRPr="003B3973">
        <w:rPr>
          <w:rFonts w:ascii="Arial" w:hAnsi="Arial" w:cs="Arial"/>
          <w:b/>
          <w:bCs/>
        </w:rPr>
        <w:t>Invest in Training and Change Management</w:t>
      </w:r>
      <w:r w:rsidRPr="003B3973">
        <w:rPr>
          <w:rFonts w:ascii="Arial" w:hAnsi="Arial" w:cs="Arial"/>
        </w:rPr>
        <w:t>: Deploy AI-powered, multilingual training platforms to upskill staff, address resistance, and foster a culture of innovation and inclusivity.</w:t>
      </w:r>
    </w:p>
    <w:p w14:paraId="2B78FE33" w14:textId="77777777" w:rsidR="003B3973" w:rsidRPr="003B3973" w:rsidRDefault="003B3973" w:rsidP="0016791A">
      <w:pPr>
        <w:numPr>
          <w:ilvl w:val="0"/>
          <w:numId w:val="10"/>
        </w:numPr>
        <w:spacing w:line="360" w:lineRule="auto"/>
        <w:rPr>
          <w:rFonts w:ascii="Arial" w:hAnsi="Arial" w:cs="Arial"/>
        </w:rPr>
      </w:pPr>
      <w:r w:rsidRPr="003B3973">
        <w:rPr>
          <w:rFonts w:ascii="Arial" w:hAnsi="Arial" w:cs="Arial"/>
          <w:b/>
          <w:bCs/>
        </w:rPr>
        <w:t>Enhance Data Governance and AI Ethics</w:t>
      </w:r>
      <w:r w:rsidRPr="003B3973">
        <w:rPr>
          <w:rFonts w:ascii="Arial" w:hAnsi="Arial" w:cs="Arial"/>
        </w:rPr>
        <w:t>: Implement robust data protection measures, transparent consent processes, and regular audits to ensure compliance with GDPR, ISO 27001, and AI ethics standards.</w:t>
      </w:r>
    </w:p>
    <w:p w14:paraId="5BBCB7B4" w14:textId="77777777" w:rsidR="003B3973" w:rsidRPr="003B3973" w:rsidRDefault="003B3973" w:rsidP="0016791A">
      <w:pPr>
        <w:numPr>
          <w:ilvl w:val="0"/>
          <w:numId w:val="10"/>
        </w:numPr>
        <w:spacing w:line="360" w:lineRule="auto"/>
        <w:rPr>
          <w:rFonts w:ascii="Arial" w:hAnsi="Arial" w:cs="Arial"/>
        </w:rPr>
      </w:pPr>
      <w:r w:rsidRPr="003B3973">
        <w:rPr>
          <w:rFonts w:ascii="Arial" w:hAnsi="Arial" w:cs="Arial"/>
          <w:b/>
          <w:bCs/>
        </w:rPr>
        <w:t>Localize Engagement Strategies</w:t>
      </w:r>
      <w:r w:rsidRPr="003B3973">
        <w:rPr>
          <w:rFonts w:ascii="Arial" w:hAnsi="Arial" w:cs="Arial"/>
        </w:rPr>
        <w:t>: Adapt communication, consultation, and collaboration approaches to local cultural, regulatory, and market contexts, leveraging local champions and community partnerships.</w:t>
      </w:r>
    </w:p>
    <w:p w14:paraId="71E051AC" w14:textId="77777777" w:rsidR="003B3973" w:rsidRPr="003B3973" w:rsidRDefault="003B3973" w:rsidP="0016791A">
      <w:pPr>
        <w:numPr>
          <w:ilvl w:val="0"/>
          <w:numId w:val="10"/>
        </w:numPr>
        <w:spacing w:line="360" w:lineRule="auto"/>
        <w:rPr>
          <w:rFonts w:ascii="Arial" w:hAnsi="Arial" w:cs="Arial"/>
        </w:rPr>
      </w:pPr>
      <w:r w:rsidRPr="003B3973">
        <w:rPr>
          <w:rFonts w:ascii="Arial" w:hAnsi="Arial" w:cs="Arial"/>
          <w:b/>
          <w:bCs/>
        </w:rPr>
        <w:t>Leverage Digital Platforms for Engagement</w:t>
      </w:r>
      <w:r w:rsidRPr="003B3973">
        <w:rPr>
          <w:rFonts w:ascii="Arial" w:hAnsi="Arial" w:cs="Arial"/>
        </w:rPr>
        <w:t>: Use AI-driven sentiment analysis, unified communication dashboards, and real-time feedback tools to monitor stakeholder perceptions and respond proactively.</w:t>
      </w:r>
    </w:p>
    <w:p w14:paraId="45AA3928" w14:textId="77777777" w:rsidR="003B3973" w:rsidRPr="003B3973" w:rsidRDefault="003B3973" w:rsidP="0016791A">
      <w:pPr>
        <w:numPr>
          <w:ilvl w:val="0"/>
          <w:numId w:val="10"/>
        </w:numPr>
        <w:spacing w:line="360" w:lineRule="auto"/>
        <w:rPr>
          <w:rFonts w:ascii="Arial" w:hAnsi="Arial" w:cs="Arial"/>
        </w:rPr>
      </w:pPr>
      <w:r w:rsidRPr="003B3973">
        <w:rPr>
          <w:rFonts w:ascii="Arial" w:hAnsi="Arial" w:cs="Arial"/>
          <w:b/>
          <w:bCs/>
        </w:rPr>
        <w:t>Embed Sustainability and ESG in Engagement</w:t>
      </w:r>
      <w:r w:rsidRPr="003B3973">
        <w:rPr>
          <w:rFonts w:ascii="Arial" w:hAnsi="Arial" w:cs="Arial"/>
        </w:rPr>
        <w:t xml:space="preserve">: Align stakeholder engagement with Hilton’s Travel with Purpose and </w:t>
      </w:r>
      <w:proofErr w:type="spellStart"/>
      <w:r w:rsidRPr="003B3973">
        <w:rPr>
          <w:rFonts w:ascii="Arial" w:hAnsi="Arial" w:cs="Arial"/>
        </w:rPr>
        <w:t>LightStay</w:t>
      </w:r>
      <w:proofErr w:type="spellEnd"/>
      <w:r w:rsidRPr="003B3973">
        <w:rPr>
          <w:rFonts w:ascii="Arial" w:hAnsi="Arial" w:cs="Arial"/>
        </w:rPr>
        <w:t xml:space="preserve"> initiatives, setting measurable targets for environmental and social impact.</w:t>
      </w:r>
    </w:p>
    <w:p w14:paraId="2E5F8F2C" w14:textId="77777777" w:rsidR="003B3973" w:rsidRPr="003B3973" w:rsidRDefault="003B3973" w:rsidP="0016791A">
      <w:pPr>
        <w:numPr>
          <w:ilvl w:val="0"/>
          <w:numId w:val="10"/>
        </w:numPr>
        <w:spacing w:line="360" w:lineRule="auto"/>
        <w:rPr>
          <w:rFonts w:ascii="Arial" w:hAnsi="Arial" w:cs="Arial"/>
        </w:rPr>
      </w:pPr>
      <w:r w:rsidRPr="003B3973">
        <w:rPr>
          <w:rFonts w:ascii="Arial" w:hAnsi="Arial" w:cs="Arial"/>
          <w:b/>
          <w:bCs/>
        </w:rPr>
        <w:t>Regularly Review and Adapt Engagement Plans</w:t>
      </w:r>
      <w:r w:rsidRPr="003B3973">
        <w:rPr>
          <w:rFonts w:ascii="Arial" w:hAnsi="Arial" w:cs="Arial"/>
        </w:rPr>
        <w:t>: Establish feedback loops, monitor KPIs (e.g., NPS, CSAT, employee engagement, sustainability metrics), and iterate strategies based on stakeholder input and changing conditions.</w:t>
      </w:r>
    </w:p>
    <w:p w14:paraId="23044415" w14:textId="77777777" w:rsidR="003B3973" w:rsidRPr="003B3973" w:rsidRDefault="003B3973" w:rsidP="0016791A">
      <w:pPr>
        <w:numPr>
          <w:ilvl w:val="0"/>
          <w:numId w:val="10"/>
        </w:numPr>
        <w:spacing w:line="360" w:lineRule="auto"/>
        <w:rPr>
          <w:rFonts w:ascii="Arial" w:hAnsi="Arial" w:cs="Arial"/>
        </w:rPr>
      </w:pPr>
      <w:r w:rsidRPr="003B3973">
        <w:rPr>
          <w:rFonts w:ascii="Arial" w:hAnsi="Arial" w:cs="Arial"/>
          <w:b/>
          <w:bCs/>
        </w:rPr>
        <w:t>Foster Cross-Functional and Cross-Sector Collaboration</w:t>
      </w:r>
      <w:r w:rsidRPr="003B3973">
        <w:rPr>
          <w:rFonts w:ascii="Arial" w:hAnsi="Arial" w:cs="Arial"/>
        </w:rPr>
        <w:t>: Build partnerships with technology vendors, NGOs, industry associations, and local communities to co-create value and share best practices.</w:t>
      </w:r>
    </w:p>
    <w:p w14:paraId="75B49CD6" w14:textId="77777777" w:rsidR="003B3973" w:rsidRPr="003B3973" w:rsidRDefault="003B3973" w:rsidP="0016791A">
      <w:pPr>
        <w:numPr>
          <w:ilvl w:val="0"/>
          <w:numId w:val="10"/>
        </w:numPr>
        <w:spacing w:line="360" w:lineRule="auto"/>
        <w:rPr>
          <w:rFonts w:ascii="Arial" w:hAnsi="Arial" w:cs="Arial"/>
        </w:rPr>
      </w:pPr>
      <w:r w:rsidRPr="003B3973">
        <w:rPr>
          <w:rFonts w:ascii="Arial" w:hAnsi="Arial" w:cs="Arial"/>
          <w:b/>
          <w:bCs/>
        </w:rPr>
        <w:t>Prepare for Crisis and Reputation Management</w:t>
      </w:r>
      <w:r w:rsidRPr="003B3973">
        <w:rPr>
          <w:rFonts w:ascii="Arial" w:hAnsi="Arial" w:cs="Arial"/>
        </w:rPr>
        <w:t>: Develop crisis communication protocols, train staff in rapid response, and use AI tools to detect and address emerging issues before they escalate.</w:t>
      </w:r>
    </w:p>
    <w:p w14:paraId="2CF1BB53" w14:textId="77777777" w:rsidR="003B3973" w:rsidRPr="003B3973" w:rsidRDefault="003B3973" w:rsidP="0016791A">
      <w:pPr>
        <w:numPr>
          <w:ilvl w:val="0"/>
          <w:numId w:val="10"/>
        </w:numPr>
        <w:spacing w:line="360" w:lineRule="auto"/>
        <w:rPr>
          <w:rFonts w:ascii="Arial" w:hAnsi="Arial" w:cs="Arial"/>
        </w:rPr>
      </w:pPr>
      <w:r w:rsidRPr="003B3973">
        <w:rPr>
          <w:rFonts w:ascii="Arial" w:hAnsi="Arial" w:cs="Arial"/>
          <w:b/>
          <w:bCs/>
        </w:rPr>
        <w:lastRenderedPageBreak/>
        <w:t>Document and Share Success Stories</w:t>
      </w:r>
      <w:r w:rsidRPr="003B3973">
        <w:rPr>
          <w:rFonts w:ascii="Arial" w:hAnsi="Arial" w:cs="Arial"/>
        </w:rPr>
        <w:t>: Publicize engagement successes internally and externally to build momentum, recognize contributions, and reinforce Hilton’s leadership in stakeholder-centric hospitality.</w:t>
      </w:r>
    </w:p>
    <w:p w14:paraId="50AC231D" w14:textId="77777777" w:rsidR="003B3973" w:rsidRPr="003B3973" w:rsidRDefault="003B3973" w:rsidP="0016791A">
      <w:pPr>
        <w:spacing w:line="360" w:lineRule="auto"/>
        <w:rPr>
          <w:rFonts w:ascii="Arial" w:hAnsi="Arial" w:cs="Arial"/>
        </w:rPr>
      </w:pPr>
      <w:r w:rsidRPr="003B3973">
        <w:rPr>
          <w:rFonts w:ascii="Arial" w:hAnsi="Arial" w:cs="Arial"/>
        </w:rPr>
        <w:t>Conclusion</w:t>
      </w:r>
    </w:p>
    <w:p w14:paraId="76CBDFB5" w14:textId="77777777" w:rsidR="003B3973" w:rsidRPr="003B3973" w:rsidRDefault="003B3973" w:rsidP="0016791A">
      <w:pPr>
        <w:spacing w:line="360" w:lineRule="auto"/>
        <w:rPr>
          <w:rFonts w:ascii="Arial" w:hAnsi="Arial" w:cs="Arial"/>
        </w:rPr>
      </w:pPr>
      <w:r w:rsidRPr="003B3973">
        <w:rPr>
          <w:rFonts w:ascii="Arial" w:hAnsi="Arial" w:cs="Arial"/>
        </w:rPr>
        <w:t>The successful global launch of '</w:t>
      </w:r>
      <w:proofErr w:type="spellStart"/>
      <w:r w:rsidRPr="003B3973">
        <w:rPr>
          <w:rFonts w:ascii="Arial" w:hAnsi="Arial" w:cs="Arial"/>
        </w:rPr>
        <w:t>StaySmart</w:t>
      </w:r>
      <w:proofErr w:type="spellEnd"/>
      <w:r w:rsidRPr="003B3973">
        <w:rPr>
          <w:rFonts w:ascii="Arial" w:hAnsi="Arial" w:cs="Arial"/>
        </w:rPr>
        <w:t>+' hinges on Hilton’s ability to engage a complex, diverse, and dynamic network of stakeholders. By applying stakeholder theory, engagement frameworks, and strategic management principles, Hilton can foster collaboration, trust, and commitment across cultural and market boundaries. The integration of AI-driven guest interaction, personalized travel planning, and sustainability-focused amenities offers significant opportunities for value creation, but also demands rigorous attention to ethical, legal, and cultural considerations.</w:t>
      </w:r>
    </w:p>
    <w:p w14:paraId="06520A3C" w14:textId="77777777" w:rsidR="003B3973" w:rsidRPr="003B3973" w:rsidRDefault="003B3973" w:rsidP="0016791A">
      <w:pPr>
        <w:spacing w:line="360" w:lineRule="auto"/>
        <w:rPr>
          <w:rFonts w:ascii="Arial" w:hAnsi="Arial" w:cs="Arial"/>
        </w:rPr>
      </w:pPr>
      <w:r w:rsidRPr="003B3973">
        <w:rPr>
          <w:rFonts w:ascii="Arial" w:hAnsi="Arial" w:cs="Arial"/>
        </w:rPr>
        <w:t>Hilton’s flagship properties in London and Birmingham provide both a showcase and a laboratory for innovation, setting the standard for subsequent rollouts. The company’s strengths in scale, brand equity, and loyalty are powerful enablers, but must be matched by agility, inclusivity, and continuous learning. Effective stakeholder engagement is not merely a compliance exercise but a strategic imperative—one that drives financial performance, operational excellence, brand reputation, and sustainable growth.</w:t>
      </w:r>
    </w:p>
    <w:p w14:paraId="145F4D6E" w14:textId="77777777" w:rsidR="003B3973" w:rsidRPr="003B3973" w:rsidRDefault="003B3973" w:rsidP="0016791A">
      <w:pPr>
        <w:spacing w:line="360" w:lineRule="auto"/>
        <w:rPr>
          <w:rFonts w:ascii="Arial" w:hAnsi="Arial" w:cs="Arial"/>
        </w:rPr>
      </w:pPr>
      <w:r w:rsidRPr="003B3973">
        <w:rPr>
          <w:rFonts w:ascii="Arial" w:hAnsi="Arial" w:cs="Arial"/>
        </w:rPr>
        <w:t xml:space="preserve">By embedding the 4C’s model—Commitment, Communication, Consultation, Collaboration—into its DNA, Hilton can navigate the complexities of global hospitality, deliver exceptional experiences, and </w:t>
      </w:r>
      <w:proofErr w:type="spellStart"/>
      <w:r w:rsidRPr="003B3973">
        <w:rPr>
          <w:rFonts w:ascii="Arial" w:hAnsi="Arial" w:cs="Arial"/>
        </w:rPr>
        <w:t>fulfill</w:t>
      </w:r>
      <w:proofErr w:type="spellEnd"/>
      <w:r w:rsidRPr="003B3973">
        <w:rPr>
          <w:rFonts w:ascii="Arial" w:hAnsi="Arial" w:cs="Arial"/>
        </w:rPr>
        <w:t xml:space="preserve"> its mission to “fill the earth with the light and warmth of hospitality.” The recommendations outlined in this report provide a roadmap for maximizing stakeholder value, mitigating risks, and ensuring that '</w:t>
      </w:r>
      <w:proofErr w:type="spellStart"/>
      <w:r w:rsidRPr="003B3973">
        <w:rPr>
          <w:rFonts w:ascii="Arial" w:hAnsi="Arial" w:cs="Arial"/>
        </w:rPr>
        <w:t>StaySmart</w:t>
      </w:r>
      <w:proofErr w:type="spellEnd"/>
      <w:r w:rsidRPr="003B3973">
        <w:rPr>
          <w:rFonts w:ascii="Arial" w:hAnsi="Arial" w:cs="Arial"/>
        </w:rPr>
        <w:t>+' becomes a benchmark for innovation and responsible leadership in the industry.</w:t>
      </w:r>
    </w:p>
    <w:p w14:paraId="0FDD9D9E" w14:textId="18B38E12" w:rsidR="005B38C8" w:rsidRPr="0016791A" w:rsidRDefault="00205EE1" w:rsidP="0016791A">
      <w:pPr>
        <w:spacing w:line="360" w:lineRule="auto"/>
        <w:rPr>
          <w:rFonts w:ascii="Arial" w:hAnsi="Arial" w:cs="Arial"/>
        </w:rPr>
      </w:pPr>
      <w:r w:rsidRPr="0016791A">
        <w:rPr>
          <w:rFonts w:ascii="Arial" w:hAnsi="Arial" w:cs="Arial"/>
        </w:rPr>
        <w:br/>
      </w:r>
      <w:r w:rsidRPr="0016791A">
        <w:rPr>
          <w:rFonts w:ascii="Arial" w:hAnsi="Arial" w:cs="Arial"/>
        </w:rPr>
        <w:br/>
      </w:r>
      <w:r w:rsidRPr="0016791A">
        <w:rPr>
          <w:rFonts w:ascii="Arial" w:hAnsi="Arial" w:cs="Arial"/>
        </w:rPr>
        <w:br/>
        <w:t>REFERENCES:</w:t>
      </w:r>
      <w:r w:rsidRPr="0016791A">
        <w:rPr>
          <w:rFonts w:ascii="Arial" w:hAnsi="Arial" w:cs="Arial"/>
        </w:rPr>
        <w:br/>
      </w:r>
      <w:r w:rsidRPr="0016791A">
        <w:rPr>
          <w:rFonts w:ascii="Arial" w:hAnsi="Arial" w:cs="Arial"/>
        </w:rPr>
        <w:br/>
      </w:r>
      <w:r w:rsidR="00EB4EDC" w:rsidRPr="0016791A">
        <w:rPr>
          <w:rFonts w:ascii="Arial" w:hAnsi="Arial" w:cs="Arial"/>
        </w:rPr>
        <w:t>The Walpole. (2026). </w:t>
      </w:r>
      <w:r w:rsidR="00EB4EDC" w:rsidRPr="0016791A">
        <w:rPr>
          <w:rFonts w:ascii="Arial" w:hAnsi="Arial" w:cs="Arial"/>
          <w:i/>
          <w:iCs/>
        </w:rPr>
        <w:t>Introducing Waldorf Astoria London – Admiralty Arch, our latest member</w:t>
      </w:r>
      <w:r w:rsidR="00EB4EDC" w:rsidRPr="0016791A">
        <w:rPr>
          <w:rFonts w:ascii="Arial" w:hAnsi="Arial" w:cs="Arial"/>
        </w:rPr>
        <w:t xml:space="preserve">. [online] Available at: https://www.thewalpole.co.uk/news/introducing-waldorf-astoria-london-admiralty-arch [Accessed </w:t>
      </w:r>
      <w:r w:rsidR="00EB4EDC" w:rsidRPr="0016791A">
        <w:rPr>
          <w:rFonts w:ascii="Arial" w:hAnsi="Arial" w:cs="Arial"/>
        </w:rPr>
        <w:t>13</w:t>
      </w:r>
      <w:r w:rsidR="00EB4EDC" w:rsidRPr="0016791A">
        <w:rPr>
          <w:rFonts w:ascii="Arial" w:hAnsi="Arial" w:cs="Arial"/>
        </w:rPr>
        <w:t xml:space="preserve"> Mar. 2026].</w:t>
      </w:r>
      <w:r w:rsidR="005B38C8" w:rsidRPr="0016791A">
        <w:rPr>
          <w:rFonts w:ascii="Arial" w:hAnsi="Arial" w:cs="Arial"/>
        </w:rPr>
        <w:br/>
      </w:r>
      <w:r w:rsidR="00EA7DC6" w:rsidRPr="0016791A">
        <w:rPr>
          <w:rFonts w:ascii="Arial" w:hAnsi="Arial" w:cs="Arial"/>
        </w:rPr>
        <w:t>Sammut-Bonnici, T. and Galea, D. (2015). SWOT Analysis. </w:t>
      </w:r>
      <w:r w:rsidR="00EA7DC6" w:rsidRPr="0016791A">
        <w:rPr>
          <w:rFonts w:ascii="Arial" w:hAnsi="Arial" w:cs="Arial"/>
          <w:i/>
          <w:iCs/>
        </w:rPr>
        <w:t xml:space="preserve">Wiley </w:t>
      </w:r>
      <w:proofErr w:type="spellStart"/>
      <w:r w:rsidR="00EA7DC6" w:rsidRPr="0016791A">
        <w:rPr>
          <w:rFonts w:ascii="Arial" w:hAnsi="Arial" w:cs="Arial"/>
          <w:i/>
          <w:iCs/>
        </w:rPr>
        <w:t>Encyclopedia</w:t>
      </w:r>
      <w:proofErr w:type="spellEnd"/>
      <w:r w:rsidR="00EA7DC6" w:rsidRPr="0016791A">
        <w:rPr>
          <w:rFonts w:ascii="Arial" w:hAnsi="Arial" w:cs="Arial"/>
          <w:i/>
          <w:iCs/>
        </w:rPr>
        <w:t xml:space="preserve"> of Management</w:t>
      </w:r>
      <w:r w:rsidR="00EA7DC6" w:rsidRPr="0016791A">
        <w:rPr>
          <w:rFonts w:ascii="Arial" w:hAnsi="Arial" w:cs="Arial"/>
        </w:rPr>
        <w:t xml:space="preserve">, [online] 12(1), pp.1–8. </w:t>
      </w:r>
      <w:proofErr w:type="spellStart"/>
      <w:r w:rsidR="00EA7DC6" w:rsidRPr="0016791A">
        <w:rPr>
          <w:rFonts w:ascii="Arial" w:hAnsi="Arial" w:cs="Arial"/>
        </w:rPr>
        <w:t>doi</w:t>
      </w:r>
      <w:proofErr w:type="spellEnd"/>
      <w:r w:rsidR="00EA7DC6" w:rsidRPr="0016791A">
        <w:rPr>
          <w:rFonts w:ascii="Arial" w:hAnsi="Arial" w:cs="Arial"/>
        </w:rPr>
        <w:t>:</w:t>
      </w:r>
      <w:r w:rsidR="00EA7DC6" w:rsidRPr="0016791A">
        <w:rPr>
          <w:rFonts w:ascii="Arial" w:hAnsi="Arial" w:cs="Arial"/>
        </w:rPr>
        <w:t xml:space="preserve"> </w:t>
      </w:r>
      <w:r w:rsidR="00EA7DC6" w:rsidRPr="0016791A">
        <w:rPr>
          <w:rFonts w:ascii="Arial" w:hAnsi="Arial" w:cs="Arial"/>
        </w:rPr>
        <w:t>https://kobbytamakloe.wordpress.com/wp-content/uploads/2020/07/swot-analysis-kjm.pdf.</w:t>
      </w:r>
      <w:r w:rsidR="005B38C8" w:rsidRPr="0016791A">
        <w:rPr>
          <w:rFonts w:ascii="Arial" w:hAnsi="Arial" w:cs="Arial"/>
        </w:rPr>
        <w:br/>
      </w:r>
      <w:proofErr w:type="spellStart"/>
      <w:r w:rsidR="005B38C8" w:rsidRPr="0016791A">
        <w:rPr>
          <w:rFonts w:ascii="Arial" w:hAnsi="Arial" w:cs="Arial"/>
        </w:rPr>
        <w:t>Slabá</w:t>
      </w:r>
      <w:proofErr w:type="spellEnd"/>
      <w:r w:rsidR="005B38C8" w:rsidRPr="0016791A">
        <w:rPr>
          <w:rFonts w:ascii="Arial" w:hAnsi="Arial" w:cs="Arial"/>
        </w:rPr>
        <w:t>, M. (2014). </w:t>
      </w:r>
      <w:r w:rsidR="005B38C8" w:rsidRPr="0016791A">
        <w:rPr>
          <w:rFonts w:ascii="Arial" w:hAnsi="Arial" w:cs="Arial"/>
          <w:i/>
          <w:iCs/>
        </w:rPr>
        <w:t>STAKEHOLDER POWER-INTEREST MATRIX AND STAKEHOLDER-</w:t>
      </w:r>
      <w:r w:rsidR="005B38C8" w:rsidRPr="0016791A">
        <w:rPr>
          <w:rFonts w:ascii="Arial" w:hAnsi="Arial" w:cs="Arial"/>
          <w:i/>
          <w:iCs/>
        </w:rPr>
        <w:lastRenderedPageBreak/>
        <w:t>RESPONSIBILITY MATRIX IN CORPORATE SOCIAL RESPONSIBILITY</w:t>
      </w:r>
      <w:r w:rsidR="005B38C8" w:rsidRPr="0016791A">
        <w:rPr>
          <w:rFonts w:ascii="Arial" w:hAnsi="Arial" w:cs="Arial"/>
        </w:rPr>
        <w:t>. [online] Available at: https://msed.vse.cz/msed_2014/article/358-Slaba-Marie-paper.pdf.</w:t>
      </w:r>
    </w:p>
    <w:p w14:paraId="741C2964" w14:textId="43F46514" w:rsidR="00A347B9" w:rsidRDefault="00A347B9"/>
    <w:sectPr w:rsidR="00A347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A601D"/>
    <w:multiLevelType w:val="multilevel"/>
    <w:tmpl w:val="FED83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74781F"/>
    <w:multiLevelType w:val="multilevel"/>
    <w:tmpl w:val="2F624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AF749F"/>
    <w:multiLevelType w:val="multilevel"/>
    <w:tmpl w:val="A4561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4811F0"/>
    <w:multiLevelType w:val="multilevel"/>
    <w:tmpl w:val="B3766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B37220"/>
    <w:multiLevelType w:val="multilevel"/>
    <w:tmpl w:val="29BC9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E5483A"/>
    <w:multiLevelType w:val="multilevel"/>
    <w:tmpl w:val="263E8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427B19"/>
    <w:multiLevelType w:val="multilevel"/>
    <w:tmpl w:val="9E629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0B19EE"/>
    <w:multiLevelType w:val="multilevel"/>
    <w:tmpl w:val="CBD2B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816ED0"/>
    <w:multiLevelType w:val="multilevel"/>
    <w:tmpl w:val="E1921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F134C5"/>
    <w:multiLevelType w:val="multilevel"/>
    <w:tmpl w:val="62908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0164225">
    <w:abstractNumId w:val="6"/>
  </w:num>
  <w:num w:numId="2" w16cid:durableId="1532647073">
    <w:abstractNumId w:val="0"/>
  </w:num>
  <w:num w:numId="3" w16cid:durableId="105005935">
    <w:abstractNumId w:val="3"/>
  </w:num>
  <w:num w:numId="4" w16cid:durableId="754976576">
    <w:abstractNumId w:val="4"/>
  </w:num>
  <w:num w:numId="5" w16cid:durableId="2035574405">
    <w:abstractNumId w:val="5"/>
  </w:num>
  <w:num w:numId="6" w16cid:durableId="2056543694">
    <w:abstractNumId w:val="7"/>
  </w:num>
  <w:num w:numId="7" w16cid:durableId="305941198">
    <w:abstractNumId w:val="8"/>
  </w:num>
  <w:num w:numId="8" w16cid:durableId="1759211554">
    <w:abstractNumId w:val="2"/>
  </w:num>
  <w:num w:numId="9" w16cid:durableId="1698583120">
    <w:abstractNumId w:val="1"/>
  </w:num>
  <w:num w:numId="10" w16cid:durableId="13617827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973"/>
    <w:rsid w:val="000427B3"/>
    <w:rsid w:val="0016791A"/>
    <w:rsid w:val="001F2402"/>
    <w:rsid w:val="00205EE1"/>
    <w:rsid w:val="002A578C"/>
    <w:rsid w:val="00385E8A"/>
    <w:rsid w:val="003B3973"/>
    <w:rsid w:val="005B38C8"/>
    <w:rsid w:val="005B4704"/>
    <w:rsid w:val="006147FF"/>
    <w:rsid w:val="006A1D2F"/>
    <w:rsid w:val="007C6D4F"/>
    <w:rsid w:val="008A693A"/>
    <w:rsid w:val="009B2E54"/>
    <w:rsid w:val="00A347B9"/>
    <w:rsid w:val="00C706AC"/>
    <w:rsid w:val="00D44D0D"/>
    <w:rsid w:val="00DD4785"/>
    <w:rsid w:val="00E32957"/>
    <w:rsid w:val="00E46F04"/>
    <w:rsid w:val="00EA7DC6"/>
    <w:rsid w:val="00EB4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64377"/>
  <w15:chartTrackingRefBased/>
  <w15:docId w15:val="{060D9BD4-4629-4953-804B-B7C45D417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97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3B397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B397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B397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B397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B39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9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9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9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97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3B397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B397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B397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B397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B39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9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9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973"/>
    <w:rPr>
      <w:rFonts w:eastAsiaTheme="majorEastAsia" w:cstheme="majorBidi"/>
      <w:color w:val="272727" w:themeColor="text1" w:themeTint="D8"/>
    </w:rPr>
  </w:style>
  <w:style w:type="paragraph" w:styleId="Title">
    <w:name w:val="Title"/>
    <w:basedOn w:val="Normal"/>
    <w:next w:val="Normal"/>
    <w:link w:val="TitleChar"/>
    <w:uiPriority w:val="10"/>
    <w:qFormat/>
    <w:rsid w:val="003B39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9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9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9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973"/>
    <w:pPr>
      <w:spacing w:before="160"/>
      <w:jc w:val="center"/>
    </w:pPr>
    <w:rPr>
      <w:i/>
      <w:iCs/>
      <w:color w:val="404040" w:themeColor="text1" w:themeTint="BF"/>
    </w:rPr>
  </w:style>
  <w:style w:type="character" w:customStyle="1" w:styleId="QuoteChar">
    <w:name w:val="Quote Char"/>
    <w:basedOn w:val="DefaultParagraphFont"/>
    <w:link w:val="Quote"/>
    <w:uiPriority w:val="29"/>
    <w:rsid w:val="003B3973"/>
    <w:rPr>
      <w:i/>
      <w:iCs/>
      <w:color w:val="404040" w:themeColor="text1" w:themeTint="BF"/>
    </w:rPr>
  </w:style>
  <w:style w:type="paragraph" w:styleId="ListParagraph">
    <w:name w:val="List Paragraph"/>
    <w:basedOn w:val="Normal"/>
    <w:uiPriority w:val="34"/>
    <w:qFormat/>
    <w:rsid w:val="003B3973"/>
    <w:pPr>
      <w:ind w:left="720"/>
      <w:contextualSpacing/>
    </w:pPr>
  </w:style>
  <w:style w:type="character" w:styleId="IntenseEmphasis">
    <w:name w:val="Intense Emphasis"/>
    <w:basedOn w:val="DefaultParagraphFont"/>
    <w:uiPriority w:val="21"/>
    <w:qFormat/>
    <w:rsid w:val="003B3973"/>
    <w:rPr>
      <w:i/>
      <w:iCs/>
      <w:color w:val="2E74B5" w:themeColor="accent1" w:themeShade="BF"/>
    </w:rPr>
  </w:style>
  <w:style w:type="paragraph" w:styleId="IntenseQuote">
    <w:name w:val="Intense Quote"/>
    <w:basedOn w:val="Normal"/>
    <w:next w:val="Normal"/>
    <w:link w:val="IntenseQuoteChar"/>
    <w:uiPriority w:val="30"/>
    <w:qFormat/>
    <w:rsid w:val="003B397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B3973"/>
    <w:rPr>
      <w:i/>
      <w:iCs/>
      <w:color w:val="2E74B5" w:themeColor="accent1" w:themeShade="BF"/>
    </w:rPr>
  </w:style>
  <w:style w:type="character" w:styleId="IntenseReference">
    <w:name w:val="Intense Reference"/>
    <w:basedOn w:val="DefaultParagraphFont"/>
    <w:uiPriority w:val="32"/>
    <w:qFormat/>
    <w:rsid w:val="003B3973"/>
    <w:rPr>
      <w:b/>
      <w:bCs/>
      <w:smallCaps/>
      <w:color w:val="2E74B5" w:themeColor="accent1" w:themeShade="BF"/>
      <w:spacing w:val="5"/>
    </w:rPr>
  </w:style>
  <w:style w:type="paragraph" w:styleId="NormalWeb">
    <w:name w:val="Normal (Web)"/>
    <w:basedOn w:val="Normal"/>
    <w:uiPriority w:val="99"/>
    <w:semiHidden/>
    <w:unhideWhenUsed/>
    <w:rsid w:val="005B38C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862</TotalTime>
  <Pages>18</Pages>
  <Words>4321</Words>
  <Characters>24632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Popovici</dc:creator>
  <cp:keywords/>
  <dc:description/>
  <cp:lastModifiedBy>Radu Popovici</cp:lastModifiedBy>
  <cp:revision>1</cp:revision>
  <dcterms:created xsi:type="dcterms:W3CDTF">2026-03-22T21:59:00Z</dcterms:created>
  <dcterms:modified xsi:type="dcterms:W3CDTF">2026-03-23T13:08:00Z</dcterms:modified>
</cp:coreProperties>
</file>