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BACE6E" w14:textId="603FE8EF" w:rsidR="008B2CC4" w:rsidRPr="008B2CC4" w:rsidRDefault="008B2CC4" w:rsidP="008B2CC4">
      <w:pPr>
        <w:spacing w:after="0" w:line="480" w:lineRule="auto"/>
        <w:jc w:val="both"/>
        <w:rPr>
          <w:rFonts w:ascii="Times New Roman" w:hAnsi="Times New Roman" w:cs="Times New Roman"/>
          <w:b/>
          <w:sz w:val="24"/>
          <w:szCs w:val="24"/>
          <w:lang w:val="en-US"/>
        </w:rPr>
      </w:pPr>
    </w:p>
    <w:p w14:paraId="6A8E110C" w14:textId="0ED8083F" w:rsidR="008B2CC4" w:rsidRPr="008B2CC4" w:rsidRDefault="008B2CC4" w:rsidP="008B2CC4">
      <w:pPr>
        <w:spacing w:after="0" w:line="480" w:lineRule="auto"/>
        <w:jc w:val="both"/>
        <w:rPr>
          <w:rFonts w:ascii="Times New Roman" w:hAnsi="Times New Roman" w:cs="Times New Roman"/>
          <w:b/>
          <w:sz w:val="24"/>
          <w:szCs w:val="24"/>
          <w:lang w:val="en-US"/>
        </w:rPr>
      </w:pPr>
      <w:r>
        <w:rPr>
          <w:noProof/>
        </w:rPr>
        <mc:AlternateContent>
          <mc:Choice Requires="wps">
            <w:drawing>
              <wp:anchor distT="0" distB="0" distL="114300" distR="114300" simplePos="0" relativeHeight="251659264" behindDoc="0" locked="0" layoutInCell="1" allowOverlap="1" wp14:anchorId="40600A3E" wp14:editId="35DCE100">
                <wp:simplePos x="0" y="0"/>
                <wp:positionH relativeFrom="margin">
                  <wp:posOffset>47625</wp:posOffset>
                </wp:positionH>
                <wp:positionV relativeFrom="paragraph">
                  <wp:posOffset>67945</wp:posOffset>
                </wp:positionV>
                <wp:extent cx="5743575" cy="3533775"/>
                <wp:effectExtent l="76200" t="57150" r="85725" b="123825"/>
                <wp:wrapNone/>
                <wp:docPr id="1" name="Rounded Rectangle 1"/>
                <wp:cNvGraphicFramePr/>
                <a:graphic xmlns:a="http://schemas.openxmlformats.org/drawingml/2006/main">
                  <a:graphicData uri="http://schemas.microsoft.com/office/word/2010/wordprocessingShape">
                    <wps:wsp>
                      <wps:cNvSpPr/>
                      <wps:spPr>
                        <a:xfrm>
                          <a:off x="0" y="0"/>
                          <a:ext cx="5743575" cy="3533775"/>
                        </a:xfrm>
                        <a:prstGeom prst="roundRect">
                          <a:avLst/>
                        </a:prstGeom>
                        <a:solidFill>
                          <a:srgbClr val="00B0F0"/>
                        </a:solid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lnRef>
                        <a:fillRef idx="1">
                          <a:schemeClr val="lt1"/>
                        </a:fillRef>
                        <a:effectRef idx="0">
                          <a:schemeClr val="accent1"/>
                        </a:effectRef>
                        <a:fontRef idx="minor">
                          <a:schemeClr val="dk1"/>
                        </a:fontRef>
                      </wps:style>
                      <wps:txbx>
                        <w:txbxContent>
                          <w:p w14:paraId="798C8410" w14:textId="77777777" w:rsidR="008B2CC4" w:rsidRDefault="008B2CC4" w:rsidP="008B2CC4">
                            <w:pPr>
                              <w:jc w:val="center"/>
                              <w:rPr>
                                <w:rFonts w:ascii="Times New Roman" w:hAnsi="Times New Roman"/>
                                <w:b/>
                                <w:sz w:val="56"/>
                              </w:rPr>
                            </w:pPr>
                            <w:r>
                              <w:rPr>
                                <w:rFonts w:ascii="Times New Roman" w:hAnsi="Times New Roman"/>
                                <w:b/>
                                <w:sz w:val="56"/>
                              </w:rPr>
                              <w:t>Public Law</w:t>
                            </w:r>
                          </w:p>
                          <w:p w14:paraId="1EB354FF" w14:textId="77777777" w:rsidR="008B2CC4" w:rsidRPr="008B6657" w:rsidRDefault="008B2CC4" w:rsidP="008B2CC4">
                            <w:pPr>
                              <w:jc w:val="center"/>
                              <w:rPr>
                                <w:rFonts w:ascii="Times New Roman" w:hAnsi="Times New Roman"/>
                                <w:b/>
                                <w:color w:val="002060"/>
                                <w:sz w:val="56"/>
                              </w:rPr>
                            </w:pPr>
                            <w:r w:rsidRPr="008B6657">
                              <w:rPr>
                                <w:rFonts w:ascii="Times New Roman" w:hAnsi="Times New Roman"/>
                                <w:b/>
                                <w:color w:val="002060"/>
                                <w:sz w:val="56"/>
                              </w:rPr>
                              <w:t>Assignment-</w:t>
                            </w:r>
                            <w:r>
                              <w:rPr>
                                <w:rFonts w:ascii="Times New Roman" w:hAnsi="Times New Roman"/>
                                <w:b/>
                                <w:color w:val="002060"/>
                                <w:sz w:val="56"/>
                              </w:rPr>
                              <w:t>2</w:t>
                            </w:r>
                            <w:r w:rsidRPr="008B6657">
                              <w:rPr>
                                <w:rFonts w:ascii="Times New Roman" w:hAnsi="Times New Roman"/>
                                <w:b/>
                                <w:color w:val="002060"/>
                                <w:sz w:val="56"/>
                              </w:rPr>
                              <w:t xml:space="preserve">: </w:t>
                            </w:r>
                            <w:r>
                              <w:rPr>
                                <w:rFonts w:ascii="Times New Roman" w:hAnsi="Times New Roman"/>
                                <w:b/>
                                <w:color w:val="002060"/>
                                <w:sz w:val="32"/>
                                <w:szCs w:val="32"/>
                              </w:rPr>
                              <w:t>Task-1 and Task-2</w:t>
                            </w:r>
                          </w:p>
                          <w:p w14:paraId="60D085CA" w14:textId="77777777" w:rsidR="008B2CC4" w:rsidRPr="008B6657" w:rsidRDefault="008B2CC4" w:rsidP="008B2CC4">
                            <w:pPr>
                              <w:jc w:val="center"/>
                              <w:rPr>
                                <w:rFonts w:ascii="Times New Roman" w:hAnsi="Times New Roman"/>
                                <w:b/>
                                <w:sz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600A3E" id="Rounded Rectangle 1" o:spid="_x0000_s1026" style="position:absolute;left:0;text-align:left;margin-left:3.75pt;margin-top:5.35pt;width:452.25pt;height:278.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" fillcolor="#00b0f0" stroked="f" strokeweight="1pt">
                <v:stroke joinstyle="miter"/>
                <v:shadow on="t" color="black" opacity="20971f" offset="0,2.2pt"/>
                <v:textbox>
                  <w:txbxContent>
                    <w:p w14:paraId="798C8410" w14:textId="77777777" w:rsidR="008B2CC4" w:rsidRDefault="008B2CC4" w:rsidP="008B2CC4">
                      <w:pPr>
                        <w:jc w:val="center"/>
                        <w:rPr>
                          <w:rFonts w:ascii="Times New Roman" w:hAnsi="Times New Roman"/>
                          <w:b/>
                          <w:sz w:val="56"/>
                        </w:rPr>
                      </w:pPr>
                      <w:r>
                        <w:rPr>
                          <w:rFonts w:ascii="Times New Roman" w:hAnsi="Times New Roman"/>
                          <w:b/>
                          <w:sz w:val="56"/>
                        </w:rPr>
                        <w:t>Public Law</w:t>
                      </w:r>
                    </w:p>
                    <w:p w14:paraId="1EB354FF" w14:textId="77777777" w:rsidR="008B2CC4" w:rsidRPr="008B6657" w:rsidRDefault="008B2CC4" w:rsidP="008B2CC4">
                      <w:pPr>
                        <w:jc w:val="center"/>
                        <w:rPr>
                          <w:rFonts w:ascii="Times New Roman" w:hAnsi="Times New Roman"/>
                          <w:b/>
                          <w:color w:val="002060"/>
                          <w:sz w:val="56"/>
                        </w:rPr>
                      </w:pPr>
                      <w:r w:rsidRPr="008B6657">
                        <w:rPr>
                          <w:rFonts w:ascii="Times New Roman" w:hAnsi="Times New Roman"/>
                          <w:b/>
                          <w:color w:val="002060"/>
                          <w:sz w:val="56"/>
                        </w:rPr>
                        <w:t>Assignment-</w:t>
                      </w:r>
                      <w:r>
                        <w:rPr>
                          <w:rFonts w:ascii="Times New Roman" w:hAnsi="Times New Roman"/>
                          <w:b/>
                          <w:color w:val="002060"/>
                          <w:sz w:val="56"/>
                        </w:rPr>
                        <w:t>2</w:t>
                      </w:r>
                      <w:r w:rsidRPr="008B6657">
                        <w:rPr>
                          <w:rFonts w:ascii="Times New Roman" w:hAnsi="Times New Roman"/>
                          <w:b/>
                          <w:color w:val="002060"/>
                          <w:sz w:val="56"/>
                        </w:rPr>
                        <w:t xml:space="preserve">: </w:t>
                      </w:r>
                      <w:r>
                        <w:rPr>
                          <w:rFonts w:ascii="Times New Roman" w:hAnsi="Times New Roman"/>
                          <w:b/>
                          <w:color w:val="002060"/>
                          <w:sz w:val="32"/>
                          <w:szCs w:val="32"/>
                        </w:rPr>
                        <w:t>Task-1 and Task-2</w:t>
                      </w:r>
                    </w:p>
                    <w:p w14:paraId="60D085CA" w14:textId="77777777" w:rsidR="008B2CC4" w:rsidRPr="008B6657" w:rsidRDefault="008B2CC4" w:rsidP="008B2CC4">
                      <w:pPr>
                        <w:jc w:val="center"/>
                        <w:rPr>
                          <w:rFonts w:ascii="Times New Roman" w:hAnsi="Times New Roman"/>
                          <w:b/>
                          <w:sz w:val="56"/>
                        </w:rPr>
                      </w:pPr>
                    </w:p>
                  </w:txbxContent>
                </v:textbox>
                <w10:wrap anchorx="margin"/>
              </v:roundrect>
            </w:pict>
          </mc:Fallback>
        </mc:AlternateContent>
      </w:r>
    </w:p>
    <w:p w14:paraId="6730F750" w14:textId="77777777" w:rsidR="008B2CC4" w:rsidRPr="008B2CC4" w:rsidRDefault="008B2CC4" w:rsidP="008B2CC4">
      <w:pPr>
        <w:spacing w:after="0" w:line="480" w:lineRule="auto"/>
        <w:jc w:val="both"/>
        <w:rPr>
          <w:rFonts w:ascii="Times New Roman" w:hAnsi="Times New Roman" w:cs="Times New Roman"/>
          <w:b/>
          <w:sz w:val="24"/>
          <w:szCs w:val="24"/>
          <w:lang w:val="en-US"/>
        </w:rPr>
      </w:pPr>
    </w:p>
    <w:p w14:paraId="5C8C9EDD" w14:textId="77777777" w:rsidR="008B2CC4" w:rsidRPr="008B2CC4" w:rsidRDefault="008B2CC4" w:rsidP="008B2CC4">
      <w:pPr>
        <w:spacing w:after="0" w:line="480" w:lineRule="auto"/>
        <w:jc w:val="both"/>
        <w:rPr>
          <w:rFonts w:ascii="Times New Roman" w:hAnsi="Times New Roman" w:cs="Times New Roman"/>
          <w:b/>
          <w:sz w:val="24"/>
          <w:szCs w:val="24"/>
          <w:lang w:val="en-US"/>
        </w:rPr>
      </w:pPr>
    </w:p>
    <w:p w14:paraId="19B76638" w14:textId="77777777" w:rsidR="008B2CC4" w:rsidRPr="008B2CC4" w:rsidRDefault="008B2CC4" w:rsidP="008B2CC4">
      <w:pPr>
        <w:spacing w:after="0" w:line="480" w:lineRule="auto"/>
        <w:jc w:val="both"/>
        <w:rPr>
          <w:rFonts w:ascii="Times New Roman" w:hAnsi="Times New Roman" w:cs="Times New Roman"/>
          <w:b/>
          <w:sz w:val="24"/>
          <w:szCs w:val="24"/>
          <w:lang w:val="en-US"/>
        </w:rPr>
      </w:pPr>
    </w:p>
    <w:p w14:paraId="2BD93555" w14:textId="77777777" w:rsidR="008B2CC4" w:rsidRPr="008B2CC4" w:rsidRDefault="008B2CC4" w:rsidP="008B2CC4">
      <w:pPr>
        <w:spacing w:after="0" w:line="480" w:lineRule="auto"/>
        <w:jc w:val="both"/>
        <w:rPr>
          <w:rFonts w:ascii="Times New Roman" w:hAnsi="Times New Roman" w:cs="Times New Roman"/>
          <w:b/>
          <w:sz w:val="24"/>
          <w:szCs w:val="24"/>
          <w:lang w:val="en-US"/>
        </w:rPr>
      </w:pPr>
    </w:p>
    <w:p w14:paraId="46DFC031" w14:textId="77777777" w:rsidR="008B2CC4" w:rsidRPr="008B2CC4" w:rsidRDefault="008B2CC4" w:rsidP="008B2CC4">
      <w:pPr>
        <w:spacing w:after="0" w:line="480" w:lineRule="auto"/>
        <w:jc w:val="both"/>
        <w:rPr>
          <w:rFonts w:ascii="Times New Roman" w:hAnsi="Times New Roman" w:cs="Times New Roman"/>
          <w:b/>
          <w:sz w:val="24"/>
          <w:szCs w:val="24"/>
          <w:lang w:val="en-US"/>
        </w:rPr>
      </w:pPr>
    </w:p>
    <w:p w14:paraId="10DCE821" w14:textId="77777777" w:rsidR="008B2CC4" w:rsidRPr="008B2CC4" w:rsidRDefault="008B2CC4" w:rsidP="008B2CC4">
      <w:pPr>
        <w:spacing w:after="0" w:line="480" w:lineRule="auto"/>
        <w:jc w:val="both"/>
        <w:rPr>
          <w:rFonts w:ascii="Times New Roman" w:hAnsi="Times New Roman" w:cs="Times New Roman"/>
          <w:b/>
          <w:sz w:val="24"/>
          <w:szCs w:val="24"/>
          <w:lang w:val="en-US"/>
        </w:rPr>
      </w:pPr>
    </w:p>
    <w:p w14:paraId="05C1E2AE" w14:textId="77777777" w:rsidR="008B2CC4" w:rsidRPr="008B2CC4" w:rsidRDefault="008B2CC4" w:rsidP="008B2CC4">
      <w:pPr>
        <w:spacing w:after="0" w:line="480" w:lineRule="auto"/>
        <w:jc w:val="both"/>
        <w:rPr>
          <w:rFonts w:ascii="Times New Roman" w:hAnsi="Times New Roman" w:cs="Times New Roman"/>
          <w:b/>
          <w:sz w:val="24"/>
          <w:szCs w:val="24"/>
          <w:lang w:val="en-US"/>
        </w:rPr>
      </w:pPr>
    </w:p>
    <w:p w14:paraId="7A21D286" w14:textId="08EE5468" w:rsidR="008B2CC4" w:rsidRPr="008B2CC4" w:rsidRDefault="008B2CC4" w:rsidP="008B2CC4">
      <w:pPr>
        <w:spacing w:after="0" w:line="480" w:lineRule="auto"/>
        <w:jc w:val="center"/>
        <w:rPr>
          <w:rFonts w:ascii="Times New Roman" w:hAnsi="Times New Roman" w:cs="Times New Roman"/>
          <w:b/>
          <w:sz w:val="24"/>
          <w:szCs w:val="24"/>
          <w:lang w:val="en-US"/>
        </w:rPr>
      </w:pPr>
    </w:p>
    <w:p w14:paraId="7E964A0C" w14:textId="77F39FA7" w:rsidR="008B2CC4" w:rsidRPr="008B2CC4" w:rsidRDefault="008B2CC4" w:rsidP="008B2CC4">
      <w:pPr>
        <w:spacing w:after="0" w:line="480" w:lineRule="auto"/>
        <w:jc w:val="both"/>
        <w:rPr>
          <w:rFonts w:ascii="Times New Roman" w:hAnsi="Times New Roman" w:cs="Times New Roman"/>
          <w:b/>
          <w:sz w:val="24"/>
          <w:szCs w:val="24"/>
          <w:lang w:val="en-US"/>
        </w:rPr>
      </w:pPr>
      <w:r>
        <w:rPr>
          <w:noProof/>
        </w:rPr>
        <mc:AlternateContent>
          <mc:Choice Requires="wps">
            <w:drawing>
              <wp:anchor distT="0" distB="0" distL="114300" distR="114300" simplePos="0" relativeHeight="251661312" behindDoc="0" locked="0" layoutInCell="1" allowOverlap="1" wp14:anchorId="5840B424" wp14:editId="2839D1CB">
                <wp:simplePos x="0" y="0"/>
                <wp:positionH relativeFrom="margin">
                  <wp:align>left</wp:align>
                </wp:positionH>
                <wp:positionV relativeFrom="paragraph">
                  <wp:posOffset>732790</wp:posOffset>
                </wp:positionV>
                <wp:extent cx="5857875" cy="2990850"/>
                <wp:effectExtent l="76200" t="57150" r="104775" b="114300"/>
                <wp:wrapNone/>
                <wp:docPr id="3" name="Rectangle 3"/>
                <wp:cNvGraphicFramePr/>
                <a:graphic xmlns:a="http://schemas.openxmlformats.org/drawingml/2006/main">
                  <a:graphicData uri="http://schemas.microsoft.com/office/word/2010/wordprocessingShape">
                    <wps:wsp>
                      <wps:cNvSpPr/>
                      <wps:spPr>
                        <a:xfrm>
                          <a:off x="0" y="0"/>
                          <a:ext cx="5857875" cy="2990850"/>
                        </a:xfrm>
                        <a:prstGeom prst="rect">
                          <a:avLst/>
                        </a:prstGeom>
                        <a:solidFill>
                          <a:schemeClr val="accent4">
                            <a:lumMod val="60000"/>
                            <a:lumOff val="40000"/>
                          </a:schemeClr>
                        </a:solid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1">
                          <a:schemeClr val="accent2"/>
                        </a:lnRef>
                        <a:fillRef idx="2">
                          <a:schemeClr val="accent2"/>
                        </a:fillRef>
                        <a:effectRef idx="1">
                          <a:schemeClr val="accent2"/>
                        </a:effectRef>
                        <a:fontRef idx="minor">
                          <a:schemeClr val="dk1"/>
                        </a:fontRef>
                      </wps:style>
                      <wps:txbx>
                        <w:txbxContent>
                          <w:p w14:paraId="3E340BA0" w14:textId="77777777" w:rsidR="008B2CC4" w:rsidRPr="008D6921" w:rsidRDefault="008B2CC4" w:rsidP="008B2CC4">
                            <w:pPr>
                              <w:jc w:val="both"/>
                              <w:rPr>
                                <w:rFonts w:ascii="Times New Roman" w:hAnsi="Times New Roman"/>
                                <w:b/>
                                <w:sz w:val="40"/>
                              </w:rPr>
                            </w:pPr>
                            <w:r w:rsidRPr="008D6921">
                              <w:rPr>
                                <w:rFonts w:ascii="Times New Roman" w:hAnsi="Times New Roman"/>
                                <w:b/>
                                <w:sz w:val="40"/>
                              </w:rPr>
                              <w:t>Student Name:</w:t>
                            </w:r>
                            <w:r>
                              <w:rPr>
                                <w:rFonts w:ascii="Times New Roman" w:hAnsi="Times New Roman"/>
                                <w:b/>
                                <w:sz w:val="40"/>
                              </w:rPr>
                              <w:t xml:space="preserve"> MD ROSHID AHMED</w:t>
                            </w:r>
                          </w:p>
                          <w:p w14:paraId="6DAEC314" w14:textId="77777777" w:rsidR="008B2CC4" w:rsidRPr="008D6921" w:rsidRDefault="008B2CC4" w:rsidP="008B2CC4">
                            <w:pPr>
                              <w:jc w:val="both"/>
                              <w:rPr>
                                <w:rFonts w:ascii="Times New Roman" w:hAnsi="Times New Roman"/>
                                <w:b/>
                                <w:sz w:val="40"/>
                              </w:rPr>
                            </w:pPr>
                            <w:r>
                              <w:rPr>
                                <w:rFonts w:ascii="Times New Roman" w:hAnsi="Times New Roman"/>
                                <w:b/>
                                <w:sz w:val="40"/>
                              </w:rPr>
                              <w:t xml:space="preserve">Student </w:t>
                            </w:r>
                            <w:r w:rsidRPr="008D6921">
                              <w:rPr>
                                <w:rFonts w:ascii="Times New Roman" w:hAnsi="Times New Roman"/>
                                <w:b/>
                                <w:sz w:val="40"/>
                              </w:rPr>
                              <w:t xml:space="preserve">ID: </w:t>
                            </w:r>
                            <w:r>
                              <w:rPr>
                                <w:rFonts w:ascii="Times New Roman" w:hAnsi="Times New Roman"/>
                                <w:b/>
                                <w:sz w:val="40"/>
                              </w:rPr>
                              <w:t>1922561</w:t>
                            </w:r>
                          </w:p>
                          <w:p w14:paraId="647EBAD1" w14:textId="77777777" w:rsidR="008B2CC4" w:rsidRPr="008D6921" w:rsidRDefault="008B2CC4" w:rsidP="008B2CC4">
                            <w:pPr>
                              <w:jc w:val="both"/>
                              <w:rPr>
                                <w:rFonts w:ascii="Times New Roman" w:hAnsi="Times New Roman"/>
                                <w:b/>
                                <w:sz w:val="40"/>
                              </w:rPr>
                            </w:pPr>
                            <w:r w:rsidRPr="008D6921">
                              <w:rPr>
                                <w:rFonts w:ascii="Times New Roman" w:hAnsi="Times New Roman"/>
                                <w:b/>
                                <w:sz w:val="40"/>
                              </w:rPr>
                              <w:t>Course Le</w:t>
                            </w:r>
                            <w:r>
                              <w:rPr>
                                <w:rFonts w:ascii="Times New Roman" w:hAnsi="Times New Roman"/>
                                <w:b/>
                                <w:sz w:val="40"/>
                              </w:rPr>
                              <w:t>cturer</w:t>
                            </w:r>
                            <w:r w:rsidRPr="008D6921">
                              <w:rPr>
                                <w:rFonts w:ascii="Times New Roman" w:hAnsi="Times New Roman"/>
                                <w:b/>
                                <w:sz w:val="40"/>
                              </w:rPr>
                              <w:t>:</w:t>
                            </w:r>
                            <w:r>
                              <w:rPr>
                                <w:rFonts w:ascii="Times New Roman" w:hAnsi="Times New Roman"/>
                                <w:b/>
                                <w:sz w:val="40"/>
                              </w:rPr>
                              <w:t xml:space="preserve"> Laura Knight</w:t>
                            </w:r>
                          </w:p>
                          <w:p w14:paraId="6CD1DB22" w14:textId="77777777" w:rsidR="008B2CC4" w:rsidRPr="008D6921" w:rsidRDefault="008B2CC4" w:rsidP="008B2CC4">
                            <w:pPr>
                              <w:jc w:val="both"/>
                              <w:rPr>
                                <w:rFonts w:ascii="Times New Roman" w:hAnsi="Times New Roman"/>
                                <w:b/>
                                <w:sz w:val="40"/>
                              </w:rPr>
                            </w:pPr>
                            <w:r w:rsidRPr="008D6921">
                              <w:rPr>
                                <w:rFonts w:ascii="Times New Roman" w:hAnsi="Times New Roman"/>
                                <w:b/>
                                <w:sz w:val="40"/>
                              </w:rPr>
                              <w:t>Course Module:</w:t>
                            </w:r>
                            <w:r>
                              <w:rPr>
                                <w:rFonts w:ascii="Times New Roman" w:hAnsi="Times New Roman"/>
                                <w:b/>
                                <w:sz w:val="40"/>
                              </w:rPr>
                              <w:t xml:space="preserve"> Public Law</w:t>
                            </w:r>
                          </w:p>
                          <w:p w14:paraId="49D0A72E" w14:textId="77777777" w:rsidR="008B2CC4" w:rsidRPr="008D6921" w:rsidRDefault="008B2CC4" w:rsidP="008B2CC4">
                            <w:pPr>
                              <w:jc w:val="both"/>
                              <w:rPr>
                                <w:rFonts w:ascii="Times New Roman" w:hAnsi="Times New Roman"/>
                                <w:b/>
                                <w:sz w:val="40"/>
                              </w:rPr>
                            </w:pPr>
                            <w:r w:rsidRPr="008D6921">
                              <w:rPr>
                                <w:rFonts w:ascii="Times New Roman" w:hAnsi="Times New Roman"/>
                                <w:b/>
                                <w:sz w:val="40"/>
                              </w:rPr>
                              <w:t>Course Code:</w:t>
                            </w:r>
                            <w:r>
                              <w:rPr>
                                <w:rFonts w:ascii="Times New Roman" w:hAnsi="Times New Roman"/>
                                <w:b/>
                                <w:sz w:val="40"/>
                              </w:rPr>
                              <w:t xml:space="preserve"> BMLW4004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40B424" id="Rectangle 3" o:spid="_x0000_s1027" style="position:absolute;left:0;text-align:left;margin-left:0;margin-top:57.7pt;width:461.25pt;height:235.5pt;z-index:251661312;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" fillcolor="#ffd966 [1943]" stroked="f" strokeweight=".5pt">
                <v:shadow on="t" color="black" opacity="20971f" offset="0,2.2pt"/>
                <v:textbox>
                  <w:txbxContent>
                    <w:p w14:paraId="3E340BA0" w14:textId="77777777" w:rsidR="008B2CC4" w:rsidRPr="008D6921" w:rsidRDefault="008B2CC4" w:rsidP="008B2CC4">
                      <w:pPr>
                        <w:jc w:val="both"/>
                        <w:rPr>
                          <w:rFonts w:ascii="Times New Roman" w:hAnsi="Times New Roman"/>
                          <w:b/>
                          <w:sz w:val="40"/>
                        </w:rPr>
                      </w:pPr>
                      <w:r w:rsidRPr="008D6921">
                        <w:rPr>
                          <w:rFonts w:ascii="Times New Roman" w:hAnsi="Times New Roman"/>
                          <w:b/>
                          <w:sz w:val="40"/>
                        </w:rPr>
                        <w:t>Student Name:</w:t>
                      </w:r>
                      <w:r>
                        <w:rPr>
                          <w:rFonts w:ascii="Times New Roman" w:hAnsi="Times New Roman"/>
                          <w:b/>
                          <w:sz w:val="40"/>
                        </w:rPr>
                        <w:t xml:space="preserve"> MD ROSHID AHMED</w:t>
                      </w:r>
                    </w:p>
                    <w:p w14:paraId="6DAEC314" w14:textId="77777777" w:rsidR="008B2CC4" w:rsidRPr="008D6921" w:rsidRDefault="008B2CC4" w:rsidP="008B2CC4">
                      <w:pPr>
                        <w:jc w:val="both"/>
                        <w:rPr>
                          <w:rFonts w:ascii="Times New Roman" w:hAnsi="Times New Roman"/>
                          <w:b/>
                          <w:sz w:val="40"/>
                        </w:rPr>
                      </w:pPr>
                      <w:r>
                        <w:rPr>
                          <w:rFonts w:ascii="Times New Roman" w:hAnsi="Times New Roman"/>
                          <w:b/>
                          <w:sz w:val="40"/>
                        </w:rPr>
                        <w:t xml:space="preserve">Student </w:t>
                      </w:r>
                      <w:r w:rsidRPr="008D6921">
                        <w:rPr>
                          <w:rFonts w:ascii="Times New Roman" w:hAnsi="Times New Roman"/>
                          <w:b/>
                          <w:sz w:val="40"/>
                        </w:rPr>
                        <w:t xml:space="preserve">ID: </w:t>
                      </w:r>
                      <w:r>
                        <w:rPr>
                          <w:rFonts w:ascii="Times New Roman" w:hAnsi="Times New Roman"/>
                          <w:b/>
                          <w:sz w:val="40"/>
                        </w:rPr>
                        <w:t>1922561</w:t>
                      </w:r>
                    </w:p>
                    <w:p w14:paraId="647EBAD1" w14:textId="77777777" w:rsidR="008B2CC4" w:rsidRPr="008D6921" w:rsidRDefault="008B2CC4" w:rsidP="008B2CC4">
                      <w:pPr>
                        <w:jc w:val="both"/>
                        <w:rPr>
                          <w:rFonts w:ascii="Times New Roman" w:hAnsi="Times New Roman"/>
                          <w:b/>
                          <w:sz w:val="40"/>
                        </w:rPr>
                      </w:pPr>
                      <w:r w:rsidRPr="008D6921">
                        <w:rPr>
                          <w:rFonts w:ascii="Times New Roman" w:hAnsi="Times New Roman"/>
                          <w:b/>
                          <w:sz w:val="40"/>
                        </w:rPr>
                        <w:t>Course Le</w:t>
                      </w:r>
                      <w:r>
                        <w:rPr>
                          <w:rFonts w:ascii="Times New Roman" w:hAnsi="Times New Roman"/>
                          <w:b/>
                          <w:sz w:val="40"/>
                        </w:rPr>
                        <w:t>cturer</w:t>
                      </w:r>
                      <w:r w:rsidRPr="008D6921">
                        <w:rPr>
                          <w:rFonts w:ascii="Times New Roman" w:hAnsi="Times New Roman"/>
                          <w:b/>
                          <w:sz w:val="40"/>
                        </w:rPr>
                        <w:t>:</w:t>
                      </w:r>
                      <w:r>
                        <w:rPr>
                          <w:rFonts w:ascii="Times New Roman" w:hAnsi="Times New Roman"/>
                          <w:b/>
                          <w:sz w:val="40"/>
                        </w:rPr>
                        <w:t xml:space="preserve"> Laura Knight</w:t>
                      </w:r>
                    </w:p>
                    <w:p w14:paraId="6CD1DB22" w14:textId="77777777" w:rsidR="008B2CC4" w:rsidRPr="008D6921" w:rsidRDefault="008B2CC4" w:rsidP="008B2CC4">
                      <w:pPr>
                        <w:jc w:val="both"/>
                        <w:rPr>
                          <w:rFonts w:ascii="Times New Roman" w:hAnsi="Times New Roman"/>
                          <w:b/>
                          <w:sz w:val="40"/>
                        </w:rPr>
                      </w:pPr>
                      <w:r w:rsidRPr="008D6921">
                        <w:rPr>
                          <w:rFonts w:ascii="Times New Roman" w:hAnsi="Times New Roman"/>
                          <w:b/>
                          <w:sz w:val="40"/>
                        </w:rPr>
                        <w:t>Course Module:</w:t>
                      </w:r>
                      <w:r>
                        <w:rPr>
                          <w:rFonts w:ascii="Times New Roman" w:hAnsi="Times New Roman"/>
                          <w:b/>
                          <w:sz w:val="40"/>
                        </w:rPr>
                        <w:t xml:space="preserve"> Public Law</w:t>
                      </w:r>
                    </w:p>
                    <w:p w14:paraId="49D0A72E" w14:textId="77777777" w:rsidR="008B2CC4" w:rsidRPr="008D6921" w:rsidRDefault="008B2CC4" w:rsidP="008B2CC4">
                      <w:pPr>
                        <w:jc w:val="both"/>
                        <w:rPr>
                          <w:rFonts w:ascii="Times New Roman" w:hAnsi="Times New Roman"/>
                          <w:b/>
                          <w:sz w:val="40"/>
                        </w:rPr>
                      </w:pPr>
                      <w:r w:rsidRPr="008D6921">
                        <w:rPr>
                          <w:rFonts w:ascii="Times New Roman" w:hAnsi="Times New Roman"/>
                          <w:b/>
                          <w:sz w:val="40"/>
                        </w:rPr>
                        <w:t>Course Code:</w:t>
                      </w:r>
                      <w:r>
                        <w:rPr>
                          <w:rFonts w:ascii="Times New Roman" w:hAnsi="Times New Roman"/>
                          <w:b/>
                          <w:sz w:val="40"/>
                        </w:rPr>
                        <w:t xml:space="preserve"> BMLW4004</w:t>
                      </w:r>
                    </w:p>
                  </w:txbxContent>
                </v:textbox>
                <w10:wrap anchorx="margin"/>
              </v:rect>
            </w:pict>
          </mc:Fallback>
        </mc:AlternateContent>
      </w:r>
      <w:r w:rsidRPr="008B2CC4">
        <w:rPr>
          <w:rFonts w:ascii="Times New Roman" w:hAnsi="Times New Roman" w:cs="Times New Roman"/>
          <w:b/>
          <w:sz w:val="24"/>
          <w:szCs w:val="24"/>
          <w:lang w:val="en-US"/>
        </w:rPr>
        <w:br w:type="page"/>
      </w:r>
    </w:p>
    <w:p w14:paraId="66A3B9CD" w14:textId="77777777" w:rsidR="008B2CC4" w:rsidRPr="008B2CC4" w:rsidRDefault="008B2CC4" w:rsidP="008B2CC4">
      <w:pPr>
        <w:spacing w:after="0" w:line="480" w:lineRule="auto"/>
        <w:jc w:val="center"/>
        <w:rPr>
          <w:rFonts w:ascii="Times New Roman" w:eastAsiaTheme="majorEastAsia" w:hAnsi="Times New Roman" w:cs="Times New Roman"/>
          <w:b/>
          <w:bCs/>
          <w:sz w:val="28"/>
          <w:szCs w:val="28"/>
          <w:lang w:val="en-US"/>
        </w:rPr>
      </w:pPr>
      <w:bookmarkStart w:id="0" w:name="_Toc59015501"/>
      <w:r w:rsidRPr="008B2CC4">
        <w:rPr>
          <w:rFonts w:ascii="Times New Roman" w:hAnsi="Times New Roman" w:cs="Times New Roman"/>
          <w:b/>
          <w:bCs/>
          <w:sz w:val="28"/>
          <w:szCs w:val="28"/>
          <w:lang w:val="en-US"/>
        </w:rPr>
        <w:lastRenderedPageBreak/>
        <w:t>Task 1</w:t>
      </w:r>
      <w:bookmarkEnd w:id="0"/>
    </w:p>
    <w:p w14:paraId="321BC8A9" w14:textId="77777777" w:rsidR="008B2CC4" w:rsidRPr="008B2CC4" w:rsidRDefault="008B2CC4" w:rsidP="008B2CC4">
      <w:pPr>
        <w:keepNext/>
        <w:keepLines/>
        <w:spacing w:after="0" w:line="480" w:lineRule="auto"/>
        <w:jc w:val="both"/>
        <w:outlineLvl w:val="1"/>
        <w:rPr>
          <w:rFonts w:ascii="Times New Roman" w:eastAsiaTheme="majorEastAsia" w:hAnsi="Times New Roman" w:cs="Times New Roman"/>
          <w:b/>
          <w:bCs/>
          <w:sz w:val="28"/>
          <w:szCs w:val="28"/>
          <w:lang w:val="en-US"/>
        </w:rPr>
      </w:pPr>
      <w:bookmarkStart w:id="1" w:name="_Toc59015502"/>
      <w:r w:rsidRPr="008B2CC4">
        <w:rPr>
          <w:rFonts w:ascii="Times New Roman" w:eastAsiaTheme="majorEastAsia" w:hAnsi="Times New Roman" w:cs="Times New Roman"/>
          <w:b/>
          <w:bCs/>
          <w:sz w:val="28"/>
          <w:szCs w:val="28"/>
          <w:lang w:val="en-US"/>
        </w:rPr>
        <w:t>Introduction</w:t>
      </w:r>
      <w:bookmarkEnd w:id="1"/>
    </w:p>
    <w:p w14:paraId="6EEDD767" w14:textId="77777777" w:rsidR="008B2CC4" w:rsidRPr="008B2CC4" w:rsidRDefault="008B2CC4" w:rsidP="008B2CC4">
      <w:pPr>
        <w:spacing w:after="0" w:line="480" w:lineRule="auto"/>
        <w:ind w:firstLine="720"/>
        <w:jc w:val="both"/>
        <w:rPr>
          <w:rFonts w:ascii="Times New Roman" w:hAnsi="Times New Roman" w:cs="Times New Roman"/>
          <w:sz w:val="28"/>
          <w:szCs w:val="28"/>
          <w:lang w:val="en-US"/>
        </w:rPr>
      </w:pPr>
      <w:r w:rsidRPr="008B2CC4">
        <w:rPr>
          <w:rFonts w:ascii="Times New Roman" w:hAnsi="Times New Roman" w:cs="Times New Roman"/>
          <w:sz w:val="28"/>
          <w:szCs w:val="28"/>
          <w:lang w:val="en-US"/>
        </w:rPr>
        <w:t xml:space="preserve">The law of defamation was initially introduced </w:t>
      </w:r>
      <w:proofErr w:type="gramStart"/>
      <w:r w:rsidRPr="008B2CC4">
        <w:rPr>
          <w:rFonts w:ascii="Times New Roman" w:hAnsi="Times New Roman" w:cs="Times New Roman"/>
          <w:sz w:val="28"/>
          <w:szCs w:val="28"/>
          <w:lang w:val="en-US"/>
        </w:rPr>
        <w:t>in order to</w:t>
      </w:r>
      <w:proofErr w:type="gramEnd"/>
      <w:r w:rsidRPr="008B2CC4">
        <w:rPr>
          <w:rFonts w:ascii="Times New Roman" w:hAnsi="Times New Roman" w:cs="Times New Roman"/>
          <w:sz w:val="28"/>
          <w:szCs w:val="28"/>
          <w:lang w:val="en-US"/>
        </w:rPr>
        <w:t xml:space="preserve"> protect the reputation of people from unfair comments or attack. However, there were allegations that the law tends to negatively impact the right to freedom of expression of people, and safeguard people with power from scrutiny. Therefore, the law was revised with an attempt for balancing the right to protect the reputation of an individual with the freedom of expression right. This law permits an individual to claim legal action against people who publish or say malicious and false comments (Martin B, n.d.</w:t>
      </w:r>
      <w:r w:rsidRPr="008B2CC4">
        <w:rPr>
          <w:rFonts w:ascii="Times New Roman" w:hAnsi="Times New Roman" w:cs="Times New Roman"/>
          <w:sz w:val="24"/>
          <w:szCs w:val="24"/>
          <w:lang w:val="en-US"/>
        </w:rPr>
        <w:t xml:space="preserve"> “</w:t>
      </w:r>
      <w:r w:rsidRPr="008B2CC4">
        <w:rPr>
          <w:rFonts w:ascii="Times New Roman" w:hAnsi="Times New Roman" w:cs="Times New Roman"/>
          <w:i/>
          <w:iCs/>
          <w:sz w:val="24"/>
          <w:szCs w:val="24"/>
          <w:lang w:val="en-US"/>
        </w:rPr>
        <w:t>Defamation law and free speech”</w:t>
      </w:r>
      <w:commentRangeStart w:id="2"/>
      <w:commentRangeStart w:id="3"/>
      <w:r w:rsidRPr="008B2CC4">
        <w:rPr>
          <w:rFonts w:ascii="Times New Roman" w:hAnsi="Times New Roman" w:cs="Times New Roman"/>
          <w:sz w:val="28"/>
          <w:szCs w:val="28"/>
          <w:lang w:val="en-US"/>
        </w:rPr>
        <w:t>)</w:t>
      </w:r>
      <w:commentRangeEnd w:id="2"/>
      <w:r w:rsidRPr="008B2CC4">
        <w:rPr>
          <w:lang w:val="en-US"/>
        </w:rPr>
        <w:commentReference w:id="2"/>
      </w:r>
      <w:commentRangeEnd w:id="3"/>
      <w:r w:rsidRPr="008B2CC4">
        <w:rPr>
          <w:sz w:val="16"/>
          <w:szCs w:val="16"/>
          <w:lang w:val="en-US"/>
        </w:rPr>
        <w:commentReference w:id="3"/>
      </w:r>
      <w:r w:rsidRPr="008B2CC4">
        <w:rPr>
          <w:rFonts w:ascii="Times New Roman" w:hAnsi="Times New Roman" w:cs="Times New Roman"/>
          <w:sz w:val="28"/>
          <w:szCs w:val="28"/>
          <w:lang w:val="en-US"/>
        </w:rPr>
        <w:t xml:space="preserve">. Therefore, the current extent has been developed </w:t>
      </w:r>
      <w:proofErr w:type="gramStart"/>
      <w:r w:rsidRPr="008B2CC4">
        <w:rPr>
          <w:rFonts w:ascii="Times New Roman" w:hAnsi="Times New Roman" w:cs="Times New Roman"/>
          <w:sz w:val="28"/>
          <w:szCs w:val="28"/>
          <w:lang w:val="en-US"/>
        </w:rPr>
        <w:t>in order to</w:t>
      </w:r>
      <w:proofErr w:type="gramEnd"/>
      <w:r w:rsidRPr="008B2CC4">
        <w:rPr>
          <w:rFonts w:ascii="Times New Roman" w:hAnsi="Times New Roman" w:cs="Times New Roman"/>
          <w:sz w:val="28"/>
          <w:szCs w:val="28"/>
          <w:lang w:val="en-US"/>
        </w:rPr>
        <w:t xml:space="preserve"> analyse the effectiveness of the law of defamation in maintaining a balance between protecting the reputation of an individual, and an individual's freedom to expression. </w:t>
      </w:r>
    </w:p>
    <w:p w14:paraId="356D8CB8" w14:textId="77777777" w:rsidR="008B2CC4" w:rsidRPr="008B2CC4" w:rsidRDefault="008B2CC4" w:rsidP="008B2CC4">
      <w:pPr>
        <w:spacing w:after="0" w:line="480" w:lineRule="auto"/>
        <w:ind w:firstLine="720"/>
        <w:jc w:val="both"/>
        <w:rPr>
          <w:rFonts w:ascii="Times New Roman" w:hAnsi="Times New Roman" w:cs="Times New Roman"/>
          <w:sz w:val="28"/>
          <w:szCs w:val="28"/>
          <w:lang w:val="en-US"/>
        </w:rPr>
      </w:pPr>
    </w:p>
    <w:p w14:paraId="46BC43E3" w14:textId="77777777" w:rsidR="008B2CC4" w:rsidRPr="008B2CC4" w:rsidRDefault="008B2CC4" w:rsidP="008B2CC4">
      <w:pPr>
        <w:spacing w:after="0" w:line="480" w:lineRule="auto"/>
        <w:ind w:firstLine="720"/>
        <w:jc w:val="both"/>
        <w:rPr>
          <w:rFonts w:ascii="Times New Roman" w:hAnsi="Times New Roman" w:cs="Times New Roman"/>
          <w:sz w:val="28"/>
          <w:szCs w:val="28"/>
          <w:lang w:val="en-US"/>
        </w:rPr>
      </w:pPr>
    </w:p>
    <w:p w14:paraId="3F853B86" w14:textId="77777777" w:rsidR="008B2CC4" w:rsidRPr="008B2CC4" w:rsidRDefault="008B2CC4" w:rsidP="008B2CC4">
      <w:pPr>
        <w:spacing w:after="0" w:line="480" w:lineRule="auto"/>
        <w:ind w:firstLine="720"/>
        <w:jc w:val="both"/>
        <w:rPr>
          <w:rFonts w:ascii="Times New Roman" w:hAnsi="Times New Roman" w:cs="Times New Roman"/>
          <w:sz w:val="28"/>
          <w:szCs w:val="28"/>
          <w:lang w:val="en-US"/>
        </w:rPr>
      </w:pPr>
    </w:p>
    <w:p w14:paraId="75495845" w14:textId="77777777" w:rsidR="008B2CC4" w:rsidRPr="008B2CC4" w:rsidRDefault="008B2CC4" w:rsidP="008B2CC4">
      <w:pPr>
        <w:spacing w:after="0" w:line="480" w:lineRule="auto"/>
        <w:ind w:firstLine="720"/>
        <w:jc w:val="both"/>
        <w:rPr>
          <w:rFonts w:ascii="Times New Roman" w:hAnsi="Times New Roman" w:cs="Times New Roman"/>
          <w:sz w:val="28"/>
          <w:szCs w:val="28"/>
          <w:lang w:val="en-US"/>
        </w:rPr>
      </w:pPr>
    </w:p>
    <w:p w14:paraId="19CC520B" w14:textId="77777777" w:rsidR="008B2CC4" w:rsidRPr="008B2CC4" w:rsidRDefault="008B2CC4" w:rsidP="008B2CC4">
      <w:pPr>
        <w:keepNext/>
        <w:keepLines/>
        <w:spacing w:after="0" w:line="480" w:lineRule="auto"/>
        <w:jc w:val="both"/>
        <w:outlineLvl w:val="1"/>
        <w:rPr>
          <w:rFonts w:ascii="Times New Roman" w:eastAsiaTheme="majorEastAsia" w:hAnsi="Times New Roman" w:cs="Times New Roman"/>
          <w:b/>
          <w:bCs/>
          <w:sz w:val="28"/>
          <w:szCs w:val="28"/>
          <w:lang w:val="en-US"/>
        </w:rPr>
      </w:pPr>
      <w:bookmarkStart w:id="4" w:name="_Toc59015503"/>
      <w:r w:rsidRPr="008B2CC4">
        <w:rPr>
          <w:rFonts w:ascii="Times New Roman" w:eastAsiaTheme="majorEastAsia" w:hAnsi="Times New Roman" w:cs="Times New Roman"/>
          <w:b/>
          <w:bCs/>
          <w:sz w:val="28"/>
          <w:szCs w:val="28"/>
          <w:lang w:val="en-US"/>
        </w:rPr>
        <w:lastRenderedPageBreak/>
        <w:t xml:space="preserve">Analysis of the Extent to which the Law on Defamation </w:t>
      </w:r>
      <w:proofErr w:type="gramStart"/>
      <w:r w:rsidRPr="008B2CC4">
        <w:rPr>
          <w:rFonts w:ascii="Times New Roman" w:eastAsiaTheme="majorEastAsia" w:hAnsi="Times New Roman" w:cs="Times New Roman"/>
          <w:b/>
          <w:bCs/>
          <w:sz w:val="28"/>
          <w:szCs w:val="28"/>
          <w:lang w:val="en-US"/>
        </w:rPr>
        <w:t>is able to</w:t>
      </w:r>
      <w:proofErr w:type="gramEnd"/>
      <w:r w:rsidRPr="008B2CC4">
        <w:rPr>
          <w:rFonts w:ascii="Times New Roman" w:eastAsiaTheme="majorEastAsia" w:hAnsi="Times New Roman" w:cs="Times New Roman"/>
          <w:b/>
          <w:bCs/>
          <w:sz w:val="28"/>
          <w:szCs w:val="28"/>
          <w:lang w:val="en-US"/>
        </w:rPr>
        <w:t xml:space="preserve"> maintain a Balance between Freedom of Expression and Protecting Reputation</w:t>
      </w:r>
      <w:bookmarkEnd w:id="4"/>
      <w:r w:rsidRPr="008B2CC4">
        <w:rPr>
          <w:rFonts w:ascii="Times New Roman" w:eastAsiaTheme="majorEastAsia" w:hAnsi="Times New Roman" w:cs="Times New Roman"/>
          <w:b/>
          <w:bCs/>
          <w:sz w:val="28"/>
          <w:szCs w:val="28"/>
          <w:lang w:val="en-US"/>
        </w:rPr>
        <w:t xml:space="preserve"> </w:t>
      </w:r>
    </w:p>
    <w:p w14:paraId="4E7436F4" w14:textId="77777777" w:rsidR="008B2CC4" w:rsidRPr="008B2CC4" w:rsidRDefault="008B2CC4" w:rsidP="008B2CC4">
      <w:pPr>
        <w:spacing w:after="0" w:line="480" w:lineRule="auto"/>
        <w:jc w:val="both"/>
        <w:rPr>
          <w:rFonts w:ascii="Times New Roman" w:hAnsi="Times New Roman" w:cs="Times New Roman"/>
          <w:color w:val="00B0F0"/>
          <w:sz w:val="28"/>
          <w:szCs w:val="28"/>
          <w:lang w:val="en-US"/>
        </w:rPr>
      </w:pPr>
      <w:r w:rsidRPr="008B2CC4">
        <w:rPr>
          <w:rFonts w:ascii="Times New Roman" w:hAnsi="Times New Roman" w:cs="Times New Roman"/>
          <w:sz w:val="28"/>
          <w:szCs w:val="28"/>
          <w:lang w:val="en-US"/>
        </w:rPr>
        <w:tab/>
        <w:t xml:space="preserve">Protecting the reputation of an individual directly counteracts the right of freedom of expression, which is given greater value by society, as well as is protected by the legislation. Therefore, it becomes essential for the court to strike a balance between freedom of expression and protecting reputation. The common law tends to safeguard the freedom of expression of people via the defenses available to defend the claim of defamation. Furthermore, even Article 10(1) under the European Convention on Human Rights and Fundamental Freedoms provides protection to the right to freedom of expression, which permits an individual the right to expression and holds opinions. However, this had developed a major issue in the law of defamation, resulting in a potential conflict between </w:t>
      </w:r>
      <w:r w:rsidRPr="008B2CC4">
        <w:rPr>
          <w:rFonts w:ascii="Times New Roman" w:hAnsi="Times New Roman" w:cs="Times New Roman"/>
          <w:color w:val="0070C0"/>
          <w:sz w:val="28"/>
          <w:szCs w:val="28"/>
          <w:lang w:val="en-US"/>
        </w:rPr>
        <w:t>the right to</w:t>
      </w:r>
      <w:r w:rsidRPr="008B2CC4">
        <w:rPr>
          <w:rFonts w:ascii="Times New Roman" w:hAnsi="Times New Roman" w:cs="Times New Roman"/>
          <w:sz w:val="28"/>
          <w:szCs w:val="28"/>
          <w:lang w:val="en-US"/>
        </w:rPr>
        <w:t xml:space="preserve"> protecting reputation and </w:t>
      </w:r>
      <w:r w:rsidRPr="008B2CC4">
        <w:rPr>
          <w:rFonts w:ascii="Times New Roman" w:hAnsi="Times New Roman" w:cs="Times New Roman"/>
          <w:color w:val="0070C0"/>
          <w:sz w:val="28"/>
          <w:szCs w:val="28"/>
          <w:lang w:val="en-US"/>
        </w:rPr>
        <w:t>the right to</w:t>
      </w:r>
      <w:r w:rsidRPr="008B2CC4">
        <w:rPr>
          <w:rFonts w:ascii="Times New Roman" w:hAnsi="Times New Roman" w:cs="Times New Roman"/>
          <w:sz w:val="28"/>
          <w:szCs w:val="28"/>
          <w:lang w:val="en-US"/>
        </w:rPr>
        <w:t xml:space="preserve"> freedom of express</w:t>
      </w:r>
      <w:commentRangeStart w:id="5"/>
      <w:commentRangeStart w:id="6"/>
      <w:r w:rsidRPr="008B2CC4">
        <w:rPr>
          <w:rFonts w:ascii="Times New Roman" w:hAnsi="Times New Roman" w:cs="Times New Roman"/>
          <w:sz w:val="28"/>
          <w:szCs w:val="28"/>
          <w:lang w:val="en-US"/>
        </w:rPr>
        <w:t>ion</w:t>
      </w:r>
      <w:commentRangeEnd w:id="5"/>
      <w:r w:rsidRPr="008B2CC4">
        <w:rPr>
          <w:lang w:val="en-US"/>
        </w:rPr>
        <w:commentReference w:id="5"/>
      </w:r>
      <w:commentRangeEnd w:id="6"/>
      <w:r w:rsidRPr="008B2CC4">
        <w:rPr>
          <w:sz w:val="16"/>
          <w:szCs w:val="16"/>
          <w:lang w:val="en-US"/>
        </w:rPr>
        <w:commentReference w:id="6"/>
      </w:r>
      <w:r w:rsidRPr="008B2CC4">
        <w:rPr>
          <w:rFonts w:ascii="Times New Roman" w:hAnsi="Times New Roman" w:cs="Times New Roman"/>
          <w:sz w:val="28"/>
          <w:szCs w:val="28"/>
          <w:lang w:val="en-US"/>
        </w:rPr>
        <w:t xml:space="preserve">  </w:t>
      </w:r>
      <w:r w:rsidRPr="008B2CC4">
        <w:rPr>
          <w:rFonts w:ascii="Times New Roman" w:hAnsi="Times New Roman" w:cs="Times New Roman"/>
          <w:color w:val="0070C0"/>
          <w:sz w:val="28"/>
          <w:szCs w:val="28"/>
          <w:lang w:val="en-US"/>
        </w:rPr>
        <w:t xml:space="preserve">by the </w:t>
      </w:r>
      <w:proofErr w:type="gramStart"/>
      <w:r w:rsidRPr="008B2CC4">
        <w:rPr>
          <w:rFonts w:ascii="Times New Roman" w:hAnsi="Times New Roman" w:cs="Times New Roman"/>
          <w:color w:val="0070C0"/>
          <w:sz w:val="28"/>
          <w:szCs w:val="28"/>
          <w:lang w:val="en-US"/>
        </w:rPr>
        <w:t>press.</w:t>
      </w:r>
      <w:r w:rsidRPr="008B2CC4">
        <w:rPr>
          <w:rFonts w:ascii="Times New Roman" w:hAnsi="Times New Roman" w:cs="Times New Roman"/>
          <w:sz w:val="28"/>
          <w:szCs w:val="28"/>
          <w:lang w:val="en-US"/>
        </w:rPr>
        <w:t>(</w:t>
      </w:r>
      <w:proofErr w:type="spellStart"/>
      <w:proofErr w:type="gramEnd"/>
      <w:r w:rsidRPr="008B2CC4">
        <w:rPr>
          <w:rFonts w:ascii="Times New Roman" w:hAnsi="Times New Roman" w:cs="Times New Roman"/>
          <w:sz w:val="28"/>
          <w:szCs w:val="28"/>
          <w:lang w:val="en-US"/>
        </w:rPr>
        <w:t>Bermingham</w:t>
      </w:r>
      <w:proofErr w:type="spellEnd"/>
      <w:r w:rsidRPr="008B2CC4">
        <w:rPr>
          <w:rFonts w:ascii="Times New Roman" w:hAnsi="Times New Roman" w:cs="Times New Roman"/>
          <w:sz w:val="28"/>
          <w:szCs w:val="28"/>
          <w:lang w:val="en-US"/>
        </w:rPr>
        <w:t xml:space="preserve"> and Brennan, 2014). In addition to the context, the 1981 Contempt Court Act, section 10, also focuses on protecting the journalistic sources. The law states that no legal body may need an individual to disclose the information source, nor is an individual guilty for disrespecting the court for denying </w:t>
      </w:r>
      <w:proofErr w:type="gramStart"/>
      <w:r w:rsidRPr="008B2CC4">
        <w:rPr>
          <w:rFonts w:ascii="Times New Roman" w:hAnsi="Times New Roman" w:cs="Times New Roman"/>
          <w:sz w:val="28"/>
          <w:szCs w:val="28"/>
          <w:lang w:val="en-US"/>
        </w:rPr>
        <w:t>to disclose</w:t>
      </w:r>
      <w:proofErr w:type="gramEnd"/>
      <w:r w:rsidRPr="008B2CC4">
        <w:rPr>
          <w:rFonts w:ascii="Times New Roman" w:hAnsi="Times New Roman" w:cs="Times New Roman"/>
          <w:sz w:val="28"/>
          <w:szCs w:val="28"/>
          <w:lang w:val="en-US"/>
        </w:rPr>
        <w:t xml:space="preserve"> the information source that he is responsible. The law asserts that unless the disclosure is essential in the context of national security or the interests of justice or to prevent crime or disorder, no individual can be held guilty for declining to disclose the information source (Smartt, </w:t>
      </w:r>
      <w:r w:rsidRPr="008B2CC4">
        <w:rPr>
          <w:rFonts w:ascii="Times New Roman" w:hAnsi="Times New Roman" w:cs="Times New Roman"/>
          <w:sz w:val="28"/>
          <w:szCs w:val="28"/>
          <w:lang w:val="en-US"/>
        </w:rPr>
        <w:lastRenderedPageBreak/>
        <w:t xml:space="preserve">2019). Hence, these laws have significantly increased the issue in the law of defamation, developing conflicts between two significant rights of people, that is, the protection of reputation and freedom of expression. </w:t>
      </w:r>
      <w:commentRangeStart w:id="7"/>
      <w:commentRangeStart w:id="8"/>
      <w:commentRangeEnd w:id="7"/>
      <w:r w:rsidRPr="008B2CC4">
        <w:rPr>
          <w:lang w:val="en-US"/>
        </w:rPr>
        <w:commentReference w:id="7"/>
      </w:r>
      <w:commentRangeEnd w:id="8"/>
      <w:r w:rsidRPr="008B2CC4">
        <w:rPr>
          <w:sz w:val="16"/>
          <w:szCs w:val="16"/>
          <w:lang w:val="en-US"/>
        </w:rPr>
        <w:commentReference w:id="8"/>
      </w:r>
      <w:r w:rsidRPr="008B2CC4">
        <w:rPr>
          <w:rFonts w:ascii="Times New Roman" w:hAnsi="Times New Roman" w:cs="Times New Roman"/>
          <w:sz w:val="28"/>
          <w:szCs w:val="28"/>
          <w:lang w:val="en-US"/>
        </w:rPr>
        <w:t xml:space="preserve"> </w:t>
      </w:r>
      <w:r w:rsidRPr="008B2CC4">
        <w:rPr>
          <w:rFonts w:ascii="Times New Roman" w:hAnsi="Times New Roman" w:cs="Times New Roman"/>
          <w:color w:val="00B0F0"/>
          <w:sz w:val="28"/>
          <w:szCs w:val="28"/>
          <w:lang w:val="en-US"/>
        </w:rPr>
        <w:t xml:space="preserve">In consideration of the conflicts between the two crucial rights, the Defamation Act 2013 was developed, which helps in keeping a balance between </w:t>
      </w:r>
      <w:proofErr w:type="gramStart"/>
      <w:r w:rsidRPr="008B2CC4">
        <w:rPr>
          <w:rFonts w:ascii="Times New Roman" w:hAnsi="Times New Roman" w:cs="Times New Roman"/>
          <w:color w:val="00B0F0"/>
          <w:sz w:val="28"/>
          <w:szCs w:val="28"/>
          <w:lang w:val="en-US"/>
        </w:rPr>
        <w:t>both the</w:t>
      </w:r>
      <w:proofErr w:type="gramEnd"/>
      <w:r w:rsidRPr="008B2CC4">
        <w:rPr>
          <w:rFonts w:ascii="Times New Roman" w:hAnsi="Times New Roman" w:cs="Times New Roman"/>
          <w:color w:val="00B0F0"/>
          <w:sz w:val="28"/>
          <w:szCs w:val="28"/>
          <w:lang w:val="en-US"/>
        </w:rPr>
        <w:t xml:space="preserve"> right to a significant extent. This law highlights the interest of the public in freedom of expression, along with protecting peoples private right to hold respect and a good reputation against the unwarranted intrusion of media. Previously, the English libel law was into force; however, it had a negative effect on the right to freedom of expression and failed to strike a balance between the protection of reputation and freedom of </w:t>
      </w:r>
      <w:proofErr w:type="gramStart"/>
      <w:r w:rsidRPr="008B2CC4">
        <w:rPr>
          <w:rFonts w:ascii="Times New Roman" w:hAnsi="Times New Roman" w:cs="Times New Roman"/>
          <w:color w:val="00B0F0"/>
          <w:sz w:val="28"/>
          <w:szCs w:val="28"/>
          <w:lang w:val="en-US"/>
        </w:rPr>
        <w:t>expression.(</w:t>
      </w:r>
      <w:proofErr w:type="spellStart"/>
      <w:proofErr w:type="gramEnd"/>
      <w:r w:rsidRPr="008B2CC4">
        <w:rPr>
          <w:rFonts w:ascii="Times New Roman" w:hAnsi="Times New Roman" w:cs="Times New Roman"/>
          <w:color w:val="00B0F0"/>
          <w:sz w:val="28"/>
          <w:szCs w:val="28"/>
          <w:lang w:val="en-US"/>
        </w:rPr>
        <w:t>Weisenhaus</w:t>
      </w:r>
      <w:proofErr w:type="spellEnd"/>
      <w:r w:rsidRPr="008B2CC4">
        <w:rPr>
          <w:rFonts w:ascii="Times New Roman" w:hAnsi="Times New Roman" w:cs="Times New Roman"/>
          <w:color w:val="00B0F0"/>
          <w:sz w:val="28"/>
          <w:szCs w:val="28"/>
          <w:lang w:val="en-US"/>
        </w:rPr>
        <w:t xml:space="preserve"> and Young,2017). </w:t>
      </w:r>
    </w:p>
    <w:p w14:paraId="5B6D0901" w14:textId="77777777" w:rsidR="008B2CC4" w:rsidRPr="008B2CC4" w:rsidRDefault="008B2CC4" w:rsidP="008B2CC4">
      <w:pPr>
        <w:spacing w:after="0" w:line="480" w:lineRule="auto"/>
        <w:ind w:firstLine="720"/>
        <w:jc w:val="both"/>
        <w:rPr>
          <w:rFonts w:ascii="Times New Roman" w:hAnsi="Times New Roman" w:cs="Times New Roman"/>
          <w:sz w:val="28"/>
          <w:szCs w:val="28"/>
          <w:lang w:val="en-US"/>
        </w:rPr>
      </w:pPr>
      <w:r w:rsidRPr="008B2CC4">
        <w:rPr>
          <w:rFonts w:ascii="Times New Roman" w:hAnsi="Times New Roman" w:cs="Times New Roman"/>
          <w:sz w:val="28"/>
          <w:szCs w:val="28"/>
          <w:lang w:val="en-US"/>
        </w:rPr>
        <w:t xml:space="preserve">The interaction between the two basic rights of people that is, protection of reputation and freedom of expression can be perceived in the case of </w:t>
      </w:r>
      <w:r w:rsidRPr="008B2CC4">
        <w:rPr>
          <w:rFonts w:ascii="Times New Roman" w:hAnsi="Times New Roman" w:cs="Times New Roman"/>
          <w:i/>
          <w:sz w:val="28"/>
          <w:szCs w:val="28"/>
          <w:lang w:val="en-US"/>
        </w:rPr>
        <w:t>Reynolds v Times Newspapers</w:t>
      </w:r>
      <w:r w:rsidRPr="008B2CC4">
        <w:rPr>
          <w:rFonts w:ascii="Times New Roman" w:hAnsi="Times New Roman" w:cs="Times New Roman"/>
          <w:sz w:val="28"/>
          <w:szCs w:val="28"/>
          <w:lang w:val="en-US"/>
        </w:rPr>
        <w:t xml:space="preserve">. In this case, Reynolds claimed defamation proceeding against Sunday Times for publishing an article that states that he had suppressed information and misled cabinet colleagues. During this case, for the first time, the House of Lords identified that media publications are protected by the common law as they satisfy the qualified privilege. Therefore, </w:t>
      </w:r>
      <w:proofErr w:type="gramStart"/>
      <w:r w:rsidRPr="008B2CC4">
        <w:rPr>
          <w:rFonts w:ascii="Times New Roman" w:hAnsi="Times New Roman" w:cs="Times New Roman"/>
          <w:sz w:val="28"/>
          <w:szCs w:val="28"/>
          <w:lang w:val="en-US"/>
        </w:rPr>
        <w:t>in order to</w:t>
      </w:r>
      <w:proofErr w:type="gramEnd"/>
      <w:r w:rsidRPr="008B2CC4">
        <w:rPr>
          <w:rFonts w:ascii="Times New Roman" w:hAnsi="Times New Roman" w:cs="Times New Roman"/>
          <w:sz w:val="28"/>
          <w:szCs w:val="28"/>
          <w:lang w:val="en-US"/>
        </w:rPr>
        <w:t xml:space="preserve"> maintain a balance, Lord Nicholls introduced certain factors that need to be considered for determining if a duty-interest is there for media publications. He asserted that when applying the </w:t>
      </w:r>
      <w:proofErr w:type="spellStart"/>
      <w:r w:rsidRPr="008B2CC4">
        <w:rPr>
          <w:rFonts w:ascii="Times New Roman" w:hAnsi="Times New Roman" w:cs="Times New Roman"/>
          <w:sz w:val="28"/>
          <w:szCs w:val="28"/>
          <w:lang w:val="en-US"/>
        </w:rPr>
        <w:t>defence</w:t>
      </w:r>
      <w:proofErr w:type="spellEnd"/>
      <w:r w:rsidRPr="008B2CC4">
        <w:rPr>
          <w:rFonts w:ascii="Times New Roman" w:hAnsi="Times New Roman" w:cs="Times New Roman"/>
          <w:sz w:val="28"/>
          <w:szCs w:val="28"/>
          <w:lang w:val="en-US"/>
        </w:rPr>
        <w:t xml:space="preserve"> </w:t>
      </w:r>
      <w:r w:rsidRPr="008B2CC4">
        <w:rPr>
          <w:rFonts w:ascii="Times New Roman" w:hAnsi="Times New Roman" w:cs="Times New Roman"/>
          <w:sz w:val="28"/>
          <w:szCs w:val="28"/>
          <w:lang w:val="en-US"/>
        </w:rPr>
        <w:lastRenderedPageBreak/>
        <w:t xml:space="preserve">by the defendant, certain matters must be considered, which are, the allegation’s seriousness, information’s nature and source, steps adopted for verifying the information, information status, and urgency of the subject. It should also consider if the article has reflected on the plaintiff’s story, the article’s tone, and the publication’s circumstances (Global Freedom of Expression, 2020). </w:t>
      </w:r>
    </w:p>
    <w:p w14:paraId="00FF4774" w14:textId="77777777" w:rsidR="008B2CC4" w:rsidRPr="008B2CC4" w:rsidRDefault="008B2CC4" w:rsidP="008B2CC4">
      <w:pPr>
        <w:spacing w:after="0" w:line="480" w:lineRule="auto"/>
        <w:ind w:firstLine="720"/>
        <w:jc w:val="both"/>
        <w:rPr>
          <w:rFonts w:ascii="Times New Roman" w:hAnsi="Times New Roman" w:cs="Times New Roman"/>
          <w:sz w:val="28"/>
          <w:szCs w:val="28"/>
          <w:lang w:val="en-US"/>
        </w:rPr>
      </w:pPr>
      <w:r w:rsidRPr="008B2CC4">
        <w:rPr>
          <w:rFonts w:ascii="Times New Roman" w:hAnsi="Times New Roman" w:cs="Times New Roman"/>
          <w:sz w:val="28"/>
          <w:szCs w:val="28"/>
          <w:lang w:val="en-US"/>
        </w:rPr>
        <w:t xml:space="preserve">Section 2, 3 and 4 of the Defamation Act 2013 reflects on three significant aspects, that is, truth, honest </w:t>
      </w:r>
      <w:proofErr w:type="gramStart"/>
      <w:r w:rsidRPr="008B2CC4">
        <w:rPr>
          <w:rFonts w:ascii="Times New Roman" w:hAnsi="Times New Roman" w:cs="Times New Roman"/>
          <w:sz w:val="28"/>
          <w:szCs w:val="28"/>
          <w:lang w:val="en-US"/>
        </w:rPr>
        <w:t>opinion</w:t>
      </w:r>
      <w:proofErr w:type="gramEnd"/>
      <w:r w:rsidRPr="008B2CC4">
        <w:rPr>
          <w:rFonts w:ascii="Times New Roman" w:hAnsi="Times New Roman" w:cs="Times New Roman"/>
          <w:sz w:val="28"/>
          <w:szCs w:val="28"/>
          <w:lang w:val="en-US"/>
        </w:rPr>
        <w:t xml:space="preserve"> and publication of public interest’s matter respectively. However, under the 2013 Defamation Act, section 4, if a defendant claims that the statement was in respect to the public interest, it is essential for the defendant to specify the public interest matter and give a description of the matters (</w:t>
      </w:r>
      <w:proofErr w:type="spellStart"/>
      <w:r w:rsidRPr="008B2CC4">
        <w:rPr>
          <w:rFonts w:ascii="Times New Roman" w:hAnsi="Times New Roman" w:cs="Times New Roman"/>
          <w:sz w:val="28"/>
          <w:szCs w:val="28"/>
          <w:lang w:val="en-US"/>
        </w:rPr>
        <w:t>Coppel</w:t>
      </w:r>
      <w:proofErr w:type="spellEnd"/>
      <w:r w:rsidRPr="008B2CC4">
        <w:rPr>
          <w:rFonts w:ascii="Times New Roman" w:hAnsi="Times New Roman" w:cs="Times New Roman"/>
          <w:sz w:val="28"/>
          <w:szCs w:val="28"/>
          <w:lang w:val="en-US"/>
        </w:rPr>
        <w:t xml:space="preserve"> QC, n.d.). For instance, in the case of </w:t>
      </w:r>
      <w:r w:rsidRPr="008B2CC4">
        <w:rPr>
          <w:rFonts w:ascii="Times New Roman" w:hAnsi="Times New Roman" w:cs="Times New Roman"/>
          <w:i/>
          <w:sz w:val="28"/>
          <w:szCs w:val="28"/>
          <w:lang w:val="en-US"/>
        </w:rPr>
        <w:t xml:space="preserve">Flood v Times Newspapers Limited (SC), </w:t>
      </w:r>
      <w:r w:rsidRPr="008B2CC4">
        <w:rPr>
          <w:rFonts w:ascii="Times New Roman" w:hAnsi="Times New Roman" w:cs="Times New Roman"/>
          <w:sz w:val="28"/>
          <w:szCs w:val="28"/>
          <w:lang w:val="en-US"/>
        </w:rPr>
        <w:t xml:space="preserve">it can be witnessed that the judgement was made in </w:t>
      </w:r>
      <w:proofErr w:type="spellStart"/>
      <w:r w:rsidRPr="008B2CC4">
        <w:rPr>
          <w:rFonts w:ascii="Times New Roman" w:hAnsi="Times New Roman" w:cs="Times New Roman"/>
          <w:sz w:val="28"/>
          <w:szCs w:val="28"/>
          <w:lang w:val="en-US"/>
        </w:rPr>
        <w:t>favour</w:t>
      </w:r>
      <w:proofErr w:type="spellEnd"/>
      <w:r w:rsidRPr="008B2CC4">
        <w:rPr>
          <w:rFonts w:ascii="Times New Roman" w:hAnsi="Times New Roman" w:cs="Times New Roman"/>
          <w:sz w:val="28"/>
          <w:szCs w:val="28"/>
          <w:lang w:val="en-US"/>
        </w:rPr>
        <w:t xml:space="preserve"> of the defendant under the section 4 of the law of defamation. In this case, the Times Newspapers Ltd. published an article asserting that a senior police officer, Flood was held guilty for taking bribes and leaking police information. However, after appropriate investigation, Flood was proven innocent. However, the article was still present, due to which Flood claimed legal action against the Newspaper for an act of defamation. Nevertheless, the Court of Appeal stated that the case’s facts clarify that the publication of the article was in the interest of the public. The </w:t>
      </w:r>
      <w:proofErr w:type="spellStart"/>
      <w:r w:rsidRPr="008B2CC4">
        <w:rPr>
          <w:rFonts w:ascii="Times New Roman" w:hAnsi="Times New Roman" w:cs="Times New Roman"/>
          <w:sz w:val="28"/>
          <w:szCs w:val="28"/>
          <w:lang w:val="en-US"/>
        </w:rPr>
        <w:t>defence</w:t>
      </w:r>
      <w:proofErr w:type="spellEnd"/>
      <w:r w:rsidRPr="008B2CC4">
        <w:rPr>
          <w:rFonts w:ascii="Times New Roman" w:hAnsi="Times New Roman" w:cs="Times New Roman"/>
          <w:sz w:val="28"/>
          <w:szCs w:val="28"/>
          <w:lang w:val="en-US"/>
        </w:rPr>
        <w:t xml:space="preserve"> was successful </w:t>
      </w:r>
      <w:r w:rsidRPr="008B2CC4">
        <w:rPr>
          <w:rFonts w:ascii="Times New Roman" w:hAnsi="Times New Roman" w:cs="Times New Roman"/>
          <w:sz w:val="28"/>
          <w:szCs w:val="28"/>
          <w:lang w:val="en-US"/>
        </w:rPr>
        <w:lastRenderedPageBreak/>
        <w:t xml:space="preserve">as the journalists had satisfied themselves reasonably that the article’s supporting facts were based on a true incident. </w:t>
      </w:r>
    </w:p>
    <w:p w14:paraId="5C64E9AE" w14:textId="77777777" w:rsidR="008B2CC4" w:rsidRPr="008B2CC4" w:rsidRDefault="008B2CC4" w:rsidP="008B2CC4">
      <w:pPr>
        <w:keepNext/>
        <w:keepLines/>
        <w:spacing w:after="0" w:line="480" w:lineRule="auto"/>
        <w:jc w:val="both"/>
        <w:outlineLvl w:val="1"/>
        <w:rPr>
          <w:rFonts w:ascii="Times New Roman" w:eastAsiaTheme="majorEastAsia" w:hAnsi="Times New Roman" w:cs="Times New Roman"/>
          <w:b/>
          <w:bCs/>
          <w:sz w:val="28"/>
          <w:szCs w:val="28"/>
          <w:lang w:val="en-US"/>
        </w:rPr>
      </w:pPr>
      <w:bookmarkStart w:id="9" w:name="_Toc59015504"/>
      <w:r w:rsidRPr="008B2CC4">
        <w:rPr>
          <w:rFonts w:ascii="Times New Roman" w:eastAsiaTheme="majorEastAsia" w:hAnsi="Times New Roman" w:cs="Times New Roman"/>
          <w:b/>
          <w:bCs/>
          <w:sz w:val="28"/>
          <w:szCs w:val="28"/>
          <w:lang w:val="en-US"/>
        </w:rPr>
        <w:t>Conclusion</w:t>
      </w:r>
      <w:bookmarkEnd w:id="9"/>
    </w:p>
    <w:p w14:paraId="2665AF6D" w14:textId="77777777" w:rsidR="008B2CC4" w:rsidRPr="008B2CC4" w:rsidRDefault="008B2CC4" w:rsidP="008B2CC4">
      <w:pPr>
        <w:spacing w:after="0" w:line="480" w:lineRule="auto"/>
        <w:jc w:val="both"/>
        <w:rPr>
          <w:rFonts w:ascii="Times New Roman" w:hAnsi="Times New Roman" w:cs="Times New Roman"/>
          <w:color w:val="00B0F0"/>
          <w:sz w:val="28"/>
          <w:szCs w:val="28"/>
          <w:lang w:val="en-US"/>
        </w:rPr>
      </w:pPr>
      <w:r w:rsidRPr="008B2CC4">
        <w:rPr>
          <w:rFonts w:ascii="Times New Roman" w:hAnsi="Times New Roman" w:cs="Times New Roman"/>
          <w:sz w:val="28"/>
          <w:szCs w:val="28"/>
          <w:lang w:val="en-US"/>
        </w:rPr>
        <w:tab/>
        <w:t xml:space="preserve">From the overall discussion, it can be concluded that the conflict between protecting reputation and freedom of expression has always been a significant issue in the law of defamation. Certain laws, such as the 1981 Contempt Court Act and the European Convention on Human Rights and Fundamental Freedoms, tend to contribute to increasing the conflict. Hence, due to this, the Defamation Act 2013 was introduced after amendment in the legislation that focuses on striking a balance between the right to protection of reputation and the right to freedom of expression. </w:t>
      </w:r>
      <w:r w:rsidRPr="008B2CC4">
        <w:rPr>
          <w:rFonts w:ascii="Times New Roman" w:hAnsi="Times New Roman" w:cs="Times New Roman"/>
          <w:i/>
          <w:iCs/>
          <w:color w:val="00B0F0"/>
          <w:sz w:val="28"/>
          <w:szCs w:val="28"/>
          <w:lang w:val="en-US"/>
        </w:rPr>
        <w:t>Reynolds v Times Newspapers</w:t>
      </w:r>
      <w:r w:rsidRPr="008B2CC4">
        <w:rPr>
          <w:rFonts w:ascii="Times New Roman" w:hAnsi="Times New Roman" w:cs="Times New Roman"/>
          <w:color w:val="00B0F0"/>
          <w:sz w:val="28"/>
          <w:szCs w:val="28"/>
          <w:lang w:val="en-US"/>
        </w:rPr>
        <w:t xml:space="preserve"> case has played a vital role in highlighting the significant conflict between the two basic rights, and </w:t>
      </w:r>
      <w:r w:rsidRPr="008B2CC4">
        <w:rPr>
          <w:rFonts w:ascii="Times New Roman" w:hAnsi="Times New Roman" w:cs="Times New Roman"/>
          <w:i/>
          <w:iCs/>
          <w:color w:val="00B0F0"/>
          <w:sz w:val="28"/>
          <w:szCs w:val="28"/>
          <w:lang w:val="en-US"/>
        </w:rPr>
        <w:t>Flood v Times Newspapers Limited (SC)</w:t>
      </w:r>
      <w:r w:rsidRPr="008B2CC4">
        <w:rPr>
          <w:rFonts w:ascii="Times New Roman" w:hAnsi="Times New Roman" w:cs="Times New Roman"/>
          <w:color w:val="00B0F0"/>
          <w:sz w:val="28"/>
          <w:szCs w:val="28"/>
          <w:lang w:val="en-US"/>
        </w:rPr>
        <w:t xml:space="preserve"> case has highlighted the role of the Defamation Act 2013 in maintaining a balance between both the rights to freedom of expression and right to protecting the reputation of people. </w:t>
      </w:r>
    </w:p>
    <w:p w14:paraId="2607A72A" w14:textId="77777777" w:rsidR="008B2CC4" w:rsidRPr="008B2CC4" w:rsidRDefault="008B2CC4" w:rsidP="008B2CC4">
      <w:pPr>
        <w:spacing w:after="0" w:line="480" w:lineRule="auto"/>
        <w:jc w:val="both"/>
        <w:rPr>
          <w:rFonts w:ascii="Times New Roman" w:hAnsi="Times New Roman" w:cs="Times New Roman"/>
          <w:i/>
          <w:iCs/>
          <w:sz w:val="28"/>
          <w:szCs w:val="28"/>
          <w:lang w:val="en-US"/>
        </w:rPr>
      </w:pPr>
      <w:r w:rsidRPr="008B2CC4">
        <w:rPr>
          <w:rFonts w:ascii="Times New Roman" w:hAnsi="Times New Roman" w:cs="Times New Roman"/>
          <w:i/>
          <w:iCs/>
          <w:sz w:val="28"/>
          <w:szCs w:val="28"/>
          <w:lang w:val="en-US"/>
        </w:rPr>
        <w:t xml:space="preserve"> </w:t>
      </w:r>
      <w:commentRangeStart w:id="10"/>
      <w:commentRangeStart w:id="11"/>
      <w:r w:rsidRPr="008B2CC4">
        <w:rPr>
          <w:rFonts w:ascii="Times New Roman" w:hAnsi="Times New Roman" w:cs="Times New Roman"/>
          <w:i/>
          <w:iCs/>
          <w:sz w:val="28"/>
          <w:szCs w:val="28"/>
          <w:lang w:val="en-US"/>
        </w:rPr>
        <w:t>”.</w:t>
      </w:r>
      <w:commentRangeEnd w:id="10"/>
      <w:r w:rsidRPr="008B2CC4">
        <w:rPr>
          <w:lang w:val="en-US"/>
        </w:rPr>
        <w:commentReference w:id="10"/>
      </w:r>
      <w:commentRangeEnd w:id="11"/>
      <w:r w:rsidRPr="008B2CC4">
        <w:rPr>
          <w:sz w:val="16"/>
          <w:szCs w:val="16"/>
          <w:lang w:val="en-US"/>
        </w:rPr>
        <w:commentReference w:id="11"/>
      </w:r>
    </w:p>
    <w:p w14:paraId="0EA4C370" w14:textId="77777777" w:rsidR="008B2CC4" w:rsidRPr="008B2CC4" w:rsidRDefault="008B2CC4" w:rsidP="008B2CC4">
      <w:pPr>
        <w:spacing w:after="0" w:line="480" w:lineRule="auto"/>
        <w:jc w:val="both"/>
        <w:rPr>
          <w:rFonts w:ascii="Times New Roman" w:hAnsi="Times New Roman" w:cs="Times New Roman"/>
          <w:i/>
          <w:iCs/>
          <w:sz w:val="28"/>
          <w:szCs w:val="28"/>
          <w:lang w:val="en-US"/>
        </w:rPr>
      </w:pPr>
    </w:p>
    <w:p w14:paraId="61EA569C" w14:textId="77777777" w:rsidR="008B2CC4" w:rsidRPr="008B2CC4" w:rsidRDefault="008B2CC4" w:rsidP="008B2CC4">
      <w:pPr>
        <w:spacing w:after="0" w:line="480" w:lineRule="auto"/>
        <w:jc w:val="both"/>
        <w:rPr>
          <w:rFonts w:ascii="Times New Roman" w:hAnsi="Times New Roman" w:cs="Times New Roman"/>
          <w:sz w:val="28"/>
          <w:szCs w:val="28"/>
          <w:lang w:val="en-US"/>
        </w:rPr>
      </w:pPr>
    </w:p>
    <w:p w14:paraId="76097DFA" w14:textId="77777777" w:rsidR="008B2CC4" w:rsidRPr="008B2CC4" w:rsidRDefault="008B2CC4" w:rsidP="008B2CC4">
      <w:pPr>
        <w:spacing w:after="0" w:line="480" w:lineRule="auto"/>
        <w:jc w:val="both"/>
        <w:rPr>
          <w:rFonts w:ascii="Times New Roman" w:hAnsi="Times New Roman" w:cs="Times New Roman"/>
          <w:sz w:val="28"/>
          <w:szCs w:val="28"/>
          <w:lang w:val="en-US"/>
        </w:rPr>
      </w:pPr>
    </w:p>
    <w:p w14:paraId="6532E1D2" w14:textId="77777777" w:rsidR="008B2CC4" w:rsidRPr="008B2CC4" w:rsidRDefault="008B2CC4" w:rsidP="008B2CC4">
      <w:pPr>
        <w:spacing w:after="0" w:line="480" w:lineRule="auto"/>
        <w:jc w:val="both"/>
        <w:rPr>
          <w:rFonts w:ascii="Times New Roman" w:hAnsi="Times New Roman" w:cs="Times New Roman"/>
          <w:sz w:val="28"/>
          <w:szCs w:val="28"/>
          <w:lang w:val="en-US"/>
        </w:rPr>
      </w:pPr>
    </w:p>
    <w:p w14:paraId="6C0E14D2" w14:textId="77777777" w:rsidR="008B2CC4" w:rsidRPr="008B2CC4" w:rsidRDefault="008B2CC4" w:rsidP="008B2CC4">
      <w:pPr>
        <w:spacing w:after="0" w:line="480" w:lineRule="auto"/>
        <w:jc w:val="both"/>
        <w:rPr>
          <w:rFonts w:ascii="Times New Roman" w:hAnsi="Times New Roman" w:cs="Times New Roman"/>
          <w:color w:val="0070C0"/>
          <w:sz w:val="28"/>
          <w:szCs w:val="28"/>
          <w:lang w:val="en-US"/>
        </w:rPr>
      </w:pPr>
      <w:r w:rsidRPr="008B2CC4">
        <w:rPr>
          <w:rFonts w:ascii="Times New Roman" w:hAnsi="Times New Roman" w:cs="Times New Roman"/>
          <w:color w:val="0070C0"/>
          <w:sz w:val="28"/>
          <w:szCs w:val="28"/>
          <w:lang w:val="en-US"/>
        </w:rPr>
        <w:lastRenderedPageBreak/>
        <w:t xml:space="preserve">References </w:t>
      </w:r>
    </w:p>
    <w:p w14:paraId="7341ACD4" w14:textId="77777777" w:rsidR="008B2CC4" w:rsidRPr="008B2CC4" w:rsidRDefault="008B2CC4" w:rsidP="008B2CC4">
      <w:pPr>
        <w:spacing w:after="0" w:line="480" w:lineRule="auto"/>
        <w:ind w:left="720" w:hanging="720"/>
        <w:rPr>
          <w:rFonts w:ascii="Times New Roman" w:hAnsi="Times New Roman" w:cs="Times New Roman"/>
          <w:sz w:val="24"/>
          <w:szCs w:val="24"/>
          <w:lang w:val="en-US"/>
        </w:rPr>
      </w:pPr>
      <w:proofErr w:type="spellStart"/>
      <w:r w:rsidRPr="008B2CC4">
        <w:rPr>
          <w:rFonts w:ascii="Times New Roman" w:hAnsi="Times New Roman" w:cs="Times New Roman"/>
          <w:sz w:val="24"/>
          <w:szCs w:val="24"/>
          <w:lang w:val="en-US"/>
        </w:rPr>
        <w:t>Bermingham</w:t>
      </w:r>
      <w:proofErr w:type="spellEnd"/>
      <w:r w:rsidRPr="008B2CC4">
        <w:rPr>
          <w:rFonts w:ascii="Times New Roman" w:hAnsi="Times New Roman" w:cs="Times New Roman"/>
          <w:sz w:val="24"/>
          <w:szCs w:val="24"/>
          <w:lang w:val="en-US"/>
        </w:rPr>
        <w:t>, V. and Brennan, C. 2014. </w:t>
      </w:r>
      <w:r w:rsidRPr="008B2CC4">
        <w:rPr>
          <w:rFonts w:ascii="Times New Roman" w:hAnsi="Times New Roman" w:cs="Times New Roman"/>
          <w:i/>
          <w:sz w:val="24"/>
          <w:szCs w:val="24"/>
          <w:lang w:val="en-US"/>
        </w:rPr>
        <w:t>Tort Law Directions</w:t>
      </w:r>
      <w:r w:rsidRPr="008B2CC4">
        <w:rPr>
          <w:rFonts w:ascii="Times New Roman" w:hAnsi="Times New Roman" w:cs="Times New Roman"/>
          <w:sz w:val="24"/>
          <w:szCs w:val="24"/>
          <w:lang w:val="en-US"/>
        </w:rPr>
        <w:t>. Oxford: Oxford University Press.</w:t>
      </w:r>
    </w:p>
    <w:p w14:paraId="39903AA0" w14:textId="77777777" w:rsidR="008B2CC4" w:rsidRPr="008B2CC4" w:rsidRDefault="008B2CC4" w:rsidP="008B2CC4">
      <w:pPr>
        <w:spacing w:after="0" w:line="480" w:lineRule="auto"/>
        <w:ind w:left="720" w:hanging="720"/>
        <w:rPr>
          <w:rFonts w:ascii="Times New Roman" w:hAnsi="Times New Roman" w:cs="Times New Roman"/>
          <w:sz w:val="24"/>
          <w:szCs w:val="24"/>
          <w:lang w:val="en-US"/>
        </w:rPr>
      </w:pPr>
      <w:r w:rsidRPr="008B2CC4">
        <w:rPr>
          <w:rFonts w:ascii="Times New Roman" w:hAnsi="Times New Roman" w:cs="Times New Roman"/>
          <w:sz w:val="24"/>
          <w:szCs w:val="24"/>
          <w:lang w:val="en-US"/>
        </w:rPr>
        <w:t xml:space="preserve">Brian Martin. n.d. Defamation law and free speech. [Online]. Available at: </w:t>
      </w:r>
      <w:hyperlink r:id="rId8" w:history="1">
        <w:r w:rsidRPr="008B2CC4">
          <w:rPr>
            <w:rFonts w:ascii="Times New Roman" w:hAnsi="Times New Roman" w:cs="Times New Roman"/>
            <w:color w:val="0563C1" w:themeColor="hyperlink"/>
            <w:sz w:val="24"/>
            <w:szCs w:val="24"/>
            <w:u w:val="single"/>
            <w:lang w:val="en-US"/>
          </w:rPr>
          <w:t>https://documents.uow.edu.au/~bmartin/dissent/documents/defamation.html</w:t>
        </w:r>
      </w:hyperlink>
      <w:r w:rsidRPr="008B2CC4">
        <w:rPr>
          <w:rFonts w:ascii="Times New Roman" w:hAnsi="Times New Roman" w:cs="Times New Roman"/>
          <w:sz w:val="24"/>
          <w:szCs w:val="24"/>
          <w:lang w:val="en-US"/>
        </w:rPr>
        <w:t xml:space="preserve"> [Accessed </w:t>
      </w:r>
      <w:proofErr w:type="gramStart"/>
      <w:r w:rsidRPr="008B2CC4">
        <w:rPr>
          <w:rFonts w:ascii="Times New Roman" w:hAnsi="Times New Roman" w:cs="Times New Roman"/>
          <w:sz w:val="24"/>
          <w:szCs w:val="24"/>
          <w:lang w:val="en-US"/>
        </w:rPr>
        <w:t>on:</w:t>
      </w:r>
      <w:proofErr w:type="gramEnd"/>
      <w:r w:rsidRPr="008B2CC4">
        <w:rPr>
          <w:rFonts w:ascii="Times New Roman" w:hAnsi="Times New Roman" w:cs="Times New Roman"/>
          <w:sz w:val="24"/>
          <w:szCs w:val="24"/>
          <w:lang w:val="en-US"/>
        </w:rPr>
        <w:t xml:space="preserve"> 16 December 2020].</w:t>
      </w:r>
    </w:p>
    <w:p w14:paraId="6D25DE78" w14:textId="77777777" w:rsidR="008B2CC4" w:rsidRPr="008B2CC4" w:rsidRDefault="008B2CC4" w:rsidP="008B2CC4">
      <w:pPr>
        <w:spacing w:after="0" w:line="480" w:lineRule="auto"/>
        <w:ind w:left="720" w:hanging="720"/>
        <w:rPr>
          <w:rFonts w:ascii="Times New Roman" w:hAnsi="Times New Roman" w:cs="Times New Roman"/>
          <w:sz w:val="24"/>
          <w:szCs w:val="24"/>
          <w:lang w:val="en-US"/>
        </w:rPr>
      </w:pPr>
      <w:proofErr w:type="spellStart"/>
      <w:r w:rsidRPr="008B2CC4">
        <w:rPr>
          <w:rFonts w:ascii="Times New Roman" w:hAnsi="Times New Roman" w:cs="Times New Roman"/>
          <w:sz w:val="24"/>
          <w:szCs w:val="24"/>
          <w:lang w:val="en-US"/>
        </w:rPr>
        <w:t>Coppel</w:t>
      </w:r>
      <w:proofErr w:type="spellEnd"/>
      <w:r w:rsidRPr="008B2CC4">
        <w:rPr>
          <w:rFonts w:ascii="Times New Roman" w:hAnsi="Times New Roman" w:cs="Times New Roman"/>
          <w:sz w:val="24"/>
          <w:szCs w:val="24"/>
          <w:lang w:val="en-US"/>
        </w:rPr>
        <w:t xml:space="preserve"> QC, P. n.d. </w:t>
      </w:r>
      <w:r w:rsidRPr="008B2CC4">
        <w:rPr>
          <w:rFonts w:ascii="Times New Roman" w:hAnsi="Times New Roman" w:cs="Times New Roman"/>
          <w:i/>
          <w:sz w:val="24"/>
          <w:szCs w:val="24"/>
          <w:lang w:val="en-US"/>
        </w:rPr>
        <w:t>Information Rights: A Practitioner's Guide to Data Protection, Freedom of Information and Other Information Rights</w:t>
      </w:r>
      <w:r w:rsidRPr="008B2CC4">
        <w:rPr>
          <w:rFonts w:ascii="Times New Roman" w:hAnsi="Times New Roman" w:cs="Times New Roman"/>
          <w:sz w:val="24"/>
          <w:szCs w:val="24"/>
          <w:lang w:val="en-US"/>
        </w:rPr>
        <w:t>. London: Bloomsbury Publishing.</w:t>
      </w:r>
    </w:p>
    <w:p w14:paraId="60D49355" w14:textId="77777777" w:rsidR="008B2CC4" w:rsidRPr="008B2CC4" w:rsidRDefault="008B2CC4" w:rsidP="008B2CC4">
      <w:pPr>
        <w:spacing w:after="0" w:line="480" w:lineRule="auto"/>
        <w:ind w:left="720" w:hanging="720"/>
        <w:rPr>
          <w:rFonts w:ascii="Times New Roman" w:hAnsi="Times New Roman" w:cs="Times New Roman"/>
          <w:sz w:val="24"/>
          <w:szCs w:val="24"/>
          <w:lang w:val="en-US"/>
        </w:rPr>
      </w:pPr>
      <w:r w:rsidRPr="008B2CC4">
        <w:rPr>
          <w:rFonts w:ascii="Times New Roman" w:hAnsi="Times New Roman" w:cs="Times New Roman"/>
          <w:sz w:val="24"/>
          <w:szCs w:val="24"/>
          <w:lang w:val="en-US"/>
        </w:rPr>
        <w:t xml:space="preserve">Global Freedom of Expression. 2020. Reynolds v. Times Newspapers. [Online]. Available at: </w:t>
      </w:r>
      <w:hyperlink r:id="rId9" w:history="1">
        <w:r w:rsidRPr="008B2CC4">
          <w:rPr>
            <w:rFonts w:ascii="Times New Roman" w:hAnsi="Times New Roman" w:cs="Times New Roman"/>
            <w:color w:val="0563C1" w:themeColor="hyperlink"/>
            <w:sz w:val="24"/>
            <w:szCs w:val="24"/>
            <w:u w:val="single"/>
            <w:lang w:val="en-US"/>
          </w:rPr>
          <w:t>https://globalfreedomofexpression.columbia.edu/cases/reynolds-v-times-newspapers/</w:t>
        </w:r>
      </w:hyperlink>
      <w:r w:rsidRPr="008B2CC4">
        <w:rPr>
          <w:rFonts w:ascii="Times New Roman" w:hAnsi="Times New Roman" w:cs="Times New Roman"/>
          <w:sz w:val="24"/>
          <w:szCs w:val="24"/>
          <w:lang w:val="en-US"/>
        </w:rPr>
        <w:t xml:space="preserve"> [Accessed </w:t>
      </w:r>
      <w:proofErr w:type="gramStart"/>
      <w:r w:rsidRPr="008B2CC4">
        <w:rPr>
          <w:rFonts w:ascii="Times New Roman" w:hAnsi="Times New Roman" w:cs="Times New Roman"/>
          <w:sz w:val="24"/>
          <w:szCs w:val="24"/>
          <w:lang w:val="en-US"/>
        </w:rPr>
        <w:t>on:</w:t>
      </w:r>
      <w:proofErr w:type="gramEnd"/>
      <w:r w:rsidRPr="008B2CC4">
        <w:rPr>
          <w:rFonts w:ascii="Times New Roman" w:hAnsi="Times New Roman" w:cs="Times New Roman"/>
          <w:sz w:val="24"/>
          <w:szCs w:val="24"/>
          <w:lang w:val="en-US"/>
        </w:rPr>
        <w:t xml:space="preserve"> 14 December 2020].</w:t>
      </w:r>
    </w:p>
    <w:p w14:paraId="562519E4" w14:textId="77777777" w:rsidR="008B2CC4" w:rsidRPr="008B2CC4" w:rsidRDefault="008B2CC4" w:rsidP="008B2CC4">
      <w:pPr>
        <w:spacing w:after="0" w:line="480" w:lineRule="auto"/>
        <w:rPr>
          <w:rFonts w:ascii="Times New Roman" w:hAnsi="Times New Roman" w:cs="Times New Roman"/>
          <w:sz w:val="24"/>
          <w:szCs w:val="24"/>
          <w:lang w:val="en-US"/>
        </w:rPr>
      </w:pPr>
      <w:r w:rsidRPr="008B2CC4">
        <w:rPr>
          <w:rFonts w:ascii="Times New Roman" w:hAnsi="Times New Roman" w:cs="Times New Roman"/>
          <w:sz w:val="24"/>
          <w:szCs w:val="24"/>
          <w:lang w:val="en-US"/>
        </w:rPr>
        <w:t>Smartt, U. 2019. </w:t>
      </w:r>
      <w:r w:rsidRPr="008B2CC4">
        <w:rPr>
          <w:rFonts w:ascii="Times New Roman" w:hAnsi="Times New Roman" w:cs="Times New Roman"/>
          <w:i/>
          <w:sz w:val="24"/>
          <w:szCs w:val="24"/>
          <w:lang w:val="en-US"/>
        </w:rPr>
        <w:t>Media &amp; Entertainment Law</w:t>
      </w:r>
      <w:r w:rsidRPr="008B2CC4">
        <w:rPr>
          <w:rFonts w:ascii="Times New Roman" w:hAnsi="Times New Roman" w:cs="Times New Roman"/>
          <w:sz w:val="24"/>
          <w:szCs w:val="24"/>
          <w:lang w:val="en-US"/>
        </w:rPr>
        <w:t>. Abingdon: Taylor &amp; Francis.</w:t>
      </w:r>
    </w:p>
    <w:p w14:paraId="685F1CE3" w14:textId="77777777" w:rsidR="008B2CC4" w:rsidRPr="008B2CC4" w:rsidRDefault="008B2CC4" w:rsidP="008B2CC4">
      <w:pPr>
        <w:spacing w:after="0" w:line="480" w:lineRule="auto"/>
        <w:ind w:left="720" w:hanging="720"/>
        <w:rPr>
          <w:rFonts w:ascii="Times New Roman" w:hAnsi="Times New Roman" w:cs="Times New Roman"/>
          <w:sz w:val="24"/>
          <w:szCs w:val="24"/>
          <w:lang w:val="en-US"/>
        </w:rPr>
      </w:pPr>
      <w:proofErr w:type="spellStart"/>
      <w:r w:rsidRPr="008B2CC4">
        <w:rPr>
          <w:rFonts w:ascii="Times New Roman" w:hAnsi="Times New Roman" w:cs="Times New Roman"/>
          <w:sz w:val="24"/>
          <w:szCs w:val="24"/>
          <w:lang w:val="en-US"/>
        </w:rPr>
        <w:t>Weisenhaus</w:t>
      </w:r>
      <w:proofErr w:type="spellEnd"/>
      <w:r w:rsidRPr="008B2CC4">
        <w:rPr>
          <w:rFonts w:ascii="Times New Roman" w:hAnsi="Times New Roman" w:cs="Times New Roman"/>
          <w:sz w:val="24"/>
          <w:szCs w:val="24"/>
          <w:lang w:val="en-US"/>
        </w:rPr>
        <w:t xml:space="preserve">, D. and Young, S.N.M. 2017. </w:t>
      </w:r>
      <w:r w:rsidRPr="008B2CC4">
        <w:rPr>
          <w:rFonts w:ascii="Times New Roman" w:hAnsi="Times New Roman" w:cs="Times New Roman"/>
          <w:i/>
          <w:sz w:val="24"/>
          <w:szCs w:val="24"/>
          <w:lang w:val="en-US"/>
        </w:rPr>
        <w:t>Media Law and Policy in the Internet Age</w:t>
      </w:r>
      <w:r w:rsidRPr="008B2CC4">
        <w:rPr>
          <w:rFonts w:ascii="Times New Roman" w:hAnsi="Times New Roman" w:cs="Times New Roman"/>
          <w:sz w:val="24"/>
          <w:szCs w:val="24"/>
          <w:lang w:val="en-US"/>
        </w:rPr>
        <w:t>.  London: Bloomsbury Publishing.</w:t>
      </w:r>
    </w:p>
    <w:p w14:paraId="23E4213C" w14:textId="77777777" w:rsidR="008B2CC4" w:rsidRPr="008B2CC4" w:rsidRDefault="008B2CC4" w:rsidP="008B2CC4">
      <w:pPr>
        <w:spacing w:after="0" w:line="480" w:lineRule="auto"/>
        <w:jc w:val="both"/>
        <w:rPr>
          <w:rFonts w:ascii="Times New Roman" w:hAnsi="Times New Roman" w:cs="Times New Roman"/>
          <w:sz w:val="28"/>
          <w:szCs w:val="28"/>
          <w:lang w:val="en-US"/>
        </w:rPr>
      </w:pPr>
    </w:p>
    <w:p w14:paraId="01DBBC70" w14:textId="77777777" w:rsidR="008B2CC4" w:rsidRPr="008B2CC4" w:rsidRDefault="008B2CC4" w:rsidP="008B2CC4">
      <w:pPr>
        <w:spacing w:after="0" w:line="480" w:lineRule="auto"/>
        <w:jc w:val="both"/>
        <w:rPr>
          <w:rFonts w:ascii="Times New Roman" w:hAnsi="Times New Roman" w:cs="Times New Roman"/>
          <w:color w:val="0070C0"/>
          <w:sz w:val="28"/>
          <w:szCs w:val="28"/>
          <w:lang w:val="en-US"/>
        </w:rPr>
      </w:pPr>
      <w:r w:rsidRPr="008B2CC4">
        <w:rPr>
          <w:rFonts w:ascii="Times New Roman" w:hAnsi="Times New Roman" w:cs="Times New Roman"/>
          <w:color w:val="0070C0"/>
          <w:sz w:val="28"/>
          <w:szCs w:val="28"/>
          <w:lang w:val="en-US"/>
        </w:rPr>
        <w:t>Cases</w:t>
      </w:r>
    </w:p>
    <w:p w14:paraId="65D8CCA8" w14:textId="77777777" w:rsidR="008B2CC4" w:rsidRPr="008B2CC4" w:rsidRDefault="008B2CC4" w:rsidP="008B2CC4">
      <w:pPr>
        <w:spacing w:after="0" w:line="480" w:lineRule="auto"/>
        <w:ind w:left="720" w:hanging="720"/>
        <w:rPr>
          <w:rFonts w:ascii="Times New Roman" w:hAnsi="Times New Roman" w:cs="Times New Roman"/>
          <w:sz w:val="24"/>
          <w:szCs w:val="24"/>
        </w:rPr>
      </w:pPr>
      <w:r w:rsidRPr="008B2CC4">
        <w:rPr>
          <w:rFonts w:ascii="Times New Roman" w:hAnsi="Times New Roman" w:cs="Times New Roman"/>
          <w:sz w:val="24"/>
          <w:szCs w:val="24"/>
        </w:rPr>
        <w:t>Flood v Times Newspapers Ltd (2012)</w:t>
      </w:r>
    </w:p>
    <w:p w14:paraId="49303D2C" w14:textId="77777777" w:rsidR="008B2CC4" w:rsidRPr="008B2CC4" w:rsidRDefault="008B2CC4" w:rsidP="008B2CC4">
      <w:pPr>
        <w:spacing w:after="0" w:line="480" w:lineRule="auto"/>
        <w:ind w:left="720" w:hanging="720"/>
        <w:rPr>
          <w:rFonts w:ascii="Times New Roman" w:hAnsi="Times New Roman" w:cs="Times New Roman"/>
          <w:sz w:val="24"/>
          <w:szCs w:val="24"/>
          <w:lang w:val="en-US"/>
        </w:rPr>
      </w:pPr>
      <w:r w:rsidRPr="008B2CC4">
        <w:rPr>
          <w:rFonts w:ascii="Times New Roman" w:hAnsi="Times New Roman" w:cs="Times New Roman"/>
          <w:sz w:val="24"/>
          <w:szCs w:val="24"/>
          <w:lang w:val="en-US"/>
        </w:rPr>
        <w:t>Reynolds v Times Newspapers Ltd [2001] 2 AC 127</w:t>
      </w:r>
    </w:p>
    <w:p w14:paraId="5AA7A04B" w14:textId="77777777" w:rsidR="008B2CC4" w:rsidRPr="008B2CC4" w:rsidRDefault="008B2CC4" w:rsidP="008B2CC4">
      <w:pPr>
        <w:spacing w:after="0" w:line="480" w:lineRule="auto"/>
        <w:jc w:val="both"/>
        <w:rPr>
          <w:rFonts w:ascii="Times New Roman" w:hAnsi="Times New Roman" w:cs="Times New Roman"/>
          <w:color w:val="0070C0"/>
          <w:sz w:val="28"/>
          <w:szCs w:val="28"/>
          <w:lang w:val="en-US"/>
        </w:rPr>
      </w:pPr>
    </w:p>
    <w:p w14:paraId="6BBD38E2" w14:textId="77777777" w:rsidR="008B2CC4" w:rsidRPr="008B2CC4" w:rsidRDefault="008B2CC4" w:rsidP="008B2CC4">
      <w:pPr>
        <w:spacing w:after="0" w:line="480" w:lineRule="auto"/>
        <w:jc w:val="both"/>
        <w:rPr>
          <w:rFonts w:ascii="Times New Roman" w:hAnsi="Times New Roman" w:cs="Times New Roman"/>
          <w:color w:val="0070C0"/>
          <w:sz w:val="28"/>
          <w:szCs w:val="28"/>
          <w:lang w:val="en-US"/>
        </w:rPr>
      </w:pPr>
    </w:p>
    <w:p w14:paraId="553C158F" w14:textId="77777777" w:rsidR="008B2CC4" w:rsidRPr="008B2CC4" w:rsidRDefault="008B2CC4" w:rsidP="008B2CC4">
      <w:pPr>
        <w:spacing w:after="0" w:line="480" w:lineRule="auto"/>
        <w:jc w:val="both"/>
        <w:rPr>
          <w:rFonts w:ascii="Times New Roman" w:hAnsi="Times New Roman" w:cs="Times New Roman"/>
          <w:b/>
          <w:sz w:val="28"/>
          <w:szCs w:val="28"/>
          <w:lang w:val="en-US"/>
        </w:rPr>
      </w:pPr>
      <w:r w:rsidRPr="008B2CC4">
        <w:rPr>
          <w:rFonts w:ascii="Times New Roman" w:hAnsi="Times New Roman" w:cs="Times New Roman"/>
          <w:b/>
          <w:sz w:val="28"/>
          <w:szCs w:val="28"/>
          <w:lang w:val="en-US"/>
        </w:rPr>
        <w:br w:type="page"/>
      </w:r>
    </w:p>
    <w:p w14:paraId="7D13F8AB" w14:textId="77777777" w:rsidR="008B2CC4" w:rsidRPr="008B2CC4" w:rsidRDefault="008B2CC4" w:rsidP="008B2CC4">
      <w:pPr>
        <w:keepNext/>
        <w:keepLines/>
        <w:spacing w:after="0" w:line="480" w:lineRule="auto"/>
        <w:jc w:val="center"/>
        <w:outlineLvl w:val="0"/>
        <w:rPr>
          <w:rFonts w:ascii="Times New Roman" w:eastAsiaTheme="majorEastAsia" w:hAnsi="Times New Roman" w:cs="Times New Roman"/>
          <w:b/>
          <w:bCs/>
          <w:sz w:val="28"/>
          <w:szCs w:val="28"/>
          <w:lang w:val="en-US"/>
        </w:rPr>
      </w:pPr>
      <w:bookmarkStart w:id="12" w:name="_Toc59015505"/>
      <w:r w:rsidRPr="008B2CC4">
        <w:rPr>
          <w:rFonts w:ascii="Times New Roman" w:eastAsiaTheme="majorEastAsia" w:hAnsi="Times New Roman" w:cs="Times New Roman"/>
          <w:b/>
          <w:bCs/>
          <w:sz w:val="28"/>
          <w:szCs w:val="28"/>
          <w:lang w:val="en-US"/>
        </w:rPr>
        <w:lastRenderedPageBreak/>
        <w:t>Task 2</w:t>
      </w:r>
      <w:bookmarkEnd w:id="12"/>
    </w:p>
    <w:p w14:paraId="0237C3A4" w14:textId="77777777" w:rsidR="008B2CC4" w:rsidRPr="008B2CC4" w:rsidRDefault="008B2CC4" w:rsidP="008B2CC4">
      <w:pPr>
        <w:spacing w:after="0" w:line="480" w:lineRule="auto"/>
        <w:jc w:val="both"/>
        <w:rPr>
          <w:rFonts w:ascii="Times New Roman" w:hAnsi="Times New Roman" w:cs="Times New Roman"/>
          <w:color w:val="00B0F0"/>
          <w:sz w:val="28"/>
          <w:szCs w:val="28"/>
          <w:lang w:val="en-US"/>
        </w:rPr>
      </w:pPr>
      <w:r w:rsidRPr="008B2CC4">
        <w:rPr>
          <w:rFonts w:ascii="Times New Roman" w:hAnsi="Times New Roman" w:cs="Times New Roman"/>
          <w:sz w:val="28"/>
          <w:szCs w:val="28"/>
          <w:lang w:val="en-US"/>
        </w:rPr>
        <w:tab/>
        <w:t xml:space="preserve">A judicial review is regarded as the procedure by which judges investigate the public bodies’ decisions, as well as consider if the legislation has been followed correctly. </w:t>
      </w:r>
      <w:proofErr w:type="gramStart"/>
      <w:r w:rsidRPr="008B2CC4">
        <w:rPr>
          <w:rFonts w:ascii="Times New Roman" w:hAnsi="Times New Roman" w:cs="Times New Roman"/>
          <w:sz w:val="28"/>
          <w:szCs w:val="28"/>
          <w:lang w:val="en-US"/>
        </w:rPr>
        <w:t>In regard to</w:t>
      </w:r>
      <w:proofErr w:type="gramEnd"/>
      <w:r w:rsidRPr="008B2CC4">
        <w:rPr>
          <w:rFonts w:ascii="Times New Roman" w:hAnsi="Times New Roman" w:cs="Times New Roman"/>
          <w:sz w:val="28"/>
          <w:szCs w:val="28"/>
          <w:lang w:val="en-US"/>
        </w:rPr>
        <w:t xml:space="preserve"> environmental context, public bodies may involve local authorities, Non-Departmental Public Bodies like the Natural England and the Environment Agency, and government ministers (Leigh Day, 2020). </w:t>
      </w:r>
      <w:r w:rsidRPr="008B2CC4">
        <w:rPr>
          <w:rFonts w:ascii="Times New Roman" w:hAnsi="Times New Roman" w:cs="Times New Roman"/>
          <w:color w:val="00B0F0"/>
          <w:sz w:val="28"/>
          <w:szCs w:val="28"/>
          <w:lang w:val="en-US"/>
        </w:rPr>
        <w:t xml:space="preserve">However, it is essential for the claimant to demonstrate that the error of the public body may have developed a significant material difference to the decision that has been challenged. In addition to the context, an eligibility criterion is the time limit; the cases of judicial review should be brought promptly before the court, and within 3 months of the action or decision to be challenged. The time limit highlights that the application must be submitted as soon as possible (Public Law Project,2019). Furthermore, an application for judicial review cannot be made unless a leave has been granted by the court. However, the court will grant a leave only if it is considered that the claimant has enough interest in the matter regarding the judicial review. An increasing approach has been by the Courts in regards to be interest test, for </w:t>
      </w:r>
      <w:proofErr w:type="spellStart"/>
      <w:r w:rsidRPr="008B2CC4">
        <w:rPr>
          <w:rFonts w:ascii="Times New Roman" w:hAnsi="Times New Roman" w:cs="Times New Roman"/>
          <w:color w:val="00B0F0"/>
          <w:sz w:val="28"/>
          <w:szCs w:val="28"/>
          <w:lang w:val="en-US"/>
        </w:rPr>
        <w:t>recognising</w:t>
      </w:r>
      <w:proofErr w:type="spellEnd"/>
      <w:r w:rsidRPr="008B2CC4">
        <w:rPr>
          <w:rFonts w:ascii="Times New Roman" w:hAnsi="Times New Roman" w:cs="Times New Roman"/>
          <w:color w:val="00B0F0"/>
          <w:sz w:val="28"/>
          <w:szCs w:val="28"/>
          <w:lang w:val="en-US"/>
        </w:rPr>
        <w:t xml:space="preserve"> that it is sensible that, in appropriate cases the courts permit responsible citizens for brining claims for the public’s benefit </w:t>
      </w:r>
      <w:proofErr w:type="gramStart"/>
      <w:r w:rsidRPr="008B2CC4">
        <w:rPr>
          <w:rFonts w:ascii="Times New Roman" w:hAnsi="Times New Roman" w:cs="Times New Roman"/>
          <w:color w:val="00B0F0"/>
          <w:sz w:val="28"/>
          <w:szCs w:val="28"/>
          <w:lang w:val="en-US"/>
        </w:rPr>
        <w:t>( Ashurt</w:t>
      </w:r>
      <w:proofErr w:type="gramEnd"/>
      <w:r w:rsidRPr="008B2CC4">
        <w:rPr>
          <w:rFonts w:ascii="Times New Roman" w:hAnsi="Times New Roman" w:cs="Times New Roman"/>
          <w:color w:val="00B0F0"/>
          <w:sz w:val="28"/>
          <w:szCs w:val="28"/>
          <w:lang w:val="en-US"/>
        </w:rPr>
        <w:t xml:space="preserve">,2019). </w:t>
      </w:r>
      <w:commentRangeStart w:id="13"/>
      <w:commentRangeStart w:id="14"/>
    </w:p>
    <w:p w14:paraId="30592672" w14:textId="77777777" w:rsidR="008B2CC4" w:rsidRPr="008B2CC4" w:rsidRDefault="008B2CC4" w:rsidP="008B2CC4">
      <w:pPr>
        <w:spacing w:after="0" w:line="480" w:lineRule="auto"/>
        <w:jc w:val="both"/>
        <w:rPr>
          <w:rFonts w:ascii="Times New Roman" w:hAnsi="Times New Roman" w:cs="Times New Roman"/>
          <w:sz w:val="28"/>
          <w:szCs w:val="28"/>
          <w:lang w:val="en-US"/>
        </w:rPr>
      </w:pPr>
      <w:r w:rsidRPr="008B2CC4">
        <w:rPr>
          <w:rFonts w:ascii="Times New Roman" w:hAnsi="Times New Roman" w:cs="Times New Roman"/>
          <w:sz w:val="28"/>
          <w:szCs w:val="28"/>
          <w:lang w:val="en-US"/>
        </w:rPr>
        <w:t xml:space="preserve">           It</w:t>
      </w:r>
      <w:commentRangeEnd w:id="13"/>
      <w:r w:rsidRPr="008B2CC4">
        <w:rPr>
          <w:lang w:val="en-US"/>
        </w:rPr>
        <w:commentReference w:id="13"/>
      </w:r>
      <w:commentRangeEnd w:id="14"/>
      <w:r w:rsidRPr="008B2CC4">
        <w:rPr>
          <w:sz w:val="16"/>
          <w:szCs w:val="16"/>
          <w:lang w:val="en-US"/>
        </w:rPr>
        <w:commentReference w:id="14"/>
      </w:r>
      <w:r w:rsidRPr="008B2CC4">
        <w:rPr>
          <w:rFonts w:ascii="Times New Roman" w:hAnsi="Times New Roman" w:cs="Times New Roman"/>
          <w:sz w:val="28"/>
          <w:szCs w:val="28"/>
          <w:lang w:val="en-US"/>
        </w:rPr>
        <w:t xml:space="preserve"> is stated that for claiming a judicial review, it is essential to look at the lawfulness of decisions and actions made by the public body. The decision can be </w:t>
      </w:r>
      <w:r w:rsidRPr="008B2CC4">
        <w:rPr>
          <w:rFonts w:ascii="Times New Roman" w:hAnsi="Times New Roman" w:cs="Times New Roman"/>
          <w:sz w:val="28"/>
          <w:szCs w:val="28"/>
          <w:lang w:val="en-US"/>
        </w:rPr>
        <w:lastRenderedPageBreak/>
        <w:t xml:space="preserve">challenged on three essential grounds, which are unfairness, irrationality, and illegality.   </w:t>
      </w:r>
      <w:r w:rsidRPr="008B2CC4">
        <w:rPr>
          <w:rFonts w:ascii="Times New Roman" w:hAnsi="Times New Roman" w:cs="Times New Roman"/>
          <w:color w:val="00B0F0"/>
          <w:sz w:val="28"/>
          <w:szCs w:val="28"/>
          <w:lang w:val="en-US"/>
        </w:rPr>
        <w:t xml:space="preserve">The case of </w:t>
      </w:r>
      <w:r w:rsidRPr="008B2CC4">
        <w:rPr>
          <w:rFonts w:ascii="Times New Roman" w:hAnsi="Times New Roman" w:cs="Times New Roman"/>
          <w:i/>
          <w:iCs/>
          <w:color w:val="00B0F0"/>
          <w:sz w:val="28"/>
          <w:szCs w:val="28"/>
          <w:lang w:val="en-US"/>
        </w:rPr>
        <w:t xml:space="preserve">Civil services Union v Minister of Civil Services </w:t>
      </w:r>
      <w:r w:rsidRPr="008B2CC4">
        <w:rPr>
          <w:rFonts w:ascii="Times New Roman" w:hAnsi="Times New Roman" w:cs="Times New Roman"/>
          <w:color w:val="00B0F0"/>
          <w:sz w:val="28"/>
          <w:szCs w:val="28"/>
          <w:lang w:val="en-US"/>
        </w:rPr>
        <w:t xml:space="preserve">is a case of the UK </w:t>
      </w:r>
      <w:proofErr w:type="spellStart"/>
      <w:r w:rsidRPr="008B2CC4">
        <w:rPr>
          <w:rFonts w:ascii="Times New Roman" w:hAnsi="Times New Roman" w:cs="Times New Roman"/>
          <w:color w:val="00B0F0"/>
          <w:sz w:val="28"/>
          <w:szCs w:val="28"/>
          <w:lang w:val="en-US"/>
        </w:rPr>
        <w:t>labour</w:t>
      </w:r>
      <w:proofErr w:type="spellEnd"/>
      <w:r w:rsidRPr="008B2CC4">
        <w:rPr>
          <w:rFonts w:ascii="Times New Roman" w:hAnsi="Times New Roman" w:cs="Times New Roman"/>
          <w:color w:val="00B0F0"/>
          <w:sz w:val="28"/>
          <w:szCs w:val="28"/>
          <w:lang w:val="en-US"/>
        </w:rPr>
        <w:t xml:space="preserve"> Law, which held that the </w:t>
      </w:r>
      <w:proofErr w:type="spellStart"/>
      <w:r w:rsidRPr="008B2CC4">
        <w:rPr>
          <w:rFonts w:ascii="Times New Roman" w:hAnsi="Times New Roman" w:cs="Times New Roman"/>
          <w:color w:val="00B0F0"/>
          <w:sz w:val="28"/>
          <w:szCs w:val="28"/>
          <w:lang w:val="en-US"/>
        </w:rPr>
        <w:t>royel</w:t>
      </w:r>
      <w:proofErr w:type="spellEnd"/>
      <w:r w:rsidRPr="008B2CC4">
        <w:rPr>
          <w:rFonts w:ascii="Times New Roman" w:hAnsi="Times New Roman" w:cs="Times New Roman"/>
          <w:color w:val="00B0F0"/>
          <w:sz w:val="28"/>
          <w:szCs w:val="28"/>
          <w:lang w:val="en-US"/>
        </w:rPr>
        <w:t xml:space="preserve"> prerogative was made liable for judicial review. The judge perceived that where a legitimate expectations or private right of a person are impacted by the prerogative power’s execution, that power </w:t>
      </w:r>
      <w:proofErr w:type="spellStart"/>
      <w:r w:rsidRPr="008B2CC4">
        <w:rPr>
          <w:rFonts w:ascii="Times New Roman" w:hAnsi="Times New Roman" w:cs="Times New Roman"/>
          <w:color w:val="00B0F0"/>
          <w:sz w:val="28"/>
          <w:szCs w:val="28"/>
          <w:lang w:val="en-US"/>
        </w:rPr>
        <w:t>ececution</w:t>
      </w:r>
      <w:proofErr w:type="spellEnd"/>
      <w:r w:rsidRPr="008B2CC4">
        <w:rPr>
          <w:rFonts w:ascii="Times New Roman" w:hAnsi="Times New Roman" w:cs="Times New Roman"/>
          <w:color w:val="00B0F0"/>
          <w:sz w:val="28"/>
          <w:szCs w:val="28"/>
          <w:lang w:val="en-US"/>
        </w:rPr>
        <w:t xml:space="preserve"> need to be reviewed. </w:t>
      </w:r>
      <w:r w:rsidRPr="008B2CC4">
        <w:rPr>
          <w:rFonts w:ascii="Times New Roman" w:hAnsi="Times New Roman" w:cs="Times New Roman"/>
          <w:sz w:val="28"/>
          <w:szCs w:val="28"/>
          <w:lang w:val="en-US"/>
        </w:rPr>
        <w:t xml:space="preserve">Illegality is when the public body refuses to act according to the law; irrationality is when the decision taken is unreasonable; and unfairness is when the power has been misused by the public body (Saunders Law, 2016).  Therefore, reviewing the case of NSP and the decision made by the PRA for granting a license to </w:t>
      </w:r>
      <w:proofErr w:type="spellStart"/>
      <w:r w:rsidRPr="008B2CC4">
        <w:rPr>
          <w:rFonts w:ascii="Times New Roman" w:hAnsi="Times New Roman" w:cs="Times New Roman"/>
          <w:sz w:val="28"/>
          <w:szCs w:val="28"/>
          <w:lang w:val="en-US"/>
        </w:rPr>
        <w:t>Westcross</w:t>
      </w:r>
      <w:proofErr w:type="spellEnd"/>
      <w:r w:rsidRPr="008B2CC4">
        <w:rPr>
          <w:rFonts w:ascii="Times New Roman" w:hAnsi="Times New Roman" w:cs="Times New Roman"/>
          <w:sz w:val="28"/>
          <w:szCs w:val="28"/>
          <w:lang w:val="en-US"/>
        </w:rPr>
        <w:t xml:space="preserve"> Plc, it can be perceived that NSP can claim a judicial review highlighting the context that </w:t>
      </w:r>
      <w:proofErr w:type="spellStart"/>
      <w:r w:rsidRPr="008B2CC4">
        <w:rPr>
          <w:rFonts w:ascii="Times New Roman" w:hAnsi="Times New Roman" w:cs="Times New Roman"/>
          <w:sz w:val="28"/>
          <w:szCs w:val="28"/>
          <w:lang w:val="en-US"/>
        </w:rPr>
        <w:t>Westcross</w:t>
      </w:r>
      <w:proofErr w:type="spellEnd"/>
      <w:r w:rsidRPr="008B2CC4">
        <w:rPr>
          <w:rFonts w:ascii="Times New Roman" w:hAnsi="Times New Roman" w:cs="Times New Roman"/>
          <w:sz w:val="28"/>
          <w:szCs w:val="28"/>
          <w:lang w:val="en-US"/>
        </w:rPr>
        <w:t xml:space="preserve"> Plc is incapable of meeting the demands of the area as the NSP can prove i</w:t>
      </w:r>
      <w:commentRangeStart w:id="15"/>
      <w:commentRangeStart w:id="16"/>
      <w:r w:rsidRPr="008B2CC4">
        <w:rPr>
          <w:rFonts w:ascii="Times New Roman" w:hAnsi="Times New Roman" w:cs="Times New Roman"/>
          <w:sz w:val="28"/>
          <w:szCs w:val="28"/>
          <w:lang w:val="en-US"/>
        </w:rPr>
        <w:t>t</w:t>
      </w:r>
      <w:commentRangeEnd w:id="15"/>
      <w:r w:rsidRPr="008B2CC4">
        <w:rPr>
          <w:lang w:val="en-US"/>
        </w:rPr>
        <w:commentReference w:id="15"/>
      </w:r>
      <w:commentRangeEnd w:id="16"/>
      <w:r w:rsidRPr="008B2CC4">
        <w:rPr>
          <w:sz w:val="16"/>
          <w:szCs w:val="16"/>
          <w:lang w:val="en-US"/>
        </w:rPr>
        <w:commentReference w:id="16"/>
      </w:r>
      <w:r w:rsidRPr="008B2CC4">
        <w:rPr>
          <w:rFonts w:ascii="Times New Roman" w:hAnsi="Times New Roman" w:cs="Times New Roman"/>
          <w:sz w:val="28"/>
          <w:szCs w:val="28"/>
          <w:lang w:val="en-US"/>
        </w:rPr>
        <w:t xml:space="preserve">.  </w:t>
      </w:r>
      <w:r w:rsidRPr="008B2CC4">
        <w:rPr>
          <w:rFonts w:ascii="Times New Roman" w:hAnsi="Times New Roman" w:cs="Times New Roman"/>
          <w:color w:val="00B0F0"/>
          <w:sz w:val="28"/>
          <w:szCs w:val="28"/>
          <w:lang w:val="en-US"/>
        </w:rPr>
        <w:t>Where discretion is given to a public body for making decisions, such as awarding a license, the public body should permit itself for considering every decision on specific facts. The public body should not fetter its discretion through applying a policy without appropriate consideration of the specific facts of every case. A decision, which is made by a public body, which has fettered its discretion, can be challenged on the basis that the decision is illegal or unlawful (Law Wales,2020).</w:t>
      </w:r>
      <w:r w:rsidRPr="008B2CC4">
        <w:rPr>
          <w:rFonts w:ascii="Times New Roman" w:hAnsi="Times New Roman" w:cs="Times New Roman"/>
          <w:sz w:val="28"/>
          <w:szCs w:val="28"/>
          <w:lang w:val="en-US"/>
        </w:rPr>
        <w:t xml:space="preserve"> Therefore, the judicial review can also be claimed against the decision of the PRA for not granting a license to the NRA on the ground of illegality and unfairness. As per the PRA policy, only one license can be granted, </w:t>
      </w:r>
      <w:r w:rsidRPr="008B2CC4">
        <w:rPr>
          <w:rFonts w:ascii="Times New Roman" w:hAnsi="Times New Roman" w:cs="Times New Roman"/>
          <w:sz w:val="28"/>
          <w:szCs w:val="28"/>
          <w:lang w:val="en-US"/>
        </w:rPr>
        <w:lastRenderedPageBreak/>
        <w:t xml:space="preserve">which means one recycling plant in one area. However, the PRA granted a license to two companies, that is, </w:t>
      </w:r>
      <w:proofErr w:type="spellStart"/>
      <w:r w:rsidRPr="008B2CC4">
        <w:rPr>
          <w:rFonts w:ascii="Times New Roman" w:hAnsi="Times New Roman" w:cs="Times New Roman"/>
          <w:sz w:val="28"/>
          <w:szCs w:val="28"/>
          <w:lang w:val="en-US"/>
        </w:rPr>
        <w:t>LakeRec</w:t>
      </w:r>
      <w:proofErr w:type="spellEnd"/>
      <w:r w:rsidRPr="008B2CC4">
        <w:rPr>
          <w:rFonts w:ascii="Times New Roman" w:hAnsi="Times New Roman" w:cs="Times New Roman"/>
          <w:sz w:val="28"/>
          <w:szCs w:val="28"/>
          <w:lang w:val="en-US"/>
        </w:rPr>
        <w:t xml:space="preserve"> Ltd and </w:t>
      </w:r>
      <w:proofErr w:type="spellStart"/>
      <w:r w:rsidRPr="008B2CC4">
        <w:rPr>
          <w:rFonts w:ascii="Times New Roman" w:hAnsi="Times New Roman" w:cs="Times New Roman"/>
          <w:sz w:val="28"/>
          <w:szCs w:val="28"/>
          <w:lang w:val="en-US"/>
        </w:rPr>
        <w:t>Westcross</w:t>
      </w:r>
      <w:proofErr w:type="spellEnd"/>
      <w:r w:rsidRPr="008B2CC4">
        <w:rPr>
          <w:rFonts w:ascii="Times New Roman" w:hAnsi="Times New Roman" w:cs="Times New Roman"/>
          <w:sz w:val="28"/>
          <w:szCs w:val="28"/>
          <w:lang w:val="en-US"/>
        </w:rPr>
        <w:t xml:space="preserve"> Plc in Swansea. This significantly highlights that the PRA has misused its power and has also not worked according to the set polic</w:t>
      </w:r>
      <w:commentRangeStart w:id="17"/>
      <w:commentRangeStart w:id="18"/>
      <w:r w:rsidRPr="008B2CC4">
        <w:rPr>
          <w:rFonts w:ascii="Times New Roman" w:hAnsi="Times New Roman" w:cs="Times New Roman"/>
          <w:sz w:val="28"/>
          <w:szCs w:val="28"/>
          <w:lang w:val="en-US"/>
        </w:rPr>
        <w:t xml:space="preserve">y. </w:t>
      </w:r>
      <w:commentRangeEnd w:id="17"/>
      <w:r w:rsidRPr="008B2CC4">
        <w:rPr>
          <w:lang w:val="en-US"/>
        </w:rPr>
        <w:commentReference w:id="17"/>
      </w:r>
      <w:commentRangeEnd w:id="18"/>
      <w:r w:rsidRPr="008B2CC4">
        <w:rPr>
          <w:sz w:val="16"/>
          <w:szCs w:val="16"/>
          <w:lang w:val="en-US"/>
        </w:rPr>
        <w:commentReference w:id="18"/>
      </w:r>
    </w:p>
    <w:p w14:paraId="6724C246" w14:textId="77777777" w:rsidR="008B2CC4" w:rsidRPr="008B2CC4" w:rsidRDefault="008B2CC4" w:rsidP="008B2CC4">
      <w:pPr>
        <w:spacing w:after="0" w:line="480" w:lineRule="auto"/>
        <w:jc w:val="both"/>
        <w:rPr>
          <w:rFonts w:ascii="Times New Roman" w:hAnsi="Times New Roman" w:cs="Times New Roman"/>
          <w:sz w:val="28"/>
          <w:szCs w:val="28"/>
          <w:lang w:val="en-US"/>
        </w:rPr>
      </w:pPr>
      <w:r w:rsidRPr="008B2CC4">
        <w:rPr>
          <w:rFonts w:ascii="Times New Roman" w:hAnsi="Times New Roman" w:cs="Times New Roman"/>
          <w:sz w:val="28"/>
          <w:szCs w:val="28"/>
          <w:lang w:val="en-US"/>
        </w:rPr>
        <w:tab/>
        <w:t xml:space="preserve">For instance, in the case of </w:t>
      </w:r>
      <w:r w:rsidRPr="008B2CC4">
        <w:rPr>
          <w:rFonts w:ascii="Times New Roman" w:hAnsi="Times New Roman" w:cs="Times New Roman"/>
          <w:i/>
          <w:iCs/>
          <w:sz w:val="28"/>
          <w:szCs w:val="28"/>
          <w:lang w:val="en-US"/>
        </w:rPr>
        <w:t>Attorney-General v Fulham Corporation</w:t>
      </w:r>
      <w:r w:rsidRPr="008B2CC4">
        <w:rPr>
          <w:rFonts w:ascii="Times New Roman" w:hAnsi="Times New Roman" w:cs="Times New Roman"/>
          <w:sz w:val="28"/>
          <w:szCs w:val="28"/>
          <w:lang w:val="en-US"/>
        </w:rPr>
        <w:t xml:space="preserve">, it was observed that a judicial review was claimed, and the action of the corporation was challenged on the ground of unfairness as the corporation had performed beyond the statutory role. Thus, this case highlights that a judicial review can be claimed successfully if the claimant can prove the decision taken is based on any of the three grounds: unfairness, illegality, and irrationality. Furthermore, the Nature Reserve Trust (NRT) can also claim a judicial review over the decision made by the PRA to grant a license to </w:t>
      </w:r>
      <w:proofErr w:type="spellStart"/>
      <w:r w:rsidRPr="008B2CC4">
        <w:rPr>
          <w:rFonts w:ascii="Times New Roman" w:hAnsi="Times New Roman" w:cs="Times New Roman"/>
          <w:sz w:val="28"/>
          <w:szCs w:val="28"/>
          <w:lang w:val="en-US"/>
        </w:rPr>
        <w:t>LakeRec</w:t>
      </w:r>
      <w:proofErr w:type="spellEnd"/>
      <w:r w:rsidRPr="008B2CC4">
        <w:rPr>
          <w:rFonts w:ascii="Times New Roman" w:hAnsi="Times New Roman" w:cs="Times New Roman"/>
          <w:sz w:val="28"/>
          <w:szCs w:val="28"/>
          <w:lang w:val="en-US"/>
        </w:rPr>
        <w:t xml:space="preserve"> Ltd to establish a recycling plant in the opposite area of a nature reserve in Swansea. One of the grounds that can be focused on by NRT is irrationality as the reason given by the PRA for granting a license to </w:t>
      </w:r>
      <w:proofErr w:type="spellStart"/>
      <w:r w:rsidRPr="008B2CC4">
        <w:rPr>
          <w:rFonts w:ascii="Times New Roman" w:hAnsi="Times New Roman" w:cs="Times New Roman"/>
          <w:sz w:val="28"/>
          <w:szCs w:val="28"/>
          <w:lang w:val="en-US"/>
        </w:rPr>
        <w:t>LakeRec</w:t>
      </w:r>
      <w:proofErr w:type="spellEnd"/>
      <w:r w:rsidRPr="008B2CC4">
        <w:rPr>
          <w:rFonts w:ascii="Times New Roman" w:hAnsi="Times New Roman" w:cs="Times New Roman"/>
          <w:sz w:val="28"/>
          <w:szCs w:val="28"/>
          <w:lang w:val="en-US"/>
        </w:rPr>
        <w:t xml:space="preserve"> Ltd is unreasonable. The PRA stated that it had granted a license to </w:t>
      </w:r>
      <w:proofErr w:type="spellStart"/>
      <w:r w:rsidRPr="008B2CC4">
        <w:rPr>
          <w:rFonts w:ascii="Times New Roman" w:hAnsi="Times New Roman" w:cs="Times New Roman"/>
          <w:sz w:val="28"/>
          <w:szCs w:val="28"/>
          <w:lang w:val="en-US"/>
        </w:rPr>
        <w:t>LakeRec</w:t>
      </w:r>
      <w:proofErr w:type="spellEnd"/>
      <w:r w:rsidRPr="008B2CC4">
        <w:rPr>
          <w:rFonts w:ascii="Times New Roman" w:hAnsi="Times New Roman" w:cs="Times New Roman"/>
          <w:sz w:val="28"/>
          <w:szCs w:val="28"/>
          <w:lang w:val="en-US"/>
        </w:rPr>
        <w:t xml:space="preserve"> Ltd because it has shown that the plant will result in economic growth. It was essential for the PRA to focus on the impact of establishing a recycling plant opposite to the natural reserve on the natural reserve. The authority was developed </w:t>
      </w:r>
      <w:proofErr w:type="gramStart"/>
      <w:r w:rsidRPr="008B2CC4">
        <w:rPr>
          <w:rFonts w:ascii="Times New Roman" w:hAnsi="Times New Roman" w:cs="Times New Roman"/>
          <w:sz w:val="28"/>
          <w:szCs w:val="28"/>
          <w:lang w:val="en-US"/>
        </w:rPr>
        <w:t>in regards to</w:t>
      </w:r>
      <w:proofErr w:type="gramEnd"/>
      <w:r w:rsidRPr="008B2CC4">
        <w:rPr>
          <w:rFonts w:ascii="Times New Roman" w:hAnsi="Times New Roman" w:cs="Times New Roman"/>
          <w:sz w:val="28"/>
          <w:szCs w:val="28"/>
          <w:lang w:val="en-US"/>
        </w:rPr>
        <w:t xml:space="preserve"> the Environmental Protection Act, and therefore, environmental protection must be the first priority of the PRA, rather than economic benefit</w:t>
      </w:r>
      <w:commentRangeStart w:id="19"/>
      <w:commentRangeStart w:id="20"/>
      <w:r w:rsidRPr="008B2CC4">
        <w:rPr>
          <w:rFonts w:ascii="Times New Roman" w:hAnsi="Times New Roman" w:cs="Times New Roman"/>
          <w:sz w:val="28"/>
          <w:szCs w:val="28"/>
          <w:lang w:val="en-US"/>
        </w:rPr>
        <w:t>.</w:t>
      </w:r>
      <w:commentRangeEnd w:id="19"/>
      <w:r w:rsidRPr="008B2CC4">
        <w:rPr>
          <w:lang w:val="en-US"/>
        </w:rPr>
        <w:commentReference w:id="19"/>
      </w:r>
      <w:commentRangeEnd w:id="20"/>
      <w:r w:rsidRPr="008B2CC4">
        <w:rPr>
          <w:sz w:val="16"/>
          <w:szCs w:val="16"/>
          <w:lang w:val="en-US"/>
        </w:rPr>
        <w:commentReference w:id="20"/>
      </w:r>
      <w:r w:rsidRPr="008B2CC4">
        <w:rPr>
          <w:rFonts w:ascii="Times New Roman" w:hAnsi="Times New Roman" w:cs="Times New Roman"/>
          <w:sz w:val="28"/>
          <w:szCs w:val="28"/>
          <w:lang w:val="en-US"/>
        </w:rPr>
        <w:t xml:space="preserve"> </w:t>
      </w:r>
    </w:p>
    <w:p w14:paraId="083DE6A1" w14:textId="77777777" w:rsidR="008B2CC4" w:rsidRPr="008B2CC4" w:rsidRDefault="008B2CC4" w:rsidP="008B2CC4">
      <w:pPr>
        <w:spacing w:after="0" w:line="480" w:lineRule="auto"/>
        <w:jc w:val="both"/>
        <w:rPr>
          <w:rFonts w:ascii="Times New Roman" w:hAnsi="Times New Roman" w:cs="Times New Roman"/>
          <w:sz w:val="28"/>
          <w:szCs w:val="28"/>
          <w:lang w:val="en-US"/>
        </w:rPr>
      </w:pPr>
      <w:r w:rsidRPr="008B2CC4">
        <w:rPr>
          <w:rFonts w:ascii="Times New Roman" w:hAnsi="Times New Roman" w:cs="Times New Roman"/>
          <w:sz w:val="28"/>
          <w:szCs w:val="28"/>
          <w:lang w:val="en-US"/>
        </w:rPr>
        <w:lastRenderedPageBreak/>
        <w:tab/>
        <w:t xml:space="preserve">For instance, in the case of </w:t>
      </w:r>
      <w:r w:rsidRPr="008B2CC4">
        <w:rPr>
          <w:rFonts w:ascii="Times New Roman" w:hAnsi="Times New Roman" w:cs="Times New Roman"/>
          <w:i/>
          <w:iCs/>
          <w:color w:val="00B0F0"/>
          <w:sz w:val="28"/>
          <w:szCs w:val="28"/>
          <w:lang w:val="en-US"/>
        </w:rPr>
        <w:t xml:space="preserve">Congreve v home Office 1976, </w:t>
      </w:r>
      <w:r w:rsidRPr="008B2CC4">
        <w:rPr>
          <w:rFonts w:ascii="Times New Roman" w:hAnsi="Times New Roman" w:cs="Times New Roman"/>
          <w:color w:val="00B0F0"/>
          <w:sz w:val="28"/>
          <w:szCs w:val="28"/>
          <w:lang w:val="en-US"/>
        </w:rPr>
        <w:t xml:space="preserve">The Home was perceived to exercise its power for an inappropriate purpose. The Home increased the TV license cost and has made it mandatory for everyone to pay the TV </w:t>
      </w:r>
      <w:proofErr w:type="spellStart"/>
      <w:r w:rsidRPr="008B2CC4">
        <w:rPr>
          <w:rFonts w:ascii="Times New Roman" w:hAnsi="Times New Roman" w:cs="Times New Roman"/>
          <w:color w:val="00B0F0"/>
          <w:sz w:val="28"/>
          <w:szCs w:val="28"/>
          <w:lang w:val="en-US"/>
        </w:rPr>
        <w:t>licence</w:t>
      </w:r>
      <w:proofErr w:type="spellEnd"/>
      <w:r w:rsidRPr="008B2CC4">
        <w:rPr>
          <w:rFonts w:ascii="Times New Roman" w:hAnsi="Times New Roman" w:cs="Times New Roman"/>
          <w:color w:val="00B0F0"/>
          <w:sz w:val="28"/>
          <w:szCs w:val="28"/>
          <w:lang w:val="en-US"/>
        </w:rPr>
        <w:t xml:space="preserve"> price. </w:t>
      </w:r>
      <w:r w:rsidRPr="008B2CC4">
        <w:rPr>
          <w:rFonts w:ascii="Times New Roman" w:hAnsi="Times New Roman" w:cs="Times New Roman"/>
          <w:sz w:val="28"/>
          <w:szCs w:val="28"/>
          <w:lang w:val="en-US"/>
        </w:rPr>
        <w:t xml:space="preserve"> </w:t>
      </w:r>
    </w:p>
    <w:p w14:paraId="49C550E1" w14:textId="77777777" w:rsidR="008B2CC4" w:rsidRPr="008B2CC4" w:rsidRDefault="008B2CC4" w:rsidP="008B2CC4">
      <w:pPr>
        <w:spacing w:after="0" w:line="480" w:lineRule="auto"/>
        <w:jc w:val="both"/>
        <w:rPr>
          <w:rFonts w:ascii="Times New Roman" w:hAnsi="Times New Roman" w:cs="Times New Roman"/>
          <w:sz w:val="28"/>
          <w:szCs w:val="28"/>
          <w:lang w:val="en-US"/>
        </w:rPr>
      </w:pPr>
      <w:r w:rsidRPr="008B2CC4">
        <w:rPr>
          <w:rFonts w:ascii="Times New Roman" w:hAnsi="Times New Roman" w:cs="Times New Roman"/>
          <w:sz w:val="28"/>
          <w:szCs w:val="28"/>
          <w:lang w:val="en-US"/>
        </w:rPr>
        <w:t xml:space="preserve">Furthermore, the NRT can also claim a judicial review on the decision for granting a license to </w:t>
      </w:r>
      <w:proofErr w:type="spellStart"/>
      <w:r w:rsidRPr="008B2CC4">
        <w:rPr>
          <w:rFonts w:ascii="Times New Roman" w:hAnsi="Times New Roman" w:cs="Times New Roman"/>
          <w:sz w:val="28"/>
          <w:szCs w:val="28"/>
          <w:lang w:val="en-US"/>
        </w:rPr>
        <w:t>LakeRec</w:t>
      </w:r>
      <w:proofErr w:type="spellEnd"/>
      <w:r w:rsidRPr="008B2CC4">
        <w:rPr>
          <w:rFonts w:ascii="Times New Roman" w:hAnsi="Times New Roman" w:cs="Times New Roman"/>
          <w:sz w:val="28"/>
          <w:szCs w:val="28"/>
          <w:lang w:val="en-US"/>
        </w:rPr>
        <w:t xml:space="preserve"> Ltd, as the authority did not perform lawfully. The Environmental protection Act 2019 clearly stipulated that every application made for a license should be displayed online, in local Newspaper, as well as at the proposed site. However, the license application of </w:t>
      </w:r>
      <w:proofErr w:type="spellStart"/>
      <w:r w:rsidRPr="008B2CC4">
        <w:rPr>
          <w:rFonts w:ascii="Times New Roman" w:hAnsi="Times New Roman" w:cs="Times New Roman"/>
          <w:sz w:val="28"/>
          <w:szCs w:val="28"/>
          <w:lang w:val="en-US"/>
        </w:rPr>
        <w:t>LakeRec</w:t>
      </w:r>
      <w:proofErr w:type="spellEnd"/>
      <w:r w:rsidRPr="008B2CC4">
        <w:rPr>
          <w:rFonts w:ascii="Times New Roman" w:hAnsi="Times New Roman" w:cs="Times New Roman"/>
          <w:sz w:val="28"/>
          <w:szCs w:val="28"/>
          <w:lang w:val="en-US"/>
        </w:rPr>
        <w:t xml:space="preserve"> Ltd was only posted in local Newspaper; it was not posted in online, and the proposed site due to which many people using the natural reserve had no information regarding the recycling plant. This significantly highlights that the decision of the PRA was unfair and somewhat bias. It has also been perceived that </w:t>
      </w:r>
      <w:proofErr w:type="gramStart"/>
      <w:r w:rsidRPr="008B2CC4">
        <w:rPr>
          <w:rFonts w:ascii="Times New Roman" w:hAnsi="Times New Roman" w:cs="Times New Roman"/>
          <w:sz w:val="28"/>
          <w:szCs w:val="28"/>
          <w:lang w:val="en-US"/>
        </w:rPr>
        <w:t>in regard to</w:t>
      </w:r>
      <w:proofErr w:type="gramEnd"/>
      <w:r w:rsidRPr="008B2CC4">
        <w:rPr>
          <w:rFonts w:ascii="Times New Roman" w:hAnsi="Times New Roman" w:cs="Times New Roman"/>
          <w:sz w:val="28"/>
          <w:szCs w:val="28"/>
          <w:lang w:val="en-US"/>
        </w:rPr>
        <w:t xml:space="preserve"> granting a license to </w:t>
      </w:r>
      <w:proofErr w:type="spellStart"/>
      <w:r w:rsidRPr="008B2CC4">
        <w:rPr>
          <w:rFonts w:ascii="Times New Roman" w:hAnsi="Times New Roman" w:cs="Times New Roman"/>
          <w:sz w:val="28"/>
          <w:szCs w:val="28"/>
          <w:lang w:val="en-US"/>
        </w:rPr>
        <w:t>L</w:t>
      </w:r>
      <w:commentRangeStart w:id="21"/>
      <w:commentRangeStart w:id="22"/>
      <w:r w:rsidRPr="008B2CC4">
        <w:rPr>
          <w:rFonts w:ascii="Times New Roman" w:hAnsi="Times New Roman" w:cs="Times New Roman"/>
          <w:sz w:val="28"/>
          <w:szCs w:val="28"/>
          <w:lang w:val="en-US"/>
        </w:rPr>
        <w:t>akeRec</w:t>
      </w:r>
      <w:proofErr w:type="spellEnd"/>
      <w:r w:rsidRPr="008B2CC4">
        <w:rPr>
          <w:rFonts w:ascii="Times New Roman" w:hAnsi="Times New Roman" w:cs="Times New Roman"/>
          <w:sz w:val="28"/>
          <w:szCs w:val="28"/>
          <w:lang w:val="en-US"/>
        </w:rPr>
        <w:t xml:space="preserve"> Ltd, the decision and action of the PRA was unfairness and irration</w:t>
      </w:r>
      <w:commentRangeEnd w:id="21"/>
      <w:r w:rsidRPr="008B2CC4">
        <w:rPr>
          <w:lang w:val="en-US"/>
        </w:rPr>
        <w:commentReference w:id="21"/>
      </w:r>
      <w:commentRangeEnd w:id="22"/>
      <w:r w:rsidRPr="008B2CC4">
        <w:rPr>
          <w:sz w:val="16"/>
          <w:szCs w:val="16"/>
          <w:lang w:val="en-US"/>
        </w:rPr>
        <w:commentReference w:id="22"/>
      </w:r>
      <w:r w:rsidRPr="008B2CC4">
        <w:rPr>
          <w:rFonts w:ascii="Times New Roman" w:hAnsi="Times New Roman" w:cs="Times New Roman"/>
          <w:sz w:val="28"/>
          <w:szCs w:val="28"/>
          <w:lang w:val="en-US"/>
        </w:rPr>
        <w:t xml:space="preserve">al. </w:t>
      </w:r>
      <w:r w:rsidRPr="008B2CC4">
        <w:rPr>
          <w:rFonts w:ascii="Times New Roman" w:hAnsi="Times New Roman" w:cs="Times New Roman"/>
          <w:color w:val="0070C0"/>
          <w:sz w:val="28"/>
          <w:szCs w:val="28"/>
          <w:lang w:val="en-US"/>
        </w:rPr>
        <w:t xml:space="preserve">It was clearly mentioned that the conditions of the application for the </w:t>
      </w:r>
      <w:proofErr w:type="spellStart"/>
      <w:r w:rsidRPr="008B2CC4">
        <w:rPr>
          <w:rFonts w:ascii="Times New Roman" w:hAnsi="Times New Roman" w:cs="Times New Roman"/>
          <w:color w:val="0070C0"/>
          <w:sz w:val="28"/>
          <w:szCs w:val="28"/>
          <w:lang w:val="en-US"/>
        </w:rPr>
        <w:t>licence</w:t>
      </w:r>
      <w:proofErr w:type="spellEnd"/>
      <w:r w:rsidRPr="008B2CC4">
        <w:rPr>
          <w:rFonts w:ascii="Times New Roman" w:hAnsi="Times New Roman" w:cs="Times New Roman"/>
          <w:color w:val="0070C0"/>
          <w:sz w:val="28"/>
          <w:szCs w:val="28"/>
          <w:lang w:val="en-US"/>
        </w:rPr>
        <w:t xml:space="preserve"> should be followed, and if not followed, it can be considered as unlawful activity.</w:t>
      </w:r>
      <w:r w:rsidRPr="008B2CC4">
        <w:rPr>
          <w:rFonts w:ascii="Times New Roman" w:hAnsi="Times New Roman" w:cs="Times New Roman"/>
          <w:sz w:val="28"/>
          <w:szCs w:val="28"/>
          <w:lang w:val="en-US"/>
        </w:rPr>
        <w:t xml:space="preserve"> </w:t>
      </w:r>
    </w:p>
    <w:p w14:paraId="31BCAFE4" w14:textId="77777777" w:rsidR="008B2CC4" w:rsidRPr="008B2CC4" w:rsidRDefault="008B2CC4" w:rsidP="008B2CC4">
      <w:pPr>
        <w:spacing w:after="0" w:line="480" w:lineRule="auto"/>
        <w:jc w:val="both"/>
        <w:rPr>
          <w:rFonts w:ascii="Times New Roman" w:hAnsi="Times New Roman" w:cs="Times New Roman"/>
          <w:color w:val="00B0F0"/>
          <w:sz w:val="28"/>
          <w:szCs w:val="28"/>
          <w:lang w:val="en-US"/>
        </w:rPr>
      </w:pPr>
      <w:r w:rsidRPr="008B2CC4">
        <w:rPr>
          <w:rFonts w:ascii="Times New Roman" w:hAnsi="Times New Roman" w:cs="Times New Roman"/>
          <w:sz w:val="28"/>
          <w:szCs w:val="28"/>
          <w:lang w:val="en-US"/>
        </w:rPr>
        <w:tab/>
        <w:t xml:space="preserve">Thus, it can be advised that both NSP and NRT can claim a judicial review against the decisions of the PRA. The points discussed above clearly highlights that the decisions made by the PRA were on the grounds of illegality, unfairness, and irrationality. Hence, both NSP and NRT have a high chance to achieve success </w:t>
      </w:r>
      <w:proofErr w:type="gramStart"/>
      <w:r w:rsidRPr="008B2CC4">
        <w:rPr>
          <w:rFonts w:ascii="Times New Roman" w:hAnsi="Times New Roman" w:cs="Times New Roman"/>
          <w:sz w:val="28"/>
          <w:szCs w:val="28"/>
          <w:lang w:val="en-US"/>
        </w:rPr>
        <w:t xml:space="preserve">in </w:t>
      </w:r>
      <w:r w:rsidRPr="008B2CC4">
        <w:rPr>
          <w:rFonts w:ascii="Times New Roman" w:hAnsi="Times New Roman" w:cs="Times New Roman"/>
          <w:sz w:val="28"/>
          <w:szCs w:val="28"/>
          <w:lang w:val="en-US"/>
        </w:rPr>
        <w:lastRenderedPageBreak/>
        <w:t>regards to</w:t>
      </w:r>
      <w:proofErr w:type="gramEnd"/>
      <w:r w:rsidRPr="008B2CC4">
        <w:rPr>
          <w:rFonts w:ascii="Times New Roman" w:hAnsi="Times New Roman" w:cs="Times New Roman"/>
          <w:sz w:val="28"/>
          <w:szCs w:val="28"/>
          <w:lang w:val="en-US"/>
        </w:rPr>
        <w:t xml:space="preserve"> the judicial review claim. </w:t>
      </w:r>
      <w:commentRangeStart w:id="23"/>
      <w:commentRangeStart w:id="24"/>
      <w:commentRangeEnd w:id="23"/>
      <w:r w:rsidRPr="008B2CC4">
        <w:rPr>
          <w:lang w:val="en-US"/>
        </w:rPr>
        <w:commentReference w:id="23"/>
      </w:r>
      <w:commentRangeEnd w:id="24"/>
      <w:r w:rsidRPr="008B2CC4">
        <w:rPr>
          <w:sz w:val="16"/>
          <w:szCs w:val="16"/>
          <w:lang w:val="en-US"/>
        </w:rPr>
        <w:commentReference w:id="24"/>
      </w:r>
      <w:r w:rsidRPr="008B2CC4">
        <w:rPr>
          <w:rFonts w:ascii="Times New Roman" w:hAnsi="Times New Roman" w:cs="Times New Roman"/>
          <w:color w:val="00B0F0"/>
          <w:sz w:val="28"/>
          <w:szCs w:val="28"/>
          <w:lang w:val="en-US"/>
        </w:rPr>
        <w:t>The</w:t>
      </w:r>
      <w:r w:rsidRPr="008B2CC4">
        <w:rPr>
          <w:rFonts w:ascii="Times New Roman" w:hAnsi="Times New Roman" w:cs="Times New Roman"/>
          <w:sz w:val="28"/>
          <w:szCs w:val="28"/>
          <w:lang w:val="en-US"/>
        </w:rPr>
        <w:t xml:space="preserve"> </w:t>
      </w:r>
      <w:r w:rsidRPr="008B2CC4">
        <w:rPr>
          <w:rFonts w:ascii="Times New Roman" w:hAnsi="Times New Roman" w:cs="Times New Roman"/>
          <w:color w:val="00B0F0"/>
          <w:sz w:val="28"/>
          <w:szCs w:val="28"/>
          <w:lang w:val="en-US"/>
        </w:rPr>
        <w:t>reasonable</w:t>
      </w:r>
      <w:r w:rsidRPr="008B2CC4">
        <w:rPr>
          <w:rFonts w:ascii="Times New Roman" w:hAnsi="Times New Roman" w:cs="Times New Roman"/>
          <w:sz w:val="28"/>
          <w:szCs w:val="28"/>
          <w:lang w:val="en-US"/>
        </w:rPr>
        <w:t xml:space="preserve"> </w:t>
      </w:r>
      <w:r w:rsidRPr="008B2CC4">
        <w:rPr>
          <w:rFonts w:ascii="Times New Roman" w:hAnsi="Times New Roman" w:cs="Times New Roman"/>
          <w:color w:val="00B0F0"/>
          <w:sz w:val="28"/>
          <w:szCs w:val="28"/>
          <w:lang w:val="en-US"/>
        </w:rPr>
        <w:t xml:space="preserve">order for the Court may be to discard the </w:t>
      </w:r>
      <w:proofErr w:type="spellStart"/>
      <w:r w:rsidRPr="008B2CC4">
        <w:rPr>
          <w:rFonts w:ascii="Times New Roman" w:hAnsi="Times New Roman" w:cs="Times New Roman"/>
          <w:color w:val="00B0F0"/>
          <w:sz w:val="28"/>
          <w:szCs w:val="28"/>
          <w:lang w:val="en-US"/>
        </w:rPr>
        <w:t>licence</w:t>
      </w:r>
      <w:proofErr w:type="spellEnd"/>
      <w:r w:rsidRPr="008B2CC4">
        <w:rPr>
          <w:rFonts w:ascii="Times New Roman" w:hAnsi="Times New Roman" w:cs="Times New Roman"/>
          <w:color w:val="00B0F0"/>
          <w:sz w:val="28"/>
          <w:szCs w:val="28"/>
          <w:lang w:val="en-US"/>
        </w:rPr>
        <w:t xml:space="preserve"> of </w:t>
      </w:r>
      <w:proofErr w:type="spellStart"/>
      <w:r w:rsidRPr="008B2CC4">
        <w:rPr>
          <w:rFonts w:ascii="Times New Roman" w:hAnsi="Times New Roman" w:cs="Times New Roman"/>
          <w:color w:val="00B0F0"/>
          <w:sz w:val="28"/>
          <w:szCs w:val="28"/>
          <w:lang w:val="en-US"/>
        </w:rPr>
        <w:t>LakeRec</w:t>
      </w:r>
      <w:proofErr w:type="spellEnd"/>
      <w:r w:rsidRPr="008B2CC4">
        <w:rPr>
          <w:rFonts w:ascii="Times New Roman" w:hAnsi="Times New Roman" w:cs="Times New Roman"/>
          <w:color w:val="00B0F0"/>
          <w:sz w:val="28"/>
          <w:szCs w:val="28"/>
          <w:lang w:val="en-US"/>
        </w:rPr>
        <w:t xml:space="preserve"> </w:t>
      </w:r>
      <w:proofErr w:type="gramStart"/>
      <w:r w:rsidRPr="008B2CC4">
        <w:rPr>
          <w:rFonts w:ascii="Times New Roman" w:hAnsi="Times New Roman" w:cs="Times New Roman"/>
          <w:color w:val="00B0F0"/>
          <w:sz w:val="28"/>
          <w:szCs w:val="28"/>
          <w:lang w:val="en-US"/>
        </w:rPr>
        <w:t>Ltd, and</w:t>
      </w:r>
      <w:proofErr w:type="gramEnd"/>
      <w:r w:rsidRPr="008B2CC4">
        <w:rPr>
          <w:rFonts w:ascii="Times New Roman" w:hAnsi="Times New Roman" w:cs="Times New Roman"/>
          <w:color w:val="00B0F0"/>
          <w:sz w:val="28"/>
          <w:szCs w:val="28"/>
          <w:lang w:val="en-US"/>
        </w:rPr>
        <w:t xml:space="preserve"> order the authority to revise its policy and grant a license to the NSP. </w:t>
      </w:r>
    </w:p>
    <w:p w14:paraId="2EB483BD" w14:textId="77777777" w:rsidR="008B2CC4" w:rsidRPr="008B2CC4" w:rsidRDefault="008B2CC4" w:rsidP="008B2CC4">
      <w:pPr>
        <w:spacing w:after="200" w:line="276" w:lineRule="auto"/>
        <w:rPr>
          <w:rFonts w:ascii="Times New Roman" w:eastAsiaTheme="majorEastAsia" w:hAnsi="Times New Roman" w:cs="Times New Roman"/>
          <w:b/>
          <w:bCs/>
          <w:sz w:val="24"/>
          <w:szCs w:val="24"/>
          <w:lang w:val="en-US"/>
        </w:rPr>
      </w:pPr>
      <w:bookmarkStart w:id="25" w:name="_Toc59015506"/>
      <w:r w:rsidRPr="008B2CC4">
        <w:rPr>
          <w:rFonts w:ascii="Times New Roman" w:hAnsi="Times New Roman" w:cs="Times New Roman"/>
          <w:sz w:val="24"/>
          <w:szCs w:val="24"/>
          <w:lang w:val="en-US"/>
        </w:rPr>
        <w:br w:type="page"/>
      </w:r>
    </w:p>
    <w:p w14:paraId="5E2EAF31" w14:textId="77777777" w:rsidR="008B2CC4" w:rsidRPr="008B2CC4" w:rsidRDefault="008B2CC4" w:rsidP="008B2CC4">
      <w:pPr>
        <w:keepNext/>
        <w:keepLines/>
        <w:spacing w:after="0" w:line="480" w:lineRule="auto"/>
        <w:jc w:val="both"/>
        <w:outlineLvl w:val="0"/>
        <w:rPr>
          <w:rFonts w:ascii="Times New Roman" w:eastAsiaTheme="majorEastAsia" w:hAnsi="Times New Roman" w:cs="Times New Roman"/>
          <w:b/>
          <w:bCs/>
          <w:sz w:val="24"/>
          <w:szCs w:val="24"/>
          <w:lang w:val="en-US"/>
        </w:rPr>
      </w:pPr>
      <w:r w:rsidRPr="008B2CC4">
        <w:rPr>
          <w:rFonts w:ascii="Times New Roman" w:eastAsiaTheme="majorEastAsia" w:hAnsi="Times New Roman" w:cs="Times New Roman"/>
          <w:b/>
          <w:bCs/>
          <w:sz w:val="24"/>
          <w:szCs w:val="24"/>
          <w:lang w:val="en-US"/>
        </w:rPr>
        <w:lastRenderedPageBreak/>
        <w:t>References</w:t>
      </w:r>
      <w:commentRangeStart w:id="26"/>
      <w:commentRangeStart w:id="27"/>
      <w:commentRangeEnd w:id="26"/>
      <w:r w:rsidRPr="008B2CC4">
        <w:rPr>
          <w:rFonts w:asciiTheme="majorHAnsi" w:eastAsiaTheme="majorEastAsia" w:hAnsiTheme="majorHAnsi" w:cstheme="majorBidi"/>
          <w:b/>
          <w:bCs/>
          <w:color w:val="2F5496" w:themeColor="accent1" w:themeShade="BF"/>
          <w:sz w:val="28"/>
          <w:szCs w:val="28"/>
          <w:lang w:val="en-US"/>
        </w:rPr>
        <w:commentReference w:id="26"/>
      </w:r>
      <w:bookmarkEnd w:id="25"/>
      <w:commentRangeEnd w:id="27"/>
      <w:r w:rsidRPr="008B2CC4">
        <w:rPr>
          <w:sz w:val="16"/>
          <w:szCs w:val="16"/>
          <w:lang w:val="en-US"/>
        </w:rPr>
        <w:commentReference w:id="27"/>
      </w:r>
    </w:p>
    <w:p w14:paraId="4003DA38" w14:textId="77777777" w:rsidR="008B2CC4" w:rsidRPr="008B2CC4" w:rsidRDefault="008B2CC4" w:rsidP="008B2CC4">
      <w:pPr>
        <w:spacing w:after="0" w:line="480" w:lineRule="auto"/>
        <w:ind w:left="720" w:hanging="720"/>
        <w:rPr>
          <w:rFonts w:ascii="Times New Roman" w:hAnsi="Times New Roman" w:cs="Times New Roman"/>
          <w:sz w:val="24"/>
          <w:szCs w:val="24"/>
          <w:lang w:val="en-US"/>
        </w:rPr>
      </w:pPr>
      <w:r w:rsidRPr="008B2CC4">
        <w:rPr>
          <w:rFonts w:ascii="Times New Roman" w:hAnsi="Times New Roman" w:cs="Times New Roman"/>
          <w:sz w:val="24"/>
          <w:szCs w:val="24"/>
          <w:lang w:val="en-US"/>
        </w:rPr>
        <w:t xml:space="preserve">Ashurt,2019. Judicial Review. [Online] Available at: </w:t>
      </w:r>
      <w:hyperlink r:id="rId10" w:history="1">
        <w:r w:rsidRPr="008B2CC4">
          <w:rPr>
            <w:rFonts w:ascii="Times New Roman" w:hAnsi="Times New Roman" w:cs="Times New Roman"/>
            <w:color w:val="0563C1" w:themeColor="hyperlink"/>
            <w:sz w:val="24"/>
            <w:szCs w:val="24"/>
            <w:u w:val="single"/>
            <w:lang w:val="en-US"/>
          </w:rPr>
          <w:t>https://www.ashurt.com/en/news-and-insights/legal-updates/judicial-review/</w:t>
        </w:r>
      </w:hyperlink>
      <w:r w:rsidRPr="008B2CC4">
        <w:rPr>
          <w:rFonts w:ascii="Times New Roman" w:hAnsi="Times New Roman" w:cs="Times New Roman"/>
          <w:sz w:val="24"/>
          <w:szCs w:val="24"/>
          <w:lang w:val="en-US"/>
        </w:rPr>
        <w:t xml:space="preserve"> [Accessed </w:t>
      </w:r>
      <w:proofErr w:type="gramStart"/>
      <w:r w:rsidRPr="008B2CC4">
        <w:rPr>
          <w:rFonts w:ascii="Times New Roman" w:hAnsi="Times New Roman" w:cs="Times New Roman"/>
          <w:sz w:val="24"/>
          <w:szCs w:val="24"/>
          <w:lang w:val="en-US"/>
        </w:rPr>
        <w:t>on:</w:t>
      </w:r>
      <w:proofErr w:type="gramEnd"/>
      <w:r w:rsidRPr="008B2CC4">
        <w:rPr>
          <w:rFonts w:ascii="Times New Roman" w:hAnsi="Times New Roman" w:cs="Times New Roman"/>
          <w:sz w:val="24"/>
          <w:szCs w:val="24"/>
          <w:lang w:val="en-US"/>
        </w:rPr>
        <w:t xml:space="preserve"> 20 December 2020].</w:t>
      </w:r>
    </w:p>
    <w:p w14:paraId="6ED77400" w14:textId="77777777" w:rsidR="008B2CC4" w:rsidRPr="008B2CC4" w:rsidRDefault="008B2CC4" w:rsidP="008B2CC4">
      <w:pPr>
        <w:spacing w:after="0" w:line="480" w:lineRule="auto"/>
        <w:ind w:left="720" w:hanging="720"/>
        <w:rPr>
          <w:rFonts w:ascii="Times New Roman" w:hAnsi="Times New Roman" w:cs="Times New Roman"/>
          <w:sz w:val="24"/>
          <w:szCs w:val="24"/>
          <w:lang w:val="en-US"/>
        </w:rPr>
      </w:pPr>
      <w:r w:rsidRPr="008B2CC4">
        <w:rPr>
          <w:rFonts w:ascii="Times New Roman" w:hAnsi="Times New Roman" w:cs="Times New Roman"/>
          <w:sz w:val="24"/>
          <w:szCs w:val="24"/>
          <w:lang w:val="en-US"/>
        </w:rPr>
        <w:t xml:space="preserve">Law Wales 2020. What does ‘fettering’ discretion </w:t>
      </w:r>
      <w:proofErr w:type="gramStart"/>
      <w:r w:rsidRPr="008B2CC4">
        <w:rPr>
          <w:rFonts w:ascii="Times New Roman" w:hAnsi="Times New Roman" w:cs="Times New Roman"/>
          <w:sz w:val="24"/>
          <w:szCs w:val="24"/>
          <w:lang w:val="en-US"/>
        </w:rPr>
        <w:t>mean?.</w:t>
      </w:r>
      <w:proofErr w:type="gramEnd"/>
      <w:r w:rsidRPr="008B2CC4">
        <w:rPr>
          <w:rFonts w:ascii="Times New Roman" w:hAnsi="Times New Roman" w:cs="Times New Roman"/>
          <w:sz w:val="24"/>
          <w:szCs w:val="24"/>
          <w:lang w:val="en-US"/>
        </w:rPr>
        <w:t xml:space="preserve"> [ Online ] Available at: </w:t>
      </w:r>
      <w:hyperlink r:id="rId11" w:anchor="constitution-government/public-admin/intro-admin-law/welsh-government-guidance-on-making-good-decisons/has-the-decision-maker-fettered-its-disretion-by-applying-a-rigid-policy/what/-does-‘fettering’-discretion-mean/?tab=overview&amp;lang=en" w:history="1">
        <w:r w:rsidRPr="008B2CC4">
          <w:rPr>
            <w:rFonts w:ascii="Times New Roman" w:hAnsi="Times New Roman" w:cs="Times New Roman"/>
            <w:color w:val="0563C1" w:themeColor="hyperlink"/>
            <w:sz w:val="24"/>
            <w:szCs w:val="24"/>
            <w:u w:val="single"/>
            <w:lang w:val="en-US"/>
          </w:rPr>
          <w:t>https://law.gov.wales/constitution-government/public-admin/intropadmin-law/welsh-government-guidence-on-making</w:t>
        </w:r>
        <w:bookmarkStart w:id="28" w:name="_Hlk59493307"/>
        <w:r w:rsidRPr="008B2CC4">
          <w:rPr>
            <w:rFonts w:ascii="Times New Roman" w:hAnsi="Times New Roman" w:cs="Times New Roman"/>
            <w:color w:val="0563C1" w:themeColor="hyperlink"/>
            <w:sz w:val="24"/>
            <w:szCs w:val="24"/>
            <w:u w:val="single"/>
            <w:lang w:val="en-US"/>
          </w:rPr>
          <w:t>-good-decisons/has-the-decision-maker-fettered-its-disretion-by-applying-a-rigid-policy/what/-does-‘fettering’-discretion-</w:t>
        </w:r>
        <w:bookmarkEnd w:id="28"/>
        <w:r w:rsidRPr="008B2CC4">
          <w:rPr>
            <w:rFonts w:ascii="Times New Roman" w:hAnsi="Times New Roman" w:cs="Times New Roman"/>
            <w:color w:val="0563C1" w:themeColor="hyperlink"/>
            <w:sz w:val="24"/>
            <w:szCs w:val="24"/>
            <w:u w:val="single"/>
            <w:lang w:val="en-US"/>
          </w:rPr>
          <w:t>mean/?lang=en#constitution-government/public-admin/intro-admin-law/welsh-government-guidance-on-making-good-decisons/has-the-decision-maker-fettered-its-disretion-by-applying-a-rigid-policy/what/-does-‘fettering’-discretion-mean/?tab=overview&amp;lang=en</w:t>
        </w:r>
      </w:hyperlink>
      <w:r w:rsidRPr="008B2CC4">
        <w:rPr>
          <w:rFonts w:ascii="Times New Roman" w:hAnsi="Times New Roman" w:cs="Times New Roman"/>
          <w:sz w:val="24"/>
          <w:szCs w:val="24"/>
          <w:lang w:val="en-US"/>
        </w:rPr>
        <w:t xml:space="preserve"> [ Accessed on 20 December 2020].</w:t>
      </w:r>
    </w:p>
    <w:p w14:paraId="5A8A2626" w14:textId="77777777" w:rsidR="008B2CC4" w:rsidRPr="008B2CC4" w:rsidRDefault="008B2CC4" w:rsidP="008B2CC4">
      <w:pPr>
        <w:spacing w:after="200" w:line="276" w:lineRule="auto"/>
        <w:rPr>
          <w:lang w:val="en-US"/>
        </w:rPr>
      </w:pPr>
    </w:p>
    <w:p w14:paraId="00E66D47" w14:textId="77777777" w:rsidR="008B2CC4" w:rsidRPr="008B2CC4" w:rsidRDefault="008B2CC4" w:rsidP="008B2CC4">
      <w:pPr>
        <w:spacing w:after="0" w:line="480" w:lineRule="auto"/>
        <w:ind w:left="720" w:hanging="720"/>
        <w:rPr>
          <w:rFonts w:ascii="Times New Roman" w:hAnsi="Times New Roman" w:cs="Times New Roman"/>
          <w:sz w:val="24"/>
          <w:szCs w:val="24"/>
          <w:lang w:val="en-US"/>
        </w:rPr>
      </w:pPr>
      <w:r w:rsidRPr="008B2CC4">
        <w:rPr>
          <w:rFonts w:ascii="Times New Roman" w:hAnsi="Times New Roman" w:cs="Times New Roman"/>
          <w:sz w:val="24"/>
          <w:szCs w:val="24"/>
          <w:lang w:val="en-US"/>
        </w:rPr>
        <w:t xml:space="preserve">Leigh Day. 2020. Judicial review. [Online]. Available at: </w:t>
      </w:r>
      <w:hyperlink r:id="rId12" w:history="1">
        <w:r w:rsidRPr="008B2CC4">
          <w:rPr>
            <w:rFonts w:ascii="Times New Roman" w:hAnsi="Times New Roman" w:cs="Times New Roman"/>
            <w:color w:val="0563C1" w:themeColor="hyperlink"/>
            <w:sz w:val="24"/>
            <w:szCs w:val="24"/>
            <w:u w:val="single"/>
            <w:lang w:val="en-US"/>
          </w:rPr>
          <w:t>https://www.leighday.co.uk/Human-rights-abuse-claims-judicial-review/Further-insights/Judicial-review</w:t>
        </w:r>
      </w:hyperlink>
      <w:r w:rsidRPr="008B2CC4">
        <w:rPr>
          <w:rFonts w:ascii="Times New Roman" w:hAnsi="Times New Roman" w:cs="Times New Roman"/>
          <w:sz w:val="24"/>
          <w:szCs w:val="24"/>
          <w:lang w:val="en-US"/>
        </w:rPr>
        <w:t xml:space="preserve"> [Accessed </w:t>
      </w:r>
      <w:proofErr w:type="gramStart"/>
      <w:r w:rsidRPr="008B2CC4">
        <w:rPr>
          <w:rFonts w:ascii="Times New Roman" w:hAnsi="Times New Roman" w:cs="Times New Roman"/>
          <w:sz w:val="24"/>
          <w:szCs w:val="24"/>
          <w:lang w:val="en-US"/>
        </w:rPr>
        <w:t>on:</w:t>
      </w:r>
      <w:proofErr w:type="gramEnd"/>
      <w:r w:rsidRPr="008B2CC4">
        <w:rPr>
          <w:rFonts w:ascii="Times New Roman" w:hAnsi="Times New Roman" w:cs="Times New Roman"/>
          <w:sz w:val="24"/>
          <w:szCs w:val="24"/>
          <w:lang w:val="en-US"/>
        </w:rPr>
        <w:t xml:space="preserve"> 12 December 2020].</w:t>
      </w:r>
    </w:p>
    <w:p w14:paraId="22FAFEBB" w14:textId="77777777" w:rsidR="008B2CC4" w:rsidRPr="008B2CC4" w:rsidRDefault="008B2CC4" w:rsidP="008B2CC4">
      <w:pPr>
        <w:spacing w:after="0" w:line="480" w:lineRule="auto"/>
        <w:ind w:left="720" w:hanging="720"/>
        <w:rPr>
          <w:rFonts w:ascii="Times New Roman" w:hAnsi="Times New Roman" w:cs="Times New Roman"/>
          <w:sz w:val="24"/>
          <w:szCs w:val="24"/>
          <w:lang w:val="en-US"/>
        </w:rPr>
      </w:pPr>
      <w:r w:rsidRPr="008B2CC4">
        <w:rPr>
          <w:rFonts w:ascii="Times New Roman" w:hAnsi="Times New Roman" w:cs="Times New Roman"/>
          <w:sz w:val="24"/>
          <w:szCs w:val="24"/>
          <w:lang w:val="en-US"/>
        </w:rPr>
        <w:t xml:space="preserve">Public Law Project,2019. An introduction to Judicial Review. [ Online] Available at: </w:t>
      </w:r>
      <w:r w:rsidRPr="008B2CC4">
        <w:rPr>
          <w:rFonts w:ascii="Times New Roman" w:hAnsi="Times New Roman" w:cs="Times New Roman"/>
          <w:color w:val="0070C0"/>
          <w:sz w:val="24"/>
          <w:szCs w:val="24"/>
          <w:u w:val="single"/>
          <w:lang w:val="en-US"/>
        </w:rPr>
        <w:t>https:// publiclawproject.org.uk/wp-content/uploads/2019/02/Intro-to-JR-Guide-1.pdf</w:t>
      </w:r>
      <w:r w:rsidRPr="008B2CC4">
        <w:rPr>
          <w:rFonts w:ascii="Times New Roman" w:hAnsi="Times New Roman" w:cs="Times New Roman"/>
          <w:color w:val="0070C0"/>
          <w:sz w:val="24"/>
          <w:szCs w:val="24"/>
          <w:lang w:val="en-US"/>
        </w:rPr>
        <w:t xml:space="preserve"> </w:t>
      </w:r>
      <w:r w:rsidRPr="008B2CC4">
        <w:rPr>
          <w:rFonts w:ascii="Times New Roman" w:hAnsi="Times New Roman" w:cs="Times New Roman"/>
          <w:sz w:val="24"/>
          <w:szCs w:val="24"/>
          <w:lang w:val="en-US"/>
        </w:rPr>
        <w:t xml:space="preserve">[ Accessed </w:t>
      </w:r>
      <w:proofErr w:type="gramStart"/>
      <w:r w:rsidRPr="008B2CC4">
        <w:rPr>
          <w:rFonts w:ascii="Times New Roman" w:hAnsi="Times New Roman" w:cs="Times New Roman"/>
          <w:sz w:val="24"/>
          <w:szCs w:val="24"/>
          <w:lang w:val="en-US"/>
        </w:rPr>
        <w:t>on:</w:t>
      </w:r>
      <w:proofErr w:type="gramEnd"/>
      <w:r w:rsidRPr="008B2CC4">
        <w:rPr>
          <w:rFonts w:ascii="Times New Roman" w:hAnsi="Times New Roman" w:cs="Times New Roman"/>
          <w:sz w:val="24"/>
          <w:szCs w:val="24"/>
          <w:lang w:val="en-US"/>
        </w:rPr>
        <w:t xml:space="preserve"> 19 December 2020].</w:t>
      </w:r>
    </w:p>
    <w:p w14:paraId="120B1FC8" w14:textId="77777777" w:rsidR="008B2CC4" w:rsidRPr="008B2CC4" w:rsidRDefault="008B2CC4" w:rsidP="008B2CC4">
      <w:pPr>
        <w:spacing w:after="0" w:line="480" w:lineRule="auto"/>
        <w:ind w:left="720" w:hanging="720"/>
        <w:rPr>
          <w:rFonts w:ascii="Times New Roman" w:hAnsi="Times New Roman" w:cs="Times New Roman"/>
          <w:sz w:val="24"/>
          <w:szCs w:val="24"/>
          <w:lang w:val="en-US"/>
        </w:rPr>
      </w:pPr>
      <w:r w:rsidRPr="008B2CC4">
        <w:rPr>
          <w:rFonts w:ascii="Times New Roman" w:hAnsi="Times New Roman" w:cs="Times New Roman"/>
          <w:sz w:val="24"/>
          <w:szCs w:val="24"/>
          <w:lang w:val="en-US"/>
        </w:rPr>
        <w:t xml:space="preserve">  Saunders Law. 2016. Judicial Review Grounds – An Overview. [Online]. </w:t>
      </w:r>
      <w:bookmarkStart w:id="29" w:name="_Hlk59492778"/>
      <w:r w:rsidRPr="008B2CC4">
        <w:rPr>
          <w:rFonts w:ascii="Times New Roman" w:hAnsi="Times New Roman" w:cs="Times New Roman"/>
          <w:sz w:val="24"/>
          <w:szCs w:val="24"/>
          <w:lang w:val="en-US"/>
        </w:rPr>
        <w:t xml:space="preserve">Available at: </w:t>
      </w:r>
      <w:bookmarkEnd w:id="29"/>
      <w:r w:rsidRPr="008B2CC4">
        <w:rPr>
          <w:lang w:val="en-US"/>
        </w:rPr>
        <w:fldChar w:fldCharType="begin"/>
      </w:r>
      <w:r w:rsidRPr="008B2CC4">
        <w:rPr>
          <w:lang w:val="en-US"/>
        </w:rPr>
        <w:instrText xml:space="preserve"> HYPERLINK "about:blank" </w:instrText>
      </w:r>
      <w:r w:rsidRPr="008B2CC4">
        <w:rPr>
          <w:lang w:val="en-US"/>
        </w:rPr>
        <w:fldChar w:fldCharType="separate"/>
      </w:r>
      <w:r w:rsidRPr="008B2CC4">
        <w:rPr>
          <w:rFonts w:ascii="Times New Roman" w:hAnsi="Times New Roman" w:cs="Times New Roman"/>
          <w:color w:val="0563C1" w:themeColor="hyperlink"/>
          <w:sz w:val="24"/>
          <w:szCs w:val="24"/>
          <w:u w:val="single"/>
          <w:lang w:val="en-US"/>
        </w:rPr>
        <w:t>https://www.saunders.co.uk/news/judicial-review-grounds-an-overview/</w:t>
      </w:r>
      <w:r w:rsidRPr="008B2CC4">
        <w:rPr>
          <w:rFonts w:ascii="Times New Roman" w:hAnsi="Times New Roman" w:cs="Times New Roman"/>
          <w:color w:val="0563C1" w:themeColor="hyperlink"/>
          <w:sz w:val="24"/>
          <w:szCs w:val="24"/>
          <w:u w:val="single"/>
          <w:lang w:val="en-US"/>
        </w:rPr>
        <w:fldChar w:fldCharType="end"/>
      </w:r>
      <w:r w:rsidRPr="008B2CC4">
        <w:rPr>
          <w:rFonts w:ascii="Times New Roman" w:hAnsi="Times New Roman" w:cs="Times New Roman"/>
          <w:sz w:val="24"/>
          <w:szCs w:val="24"/>
          <w:lang w:val="en-US"/>
        </w:rPr>
        <w:t xml:space="preserve"> [Accessed </w:t>
      </w:r>
      <w:proofErr w:type="gramStart"/>
      <w:r w:rsidRPr="008B2CC4">
        <w:rPr>
          <w:rFonts w:ascii="Times New Roman" w:hAnsi="Times New Roman" w:cs="Times New Roman"/>
          <w:sz w:val="24"/>
          <w:szCs w:val="24"/>
          <w:lang w:val="en-US"/>
        </w:rPr>
        <w:t>on:</w:t>
      </w:r>
      <w:proofErr w:type="gramEnd"/>
      <w:r w:rsidRPr="008B2CC4">
        <w:rPr>
          <w:rFonts w:ascii="Times New Roman" w:hAnsi="Times New Roman" w:cs="Times New Roman"/>
          <w:sz w:val="24"/>
          <w:szCs w:val="24"/>
          <w:lang w:val="en-US"/>
        </w:rPr>
        <w:t xml:space="preserve"> 16 December 2020].</w:t>
      </w:r>
    </w:p>
    <w:p w14:paraId="4FCF0473" w14:textId="77777777" w:rsidR="008B2CC4" w:rsidRPr="008B2CC4" w:rsidRDefault="008B2CC4" w:rsidP="008B2CC4">
      <w:pPr>
        <w:spacing w:after="0" w:line="480" w:lineRule="auto"/>
        <w:ind w:left="720" w:hanging="720"/>
        <w:rPr>
          <w:rFonts w:ascii="Times New Roman" w:hAnsi="Times New Roman" w:cs="Times New Roman"/>
          <w:sz w:val="24"/>
          <w:szCs w:val="24"/>
          <w:lang w:val="en-US"/>
        </w:rPr>
      </w:pPr>
    </w:p>
    <w:p w14:paraId="53EA883B" w14:textId="77777777" w:rsidR="008B2CC4" w:rsidRPr="008B2CC4" w:rsidRDefault="008B2CC4" w:rsidP="008B2CC4">
      <w:pPr>
        <w:spacing w:after="0" w:line="480" w:lineRule="auto"/>
        <w:ind w:left="720" w:hanging="720"/>
        <w:rPr>
          <w:rFonts w:ascii="Times New Roman" w:hAnsi="Times New Roman" w:cs="Times New Roman"/>
          <w:sz w:val="24"/>
          <w:szCs w:val="24"/>
          <w:lang w:val="en-US"/>
        </w:rPr>
      </w:pPr>
    </w:p>
    <w:p w14:paraId="67791680" w14:textId="77777777" w:rsidR="008B2CC4" w:rsidRPr="008B2CC4" w:rsidRDefault="008B2CC4" w:rsidP="008B2CC4">
      <w:pPr>
        <w:spacing w:after="0" w:line="480" w:lineRule="auto"/>
        <w:ind w:left="720" w:hanging="720"/>
        <w:rPr>
          <w:rFonts w:ascii="Times New Roman" w:hAnsi="Times New Roman" w:cs="Times New Roman"/>
          <w:b/>
          <w:sz w:val="24"/>
          <w:szCs w:val="24"/>
          <w:lang w:val="en-US"/>
        </w:rPr>
      </w:pPr>
      <w:r w:rsidRPr="008B2CC4">
        <w:rPr>
          <w:rFonts w:ascii="Times New Roman" w:hAnsi="Times New Roman" w:cs="Times New Roman"/>
          <w:b/>
          <w:sz w:val="24"/>
          <w:szCs w:val="24"/>
          <w:lang w:val="en-US"/>
        </w:rPr>
        <w:t>Cases</w:t>
      </w:r>
    </w:p>
    <w:p w14:paraId="2B6108E3" w14:textId="77777777" w:rsidR="008B2CC4" w:rsidRPr="008B2CC4" w:rsidRDefault="008B2CC4" w:rsidP="008B2CC4">
      <w:pPr>
        <w:spacing w:after="0" w:line="480" w:lineRule="auto"/>
        <w:ind w:left="720" w:hanging="720"/>
        <w:rPr>
          <w:rFonts w:ascii="Times New Roman" w:hAnsi="Times New Roman" w:cs="Times New Roman"/>
          <w:sz w:val="24"/>
          <w:szCs w:val="24"/>
          <w:lang w:val="en-US"/>
        </w:rPr>
      </w:pPr>
      <w:r w:rsidRPr="008B2CC4">
        <w:rPr>
          <w:rFonts w:ascii="Times New Roman" w:hAnsi="Times New Roman" w:cs="Times New Roman"/>
          <w:sz w:val="24"/>
          <w:szCs w:val="24"/>
          <w:lang w:val="en-US"/>
        </w:rPr>
        <w:lastRenderedPageBreak/>
        <w:t>Attorney-General v Fulham Corporation [1921] 1 Ch 440</w:t>
      </w:r>
    </w:p>
    <w:p w14:paraId="449EC4E1" w14:textId="77777777" w:rsidR="008B2CC4" w:rsidRPr="008B2CC4" w:rsidRDefault="008B2CC4" w:rsidP="008B2CC4">
      <w:pPr>
        <w:spacing w:after="0" w:line="480" w:lineRule="auto"/>
        <w:ind w:left="720" w:hanging="720"/>
        <w:rPr>
          <w:rFonts w:ascii="Times New Roman" w:hAnsi="Times New Roman" w:cs="Times New Roman"/>
          <w:sz w:val="24"/>
          <w:szCs w:val="24"/>
          <w:lang w:val="en-US"/>
        </w:rPr>
      </w:pPr>
      <w:r w:rsidRPr="008B2CC4">
        <w:rPr>
          <w:rFonts w:ascii="Times New Roman" w:hAnsi="Times New Roman" w:cs="Times New Roman"/>
          <w:sz w:val="24"/>
          <w:szCs w:val="24"/>
          <w:lang w:val="en-US"/>
        </w:rPr>
        <w:t>Council of Civil Services Unions v Minister for the Civil Service [1984] UKHL9</w:t>
      </w:r>
    </w:p>
    <w:p w14:paraId="19F3D278" w14:textId="77777777" w:rsidR="008B2CC4" w:rsidRPr="008B2CC4" w:rsidRDefault="008B2CC4" w:rsidP="008B2CC4">
      <w:pPr>
        <w:spacing w:after="0" w:line="480" w:lineRule="auto"/>
        <w:ind w:left="720" w:hanging="720"/>
        <w:rPr>
          <w:rFonts w:ascii="Times New Roman" w:hAnsi="Times New Roman" w:cs="Times New Roman"/>
          <w:sz w:val="24"/>
          <w:szCs w:val="24"/>
          <w:lang w:val="en-US"/>
        </w:rPr>
      </w:pPr>
      <w:r w:rsidRPr="008B2CC4">
        <w:rPr>
          <w:rFonts w:ascii="Times New Roman" w:hAnsi="Times New Roman" w:cs="Times New Roman"/>
          <w:sz w:val="24"/>
          <w:szCs w:val="24"/>
          <w:lang w:val="en-US"/>
        </w:rPr>
        <w:t xml:space="preserve">Congreve v Home Office [1976] 1 QB 629 </w:t>
      </w:r>
    </w:p>
    <w:p w14:paraId="39DDFA32" w14:textId="77777777" w:rsidR="008B2CC4" w:rsidRPr="008B2CC4" w:rsidRDefault="008B2CC4" w:rsidP="008B2CC4">
      <w:pPr>
        <w:spacing w:after="0" w:line="480" w:lineRule="auto"/>
        <w:ind w:left="720" w:hanging="720"/>
        <w:rPr>
          <w:rFonts w:ascii="Times New Roman" w:hAnsi="Times New Roman" w:cs="Times New Roman"/>
          <w:sz w:val="24"/>
          <w:szCs w:val="24"/>
          <w:lang w:val="en-US"/>
        </w:rPr>
      </w:pPr>
      <w:r w:rsidRPr="008B2CC4">
        <w:rPr>
          <w:rFonts w:ascii="Times New Roman" w:hAnsi="Times New Roman" w:cs="Times New Roman"/>
          <w:sz w:val="24"/>
          <w:szCs w:val="24"/>
          <w:lang w:val="en-US"/>
        </w:rPr>
        <w:t>Coleen Properties Ltd v Minister of Housing and Local Government: CA 26 Jan 1971</w:t>
      </w:r>
    </w:p>
    <w:p w14:paraId="13D41746" w14:textId="77777777" w:rsidR="008B2CC4" w:rsidRPr="008B2CC4" w:rsidRDefault="008B2CC4" w:rsidP="008B2CC4">
      <w:pPr>
        <w:spacing w:after="200" w:line="276" w:lineRule="auto"/>
        <w:rPr>
          <w:lang w:val="en-US"/>
        </w:rPr>
      </w:pPr>
    </w:p>
    <w:p w14:paraId="083FA8FE" w14:textId="77777777" w:rsidR="00462F4B" w:rsidRDefault="00462F4B"/>
    <w:sectPr w:rsidR="00462F4B" w:rsidSect="00B21A40">
      <w:footerReference w:type="default" r:id="rId13"/>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2" w:author="Laura Knight" w:date="2020-12-17T20:10:00Z" w:initials="LK">
    <w:p w14:paraId="4A8D9A5E" w14:textId="77777777" w:rsidR="008B2CC4" w:rsidRDefault="008B2CC4" w:rsidP="008B2CC4">
      <w:r>
        <w:t>Revise Harvard referencing. It should be the authors surname and year.</w:t>
      </w:r>
      <w:r>
        <w:annotationRef/>
      </w:r>
    </w:p>
  </w:comment>
  <w:comment w:id="3" w:author="Roshid Ahmed" w:date="2020-12-21T22:25:00Z" w:initials="RA">
    <w:p w14:paraId="3567DBFF" w14:textId="77777777" w:rsidR="008B2CC4" w:rsidRDefault="008B2CC4" w:rsidP="008B2CC4">
      <w:pPr>
        <w:pStyle w:val="CommentText"/>
      </w:pPr>
      <w:r>
        <w:rPr>
          <w:rStyle w:val="CommentReference"/>
        </w:rPr>
        <w:annotationRef/>
      </w:r>
      <w:r>
        <w:t>(Martin B, n.d. “</w:t>
      </w:r>
      <w:r>
        <w:rPr>
          <w:i/>
          <w:iCs/>
        </w:rPr>
        <w:t>Defamation law and free speech”</w:t>
      </w:r>
      <w:r>
        <w:t xml:space="preserve">). </w:t>
      </w:r>
    </w:p>
  </w:comment>
  <w:comment w:id="5" w:author="Laura Knight" w:date="2020-12-17T20:11:00Z" w:initials="LK">
    <w:p w14:paraId="6C6F82ED" w14:textId="77777777" w:rsidR="008B2CC4" w:rsidRDefault="008B2CC4" w:rsidP="008B2CC4">
      <w:r>
        <w:t>by the press.</w:t>
      </w:r>
      <w:r>
        <w:annotationRef/>
      </w:r>
    </w:p>
  </w:comment>
  <w:comment w:id="6" w:author="Roshid Ahmed" w:date="2020-12-21T22:28:00Z" w:initials="RA">
    <w:p w14:paraId="0CFEAE45" w14:textId="77777777" w:rsidR="008B2CC4" w:rsidRDefault="008B2CC4" w:rsidP="008B2CC4">
      <w:pPr>
        <w:pStyle w:val="CommentText"/>
      </w:pPr>
      <w:r>
        <w:rPr>
          <w:rStyle w:val="CommentReference"/>
        </w:rPr>
        <w:annotationRef/>
      </w:r>
      <w:r>
        <w:t xml:space="preserve">However, this had developed a major issue in the law of defamation, resulting in a potential conflict between </w:t>
      </w:r>
      <w:r>
        <w:rPr>
          <w:color w:val="0070C0"/>
        </w:rPr>
        <w:t>the right to</w:t>
      </w:r>
      <w:r>
        <w:t xml:space="preserve"> protecting reputation and </w:t>
      </w:r>
      <w:r>
        <w:rPr>
          <w:color w:val="0070C0"/>
        </w:rPr>
        <w:t>the right to</w:t>
      </w:r>
      <w:r>
        <w:t xml:space="preserve"> freedom of expression  </w:t>
      </w:r>
      <w:r>
        <w:rPr>
          <w:color w:val="0070C0"/>
        </w:rPr>
        <w:t>by the press.</w:t>
      </w:r>
      <w:r>
        <w:t>(</w:t>
      </w:r>
    </w:p>
  </w:comment>
  <w:comment w:id="7" w:author="Laura Knight" w:date="2020-12-17T20:12:00Z" w:initials="LK">
    <w:p w14:paraId="21703D66" w14:textId="77777777" w:rsidR="008B2CC4" w:rsidRDefault="008B2CC4" w:rsidP="008B2CC4">
      <w:r>
        <w:t>You must introduce the tort of defamation here - you need to talk about the Defamation Act 2013.</w:t>
      </w:r>
      <w:r>
        <w:annotationRef/>
      </w:r>
    </w:p>
  </w:comment>
  <w:comment w:id="8" w:author="Roshid Ahmed" w:date="2020-12-21T22:53:00Z" w:initials="RA">
    <w:p w14:paraId="69F02B99" w14:textId="77777777" w:rsidR="008B2CC4" w:rsidRDefault="008B2CC4" w:rsidP="008B2CC4">
      <w:pPr>
        <w:pStyle w:val="CommentText"/>
      </w:pPr>
      <w:r>
        <w:rPr>
          <w:rStyle w:val="CommentReference"/>
        </w:rPr>
        <w:annotationRef/>
      </w:r>
      <w:r>
        <w:rPr>
          <w:color w:val="00B0F0"/>
        </w:rPr>
        <w:t xml:space="preserve">In consideration of the conflicts between the two crucial rights, the Defamation Act 2013 was developed, which helps in keeping a balance between both the right to a significant extent. This law highlights the interest of the public in freedom of expression, along with protecting peoples private right to hold respect and a good reputation against the unwarranted intrusion of media. Previously, the English libel law was into force; however, it had a negative effect on the right to freedom of expression and failed to strike a balance between the protection of reputation and freedom of expression.(Weisenhaus and Young,2017). </w:t>
      </w:r>
    </w:p>
  </w:comment>
  <w:comment w:id="10" w:author="Laura Knight" w:date="2020-12-17T20:15:00Z" w:initials="LK">
    <w:p w14:paraId="3DC5799A" w14:textId="77777777" w:rsidR="008B2CC4" w:rsidRDefault="008B2CC4" w:rsidP="008B2CC4">
      <w:r>
        <w:t>Although you have included some key points in your answer, you must include (As a minimum) the cases I have listed in the assignment brief, as this will ensure you are dicussing all of the relevant points. In order to keep your wordcount within the limit, try using the cases to support points you are making (like you would a normal citation), rather than describing the facts in detail.</w:t>
      </w:r>
      <w:r>
        <w:annotationRef/>
      </w:r>
    </w:p>
  </w:comment>
  <w:comment w:id="11" w:author="Roshid Ahmed" w:date="2020-12-21T23:12:00Z" w:initials="RA">
    <w:p w14:paraId="5BD6EDCC" w14:textId="77777777" w:rsidR="008B2CC4" w:rsidRDefault="008B2CC4" w:rsidP="008B2CC4">
      <w:pPr>
        <w:pStyle w:val="CommentText"/>
      </w:pPr>
      <w:r>
        <w:rPr>
          <w:rStyle w:val="CommentReference"/>
        </w:rPr>
        <w:annotationRef/>
      </w:r>
      <w:r>
        <w:rPr>
          <w:i/>
          <w:iCs/>
          <w:color w:val="00B0F0"/>
        </w:rPr>
        <w:t>Reynolds v Times Newspapers</w:t>
      </w:r>
      <w:r>
        <w:rPr>
          <w:color w:val="00B0F0"/>
        </w:rPr>
        <w:t xml:space="preserve"> case has played a vital role in highlighting the significant conflict between the two basic rights, and </w:t>
      </w:r>
      <w:r>
        <w:rPr>
          <w:i/>
          <w:iCs/>
          <w:color w:val="00B0F0"/>
        </w:rPr>
        <w:t>Flood v Times Newspapers Limited (SC)</w:t>
      </w:r>
      <w:r>
        <w:rPr>
          <w:color w:val="00B0F0"/>
        </w:rPr>
        <w:t xml:space="preserve"> case has highlighted the role of the Defamation Act 2013 in maintaining a balance between both the rights to freedom of expression and right to protecting the reputation of people. </w:t>
      </w:r>
    </w:p>
  </w:comment>
  <w:comment w:id="13" w:author="Laura Knight" w:date="2020-12-17T20:31:00Z" w:initials="LK">
    <w:p w14:paraId="5F6D97AE" w14:textId="77777777" w:rsidR="008B2CC4" w:rsidRDefault="008B2CC4" w:rsidP="008B2CC4">
      <w:r>
        <w:t>You need to consider the eligibility criteria before considering the grounds.</w:t>
      </w:r>
      <w:r>
        <w:annotationRef/>
      </w:r>
    </w:p>
  </w:comment>
  <w:comment w:id="14" w:author="Roshid Ahmed" w:date="2020-12-21T23:56:00Z" w:initials="RA">
    <w:p w14:paraId="0A60CF9F" w14:textId="77777777" w:rsidR="008B2CC4" w:rsidRDefault="008B2CC4" w:rsidP="008B2CC4">
      <w:pPr>
        <w:pStyle w:val="CommentText"/>
      </w:pPr>
      <w:r>
        <w:rPr>
          <w:rStyle w:val="CommentReference"/>
        </w:rPr>
        <w:annotationRef/>
      </w:r>
      <w:r>
        <w:t xml:space="preserve"> </w:t>
      </w:r>
      <w:r>
        <w:rPr>
          <w:color w:val="00B0F0"/>
        </w:rPr>
        <w:t xml:space="preserve">However, it is essential for the claimant to demonstrate that the error of the public body may have developed a significant material difference to the decision that has been challenged. In addition to the context, an eligibility criterion is the time limit; the cases of judicial review should be brought promptly before the court, and within 3 months of the action or decision to be challenged. The time limit highlights that the application must be submitted as soon as possible (Public Law Project,2019). Furthermore, an application for judicial review cannot be made unless a leave has been granted by the court. However, the court will grant a leave only if it is considered that the claimant has enough interest in the matter regarding the judicial review. An increasing approach has been by the Courts in regards to be interest test, for recognising that it is sensible that, in appropriate cases the courts permit responsible citizens for brining claims for the public’s benefit ( Ashurt,2019). </w:t>
      </w:r>
    </w:p>
  </w:comment>
  <w:comment w:id="15" w:author="Laura Knight" w:date="2020-12-17T20:31:00Z" w:initials="LK">
    <w:p w14:paraId="3F09BF55" w14:textId="77777777" w:rsidR="008B2CC4" w:rsidRDefault="008B2CC4" w:rsidP="008B2CC4">
      <w:r>
        <w:t>This is a valid point but you need to support it with relevant law. You need to research Illegality: fettering of discretion here.</w:t>
      </w:r>
      <w:r>
        <w:annotationRef/>
      </w:r>
    </w:p>
  </w:comment>
  <w:comment w:id="16" w:author="Roshid Ahmed" w:date="2020-12-22T00:22:00Z" w:initials="RA">
    <w:p w14:paraId="73FDFF09" w14:textId="77777777" w:rsidR="008B2CC4" w:rsidRDefault="008B2CC4" w:rsidP="008B2CC4">
      <w:pPr>
        <w:pStyle w:val="CommentText"/>
      </w:pPr>
      <w:r>
        <w:rPr>
          <w:rStyle w:val="CommentReference"/>
        </w:rPr>
        <w:annotationRef/>
      </w:r>
      <w:r>
        <w:rPr>
          <w:color w:val="00B0F0"/>
        </w:rPr>
        <w:t>Where discretion is given to a public body for making decisions, such as awarding a license, the public body should permit itself for considering every decision on specific facts. The public body should not fetter its discretion through applying a policy without appropriate consideration of the specific facts of every case. A decision, which is made by a public body, which has fettered its discretion, can be challenged on the basis that the decision is illegal or unlawful (Law Wales,2020).</w:t>
      </w:r>
      <w:r>
        <w:t xml:space="preserve"> </w:t>
      </w:r>
    </w:p>
  </w:comment>
  <w:comment w:id="17" w:author="Laura Knight" w:date="2020-12-17T20:32:00Z" w:initials="LK">
    <w:p w14:paraId="722DF055" w14:textId="77777777" w:rsidR="008B2CC4" w:rsidRDefault="008B2CC4" w:rsidP="008B2CC4">
      <w:r>
        <w:t>Again a relevant point, but it must be supported.</w:t>
      </w:r>
      <w:r>
        <w:annotationRef/>
      </w:r>
    </w:p>
  </w:comment>
  <w:comment w:id="18" w:author="Roshid Ahmed" w:date="2020-12-22T00:25:00Z" w:initials="RA">
    <w:p w14:paraId="6769D4A7" w14:textId="77777777" w:rsidR="008B2CC4" w:rsidRDefault="008B2CC4" w:rsidP="008B2CC4">
      <w:pPr>
        <w:pStyle w:val="CommentText"/>
      </w:pPr>
      <w:r>
        <w:rPr>
          <w:rStyle w:val="CommentReference"/>
        </w:rPr>
        <w:annotationRef/>
      </w:r>
      <w:r>
        <w:t xml:space="preserve">For instance, in the case of </w:t>
      </w:r>
      <w:r>
        <w:rPr>
          <w:i/>
          <w:iCs/>
        </w:rPr>
        <w:t>Attorney-General v Fulham Corporation</w:t>
      </w:r>
      <w:r>
        <w:t xml:space="preserve">, it was observed that a judicial review was claimed, and the action of the corporation was challenged on the ground of unfairness as the corporation had performed beyond the statutory role. </w:t>
      </w:r>
    </w:p>
  </w:comment>
  <w:comment w:id="19" w:author="Laura Knight" w:date="2020-12-17T20:34:00Z" w:initials="LK">
    <w:p w14:paraId="620FFA89" w14:textId="77777777" w:rsidR="008B2CC4" w:rsidRDefault="008B2CC4" w:rsidP="008B2CC4">
      <w:r>
        <w:t>This is Illegality- consider Congreve v Home Office 1976</w:t>
      </w:r>
      <w:r>
        <w:annotationRef/>
      </w:r>
    </w:p>
  </w:comment>
  <w:comment w:id="20" w:author="Roshid Ahmed" w:date="2020-12-22T00:33:00Z" w:initials="RA">
    <w:p w14:paraId="1A0B3AE1" w14:textId="77777777" w:rsidR="008B2CC4" w:rsidRDefault="008B2CC4" w:rsidP="008B2CC4">
      <w:pPr>
        <w:pStyle w:val="CommentText"/>
      </w:pPr>
      <w:r>
        <w:rPr>
          <w:rStyle w:val="CommentReference"/>
        </w:rPr>
        <w:annotationRef/>
      </w:r>
      <w:r>
        <w:t xml:space="preserve">For instance, in the case of </w:t>
      </w:r>
      <w:r>
        <w:rPr>
          <w:i/>
          <w:iCs/>
          <w:color w:val="00B0F0"/>
        </w:rPr>
        <w:t xml:space="preserve">Congreve v home Office 1976, </w:t>
      </w:r>
      <w:r>
        <w:rPr>
          <w:color w:val="00B0F0"/>
        </w:rPr>
        <w:t xml:space="preserve">The Home was perceived to exercise its power for an inappropriate purpose. The Home increased the TV license cost and has made it mandatory for everyone to pay the TV licence price. </w:t>
      </w:r>
      <w:r>
        <w:t xml:space="preserve"> </w:t>
      </w:r>
    </w:p>
  </w:comment>
  <w:comment w:id="21" w:author="Laura Knight" w:date="2020-12-17T20:35:00Z" w:initials="LK">
    <w:p w14:paraId="3BDE8CCD" w14:textId="77777777" w:rsidR="008B2CC4" w:rsidRDefault="008B2CC4" w:rsidP="008B2CC4">
      <w:r>
        <w:t>Consider whether the requirement would be considered to be mandatory/directory and what effect this would have.</w:t>
      </w:r>
      <w:r>
        <w:annotationRef/>
      </w:r>
    </w:p>
  </w:comment>
  <w:comment w:id="22" w:author="Roshid Ahmed" w:date="2020-12-22T00:39:00Z" w:initials="RA">
    <w:p w14:paraId="63CC5DC0" w14:textId="77777777" w:rsidR="008B2CC4" w:rsidRDefault="008B2CC4" w:rsidP="008B2CC4">
      <w:pPr>
        <w:pStyle w:val="CommentText"/>
      </w:pPr>
      <w:r>
        <w:rPr>
          <w:rStyle w:val="CommentReference"/>
        </w:rPr>
        <w:annotationRef/>
      </w:r>
      <w:r>
        <w:rPr>
          <w:color w:val="0070C0"/>
        </w:rPr>
        <w:t>It was clearly mentioned that the conditions of the application for the licence should be followed, and if not followed, it can be considered as unlawful activity.</w:t>
      </w:r>
      <w:r>
        <w:t xml:space="preserve"> </w:t>
      </w:r>
    </w:p>
  </w:comment>
  <w:comment w:id="23" w:author="Laura Knight" w:date="2020-12-17T20:36:00Z" w:initials="LK">
    <w:p w14:paraId="32358151" w14:textId="77777777" w:rsidR="008B2CC4" w:rsidRDefault="008B2CC4" w:rsidP="008B2CC4">
      <w:r>
        <w:t>What would be a reasonable order for the Court to give?</w:t>
      </w:r>
      <w:r>
        <w:annotationRef/>
      </w:r>
    </w:p>
  </w:comment>
  <w:comment w:id="24" w:author="Roshid Ahmed" w:date="2020-12-22T00:49:00Z" w:initials="RA">
    <w:p w14:paraId="49AECFD9" w14:textId="77777777" w:rsidR="008B2CC4" w:rsidRDefault="008B2CC4" w:rsidP="008B2CC4">
      <w:pPr>
        <w:pStyle w:val="CommentText"/>
      </w:pPr>
      <w:r>
        <w:rPr>
          <w:rStyle w:val="CommentReference"/>
        </w:rPr>
        <w:annotationRef/>
      </w:r>
      <w:r>
        <w:rPr>
          <w:color w:val="00B0F0"/>
        </w:rPr>
        <w:t>The</w:t>
      </w:r>
      <w:r>
        <w:t xml:space="preserve"> </w:t>
      </w:r>
      <w:r>
        <w:rPr>
          <w:color w:val="00B0F0"/>
        </w:rPr>
        <w:t>reasonable</w:t>
      </w:r>
      <w:r>
        <w:t xml:space="preserve"> </w:t>
      </w:r>
      <w:r>
        <w:rPr>
          <w:color w:val="00B0F0"/>
        </w:rPr>
        <w:t xml:space="preserve">order for the Court may be to discard the licence of LakeRec Ltd, and order the authority to revise its policy and grant a license to the NSP. </w:t>
      </w:r>
    </w:p>
    <w:p w14:paraId="5268A65A" w14:textId="77777777" w:rsidR="008B2CC4" w:rsidRDefault="008B2CC4" w:rsidP="008B2CC4">
      <w:pPr>
        <w:pStyle w:val="CommentText"/>
      </w:pPr>
      <w:r>
        <w:br w:type="page"/>
      </w:r>
    </w:p>
  </w:comment>
  <w:comment w:id="26" w:author="Laura Knight" w:date="2020-12-17T20:36:00Z" w:initials="LK">
    <w:p w14:paraId="13C2A177" w14:textId="77777777" w:rsidR="008B2CC4" w:rsidRDefault="008B2CC4" w:rsidP="008B2CC4">
      <w:r>
        <w:t>Please put two separate reference lists - one for task 1 and one for task 2.</w:t>
      </w:r>
      <w:r>
        <w:annotationRef/>
      </w:r>
    </w:p>
  </w:comment>
  <w:comment w:id="27" w:author="Roshid Ahmed" w:date="2020-12-22T00:55:00Z" w:initials="RA">
    <w:p w14:paraId="2CB912BF" w14:textId="77777777" w:rsidR="008B2CC4" w:rsidRDefault="008B2CC4" w:rsidP="008B2CC4">
      <w:pPr>
        <w:pStyle w:val="CommentText"/>
      </w:pPr>
      <w:r>
        <w:rPr>
          <w:rStyle w:val="CommentReference"/>
        </w:rPr>
        <w:annotationRef/>
      </w:r>
      <w:r>
        <w:t>As your comments i have separated the reference into two parts. Thanks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A8D9A5E" w15:done="0"/>
  <w15:commentEx w15:paraId="3567DBFF" w15:paraIdParent="4A8D9A5E" w15:done="0"/>
  <w15:commentEx w15:paraId="6C6F82ED" w15:done="0"/>
  <w15:commentEx w15:paraId="0CFEAE45" w15:paraIdParent="6C6F82ED" w15:done="0"/>
  <w15:commentEx w15:paraId="21703D66" w15:done="0"/>
  <w15:commentEx w15:paraId="69F02B99" w15:paraIdParent="21703D66" w15:done="0"/>
  <w15:commentEx w15:paraId="3DC5799A" w15:done="0"/>
  <w15:commentEx w15:paraId="5BD6EDCC" w15:paraIdParent="3DC5799A" w15:done="0"/>
  <w15:commentEx w15:paraId="5F6D97AE" w15:done="0"/>
  <w15:commentEx w15:paraId="0A60CF9F" w15:paraIdParent="5F6D97AE" w15:done="0"/>
  <w15:commentEx w15:paraId="3F09BF55" w15:done="0"/>
  <w15:commentEx w15:paraId="73FDFF09" w15:paraIdParent="3F09BF55" w15:done="0"/>
  <w15:commentEx w15:paraId="722DF055" w15:done="0"/>
  <w15:commentEx w15:paraId="6769D4A7" w15:paraIdParent="722DF055" w15:done="0"/>
  <w15:commentEx w15:paraId="620FFA89" w15:done="0"/>
  <w15:commentEx w15:paraId="1A0B3AE1" w15:paraIdParent="620FFA89" w15:done="0"/>
  <w15:commentEx w15:paraId="3BDE8CCD" w15:done="0"/>
  <w15:commentEx w15:paraId="63CC5DC0" w15:paraIdParent="3BDE8CCD" w15:done="0"/>
  <w15:commentEx w15:paraId="32358151" w15:done="0"/>
  <w15:commentEx w15:paraId="5268A65A" w15:paraIdParent="32358151" w15:done="0"/>
  <w15:commentEx w15:paraId="13C2A177" w15:done="0"/>
  <w15:commentEx w15:paraId="2CB912BF" w15:paraIdParent="13C2A17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68EC4F43" w16cex:dateUtc="2020-12-17T20:10:00Z"/>
  <w16cex:commentExtensible w16cex:durableId="238B9F42" w16cex:dateUtc="2020-12-21T22:25:00Z"/>
  <w16cex:commentExtensible w16cex:durableId="5F7FA324" w16cex:dateUtc="2020-12-17T20:11:00Z"/>
  <w16cex:commentExtensible w16cex:durableId="238BA023" w16cex:dateUtc="2020-12-21T22:28:00Z"/>
  <w16cex:commentExtensible w16cex:durableId="6717DD6E" w16cex:dateUtc="2020-12-17T20:12:00Z"/>
  <w16cex:commentExtensible w16cex:durableId="238BA5F9" w16cex:dateUtc="2020-12-21T22:53:00Z"/>
  <w16cex:commentExtensible w16cex:durableId="3AC57FED" w16cex:dateUtc="2020-12-17T20:15:00Z"/>
  <w16cex:commentExtensible w16cex:durableId="238BAA7A" w16cex:dateUtc="2020-12-21T23:12:00Z"/>
  <w16cex:commentExtensible w16cex:durableId="74BECC0F" w16cex:dateUtc="2020-12-17T20:31:00Z"/>
  <w16cex:commentExtensible w16cex:durableId="238BB4B7" w16cex:dateUtc="2020-12-21T23:56:00Z"/>
  <w16cex:commentExtensible w16cex:durableId="0EE29FEB" w16cex:dateUtc="2020-12-17T20:31:00Z"/>
  <w16cex:commentExtensible w16cex:durableId="238BBAD2" w16cex:dateUtc="2020-12-22T00:22:00Z"/>
  <w16cex:commentExtensible w16cex:durableId="216FD9E3" w16cex:dateUtc="2020-12-17T20:32:00Z"/>
  <w16cex:commentExtensible w16cex:durableId="238BBB95" w16cex:dateUtc="2020-12-22T00:25:00Z"/>
  <w16cex:commentExtensible w16cex:durableId="59046510" w16cex:dateUtc="2020-12-17T20:34:00Z"/>
  <w16cex:commentExtensible w16cex:durableId="238BBD69" w16cex:dateUtc="2020-12-22T00:33:00Z"/>
  <w16cex:commentExtensible w16cex:durableId="5433A718" w16cex:dateUtc="2020-12-17T20:35:00Z"/>
  <w16cex:commentExtensible w16cex:durableId="238BBEDF" w16cex:dateUtc="2020-12-22T00:39:00Z"/>
  <w16cex:commentExtensible w16cex:durableId="4C4E684D" w16cex:dateUtc="2020-12-17T20:36:00Z"/>
  <w16cex:commentExtensible w16cex:durableId="238BC118" w16cex:dateUtc="2020-12-22T00:49:00Z"/>
  <w16cex:commentExtensible w16cex:durableId="0EA873E0" w16cex:dateUtc="2020-12-17T20:36:00Z"/>
  <w16cex:commentExtensible w16cex:durableId="238BC266" w16cex:dateUtc="2020-12-22T00: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A8D9A5E" w16cid:durableId="68EC4F43"/>
  <w16cid:commentId w16cid:paraId="3567DBFF" w16cid:durableId="238B9F42"/>
  <w16cid:commentId w16cid:paraId="6C6F82ED" w16cid:durableId="5F7FA324"/>
  <w16cid:commentId w16cid:paraId="0CFEAE45" w16cid:durableId="238BA023"/>
  <w16cid:commentId w16cid:paraId="21703D66" w16cid:durableId="6717DD6E"/>
  <w16cid:commentId w16cid:paraId="69F02B99" w16cid:durableId="238BA5F9"/>
  <w16cid:commentId w16cid:paraId="3DC5799A" w16cid:durableId="3AC57FED"/>
  <w16cid:commentId w16cid:paraId="5BD6EDCC" w16cid:durableId="238BAA7A"/>
  <w16cid:commentId w16cid:paraId="5F6D97AE" w16cid:durableId="74BECC0F"/>
  <w16cid:commentId w16cid:paraId="0A60CF9F" w16cid:durableId="238BB4B7"/>
  <w16cid:commentId w16cid:paraId="3F09BF55" w16cid:durableId="0EE29FEB"/>
  <w16cid:commentId w16cid:paraId="73FDFF09" w16cid:durableId="238BBAD2"/>
  <w16cid:commentId w16cid:paraId="722DF055" w16cid:durableId="216FD9E3"/>
  <w16cid:commentId w16cid:paraId="6769D4A7" w16cid:durableId="238BBB95"/>
  <w16cid:commentId w16cid:paraId="620FFA89" w16cid:durableId="59046510"/>
  <w16cid:commentId w16cid:paraId="1A0B3AE1" w16cid:durableId="238BBD69"/>
  <w16cid:commentId w16cid:paraId="3BDE8CCD" w16cid:durableId="5433A718"/>
  <w16cid:commentId w16cid:paraId="63CC5DC0" w16cid:durableId="238BBEDF"/>
  <w16cid:commentId w16cid:paraId="32358151" w16cid:durableId="4C4E684D"/>
  <w16cid:commentId w16cid:paraId="5268A65A" w16cid:durableId="238BC118"/>
  <w16cid:commentId w16cid:paraId="13C2A177" w16cid:durableId="0EA873E0"/>
  <w16cid:commentId w16cid:paraId="2CB912BF" w16cid:durableId="238BC26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10EBEC" w14:textId="77777777" w:rsidR="00935019" w:rsidRDefault="008B2CC4">
    <w:pPr>
      <w:pStyle w:val="Footer"/>
      <w:jc w:val="right"/>
    </w:pPr>
  </w:p>
  <w:p w14:paraId="4B37A1F6" w14:textId="77777777" w:rsidR="00935019" w:rsidRDefault="008B2CC4">
    <w:pPr>
      <w:pStyle w:val="Footer"/>
    </w:pPr>
  </w:p>
</w:ft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Roshid Ahmed">
    <w15:presenceInfo w15:providerId="Windows Live" w15:userId="098e5b3409c03ff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CC4"/>
    <w:rsid w:val="00462F4B"/>
    <w:rsid w:val="008B2C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7D0AD"/>
  <w15:chartTrackingRefBased/>
  <w15:docId w15:val="{7BB108FC-EA24-4260-A757-23AB32516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8B2CC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B2CC4"/>
  </w:style>
  <w:style w:type="paragraph" w:styleId="CommentText">
    <w:name w:val="annotation text"/>
    <w:basedOn w:val="Normal"/>
    <w:link w:val="CommentTextChar"/>
    <w:uiPriority w:val="99"/>
    <w:unhideWhenUsed/>
    <w:rsid w:val="008B2CC4"/>
    <w:pPr>
      <w:spacing w:after="200" w:line="240" w:lineRule="auto"/>
    </w:pPr>
    <w:rPr>
      <w:sz w:val="20"/>
      <w:szCs w:val="20"/>
      <w:lang w:val="en-US"/>
    </w:rPr>
  </w:style>
  <w:style w:type="character" w:customStyle="1" w:styleId="CommentTextChar">
    <w:name w:val="Comment Text Char"/>
    <w:basedOn w:val="DefaultParagraphFont"/>
    <w:link w:val="CommentText"/>
    <w:uiPriority w:val="99"/>
    <w:rsid w:val="008B2CC4"/>
    <w:rPr>
      <w:sz w:val="20"/>
      <w:szCs w:val="20"/>
      <w:lang w:val="en-US"/>
    </w:rPr>
  </w:style>
  <w:style w:type="character" w:styleId="CommentReference">
    <w:name w:val="annotation reference"/>
    <w:basedOn w:val="DefaultParagraphFont"/>
    <w:uiPriority w:val="99"/>
    <w:semiHidden/>
    <w:unhideWhenUsed/>
    <w:rsid w:val="008B2CC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oter" Target="footer1.xml"/><Relationship Id="rId3" Type="http://schemas.openxmlformats.org/officeDocument/2006/relationships/webSettings" Target="webSettings.xml"/><Relationship Id="rId7" Type="http://schemas.microsoft.com/office/2018/08/relationships/commentsExtensible" Target="commentsExtensible.xml"/><Relationship Id="rId12" Type="http://schemas.openxmlformats.org/officeDocument/2006/relationships/hyperlink" Target="about:blank"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microsoft.com/office/2016/09/relationships/commentsIds" Target="commentsIds.xml"/><Relationship Id="rId11" Type="http://schemas.openxmlformats.org/officeDocument/2006/relationships/hyperlink" Target="https://law.gov.wales/constitution-government/public-admin/intropadmin-law/welsh-government-guidence-on-making-good-decisons/has-the-decision-maker-fettered-its-disretion-by-applying-a-rigid-policy/what/-does-&#8216;fettering&#8217;-discretion-mean/?lang=en" TargetMode="External"/><Relationship Id="rId5" Type="http://schemas.microsoft.com/office/2011/relationships/commentsExtended" Target="commentsExtended.xml"/><Relationship Id="rId15" Type="http://schemas.microsoft.com/office/2011/relationships/people" Target="people.xml"/><Relationship Id="rId10" Type="http://schemas.openxmlformats.org/officeDocument/2006/relationships/hyperlink" Target="https://www.ashurt.com/en/news-and-insights/legal-updates/judicial-review/" TargetMode="External"/><Relationship Id="rId4" Type="http://schemas.openxmlformats.org/officeDocument/2006/relationships/comments" Target="comments.xml"/><Relationship Id="rId9" Type="http://schemas.openxmlformats.org/officeDocument/2006/relationships/hyperlink" Target="about:blan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2467</Words>
  <Characters>14065</Characters>
  <Application>Microsoft Office Word</Application>
  <DocSecurity>0</DocSecurity>
  <Lines>117</Lines>
  <Paragraphs>32</Paragraphs>
  <ScaleCrop>false</ScaleCrop>
  <Company/>
  <LinksUpToDate>false</LinksUpToDate>
  <CharactersWithSpaces>16500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Roshid Ahmed</dc:creator>
  <cp:keywords/>
  <dc:description/>
  <cp:lastModifiedBy>Roshid Ahmed</cp:lastModifiedBy>
  <cp:revision>1</cp:revision>
  <dcterms:created xsi:type="dcterms:W3CDTF">2021-01-04T16:34:00Z</dcterms:created>
  <dcterms:modified xsi:type="dcterms:W3CDTF">2021-01-04T16:40:00Z</dcterms:modified>
</cp:coreProperties>
</file>