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3374357"/>
        <w:docPartObj>
          <w:docPartGallery w:val="Cover Pages"/>
          <w:docPartUnique/>
        </w:docPartObj>
      </w:sdtPr>
      <w:sdtEndPr>
        <w:rPr>
          <w:rFonts w:ascii="Times New Roman" w:hAnsi="Times New Roman" w:cs="Times New Roman"/>
          <w:b/>
          <w:bCs/>
          <w:color w:val="4C94D8" w:themeColor="text2" w:themeTint="80"/>
        </w:rPr>
      </w:sdtEndPr>
      <w:sdtContent>
        <w:p w14:paraId="6934807A" w14:textId="67DA042D" w:rsidR="00F3091F" w:rsidRDefault="00F3091F"/>
        <w:p w14:paraId="6EF7D786" w14:textId="11C6B971" w:rsidR="00F3091F" w:rsidRDefault="00F3091F">
          <w:pPr>
            <w:rPr>
              <w:rFonts w:ascii="Times New Roman" w:hAnsi="Times New Roman" w:cs="Times New Roman"/>
              <w:b/>
              <w:bCs/>
              <w:color w:val="4C94D8" w:themeColor="text2" w:themeTint="80"/>
            </w:rPr>
          </w:pPr>
          <w:r>
            <w:rPr>
              <w:noProof/>
            </w:rPr>
            <mc:AlternateContent>
              <mc:Choice Requires="wps">
                <w:drawing>
                  <wp:anchor distT="0" distB="0" distL="182880" distR="182880" simplePos="0" relativeHeight="251660288" behindDoc="0" locked="0" layoutInCell="1" allowOverlap="1" wp14:anchorId="74430CBE" wp14:editId="281877ED">
                    <wp:simplePos x="0" y="0"/>
                    <wp:positionH relativeFrom="margin">
                      <wp:posOffset>-425450</wp:posOffset>
                    </wp:positionH>
                    <wp:positionV relativeFrom="page">
                      <wp:posOffset>5556250</wp:posOffset>
                    </wp:positionV>
                    <wp:extent cx="6807200" cy="6720840"/>
                    <wp:effectExtent l="0" t="0" r="12700"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68072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E87C5B" w14:textId="229C9DF6" w:rsidR="00F3091F" w:rsidRPr="00F3091F" w:rsidRDefault="00F3091F" w:rsidP="00F3091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3091F">
                                      <w:rPr>
                                        <w:rFonts w:ascii="Times New Roman" w:hAnsi="Times New Roman" w:cs="Times New Roman"/>
                                        <w:b/>
                                        <w:bCs/>
                                        <w:color w:val="156082" w:themeColor="accent1"/>
                                        <w:sz w:val="72"/>
                                        <w:szCs w:val="72"/>
                                        <w:u w:val="single"/>
                                      </w:rPr>
                                      <w:t xml:space="preserve">Business Plan for </w:t>
                                    </w:r>
                                    <w:r w:rsidRPr="00F3091F">
                                      <w:rPr>
                                        <w:rFonts w:ascii="Times New Roman" w:hAnsi="Times New Roman" w:cs="Times New Roman"/>
                                        <w:b/>
                                        <w:bCs/>
                                        <w:color w:val="156082" w:themeColor="accent1"/>
                                        <w:sz w:val="72"/>
                                        <w:szCs w:val="72"/>
                                        <w:u w:val="single"/>
                                      </w:rPr>
                                      <w:t>SustainFlow</w:t>
                                    </w:r>
                                    <w:r w:rsidRPr="00F3091F">
                                      <w:rPr>
                                        <w:rFonts w:ascii="Times New Roman" w:hAnsi="Times New Roman" w:cs="Times New Roman"/>
                                        <w:b/>
                                        <w:bCs/>
                                        <w:color w:val="156082" w:themeColor="accent1"/>
                                        <w:sz w:val="72"/>
                                        <w:szCs w:val="72"/>
                                        <w:u w:val="single"/>
                                      </w:rPr>
                                      <w:t>: A Renewable Energy-Focused Sustainable Enterprise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4430CBE" id="_x0000_t202" coordsize="21600,21600" o:spt="202" path="m,l,21600r21600,l21600,xe">
                    <v:stroke joinstyle="miter"/>
                    <v:path gradientshapeok="t" o:connecttype="rect"/>
                  </v:shapetype>
                  <v:shape id="Text Box 131" o:spid="_x0000_s1026" type="#_x0000_t202" style="position:absolute;margin-left:-33.5pt;margin-top:437.5pt;width:536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" filled="f" stroked="f" strokeweight=".5pt">
                    <v:textbox style="mso-fit-shape-to-text:t" inset="0,0,0,0">
                      <w:txbxContent>
                        <w:p w14:paraId="0EE87C5B" w14:textId="229C9DF6" w:rsidR="00F3091F" w:rsidRPr="00F3091F" w:rsidRDefault="00F3091F" w:rsidP="00F3091F">
                          <w:pPr>
                            <w:pStyle w:val="NoSpacing"/>
                            <w:spacing w:before="40" w:after="560" w:line="216" w:lineRule="auto"/>
                            <w:rPr>
                              <w:color w:val="156082" w:themeColor="accent1"/>
                              <w:sz w:val="72"/>
                              <w:szCs w:val="72"/>
                            </w:rPr>
                          </w:pPr>
                          <w:sdt>
                            <w:sdtPr>
                              <w:rPr>
                                <w:rFonts w:ascii="Times New Roman" w:hAnsi="Times New Roman" w:cs="Times New Roman"/>
                                <w:b/>
                                <w:bCs/>
                                <w:color w:val="156082" w:themeColor="accent1"/>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3091F">
                                <w:rPr>
                                  <w:rFonts w:ascii="Times New Roman" w:hAnsi="Times New Roman" w:cs="Times New Roman"/>
                                  <w:b/>
                                  <w:bCs/>
                                  <w:color w:val="156082" w:themeColor="accent1"/>
                                  <w:sz w:val="72"/>
                                  <w:szCs w:val="72"/>
                                  <w:u w:val="single"/>
                                </w:rPr>
                                <w:t xml:space="preserve">Business Plan for </w:t>
                              </w:r>
                              <w:r w:rsidRPr="00F3091F">
                                <w:rPr>
                                  <w:rFonts w:ascii="Times New Roman" w:hAnsi="Times New Roman" w:cs="Times New Roman"/>
                                  <w:b/>
                                  <w:bCs/>
                                  <w:color w:val="156082" w:themeColor="accent1"/>
                                  <w:sz w:val="72"/>
                                  <w:szCs w:val="72"/>
                                  <w:u w:val="single"/>
                                </w:rPr>
                                <w:t>SustainFlow</w:t>
                              </w:r>
                              <w:r w:rsidRPr="00F3091F">
                                <w:rPr>
                                  <w:rFonts w:ascii="Times New Roman" w:hAnsi="Times New Roman" w:cs="Times New Roman"/>
                                  <w:b/>
                                  <w:bCs/>
                                  <w:color w:val="156082" w:themeColor="accent1"/>
                                  <w:sz w:val="72"/>
                                  <w:szCs w:val="72"/>
                                  <w:u w:val="single"/>
                                </w:rPr>
                                <w:t>: A Renewable Energy-Focused Sustainable Enterprise</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93336B7" wp14:editId="1CC6FA2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388ED350" w14:textId="1C334EA7" w:rsidR="00F3091F" w:rsidRPr="00F3091F" w:rsidRDefault="00F3091F">
                                    <w:pPr>
                                      <w:pStyle w:val="NoSpacing"/>
                                      <w:jc w:val="right"/>
                                      <w:rPr>
                                        <w:rFonts w:ascii="Times New Roman" w:hAnsi="Times New Roman" w:cs="Times New Roman"/>
                                        <w:b/>
                                        <w:bCs/>
                                        <w:color w:val="FFFFFF" w:themeColor="background1"/>
                                        <w:sz w:val="24"/>
                                        <w:szCs w:val="24"/>
                                      </w:rPr>
                                    </w:pPr>
                                    <w:r w:rsidRPr="00F3091F">
                                      <w:rPr>
                                        <w:rFonts w:ascii="Times New Roman" w:hAnsi="Times New Roman" w:cs="Times New Roman"/>
                                        <w:b/>
                                        <w:bCs/>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93336B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Times New Roman" w:hAnsi="Times New Roman" w:cs="Times New Roman"/>
                              <w:b/>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3-14T00:00:00Z">
                              <w:dateFormat w:val="yyyy"/>
                              <w:lid w:val="en-US"/>
                              <w:storeMappedDataAs w:val="dateTime"/>
                              <w:calendar w:val="gregorian"/>
                            </w:date>
                          </w:sdtPr>
                          <w:sdtContent>
                            <w:p w14:paraId="388ED350" w14:textId="1C334EA7" w:rsidR="00F3091F" w:rsidRPr="00F3091F" w:rsidRDefault="00F3091F">
                              <w:pPr>
                                <w:pStyle w:val="NoSpacing"/>
                                <w:jc w:val="right"/>
                                <w:rPr>
                                  <w:rFonts w:ascii="Times New Roman" w:hAnsi="Times New Roman" w:cs="Times New Roman"/>
                                  <w:b/>
                                  <w:bCs/>
                                  <w:color w:val="FFFFFF" w:themeColor="background1"/>
                                  <w:sz w:val="24"/>
                                  <w:szCs w:val="24"/>
                                </w:rPr>
                              </w:pPr>
                              <w:r w:rsidRPr="00F3091F">
                                <w:rPr>
                                  <w:rFonts w:ascii="Times New Roman" w:hAnsi="Times New Roman" w:cs="Times New Roman"/>
                                  <w:b/>
                                  <w:bCs/>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bCs/>
              <w:color w:val="4C94D8" w:themeColor="text2" w:themeTint="80"/>
            </w:rPr>
            <w:br w:type="page"/>
          </w:r>
        </w:p>
      </w:sdtContent>
    </w:sdt>
    <w:p w14:paraId="2F038A11" w14:textId="34AD147D"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lastRenderedPageBreak/>
        <w:t>Executive Summary</w:t>
      </w:r>
    </w:p>
    <w:p w14:paraId="00E2693A" w14:textId="4C3F0AED"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SustainFlow is a start-up enterprise that provides pure, renewable energy solutions that address urgent environmental challenges and generate sustainable economic value. The company aims to create and disseminate solar-based technologies and related services that are suitable for both residential and commercial customers. This emphasis on renewable energy is intended to mitigate dependence on fossil fuels and contribute to the global objective of reducing emissions (Caprotti, 2012). SustainFlow endeavours to incorporate economic, environmental, and social factors into all operations, in accordance with the concept of "true business sustainability"</w:t>
      </w:r>
      <w:r>
        <w:rPr>
          <w:rFonts w:ascii="Times New Roman" w:hAnsi="Times New Roman" w:cs="Times New Roman"/>
        </w:rPr>
        <w:t xml:space="preserve"> (</w:t>
      </w:r>
      <w:r w:rsidRPr="00264EB5">
        <w:rPr>
          <w:rFonts w:ascii="Times New Roman" w:hAnsi="Times New Roman" w:cs="Times New Roman"/>
        </w:rPr>
        <w:t xml:space="preserve">Dyllick </w:t>
      </w:r>
      <w:r>
        <w:rPr>
          <w:rFonts w:ascii="Times New Roman" w:hAnsi="Times New Roman" w:cs="Times New Roman"/>
        </w:rPr>
        <w:t>&amp;</w:t>
      </w:r>
      <w:r w:rsidRPr="00264EB5">
        <w:rPr>
          <w:rFonts w:ascii="Times New Roman" w:hAnsi="Times New Roman" w:cs="Times New Roman"/>
        </w:rPr>
        <w:t xml:space="preserve"> Muff</w:t>
      </w:r>
      <w:r>
        <w:rPr>
          <w:rFonts w:ascii="Times New Roman" w:hAnsi="Times New Roman" w:cs="Times New Roman"/>
        </w:rPr>
        <w:t xml:space="preserve">, </w:t>
      </w:r>
      <w:r w:rsidRPr="00264EB5">
        <w:rPr>
          <w:rFonts w:ascii="Times New Roman" w:hAnsi="Times New Roman" w:cs="Times New Roman"/>
        </w:rPr>
        <w:t>2015). The ultimate objective is to employ solar power and other renewable energy sources in a way that not only generates financial returns but also promotes broader societal benefits, thereby bolstering the idea that sustainability and profitability can be mutually beneficial.</w:t>
      </w:r>
    </w:p>
    <w:p w14:paraId="5DF38ADB" w14:textId="38FEA23A"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 xml:space="preserve">Introduction </w:t>
      </w:r>
    </w:p>
    <w:p w14:paraId="0FDB6F2F"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The United Nations General Assembly (1987) introduced the concept of sustainability to the global community in its seminal report "Our Common Future." This concept emphasises the importance of development that addresses the needs of the present without compromising the ability of future generations to meet their own. Within the corporate sector, this principle has expanded into a "triple bottom line" perspective, which involves enterprises considering the economic, environmental, and social aspects of their operations (Anderson, 2006). Given the increased consumer awareness, regulatory pressures, and resource constraints, it is imperative that new enterprises incorporate sustainability into their strategies (Edgeman and Eskildsen, 2014). SustainFlow is committed to facilitating positive change in the renewable energy sector by drawing inspiration from these imperatives. The objective is to offer energy products and </w:t>
      </w:r>
      <w:r w:rsidRPr="00264EB5">
        <w:rPr>
          <w:rFonts w:ascii="Times New Roman" w:hAnsi="Times New Roman" w:cs="Times New Roman"/>
        </w:rPr>
        <w:lastRenderedPageBreak/>
        <w:t>services that are ecologically conscious, cost-effective, and accessible, thereby promoting both financial feasibility and environmental stewardship.</w:t>
      </w:r>
    </w:p>
    <w:p w14:paraId="41892ED9"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Objectives and Goals</w:t>
      </w:r>
    </w:p>
    <w:p w14:paraId="16D0A4AD"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SustainFlow's primary goal is to promote climate-positive actions and demonstrate commercial viability by developing and marketing solar-powered solutions, such as rooftop installations and portable energy devices (Chofreh et al., 2018). An additional goal is to guarantee that each operation within SustainFlow is consistent with established sustainability benchmarks, thereby minimising adverse effects and optimising efficiency. Strategic partnerships with energy suppliers, cutting-edge research and development, and a transparent reporting framework are how the company intends to accomplish these objectives. SustainFlow, by the end of its third year, intends to establish a market share in emerging solar installation markets, with the expectation of a consistent clientele in both urban and rural areas (Febrizal Rahmana and Bawono, 2020).</w:t>
      </w:r>
    </w:p>
    <w:p w14:paraId="5A6E10CB"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Stakeholder engagement is an additional critical objective. This necessitates the systematic dissemination of information regarding the enterprise's environmental impact, cost reductions to consumers, and benefits to local communities to establish trust (Cooney, 2009). SustainFlow will also incorporate best practices in sustainability risk management to reduce operational and reputational risks, mirroring Anderson's (2006) remarks on the importance of risk analysis in sustainable firms.</w:t>
      </w:r>
    </w:p>
    <w:p w14:paraId="0959A59C"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Sustainability Approach</w:t>
      </w:r>
    </w:p>
    <w:p w14:paraId="4C67FBC0"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SustainFlow's sustainability strategy overcomes traditional corporate social responsibility by integrating eco-efficiency and resilience into the foundation of business operations (Høgevold et al., 2014). The principal product line of the enterprise is solar technologies, which are centred on renewable energy. Organisational practices, including responsible procurement of </w:t>
      </w:r>
      <w:r w:rsidRPr="00264EB5">
        <w:rPr>
          <w:rFonts w:ascii="Times New Roman" w:hAnsi="Times New Roman" w:cs="Times New Roman"/>
        </w:rPr>
        <w:lastRenderedPageBreak/>
        <w:t>photovoltaic components, comprehensive recycling programs, and zero-waste packaging, complement this technology-centered approach. SustainFlow also plans to utilise data-driven metrics to monitor the carbon footprint of each product cycle, from production to distribution, in accordance with the demand for transparency in sustainability reporting (Edgeman and Eskildsen, 2014).</w:t>
      </w:r>
    </w:p>
    <w:p w14:paraId="38EDA771"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Additionally, the organisation will establish a network of collaborative partnerships to facilitate the exchange of knowledge within the renewable energy sector. This partnership optimises operational capabilities, guarantees ongoing innovation, and grants a competitive advantage. For example, SustainFlow will assess the viability of manufacturing processes by examining successful zero-waste initiatives in other sectors, such as the car manufacturing techniques discussed by Woodyard (2008). SustainFlow's products will be distinguished in the marketplace and rigorous environmental standards will be maintained by collaborating with established actors through joint research programs, pilot projects, and third-party certifications (Dyllick and Muff, 2015). Economic success is accomplished along with environmental protection and community enrichment, as this orientation is intended to reflect "true business sustainability."</w:t>
      </w:r>
    </w:p>
    <w:p w14:paraId="098348D6"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Resource Requirements</w:t>
      </w:r>
    </w:p>
    <w:p w14:paraId="4505804E" w14:textId="1E1E3FD3"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Physical Resources</w:t>
      </w:r>
    </w:p>
    <w:p w14:paraId="0BB4EED3"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 necessitates a production facility that is capable of assembling and testing solar panels and associated equipment. The selection of a facility must be consistent with sustainable construction principles, with a preference for energy-efficient lighting, climate control systems, and the potential for on-site solar generation to power the plant (Febrizal Rahmana </w:t>
      </w:r>
      <w:r>
        <w:rPr>
          <w:rFonts w:ascii="Times New Roman" w:hAnsi="Times New Roman" w:cs="Times New Roman"/>
        </w:rPr>
        <w:t xml:space="preserve">&amp; </w:t>
      </w:r>
      <w:r w:rsidRPr="00264EB5">
        <w:rPr>
          <w:rFonts w:ascii="Times New Roman" w:hAnsi="Times New Roman" w:cs="Times New Roman"/>
        </w:rPr>
        <w:t xml:space="preserve">Bawono, 2020). Initially, a pilot production line that is lower in scale will be established, with additional space designated for future expansion. An efficient logistics system will be implemented for </w:t>
      </w:r>
      <w:r w:rsidRPr="00264EB5">
        <w:rPr>
          <w:rFonts w:ascii="Times New Roman" w:hAnsi="Times New Roman" w:cs="Times New Roman"/>
        </w:rPr>
        <w:lastRenderedPageBreak/>
        <w:t>distribution, with a focus on consolidated transport schedules to reduce carbon emissions. The allocation of warehousing capacity will be designed to optimise inventory turnover, prevent overproduction, and align with the enterprise's zero-waste objectives (Høgevold et al., 2014).</w:t>
      </w:r>
    </w:p>
    <w:p w14:paraId="7A3E1D2E"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Human Resources</w:t>
      </w:r>
    </w:p>
    <w:p w14:paraId="33112560"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SustainFlow's human resource strategy emphasises the acquisition of specialised talent in the fields of sustainability reporting, supply chain management, and photovoltaic engineering. The operational team will consist of renewable energy engineers who can supervise product design and guarantee adherence to pertinent energy and safety regulations. Procurement personnel will ensure that raw materials are sourced responsibly, establishing supplier relationships that comply with rigorous environmental and labour standards (Cooney, 2009). Customer service representatives will receive training on how to effectively communicate technical information to clients, thereby guaranteeing that they comprehend the financial and ecological advantages of the products. Additionally, the organisation will allocate resources to comprehensive training programs for all employees, in accordance with Edgeman and Eskildsen's (2014) assertion that staff development is indispensable for obtaining durable enterprise excellence.</w:t>
      </w:r>
    </w:p>
    <w:p w14:paraId="459E490F"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Financial resources</w:t>
      </w:r>
    </w:p>
    <w:p w14:paraId="795E83F4"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SustainFlow's financing will be comprised of a combination of private equity investments, bank loans, and prospective government grants that are intended to assist renewable energy projects (Caprotti, 2012). Equipment procurement, facility lease agreements, and labour expenses will be funded by initial capital injections. Additional funds will be allocated for the purpose of refining photovoltaic technologies through research and development, as well as for the establishment of the brand through marketing initiatives. To establish credibility with investors who are increasingly seeking opportunities that are consistent with environmental and social objectives, it will be essential to implement sound financial structuring and </w:t>
      </w:r>
      <w:r w:rsidRPr="00264EB5">
        <w:rPr>
          <w:rFonts w:ascii="Times New Roman" w:hAnsi="Times New Roman" w:cs="Times New Roman"/>
        </w:rPr>
        <w:lastRenderedPageBreak/>
        <w:t>transparent disclosures (Thompson, 2010). Whenever possible, funds will be allocated to the implementation of sophisticated automation and software solutions that enhance the efficiency of manufacturing. In addition, SustainFlow will assess asset leasing alternatives to conserve capital for critical innovations and minimise administrative expenses during the initial operational years (Anderson, 2006).</w:t>
      </w:r>
    </w:p>
    <w:p w14:paraId="68703FF6"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Marketing Strategy</w:t>
      </w:r>
    </w:p>
    <w:p w14:paraId="5878C388"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SustainFlow's marketing strategy commences with the positioning of its solar-powered solutions as catalysts for sustainable living, rather than solely as products. Utilising the principles of social enterprise (Thompson, 2010), SustainFlow will emphasise the tangible contribution that each customer makes to the improvement of local air quality and the reduction of greenhouse gas emissions. The brand narrative will prioritise cost savings, performance, and reliability, while also ensuring that ecological responsibility is balanced with economic practicality (Dyllick </w:t>
      </w:r>
      <w:r>
        <w:rPr>
          <w:rFonts w:ascii="Times New Roman" w:hAnsi="Times New Roman" w:cs="Times New Roman"/>
        </w:rPr>
        <w:t>&amp;</w:t>
      </w:r>
      <w:r w:rsidRPr="00264EB5">
        <w:rPr>
          <w:rFonts w:ascii="Times New Roman" w:hAnsi="Times New Roman" w:cs="Times New Roman"/>
        </w:rPr>
        <w:t xml:space="preserve"> Muff, 2015).</w:t>
      </w:r>
    </w:p>
    <w:p w14:paraId="6C084B32"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 will implement digital marketing strategies, such as search engine optimisation, content marketing, and targeted advertisements on social media, to enhance its visibility. We will establish partnerships with environmental advocacy organisations to collaborate on the development of educational campaigns that promote the adoption of renewable energy. SustainFlow will also explore the possibility of partnering with local governments to organise solar-awareness seminars that emphasise the installation process and government incentives. SustainFlow endeavours to incorporate solar technologies into new building projects by establishing robust relationships with architects, urban planners, and construction companies. These marketing initiatives will emphasise the organization's commitment to "sustainable enterprise excellence,"  </w:t>
      </w:r>
      <w:r>
        <w:rPr>
          <w:rFonts w:ascii="Times New Roman" w:hAnsi="Times New Roman" w:cs="Times New Roman"/>
        </w:rPr>
        <w:t>(</w:t>
      </w:r>
      <w:r w:rsidRPr="00264EB5">
        <w:rPr>
          <w:rFonts w:ascii="Times New Roman" w:hAnsi="Times New Roman" w:cs="Times New Roman"/>
        </w:rPr>
        <w:t xml:space="preserve">Edgeman </w:t>
      </w:r>
      <w:r>
        <w:rPr>
          <w:rFonts w:ascii="Times New Roman" w:hAnsi="Times New Roman" w:cs="Times New Roman"/>
        </w:rPr>
        <w:t>&amp;</w:t>
      </w:r>
      <w:r w:rsidRPr="00264EB5">
        <w:rPr>
          <w:rFonts w:ascii="Times New Roman" w:hAnsi="Times New Roman" w:cs="Times New Roman"/>
        </w:rPr>
        <w:t xml:space="preserve"> Eskildsen</w:t>
      </w:r>
      <w:r>
        <w:rPr>
          <w:rFonts w:ascii="Times New Roman" w:hAnsi="Times New Roman" w:cs="Times New Roman"/>
        </w:rPr>
        <w:t xml:space="preserve">, </w:t>
      </w:r>
      <w:r w:rsidRPr="00264EB5">
        <w:rPr>
          <w:rFonts w:ascii="Times New Roman" w:hAnsi="Times New Roman" w:cs="Times New Roman"/>
        </w:rPr>
        <w:t xml:space="preserve">2014). This approach requires the marketing </w:t>
      </w:r>
      <w:r w:rsidRPr="00264EB5">
        <w:rPr>
          <w:rFonts w:ascii="Times New Roman" w:hAnsi="Times New Roman" w:cs="Times New Roman"/>
        </w:rPr>
        <w:lastRenderedPageBreak/>
        <w:t>narrative to be grounded in genuine ecological practices and community engagement, rather than superficial greenwashing.</w:t>
      </w:r>
    </w:p>
    <w:p w14:paraId="1327E104" w14:textId="77777777"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t>PESTLE Analysis</w:t>
      </w:r>
    </w:p>
    <w:p w14:paraId="4CD80FBD" w14:textId="77777777"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The political environment provides a variety of regulatory frameworks and subsidies that are advantageous to renewable energy, which can assist SustainFlow in obtaining grants and advantageous policy support. Nevertheless, the company's growth trajectory may be impacted by abrupt policy changes or the elimination of incentives. Profit margins and pricing strategies may be affected by the fluctuating costs of photovoltaic components, which are indicative of the economic climate. Consumer purchasing power can be enhanced by high-level economic stability, while discretionary spending on renewable technologies may be diminished during economic recessions. The social dimension has emerged as a significant factor in the pursuit of sustainability, as an increasing number of consumers are seeking products that align with their ethical and environmentally favourable principles. This suggests that SustainFlow's product has a significant market potential (Cooney, 2009). The technological aspect is crucial because the competitiveness of the solar industry is influenced by continuous innovation, including enhancements in efficiency and storage capacities. To preserve its competitive advantage, SustainFlow must remain informed about the latest developments (Chofreh et al., 2018). The legal domain includes environmental regulations, safety certifications, and building codes that can establish production standards. While compliance may be expensive, it also serves to assure investors and consumers that the organisation is dedicated to using the most effective methods. The environmental factor is of the utmost importance, as the urgency and importance of implementing healthier energy solutions are underscored by resource constraints and unpredictable climate patterns (United Nations General Assembly, 1987).</w:t>
      </w:r>
    </w:p>
    <w:p w14:paraId="2214037D" w14:textId="77777777" w:rsidR="00264EB5" w:rsidRDefault="00264EB5" w:rsidP="00264EB5">
      <w:pPr>
        <w:spacing w:line="480" w:lineRule="auto"/>
        <w:jc w:val="both"/>
        <w:rPr>
          <w:rFonts w:ascii="Times New Roman" w:hAnsi="Times New Roman" w:cs="Times New Roman"/>
        </w:rPr>
      </w:pPr>
    </w:p>
    <w:p w14:paraId="78E911F4" w14:textId="17E0B1DC" w:rsidR="00264EB5" w:rsidRPr="00264EB5" w:rsidRDefault="00264EB5" w:rsidP="00264EB5">
      <w:pPr>
        <w:spacing w:line="480" w:lineRule="auto"/>
        <w:jc w:val="both"/>
        <w:rPr>
          <w:rFonts w:ascii="Times New Roman" w:hAnsi="Times New Roman" w:cs="Times New Roman"/>
          <w:b/>
          <w:bCs/>
          <w:color w:val="4C94D8" w:themeColor="text2" w:themeTint="80"/>
        </w:rPr>
      </w:pPr>
      <w:r w:rsidRPr="00264EB5">
        <w:rPr>
          <w:rFonts w:ascii="Times New Roman" w:hAnsi="Times New Roman" w:cs="Times New Roman"/>
          <w:b/>
          <w:bCs/>
          <w:color w:val="4C94D8" w:themeColor="text2" w:themeTint="80"/>
        </w:rPr>
        <w:lastRenderedPageBreak/>
        <w:t>SWOT Analysis</w:t>
      </w: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4417"/>
        <w:gridCol w:w="4593"/>
      </w:tblGrid>
      <w:tr w:rsidR="00264EB5" w:rsidRPr="00264EB5" w14:paraId="1545A6E4" w14:textId="77777777" w:rsidTr="00264EB5">
        <w:trPr>
          <w:tblHeader/>
          <w:tblCellSpacing w:w="15" w:type="dxa"/>
        </w:trPr>
        <w:tc>
          <w:tcPr>
            <w:tcW w:w="0" w:type="auto"/>
            <w:vAlign w:val="center"/>
            <w:hideMark/>
          </w:tcPr>
          <w:p w14:paraId="255902BC" w14:textId="77777777" w:rsidR="00264EB5" w:rsidRPr="00264EB5" w:rsidRDefault="00264EB5" w:rsidP="001C57D6">
            <w:pPr>
              <w:shd w:val="clear" w:color="auto" w:fill="47D459" w:themeFill="accent3" w:themeFillTint="99"/>
              <w:spacing w:after="0" w:line="240" w:lineRule="auto"/>
              <w:jc w:val="center"/>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Strengths (Internal)</w:t>
            </w:r>
          </w:p>
        </w:tc>
        <w:tc>
          <w:tcPr>
            <w:tcW w:w="0" w:type="auto"/>
            <w:vAlign w:val="center"/>
            <w:hideMark/>
          </w:tcPr>
          <w:p w14:paraId="62CAB319" w14:textId="77777777" w:rsidR="00264EB5" w:rsidRPr="00264EB5" w:rsidRDefault="00264EB5" w:rsidP="001C57D6">
            <w:pPr>
              <w:shd w:val="clear" w:color="auto" w:fill="47D459" w:themeFill="accent3" w:themeFillTint="99"/>
              <w:spacing w:after="0" w:line="240" w:lineRule="auto"/>
              <w:jc w:val="center"/>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Weaknesses (Internal)</w:t>
            </w:r>
          </w:p>
        </w:tc>
      </w:tr>
      <w:tr w:rsidR="00264EB5" w:rsidRPr="00264EB5" w14:paraId="37B6DE11" w14:textId="77777777" w:rsidTr="00264EB5">
        <w:trPr>
          <w:tblCellSpacing w:w="15" w:type="dxa"/>
        </w:trPr>
        <w:tc>
          <w:tcPr>
            <w:tcW w:w="0" w:type="auto"/>
            <w:vAlign w:val="center"/>
            <w:hideMark/>
          </w:tcPr>
          <w:p w14:paraId="2C204661"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Novel renewable energy products that address environmental concerns</w:t>
            </w:r>
          </w:p>
        </w:tc>
        <w:tc>
          <w:tcPr>
            <w:tcW w:w="0" w:type="auto"/>
            <w:vAlign w:val="center"/>
            <w:hideMark/>
          </w:tcPr>
          <w:p w14:paraId="6D38D100"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High initial capital requirements for research, development, and technology acquisition</w:t>
            </w:r>
          </w:p>
        </w:tc>
      </w:tr>
      <w:tr w:rsidR="00264EB5" w:rsidRPr="00264EB5" w14:paraId="1BFB9E8D" w14:textId="77777777" w:rsidTr="00264EB5">
        <w:trPr>
          <w:tblCellSpacing w:w="15" w:type="dxa"/>
        </w:trPr>
        <w:tc>
          <w:tcPr>
            <w:tcW w:w="0" w:type="auto"/>
            <w:vAlign w:val="center"/>
            <w:hideMark/>
          </w:tcPr>
          <w:p w14:paraId="7D720FC2"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Skilled workforce with specialized expertise in photovoltaic engineering</w:t>
            </w:r>
          </w:p>
        </w:tc>
        <w:tc>
          <w:tcPr>
            <w:tcW w:w="0" w:type="auto"/>
            <w:vAlign w:val="center"/>
            <w:hideMark/>
          </w:tcPr>
          <w:p w14:paraId="1BD380A9"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Limited brand recognition in a competitive energy market</w:t>
            </w:r>
          </w:p>
        </w:tc>
      </w:tr>
      <w:tr w:rsidR="00264EB5" w:rsidRPr="00264EB5" w14:paraId="13751608" w14:textId="77777777" w:rsidTr="00264EB5">
        <w:trPr>
          <w:tblCellSpacing w:w="15" w:type="dxa"/>
        </w:trPr>
        <w:tc>
          <w:tcPr>
            <w:tcW w:w="0" w:type="auto"/>
            <w:vAlign w:val="center"/>
            <w:hideMark/>
          </w:tcPr>
          <w:p w14:paraId="1EFE41D2"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Commitment to “true business sustainability” principles (Dyllick and Muff, 2015)</w:t>
            </w:r>
          </w:p>
        </w:tc>
        <w:tc>
          <w:tcPr>
            <w:tcW w:w="0" w:type="auto"/>
            <w:vAlign w:val="center"/>
            <w:hideMark/>
          </w:tcPr>
          <w:p w14:paraId="1B2FCA6A"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Vulnerability to supply chain disruptions for specialized solar components</w:t>
            </w:r>
          </w:p>
        </w:tc>
      </w:tr>
    </w:tbl>
    <w:p w14:paraId="0DDAFC5D"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4387"/>
        <w:gridCol w:w="4623"/>
      </w:tblGrid>
      <w:tr w:rsidR="00264EB5" w:rsidRPr="00264EB5" w14:paraId="120A8267" w14:textId="77777777" w:rsidTr="001C57D6">
        <w:trPr>
          <w:tblHeader/>
          <w:tblCellSpacing w:w="15" w:type="dxa"/>
        </w:trPr>
        <w:tc>
          <w:tcPr>
            <w:tcW w:w="4342" w:type="dxa"/>
            <w:vAlign w:val="center"/>
            <w:hideMark/>
          </w:tcPr>
          <w:p w14:paraId="25102BE4" w14:textId="77777777" w:rsidR="00264EB5" w:rsidRPr="00264EB5" w:rsidRDefault="00264EB5" w:rsidP="001C57D6">
            <w:pPr>
              <w:shd w:val="clear" w:color="auto" w:fill="47D459" w:themeFill="accent3" w:themeFillTint="99"/>
              <w:spacing w:after="0" w:line="240" w:lineRule="auto"/>
              <w:jc w:val="center"/>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Opportunities (External)</w:t>
            </w:r>
          </w:p>
        </w:tc>
        <w:tc>
          <w:tcPr>
            <w:tcW w:w="4578" w:type="dxa"/>
            <w:vAlign w:val="center"/>
            <w:hideMark/>
          </w:tcPr>
          <w:p w14:paraId="787094D4" w14:textId="77777777" w:rsidR="00264EB5" w:rsidRPr="00264EB5" w:rsidRDefault="00264EB5" w:rsidP="001C57D6">
            <w:pPr>
              <w:shd w:val="clear" w:color="auto" w:fill="47D459" w:themeFill="accent3" w:themeFillTint="99"/>
              <w:spacing w:after="0" w:line="240" w:lineRule="auto"/>
              <w:jc w:val="center"/>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Threats (External)</w:t>
            </w:r>
          </w:p>
        </w:tc>
      </w:tr>
      <w:tr w:rsidR="00264EB5" w:rsidRPr="00264EB5" w14:paraId="789D273D" w14:textId="77777777" w:rsidTr="001C57D6">
        <w:trPr>
          <w:tblCellSpacing w:w="15" w:type="dxa"/>
        </w:trPr>
        <w:tc>
          <w:tcPr>
            <w:tcW w:w="4342" w:type="dxa"/>
            <w:vAlign w:val="center"/>
            <w:hideMark/>
          </w:tcPr>
          <w:p w14:paraId="383966C9"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Growing environmental awareness among consumers and favorable government policies</w:t>
            </w:r>
          </w:p>
        </w:tc>
        <w:tc>
          <w:tcPr>
            <w:tcW w:w="4578" w:type="dxa"/>
            <w:vAlign w:val="center"/>
            <w:hideMark/>
          </w:tcPr>
          <w:p w14:paraId="0D28FDCC"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Potential regulatory changes that might reduce subsidies or impose complex compliance</w:t>
            </w:r>
          </w:p>
        </w:tc>
      </w:tr>
      <w:tr w:rsidR="00264EB5" w:rsidRPr="00264EB5" w14:paraId="280FA0A9" w14:textId="77777777" w:rsidTr="001C57D6">
        <w:trPr>
          <w:tblCellSpacing w:w="15" w:type="dxa"/>
        </w:trPr>
        <w:tc>
          <w:tcPr>
            <w:tcW w:w="4342" w:type="dxa"/>
            <w:vAlign w:val="center"/>
            <w:hideMark/>
          </w:tcPr>
          <w:p w14:paraId="3FF74ED7"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Partnerships with construction firms to integrate solar solutions in new buildings</w:t>
            </w:r>
          </w:p>
        </w:tc>
        <w:tc>
          <w:tcPr>
            <w:tcW w:w="4578" w:type="dxa"/>
            <w:vAlign w:val="center"/>
            <w:hideMark/>
          </w:tcPr>
          <w:p w14:paraId="0D98555E"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Entry of larger competitors with greater financial capabilities in the solar industry</w:t>
            </w:r>
          </w:p>
        </w:tc>
      </w:tr>
      <w:tr w:rsidR="00264EB5" w:rsidRPr="00264EB5" w14:paraId="4702E5C2" w14:textId="77777777" w:rsidTr="001C57D6">
        <w:trPr>
          <w:tblCellSpacing w:w="15" w:type="dxa"/>
        </w:trPr>
        <w:tc>
          <w:tcPr>
            <w:tcW w:w="4342" w:type="dxa"/>
            <w:vAlign w:val="center"/>
            <w:hideMark/>
          </w:tcPr>
          <w:p w14:paraId="7A933EFE"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Advancement in solar technology reducing manufacturing and operational costs</w:t>
            </w:r>
          </w:p>
        </w:tc>
        <w:tc>
          <w:tcPr>
            <w:tcW w:w="4578" w:type="dxa"/>
            <w:vAlign w:val="center"/>
            <w:hideMark/>
          </w:tcPr>
          <w:p w14:paraId="7DE4A10A" w14:textId="77777777" w:rsidR="00264EB5" w:rsidRPr="00264EB5" w:rsidRDefault="00264EB5" w:rsidP="001C57D6">
            <w:pPr>
              <w:shd w:val="clear" w:color="auto" w:fill="47D459" w:themeFill="accent3" w:themeFillTint="99"/>
              <w:spacing w:after="0" w:line="240" w:lineRule="auto"/>
              <w:rPr>
                <w:rFonts w:ascii="Times New Roman" w:eastAsia="Times New Roman" w:hAnsi="Times New Roman" w:cs="Times New Roman"/>
                <w:kern w:val="0"/>
                <w:lang w:eastAsia="en-GB"/>
                <w14:ligatures w14:val="none"/>
              </w:rPr>
            </w:pPr>
            <w:r w:rsidRPr="00264EB5">
              <w:rPr>
                <w:rFonts w:ascii="Times New Roman" w:eastAsia="Times New Roman" w:hAnsi="Times New Roman" w:cs="Times New Roman"/>
                <w:kern w:val="0"/>
                <w:lang w:eastAsia="en-GB"/>
                <w14:ligatures w14:val="none"/>
              </w:rPr>
              <w:t>Economic fluctuations affecting consumer purchasing power and investor confidenc</w:t>
            </w:r>
          </w:p>
        </w:tc>
      </w:tr>
    </w:tbl>
    <w:p w14:paraId="2062A3FF" w14:textId="77777777" w:rsidR="00264EB5" w:rsidRPr="00264EB5" w:rsidRDefault="00264EB5" w:rsidP="00264EB5">
      <w:pPr>
        <w:spacing w:line="480" w:lineRule="auto"/>
        <w:jc w:val="both"/>
        <w:rPr>
          <w:rFonts w:ascii="Times New Roman" w:hAnsi="Times New Roman" w:cs="Times New Roman"/>
        </w:rPr>
      </w:pPr>
    </w:p>
    <w:p w14:paraId="105AC448" w14:textId="77777777" w:rsidR="001C57D6" w:rsidRDefault="00264EB5" w:rsidP="00264EB5">
      <w:pPr>
        <w:spacing w:line="480" w:lineRule="auto"/>
        <w:jc w:val="both"/>
        <w:rPr>
          <w:rFonts w:ascii="Times New Roman" w:hAnsi="Times New Roman" w:cs="Times New Roman"/>
          <w:b/>
          <w:bCs/>
          <w:color w:val="4C94D8" w:themeColor="text2" w:themeTint="80"/>
        </w:rPr>
      </w:pPr>
      <w:r w:rsidRPr="001C57D6">
        <w:rPr>
          <w:rFonts w:ascii="Times New Roman" w:hAnsi="Times New Roman" w:cs="Times New Roman"/>
          <w:b/>
          <w:bCs/>
          <w:color w:val="4C94D8" w:themeColor="text2" w:themeTint="80"/>
        </w:rPr>
        <w:t>Financial Cash Flow Forecast</w:t>
      </w:r>
    </w:p>
    <w:p w14:paraId="04CA8F70" w14:textId="72CCE690"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A concise forecast for the initial four quarters offers a summary of anticipated net income, operational expenses, and revenue. </w:t>
      </w:r>
    </w:p>
    <w:tbl>
      <w:tblPr>
        <w:tblW w:w="0" w:type="auto"/>
        <w:tblCellSpacing w:w="15"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15" w:type="dxa"/>
          <w:left w:w="15" w:type="dxa"/>
          <w:bottom w:w="15" w:type="dxa"/>
          <w:right w:w="15" w:type="dxa"/>
        </w:tblCellMar>
        <w:tblLook w:val="04A0" w:firstRow="1" w:lastRow="0" w:firstColumn="1" w:lastColumn="0" w:noHBand="0" w:noVBand="1"/>
      </w:tblPr>
      <w:tblGrid>
        <w:gridCol w:w="1885"/>
        <w:gridCol w:w="2016"/>
        <w:gridCol w:w="1950"/>
        <w:gridCol w:w="1285"/>
      </w:tblGrid>
      <w:tr w:rsidR="00C95FBA" w:rsidRPr="00C95FBA" w14:paraId="578DADE6" w14:textId="77777777" w:rsidTr="00C95FBA">
        <w:trPr>
          <w:tblHeader/>
          <w:tblCellSpacing w:w="15" w:type="dxa"/>
        </w:trPr>
        <w:tc>
          <w:tcPr>
            <w:tcW w:w="0" w:type="auto"/>
            <w:shd w:val="clear" w:color="auto" w:fill="47D459" w:themeFill="accent3" w:themeFillTint="99"/>
            <w:vAlign w:val="center"/>
            <w:hideMark/>
          </w:tcPr>
          <w:p w14:paraId="58E82BDF" w14:textId="77777777" w:rsidR="00C95FBA" w:rsidRPr="00C95FBA" w:rsidRDefault="00C95FBA" w:rsidP="00C95FBA">
            <w:pPr>
              <w:spacing w:after="0" w:line="240" w:lineRule="auto"/>
              <w:jc w:val="center"/>
              <w:rPr>
                <w:rFonts w:ascii="Times New Roman" w:eastAsia="Times New Roman" w:hAnsi="Times New Roman" w:cs="Times New Roman"/>
                <w:b/>
                <w:bCs/>
                <w:kern w:val="0"/>
                <w:lang w:eastAsia="en-GB"/>
                <w14:ligatures w14:val="none"/>
              </w:rPr>
            </w:pPr>
            <w:r w:rsidRPr="00C95FBA">
              <w:rPr>
                <w:rFonts w:ascii="Times New Roman" w:eastAsia="Times New Roman" w:hAnsi="Times New Roman" w:cs="Times New Roman"/>
                <w:b/>
                <w:bCs/>
                <w:kern w:val="0"/>
                <w:lang w:eastAsia="en-GB"/>
                <w14:ligatures w14:val="none"/>
              </w:rPr>
              <w:t>Period</w:t>
            </w:r>
          </w:p>
        </w:tc>
        <w:tc>
          <w:tcPr>
            <w:tcW w:w="0" w:type="auto"/>
            <w:shd w:val="clear" w:color="auto" w:fill="47D459" w:themeFill="accent3" w:themeFillTint="99"/>
            <w:vAlign w:val="center"/>
            <w:hideMark/>
          </w:tcPr>
          <w:p w14:paraId="5DE7F53C" w14:textId="77777777" w:rsidR="00C95FBA" w:rsidRPr="00C95FBA" w:rsidRDefault="00C95FBA" w:rsidP="00C95FBA">
            <w:pPr>
              <w:spacing w:after="0" w:line="240" w:lineRule="auto"/>
              <w:jc w:val="center"/>
              <w:rPr>
                <w:rFonts w:ascii="Times New Roman" w:eastAsia="Times New Roman" w:hAnsi="Times New Roman" w:cs="Times New Roman"/>
                <w:b/>
                <w:bCs/>
                <w:kern w:val="0"/>
                <w:lang w:eastAsia="en-GB"/>
                <w14:ligatures w14:val="none"/>
              </w:rPr>
            </w:pPr>
            <w:r w:rsidRPr="00C95FBA">
              <w:rPr>
                <w:rFonts w:ascii="Times New Roman" w:eastAsia="Times New Roman" w:hAnsi="Times New Roman" w:cs="Times New Roman"/>
                <w:b/>
                <w:bCs/>
                <w:kern w:val="0"/>
                <w:lang w:eastAsia="en-GB"/>
                <w14:ligatures w14:val="none"/>
              </w:rPr>
              <w:t>Projected Revenue</w:t>
            </w:r>
          </w:p>
        </w:tc>
        <w:tc>
          <w:tcPr>
            <w:tcW w:w="0" w:type="auto"/>
            <w:shd w:val="clear" w:color="auto" w:fill="47D459" w:themeFill="accent3" w:themeFillTint="99"/>
            <w:vAlign w:val="center"/>
            <w:hideMark/>
          </w:tcPr>
          <w:p w14:paraId="26B7D5DE" w14:textId="77777777" w:rsidR="00C95FBA" w:rsidRPr="00C95FBA" w:rsidRDefault="00C95FBA" w:rsidP="00C95FBA">
            <w:pPr>
              <w:spacing w:after="0" w:line="240" w:lineRule="auto"/>
              <w:jc w:val="center"/>
              <w:rPr>
                <w:rFonts w:ascii="Times New Roman" w:eastAsia="Times New Roman" w:hAnsi="Times New Roman" w:cs="Times New Roman"/>
                <w:b/>
                <w:bCs/>
                <w:kern w:val="0"/>
                <w:lang w:eastAsia="en-GB"/>
                <w14:ligatures w14:val="none"/>
              </w:rPr>
            </w:pPr>
            <w:r w:rsidRPr="00C95FBA">
              <w:rPr>
                <w:rFonts w:ascii="Times New Roman" w:eastAsia="Times New Roman" w:hAnsi="Times New Roman" w:cs="Times New Roman"/>
                <w:b/>
                <w:bCs/>
                <w:kern w:val="0"/>
                <w:lang w:eastAsia="en-GB"/>
                <w14:ligatures w14:val="none"/>
              </w:rPr>
              <w:t>Operational Costs</w:t>
            </w:r>
          </w:p>
        </w:tc>
        <w:tc>
          <w:tcPr>
            <w:tcW w:w="0" w:type="auto"/>
            <w:shd w:val="clear" w:color="auto" w:fill="47D459" w:themeFill="accent3" w:themeFillTint="99"/>
            <w:vAlign w:val="center"/>
            <w:hideMark/>
          </w:tcPr>
          <w:p w14:paraId="75945BAB" w14:textId="77777777" w:rsidR="00C95FBA" w:rsidRPr="00C95FBA" w:rsidRDefault="00C95FBA" w:rsidP="00C95FBA">
            <w:pPr>
              <w:spacing w:after="0" w:line="240" w:lineRule="auto"/>
              <w:jc w:val="center"/>
              <w:rPr>
                <w:rFonts w:ascii="Times New Roman" w:eastAsia="Times New Roman" w:hAnsi="Times New Roman" w:cs="Times New Roman"/>
                <w:b/>
                <w:bCs/>
                <w:kern w:val="0"/>
                <w:lang w:eastAsia="en-GB"/>
                <w14:ligatures w14:val="none"/>
              </w:rPr>
            </w:pPr>
            <w:r w:rsidRPr="00C95FBA">
              <w:rPr>
                <w:rFonts w:ascii="Times New Roman" w:eastAsia="Times New Roman" w:hAnsi="Times New Roman" w:cs="Times New Roman"/>
                <w:b/>
                <w:bCs/>
                <w:kern w:val="0"/>
                <w:lang w:eastAsia="en-GB"/>
                <w14:ligatures w14:val="none"/>
              </w:rPr>
              <w:t>Net Income</w:t>
            </w:r>
          </w:p>
        </w:tc>
      </w:tr>
      <w:tr w:rsidR="00C95FBA" w:rsidRPr="00C95FBA" w14:paraId="32AAF546" w14:textId="77777777" w:rsidTr="00C95FBA">
        <w:trPr>
          <w:tblCellSpacing w:w="15" w:type="dxa"/>
        </w:trPr>
        <w:tc>
          <w:tcPr>
            <w:tcW w:w="0" w:type="auto"/>
            <w:vAlign w:val="center"/>
            <w:hideMark/>
          </w:tcPr>
          <w:p w14:paraId="71553747"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Quarter 1 (Year 1)</w:t>
            </w:r>
          </w:p>
        </w:tc>
        <w:tc>
          <w:tcPr>
            <w:tcW w:w="0" w:type="auto"/>
            <w:vAlign w:val="center"/>
            <w:hideMark/>
          </w:tcPr>
          <w:p w14:paraId="6D36A01E"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100,000</w:t>
            </w:r>
          </w:p>
        </w:tc>
        <w:tc>
          <w:tcPr>
            <w:tcW w:w="0" w:type="auto"/>
            <w:vAlign w:val="center"/>
            <w:hideMark/>
          </w:tcPr>
          <w:p w14:paraId="63A98C84"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80,000</w:t>
            </w:r>
          </w:p>
        </w:tc>
        <w:tc>
          <w:tcPr>
            <w:tcW w:w="0" w:type="auto"/>
            <w:vAlign w:val="center"/>
            <w:hideMark/>
          </w:tcPr>
          <w:p w14:paraId="7A809A43"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20,000</w:t>
            </w:r>
          </w:p>
        </w:tc>
      </w:tr>
      <w:tr w:rsidR="00C95FBA" w:rsidRPr="00C95FBA" w14:paraId="671A2A80" w14:textId="77777777" w:rsidTr="00C95FBA">
        <w:trPr>
          <w:tblCellSpacing w:w="15" w:type="dxa"/>
        </w:trPr>
        <w:tc>
          <w:tcPr>
            <w:tcW w:w="0" w:type="auto"/>
            <w:vAlign w:val="center"/>
            <w:hideMark/>
          </w:tcPr>
          <w:p w14:paraId="63905EDC"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Quarter 2 (Year 1)</w:t>
            </w:r>
          </w:p>
        </w:tc>
        <w:tc>
          <w:tcPr>
            <w:tcW w:w="0" w:type="auto"/>
            <w:vAlign w:val="center"/>
            <w:hideMark/>
          </w:tcPr>
          <w:p w14:paraId="3494155C"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150,000</w:t>
            </w:r>
          </w:p>
        </w:tc>
        <w:tc>
          <w:tcPr>
            <w:tcW w:w="0" w:type="auto"/>
            <w:vAlign w:val="center"/>
            <w:hideMark/>
          </w:tcPr>
          <w:p w14:paraId="3004326E"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110,000</w:t>
            </w:r>
          </w:p>
        </w:tc>
        <w:tc>
          <w:tcPr>
            <w:tcW w:w="0" w:type="auto"/>
            <w:vAlign w:val="center"/>
            <w:hideMark/>
          </w:tcPr>
          <w:p w14:paraId="2C0F6ECB"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40,000</w:t>
            </w:r>
          </w:p>
        </w:tc>
      </w:tr>
      <w:tr w:rsidR="00C95FBA" w:rsidRPr="00C95FBA" w14:paraId="1D8E1A19" w14:textId="77777777" w:rsidTr="00C95FBA">
        <w:trPr>
          <w:tblCellSpacing w:w="15" w:type="dxa"/>
        </w:trPr>
        <w:tc>
          <w:tcPr>
            <w:tcW w:w="0" w:type="auto"/>
            <w:vAlign w:val="center"/>
            <w:hideMark/>
          </w:tcPr>
          <w:p w14:paraId="71DD58A6"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Quarter 3 (Year 1)</w:t>
            </w:r>
          </w:p>
        </w:tc>
        <w:tc>
          <w:tcPr>
            <w:tcW w:w="0" w:type="auto"/>
            <w:vAlign w:val="center"/>
            <w:hideMark/>
          </w:tcPr>
          <w:p w14:paraId="539EC493"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220,000</w:t>
            </w:r>
          </w:p>
        </w:tc>
        <w:tc>
          <w:tcPr>
            <w:tcW w:w="0" w:type="auto"/>
            <w:vAlign w:val="center"/>
            <w:hideMark/>
          </w:tcPr>
          <w:p w14:paraId="0CE82761"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160,000</w:t>
            </w:r>
          </w:p>
        </w:tc>
        <w:tc>
          <w:tcPr>
            <w:tcW w:w="0" w:type="auto"/>
            <w:vAlign w:val="center"/>
            <w:hideMark/>
          </w:tcPr>
          <w:p w14:paraId="413B5DE6"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60,000</w:t>
            </w:r>
          </w:p>
        </w:tc>
      </w:tr>
      <w:tr w:rsidR="00C95FBA" w:rsidRPr="00C95FBA" w14:paraId="779FEEC5" w14:textId="77777777" w:rsidTr="00C95FBA">
        <w:trPr>
          <w:tblCellSpacing w:w="15" w:type="dxa"/>
        </w:trPr>
        <w:tc>
          <w:tcPr>
            <w:tcW w:w="0" w:type="auto"/>
            <w:vAlign w:val="center"/>
            <w:hideMark/>
          </w:tcPr>
          <w:p w14:paraId="6F8BE6E1"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Quarter 4 (Year 1)</w:t>
            </w:r>
          </w:p>
        </w:tc>
        <w:tc>
          <w:tcPr>
            <w:tcW w:w="0" w:type="auto"/>
            <w:vAlign w:val="center"/>
            <w:hideMark/>
          </w:tcPr>
          <w:p w14:paraId="65252F9C"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300,000</w:t>
            </w:r>
          </w:p>
        </w:tc>
        <w:tc>
          <w:tcPr>
            <w:tcW w:w="0" w:type="auto"/>
            <w:vAlign w:val="center"/>
            <w:hideMark/>
          </w:tcPr>
          <w:p w14:paraId="5EA066D6"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210,000</w:t>
            </w:r>
          </w:p>
        </w:tc>
        <w:tc>
          <w:tcPr>
            <w:tcW w:w="0" w:type="auto"/>
            <w:vAlign w:val="center"/>
            <w:hideMark/>
          </w:tcPr>
          <w:p w14:paraId="4A96008D" w14:textId="77777777" w:rsidR="00C95FBA" w:rsidRPr="00C95FBA" w:rsidRDefault="00C95FBA" w:rsidP="00C95FBA">
            <w:pPr>
              <w:spacing w:after="0" w:line="240" w:lineRule="auto"/>
              <w:rPr>
                <w:rFonts w:ascii="Times New Roman" w:eastAsia="Times New Roman" w:hAnsi="Times New Roman" w:cs="Times New Roman"/>
                <w:kern w:val="0"/>
                <w:lang w:eastAsia="en-GB"/>
                <w14:ligatures w14:val="none"/>
              </w:rPr>
            </w:pPr>
            <w:r w:rsidRPr="00C95FBA">
              <w:rPr>
                <w:rFonts w:ascii="Times New Roman" w:eastAsia="Times New Roman" w:hAnsi="Times New Roman" w:cs="Times New Roman"/>
                <w:kern w:val="0"/>
                <w:lang w:eastAsia="en-GB"/>
                <w14:ligatures w14:val="none"/>
              </w:rPr>
              <w:t>90,000</w:t>
            </w:r>
          </w:p>
        </w:tc>
      </w:tr>
    </w:tbl>
    <w:p w14:paraId="1AD56701" w14:textId="77777777" w:rsidR="00C95FBA" w:rsidRPr="001C57D6" w:rsidRDefault="00C95FBA" w:rsidP="00264EB5">
      <w:pPr>
        <w:spacing w:line="480" w:lineRule="auto"/>
        <w:jc w:val="both"/>
        <w:rPr>
          <w:rFonts w:ascii="Times New Roman" w:hAnsi="Times New Roman" w:cs="Times New Roman"/>
          <w:b/>
          <w:bCs/>
          <w:color w:val="4C94D8" w:themeColor="text2" w:themeTint="80"/>
        </w:rPr>
      </w:pPr>
    </w:p>
    <w:p w14:paraId="0100FC76" w14:textId="28B216F5" w:rsidR="00264EB5" w:rsidRP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These projections anticipate a consistent rise in consumer acquisition as a consequence of ongoing marketing initiatives and favourable market responses (Chofreh et al., 2018). The combined sales of residential rooftop panel systems and portable solar devices are included in the revenue projections. Wages, raw materials, and administrative expenses, including facility rent and equipment maintenance, are all included in operational costs. Edgeman and Eskildsen </w:t>
      </w:r>
      <w:r w:rsidRPr="00264EB5">
        <w:rPr>
          <w:rFonts w:ascii="Times New Roman" w:hAnsi="Times New Roman" w:cs="Times New Roman"/>
        </w:rPr>
        <w:lastRenderedPageBreak/>
        <w:t xml:space="preserve">(2014) anticipate that SustainFlow will achieve a consistent profitability level by the conclusion of the initial year, which will be a result of both revenue </w:t>
      </w:r>
      <w:r w:rsidR="00C95FBA" w:rsidRPr="00264EB5">
        <w:rPr>
          <w:rFonts w:ascii="Times New Roman" w:hAnsi="Times New Roman" w:cs="Times New Roman"/>
        </w:rPr>
        <w:t>growth,</w:t>
      </w:r>
      <w:r w:rsidRPr="00264EB5">
        <w:rPr>
          <w:rFonts w:ascii="Times New Roman" w:hAnsi="Times New Roman" w:cs="Times New Roman"/>
        </w:rPr>
        <w:t xml:space="preserve"> and the efficiencies achieved through the enhancement of operational processes. Nevertheless, the significance of dynamic financial management is further underscored by the fact that actual figures may differ from projections due to market unpredictability (Anderson, 2006).</w:t>
      </w:r>
    </w:p>
    <w:p w14:paraId="00B229F0" w14:textId="77777777" w:rsidR="00264EB5" w:rsidRPr="00C95FBA" w:rsidRDefault="00264EB5" w:rsidP="00264EB5">
      <w:pPr>
        <w:spacing w:line="480" w:lineRule="auto"/>
        <w:jc w:val="both"/>
        <w:rPr>
          <w:rFonts w:ascii="Times New Roman" w:hAnsi="Times New Roman" w:cs="Times New Roman"/>
          <w:b/>
          <w:bCs/>
          <w:color w:val="4C94D8" w:themeColor="text2" w:themeTint="80"/>
        </w:rPr>
      </w:pPr>
      <w:r w:rsidRPr="00C95FBA">
        <w:rPr>
          <w:rFonts w:ascii="Times New Roman" w:hAnsi="Times New Roman" w:cs="Times New Roman"/>
          <w:b/>
          <w:bCs/>
          <w:color w:val="4C94D8" w:themeColor="text2" w:themeTint="80"/>
        </w:rPr>
        <w:t>Contingency Plan</w:t>
      </w:r>
    </w:p>
    <w:p w14:paraId="4DFF8BE1" w14:textId="65F27932" w:rsidR="00264EB5" w:rsidRP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Although SustainFlow's strategy is designed to mitigate known risks, performance may be negatively impacted by unforeseen circumstances, including economic downturns, supply chain disruptions, or precipitous regulatory changes (Anderson, 2006). SustainFlow would increase its research and development efforts </w:t>
      </w:r>
      <w:r w:rsidR="00C95FBA" w:rsidRPr="00264EB5">
        <w:rPr>
          <w:rFonts w:ascii="Times New Roman" w:hAnsi="Times New Roman" w:cs="Times New Roman"/>
        </w:rPr>
        <w:t>to</w:t>
      </w:r>
      <w:r w:rsidRPr="00264EB5">
        <w:rPr>
          <w:rFonts w:ascii="Times New Roman" w:hAnsi="Times New Roman" w:cs="Times New Roman"/>
        </w:rPr>
        <w:t xml:space="preserve"> reduce production costs and provide more competitively priced solutions </w:t>
      </w:r>
      <w:r w:rsidR="00C95FBA" w:rsidRPr="00264EB5">
        <w:rPr>
          <w:rFonts w:ascii="Times New Roman" w:hAnsi="Times New Roman" w:cs="Times New Roman"/>
        </w:rPr>
        <w:t>if</w:t>
      </w:r>
      <w:r w:rsidRPr="00264EB5">
        <w:rPr>
          <w:rFonts w:ascii="Times New Roman" w:hAnsi="Times New Roman" w:cs="Times New Roman"/>
        </w:rPr>
        <w:t xml:space="preserve"> subsidies for renewable energy were reduced (Cooney, 2009). Alternatively, the organisation would investigate collaborative financing models with end users, such as lease-to-own or power purchase agreements, to reduce the initial cost for clients (Thompson, 2010). SustainFlow would diversify its supplier base to mitigate dependence on a single manufacturer or country in the event of supply chain issues. With a system in place to swiftly evaluate and qualify alternative suppliers, incremental inventory may be secured to buffer against delays (Høgevold et al., 2014). SustainFlow would evaluate its investment strategies in the event of an economic recession, with the potential to reduce capital expenditures while maintaining its unwavering dedication to renewable energy solutions. </w:t>
      </w:r>
      <w:r w:rsidR="00C95FBA" w:rsidRPr="00264EB5">
        <w:rPr>
          <w:rFonts w:ascii="Times New Roman" w:hAnsi="Times New Roman" w:cs="Times New Roman"/>
        </w:rPr>
        <w:t>To</w:t>
      </w:r>
      <w:r w:rsidRPr="00264EB5">
        <w:rPr>
          <w:rFonts w:ascii="Times New Roman" w:hAnsi="Times New Roman" w:cs="Times New Roman"/>
        </w:rPr>
        <w:t xml:space="preserve"> assure potential customers that the long-term benefits of reduced utility bills outweigh the initial costs, there would be a greater emphasis on marketing the cost-saving features of solar products (Febrizal Rahmana and Bawono, 2020).</w:t>
      </w:r>
    </w:p>
    <w:p w14:paraId="5FA614F6" w14:textId="77777777" w:rsidR="00264EB5" w:rsidRPr="00264EB5" w:rsidRDefault="00264EB5" w:rsidP="00264EB5">
      <w:pPr>
        <w:spacing w:line="480" w:lineRule="auto"/>
        <w:jc w:val="both"/>
        <w:rPr>
          <w:rFonts w:ascii="Times New Roman" w:hAnsi="Times New Roman" w:cs="Times New Roman"/>
        </w:rPr>
      </w:pPr>
    </w:p>
    <w:p w14:paraId="2535D22D" w14:textId="6E2F5CC1" w:rsidR="00C95FBA" w:rsidRDefault="00264EB5" w:rsidP="00264EB5">
      <w:pPr>
        <w:spacing w:line="480" w:lineRule="auto"/>
        <w:jc w:val="both"/>
        <w:rPr>
          <w:rFonts w:ascii="Times New Roman" w:hAnsi="Times New Roman" w:cs="Times New Roman"/>
        </w:rPr>
      </w:pPr>
      <w:r w:rsidRPr="00264EB5">
        <w:rPr>
          <w:rFonts w:ascii="Times New Roman" w:hAnsi="Times New Roman" w:cs="Times New Roman"/>
        </w:rPr>
        <w:lastRenderedPageBreak/>
        <w:t xml:space="preserve">In the event of a significant revenue shortfall, SustainFlow may need to modify its operating model and transition to providing energy consulting services as a supplementary source of income. This adaptable strategy is influenced by the corporate adaptive strategies outlined by Dyllick </w:t>
      </w:r>
      <w:r w:rsidR="00C95FBA">
        <w:rPr>
          <w:rFonts w:ascii="Times New Roman" w:hAnsi="Times New Roman" w:cs="Times New Roman"/>
        </w:rPr>
        <w:t>&amp;</w:t>
      </w:r>
      <w:r w:rsidRPr="00264EB5">
        <w:rPr>
          <w:rFonts w:ascii="Times New Roman" w:hAnsi="Times New Roman" w:cs="Times New Roman"/>
        </w:rPr>
        <w:t xml:space="preserve"> Muff (2015), which promote resilience through stakeholder engagement and diversification. The objective of SustainFlow is to implement dynamic risk assessment measures, which will guarantee that potential downturns are addressed proactively rather than reactively (Anderson, 2006).</w:t>
      </w:r>
    </w:p>
    <w:p w14:paraId="6BAAB402" w14:textId="3F3B5888" w:rsidR="00C95FBA" w:rsidRPr="00C95FBA" w:rsidRDefault="00C95FBA" w:rsidP="00264EB5">
      <w:pPr>
        <w:spacing w:line="480" w:lineRule="auto"/>
        <w:jc w:val="both"/>
        <w:rPr>
          <w:rFonts w:ascii="Times New Roman" w:hAnsi="Times New Roman" w:cs="Times New Roman"/>
          <w:b/>
          <w:bCs/>
          <w:color w:val="4C94D8" w:themeColor="text2" w:themeTint="80"/>
        </w:rPr>
      </w:pPr>
      <w:r w:rsidRPr="00C95FBA">
        <w:rPr>
          <w:rFonts w:ascii="Times New Roman" w:hAnsi="Times New Roman" w:cs="Times New Roman"/>
          <w:b/>
          <w:bCs/>
          <w:color w:val="4C94D8" w:themeColor="text2" w:themeTint="80"/>
        </w:rPr>
        <w:t>C</w:t>
      </w:r>
      <w:r w:rsidR="00264EB5" w:rsidRPr="00C95FBA">
        <w:rPr>
          <w:rFonts w:ascii="Times New Roman" w:hAnsi="Times New Roman" w:cs="Times New Roman"/>
          <w:b/>
          <w:bCs/>
          <w:color w:val="4C94D8" w:themeColor="text2" w:themeTint="80"/>
        </w:rPr>
        <w:t>onclusion</w:t>
      </w:r>
    </w:p>
    <w:p w14:paraId="6E6A8037" w14:textId="77777777" w:rsidR="00C95FBA"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 is poised to be a transformative force in the renewable energy sector by offering solar-powered solutions that align profitable business practices with ecological responsibility. The enterprise is committed to achieving quantifiable results for both shareholders and </w:t>
      </w:r>
      <w:r w:rsidR="00C95FBA" w:rsidRPr="00264EB5">
        <w:rPr>
          <w:rFonts w:ascii="Times New Roman" w:hAnsi="Times New Roman" w:cs="Times New Roman"/>
        </w:rPr>
        <w:t>society, based</w:t>
      </w:r>
      <w:r w:rsidRPr="00264EB5">
        <w:rPr>
          <w:rFonts w:ascii="Times New Roman" w:hAnsi="Times New Roman" w:cs="Times New Roman"/>
        </w:rPr>
        <w:t xml:space="preserve"> on the conceptual frameworks of "sustainable enterprise excellence" (Edgeman and Eskildsen, 2014) and "true business sustainability" (Dyllick and Muff, 2015). The plan delineates the operational details necessary to secure a facility, employ competent personnel, and manage finances responsibly, demonstrating how these dimensions are integrated to create a sustainable, cohesive operational model (Høgevold et al., 2014). SustainFlow endeavours to establish a steadfast and devoted clientele by employing a marketing strategy that effectively communicates the reciprocal advantages of ecological stewardship and economic value (Caprotti, 2012). The enterprise will maintain agility in the face of potential market uncertainties by adhering to structured contingency measures that guarantee stability in the presence of changing regulatory and economic environments (Anderson, 2006).</w:t>
      </w:r>
    </w:p>
    <w:p w14:paraId="3B7B62FA" w14:textId="7CFF92AB" w:rsidR="00264EB5" w:rsidRDefault="00264EB5" w:rsidP="00264EB5">
      <w:pPr>
        <w:spacing w:line="480" w:lineRule="auto"/>
        <w:jc w:val="both"/>
        <w:rPr>
          <w:rFonts w:ascii="Times New Roman" w:hAnsi="Times New Roman" w:cs="Times New Roman"/>
        </w:rPr>
      </w:pPr>
      <w:r w:rsidRPr="00264EB5">
        <w:rPr>
          <w:rFonts w:ascii="Times New Roman" w:hAnsi="Times New Roman" w:cs="Times New Roman"/>
        </w:rPr>
        <w:t xml:space="preserve">SustainFlow epitomises the sustainability ethos of the United Nations General Assembly's (1987) call for development by methodically implementing and refining solar technologies, demonstrating that economic and environmental advancements can mutually reinforce one </w:t>
      </w:r>
      <w:r w:rsidRPr="00264EB5">
        <w:rPr>
          <w:rFonts w:ascii="Times New Roman" w:hAnsi="Times New Roman" w:cs="Times New Roman"/>
        </w:rPr>
        <w:lastRenderedPageBreak/>
        <w:t xml:space="preserve">another. The financial data that is projected predicts profitability within the first year, which is facilitated by a committed workforce and meticulous resource management (Thompson, 2010). The contingency plan emphasises a readiness to investigate innovative partnerships and evolve </w:t>
      </w:r>
      <w:r w:rsidR="00C95FBA" w:rsidRPr="00264EB5">
        <w:rPr>
          <w:rFonts w:ascii="Times New Roman" w:hAnsi="Times New Roman" w:cs="Times New Roman"/>
        </w:rPr>
        <w:t>if</w:t>
      </w:r>
      <w:r w:rsidRPr="00264EB5">
        <w:rPr>
          <w:rFonts w:ascii="Times New Roman" w:hAnsi="Times New Roman" w:cs="Times New Roman"/>
        </w:rPr>
        <w:t xml:space="preserve"> disruptions threaten these outcomes. Ultimately, SustainFlow's mission is to reimagine how businesses can lead the transition towards cleaner energy solutions, thereby contributing to a sustainable future for all, and extends beyond mere profit-making (Febrizal Rahmana </w:t>
      </w:r>
      <w:r w:rsidR="00C95FBA">
        <w:rPr>
          <w:rFonts w:ascii="Times New Roman" w:hAnsi="Times New Roman" w:cs="Times New Roman"/>
        </w:rPr>
        <w:t>&amp;</w:t>
      </w:r>
      <w:r w:rsidRPr="00264EB5">
        <w:rPr>
          <w:rFonts w:ascii="Times New Roman" w:hAnsi="Times New Roman" w:cs="Times New Roman"/>
        </w:rPr>
        <w:t xml:space="preserve"> Bawono, 2020).</w:t>
      </w:r>
    </w:p>
    <w:p w14:paraId="76A554B1" w14:textId="77777777" w:rsidR="00C95FBA" w:rsidRDefault="00C95FBA" w:rsidP="00264EB5">
      <w:pPr>
        <w:spacing w:line="480" w:lineRule="auto"/>
        <w:jc w:val="both"/>
        <w:rPr>
          <w:rFonts w:ascii="Times New Roman" w:hAnsi="Times New Roman" w:cs="Times New Roman"/>
        </w:rPr>
      </w:pPr>
    </w:p>
    <w:p w14:paraId="35DFEEE4" w14:textId="77777777" w:rsidR="00C95FBA" w:rsidRDefault="00C95FBA" w:rsidP="00264EB5">
      <w:pPr>
        <w:spacing w:line="480" w:lineRule="auto"/>
        <w:jc w:val="both"/>
        <w:rPr>
          <w:rFonts w:ascii="Times New Roman" w:hAnsi="Times New Roman" w:cs="Times New Roman"/>
        </w:rPr>
      </w:pPr>
    </w:p>
    <w:p w14:paraId="2729E5FE" w14:textId="77777777" w:rsidR="00C95FBA" w:rsidRDefault="00C95FBA" w:rsidP="00264EB5">
      <w:pPr>
        <w:spacing w:line="480" w:lineRule="auto"/>
        <w:jc w:val="both"/>
        <w:rPr>
          <w:rFonts w:ascii="Times New Roman" w:hAnsi="Times New Roman" w:cs="Times New Roman"/>
        </w:rPr>
      </w:pPr>
    </w:p>
    <w:p w14:paraId="1333C55E" w14:textId="77777777" w:rsidR="00C95FBA" w:rsidRDefault="00C95FBA" w:rsidP="00264EB5">
      <w:pPr>
        <w:spacing w:line="480" w:lineRule="auto"/>
        <w:jc w:val="both"/>
        <w:rPr>
          <w:rFonts w:ascii="Times New Roman" w:hAnsi="Times New Roman" w:cs="Times New Roman"/>
        </w:rPr>
      </w:pPr>
    </w:p>
    <w:p w14:paraId="354AF81C" w14:textId="77777777" w:rsidR="00C95FBA" w:rsidRDefault="00C95FBA" w:rsidP="00264EB5">
      <w:pPr>
        <w:spacing w:line="480" w:lineRule="auto"/>
        <w:jc w:val="both"/>
        <w:rPr>
          <w:rFonts w:ascii="Times New Roman" w:hAnsi="Times New Roman" w:cs="Times New Roman"/>
        </w:rPr>
      </w:pPr>
    </w:p>
    <w:p w14:paraId="2CBCC9A6" w14:textId="77777777" w:rsidR="00C95FBA" w:rsidRDefault="00C95FBA" w:rsidP="00264EB5">
      <w:pPr>
        <w:spacing w:line="480" w:lineRule="auto"/>
        <w:jc w:val="both"/>
        <w:rPr>
          <w:rFonts w:ascii="Times New Roman" w:hAnsi="Times New Roman" w:cs="Times New Roman"/>
        </w:rPr>
      </w:pPr>
    </w:p>
    <w:p w14:paraId="06ABDB04" w14:textId="77777777" w:rsidR="00C95FBA" w:rsidRDefault="00C95FBA" w:rsidP="00264EB5">
      <w:pPr>
        <w:spacing w:line="480" w:lineRule="auto"/>
        <w:jc w:val="both"/>
        <w:rPr>
          <w:rFonts w:ascii="Times New Roman" w:hAnsi="Times New Roman" w:cs="Times New Roman"/>
        </w:rPr>
      </w:pPr>
    </w:p>
    <w:p w14:paraId="6CD3B525" w14:textId="77777777" w:rsidR="00C95FBA" w:rsidRDefault="00C95FBA" w:rsidP="00264EB5">
      <w:pPr>
        <w:spacing w:line="480" w:lineRule="auto"/>
        <w:jc w:val="both"/>
        <w:rPr>
          <w:rFonts w:ascii="Times New Roman" w:hAnsi="Times New Roman" w:cs="Times New Roman"/>
        </w:rPr>
      </w:pPr>
    </w:p>
    <w:p w14:paraId="79CBB9CA" w14:textId="77777777" w:rsidR="00C95FBA" w:rsidRDefault="00C95FBA" w:rsidP="00264EB5">
      <w:pPr>
        <w:spacing w:line="480" w:lineRule="auto"/>
        <w:jc w:val="both"/>
        <w:rPr>
          <w:rFonts w:ascii="Times New Roman" w:hAnsi="Times New Roman" w:cs="Times New Roman"/>
        </w:rPr>
      </w:pPr>
    </w:p>
    <w:p w14:paraId="76D63079" w14:textId="77777777" w:rsidR="00C95FBA" w:rsidRDefault="00C95FBA" w:rsidP="00264EB5">
      <w:pPr>
        <w:spacing w:line="480" w:lineRule="auto"/>
        <w:jc w:val="both"/>
        <w:rPr>
          <w:rFonts w:ascii="Times New Roman" w:hAnsi="Times New Roman" w:cs="Times New Roman"/>
        </w:rPr>
      </w:pPr>
    </w:p>
    <w:p w14:paraId="53382A28" w14:textId="77777777" w:rsidR="00C95FBA" w:rsidRDefault="00C95FBA" w:rsidP="00264EB5">
      <w:pPr>
        <w:spacing w:line="480" w:lineRule="auto"/>
        <w:jc w:val="both"/>
        <w:rPr>
          <w:rFonts w:ascii="Times New Roman" w:hAnsi="Times New Roman" w:cs="Times New Roman"/>
        </w:rPr>
      </w:pPr>
    </w:p>
    <w:p w14:paraId="623B1361" w14:textId="77777777" w:rsidR="00C95FBA" w:rsidRDefault="00C95FBA" w:rsidP="00264EB5">
      <w:pPr>
        <w:spacing w:line="480" w:lineRule="auto"/>
        <w:jc w:val="both"/>
        <w:rPr>
          <w:rFonts w:ascii="Times New Roman" w:hAnsi="Times New Roman" w:cs="Times New Roman"/>
        </w:rPr>
      </w:pPr>
    </w:p>
    <w:p w14:paraId="7125FB87" w14:textId="77777777" w:rsidR="00C95FBA" w:rsidRDefault="00C95FBA" w:rsidP="00264EB5">
      <w:pPr>
        <w:spacing w:line="480" w:lineRule="auto"/>
        <w:jc w:val="both"/>
        <w:rPr>
          <w:rFonts w:ascii="Times New Roman" w:hAnsi="Times New Roman" w:cs="Times New Roman"/>
        </w:rPr>
      </w:pPr>
    </w:p>
    <w:p w14:paraId="086E02D8" w14:textId="77777777" w:rsidR="00C95FBA" w:rsidRDefault="00C95FBA" w:rsidP="00264EB5">
      <w:pPr>
        <w:spacing w:line="480" w:lineRule="auto"/>
        <w:jc w:val="both"/>
        <w:rPr>
          <w:rFonts w:ascii="Times New Roman" w:hAnsi="Times New Roman" w:cs="Times New Roman"/>
        </w:rPr>
      </w:pPr>
    </w:p>
    <w:p w14:paraId="01205B5F" w14:textId="283133D9" w:rsidR="00C95FBA" w:rsidRDefault="00C95FBA" w:rsidP="00264EB5">
      <w:pPr>
        <w:spacing w:line="480" w:lineRule="auto"/>
        <w:jc w:val="both"/>
        <w:rPr>
          <w:rFonts w:ascii="Times New Roman" w:hAnsi="Times New Roman" w:cs="Times New Roman"/>
        </w:rPr>
      </w:pPr>
      <w:r>
        <w:rPr>
          <w:rFonts w:ascii="Times New Roman" w:hAnsi="Times New Roman" w:cs="Times New Roman"/>
        </w:rPr>
        <w:lastRenderedPageBreak/>
        <w:t xml:space="preserve">References list </w:t>
      </w:r>
    </w:p>
    <w:p w14:paraId="4468BC4D" w14:textId="77777777" w:rsid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Anderson, D.R. (2006) The critical importance of sustainability risk management. </w:t>
      </w:r>
      <w:r w:rsidRPr="00C95FBA">
        <w:rPr>
          <w:rFonts w:ascii="Times New Roman" w:hAnsi="Times New Roman" w:cs="Times New Roman"/>
          <w:i/>
          <w:iCs/>
        </w:rPr>
        <w:t>Risk Management, 53</w:t>
      </w:r>
      <w:r w:rsidRPr="00C95FBA">
        <w:rPr>
          <w:rFonts w:ascii="Times New Roman" w:hAnsi="Times New Roman" w:cs="Times New Roman"/>
        </w:rPr>
        <w:t>(4).</w:t>
      </w:r>
    </w:p>
    <w:p w14:paraId="1037F4DF" w14:textId="0609E37C"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Caprotti, F. (2012) Environment, business and the firm. </w:t>
      </w:r>
      <w:r w:rsidRPr="00C95FBA">
        <w:rPr>
          <w:rFonts w:ascii="Times New Roman" w:hAnsi="Times New Roman" w:cs="Times New Roman"/>
          <w:i/>
          <w:iCs/>
        </w:rPr>
        <w:t>Geography Compass, 6</w:t>
      </w:r>
      <w:r w:rsidRPr="00C95FBA">
        <w:rPr>
          <w:rFonts w:ascii="Times New Roman" w:hAnsi="Times New Roman" w:cs="Times New Roman"/>
        </w:rPr>
        <w:t>, pp.163-174.</w:t>
      </w:r>
    </w:p>
    <w:p w14:paraId="4DB9D9CA" w14:textId="77777777"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Chofreh, A.G., Gholamzadeh, A., Khanmohammadi, E., Klemeš, J.J., and Varbanov, P.S. (2018) Sustainable enterprise resource planning systems implementation: A framework development. </w:t>
      </w:r>
      <w:r w:rsidRPr="00C95FBA">
        <w:rPr>
          <w:rFonts w:ascii="Times New Roman" w:hAnsi="Times New Roman" w:cs="Times New Roman"/>
          <w:i/>
          <w:iCs/>
        </w:rPr>
        <w:t>Journal of Cleaner Production, 198,</w:t>
      </w:r>
      <w:r w:rsidRPr="00C95FBA">
        <w:rPr>
          <w:rFonts w:ascii="Times New Roman" w:hAnsi="Times New Roman" w:cs="Times New Roman"/>
        </w:rPr>
        <w:t xml:space="preserve"> pp.1345–1355.</w:t>
      </w:r>
    </w:p>
    <w:p w14:paraId="6DE4FEDC" w14:textId="77777777" w:rsidR="00C95FBA" w:rsidRPr="00C95FBA" w:rsidRDefault="00C95FBA" w:rsidP="00C95FBA">
      <w:pPr>
        <w:spacing w:line="480" w:lineRule="auto"/>
        <w:jc w:val="both"/>
        <w:rPr>
          <w:rFonts w:ascii="Times New Roman" w:hAnsi="Times New Roman" w:cs="Times New Roman"/>
          <w:i/>
          <w:iCs/>
        </w:rPr>
      </w:pPr>
      <w:r w:rsidRPr="00C95FBA">
        <w:rPr>
          <w:rFonts w:ascii="Times New Roman" w:hAnsi="Times New Roman" w:cs="Times New Roman"/>
        </w:rPr>
        <w:t xml:space="preserve">Cooney, S. (2009) </w:t>
      </w:r>
      <w:r w:rsidRPr="00C95FBA">
        <w:rPr>
          <w:rFonts w:ascii="Times New Roman" w:hAnsi="Times New Roman" w:cs="Times New Roman"/>
          <w:i/>
          <w:iCs/>
        </w:rPr>
        <w:t>Build A Green Small Business. Profitable ways to become an ecopreneur.</w:t>
      </w:r>
    </w:p>
    <w:p w14:paraId="05122E05" w14:textId="77777777" w:rsidR="00C95FBA" w:rsidRPr="00C95FBA" w:rsidRDefault="00C95FBA" w:rsidP="00C95FBA">
      <w:pPr>
        <w:spacing w:line="480" w:lineRule="auto"/>
        <w:jc w:val="both"/>
        <w:rPr>
          <w:rFonts w:ascii="Times New Roman" w:hAnsi="Times New Roman" w:cs="Times New Roman"/>
          <w:i/>
          <w:iCs/>
        </w:rPr>
      </w:pPr>
      <w:r w:rsidRPr="00C95FBA">
        <w:rPr>
          <w:rFonts w:ascii="Times New Roman" w:hAnsi="Times New Roman" w:cs="Times New Roman"/>
        </w:rPr>
        <w:t xml:space="preserve">Dyllick, T. and Muff, K. (2015) Clarifying the Meaning of Sustainable Business: Introducing a Typology from Business-as-Usual to True Business Sustainability. </w:t>
      </w:r>
      <w:r w:rsidRPr="00C95FBA">
        <w:rPr>
          <w:rFonts w:ascii="Times New Roman" w:hAnsi="Times New Roman" w:cs="Times New Roman"/>
          <w:i/>
          <w:iCs/>
        </w:rPr>
        <w:t>SSRN Electronic Journal.</w:t>
      </w:r>
    </w:p>
    <w:p w14:paraId="257C1F1B" w14:textId="77777777"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Edgeman, R. and Eskildsen, J. (2014) Modelling and Assessing Sustainable Enterprise Excellence. </w:t>
      </w:r>
      <w:r w:rsidRPr="00C95FBA">
        <w:rPr>
          <w:rFonts w:ascii="Times New Roman" w:hAnsi="Times New Roman" w:cs="Times New Roman"/>
          <w:i/>
          <w:iCs/>
        </w:rPr>
        <w:t>Business Strategy and the Environment, 23</w:t>
      </w:r>
      <w:r w:rsidRPr="00C95FBA">
        <w:rPr>
          <w:rFonts w:ascii="Times New Roman" w:hAnsi="Times New Roman" w:cs="Times New Roman"/>
        </w:rPr>
        <w:t>(3), pp.173–187.</w:t>
      </w:r>
    </w:p>
    <w:p w14:paraId="25C20582" w14:textId="77777777"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Febrizal Rahmana, F. and Bawono, A. (2020) Sustainable development toward sustainable enterprise. </w:t>
      </w:r>
      <w:r w:rsidRPr="00C95FBA">
        <w:rPr>
          <w:rFonts w:ascii="Times New Roman" w:hAnsi="Times New Roman" w:cs="Times New Roman"/>
          <w:i/>
          <w:iCs/>
        </w:rPr>
        <w:t>Management Science Letters, 11</w:t>
      </w:r>
      <w:r w:rsidRPr="00C95FBA">
        <w:rPr>
          <w:rFonts w:ascii="Times New Roman" w:hAnsi="Times New Roman" w:cs="Times New Roman"/>
        </w:rPr>
        <w:t>(2), pp.657–668.</w:t>
      </w:r>
    </w:p>
    <w:p w14:paraId="1F5A16A2" w14:textId="77777777"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Høgevold, N. et al. (2014) A Corporate Effort Towards a Sustainable Business Model: A case study from the Norwegian furniture industry. </w:t>
      </w:r>
      <w:r w:rsidRPr="00C95FBA">
        <w:rPr>
          <w:rFonts w:ascii="Times New Roman" w:hAnsi="Times New Roman" w:cs="Times New Roman"/>
          <w:i/>
          <w:iCs/>
        </w:rPr>
        <w:t>European Business Review, 26</w:t>
      </w:r>
      <w:r w:rsidRPr="00C95FBA">
        <w:rPr>
          <w:rFonts w:ascii="Times New Roman" w:hAnsi="Times New Roman" w:cs="Times New Roman"/>
        </w:rPr>
        <w:t>(4), pp.342–365.</w:t>
      </w:r>
    </w:p>
    <w:p w14:paraId="5E23067D" w14:textId="77777777"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Thompson, F.M.M. (2010) </w:t>
      </w:r>
      <w:r w:rsidRPr="00C95FBA">
        <w:rPr>
          <w:rFonts w:ascii="Times New Roman" w:hAnsi="Times New Roman" w:cs="Times New Roman"/>
          <w:i/>
          <w:iCs/>
        </w:rPr>
        <w:t>Social enterprise: developing sustainable businesses.</w:t>
      </w:r>
      <w:r w:rsidRPr="00C95FBA">
        <w:rPr>
          <w:rFonts w:ascii="Times New Roman" w:hAnsi="Times New Roman" w:cs="Times New Roman"/>
        </w:rPr>
        <w:t xml:space="preserve"> New York: Palgrave Macmillan.</w:t>
      </w:r>
    </w:p>
    <w:p w14:paraId="00BCC7C0" w14:textId="77777777" w:rsidR="00C95FBA" w:rsidRP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t xml:space="preserve">United Nations General Assembly (1987) </w:t>
      </w:r>
      <w:r w:rsidRPr="00C95FBA">
        <w:rPr>
          <w:rFonts w:ascii="Times New Roman" w:hAnsi="Times New Roman" w:cs="Times New Roman"/>
          <w:i/>
          <w:iCs/>
        </w:rPr>
        <w:t xml:space="preserve">Report of the World Commission on Environment and Development: Our Common Future. </w:t>
      </w:r>
      <w:r w:rsidRPr="00C95FBA">
        <w:rPr>
          <w:rFonts w:ascii="Times New Roman" w:hAnsi="Times New Roman" w:cs="Times New Roman"/>
        </w:rPr>
        <w:t>Transmitted to the General Assembly as an Annex to document A/42/427 - Development and International Co-operation: Environment.</w:t>
      </w:r>
    </w:p>
    <w:p w14:paraId="23C135F6" w14:textId="6547B829" w:rsidR="00C95FBA" w:rsidRDefault="00C95FBA" w:rsidP="00C95FBA">
      <w:pPr>
        <w:spacing w:line="480" w:lineRule="auto"/>
        <w:jc w:val="both"/>
        <w:rPr>
          <w:rFonts w:ascii="Times New Roman" w:hAnsi="Times New Roman" w:cs="Times New Roman"/>
        </w:rPr>
      </w:pPr>
      <w:r w:rsidRPr="00C95FBA">
        <w:rPr>
          <w:rFonts w:ascii="Times New Roman" w:hAnsi="Times New Roman" w:cs="Times New Roman"/>
        </w:rPr>
        <w:lastRenderedPageBreak/>
        <w:t xml:space="preserve">Woodyard, C. (2008) </w:t>
      </w:r>
      <w:r w:rsidRPr="00C95FBA">
        <w:rPr>
          <w:rFonts w:ascii="Times New Roman" w:hAnsi="Times New Roman" w:cs="Times New Roman"/>
          <w:i/>
          <w:iCs/>
        </w:rPr>
        <w:t>It’s waste not, want not at super green Subaru plant. USA Today</w:t>
      </w:r>
      <w:r w:rsidRPr="00C95FBA">
        <w:rPr>
          <w:rFonts w:ascii="Times New Roman" w:hAnsi="Times New Roman" w:cs="Times New Roman"/>
        </w:rPr>
        <w:t>, Gannett Co. Inc.</w:t>
      </w:r>
    </w:p>
    <w:p w14:paraId="5E9F11C9" w14:textId="4436DA6B" w:rsidR="00C95FBA" w:rsidRDefault="00C95FBA" w:rsidP="00C95FBA">
      <w:pPr>
        <w:spacing w:line="480" w:lineRule="auto"/>
        <w:jc w:val="both"/>
        <w:rPr>
          <w:rFonts w:ascii="Times New Roman" w:hAnsi="Times New Roman" w:cs="Times New Roman"/>
        </w:rPr>
      </w:pPr>
      <w:hyperlink r:id="rId7" w:history="1">
        <w:r w:rsidRPr="00F648E9">
          <w:rPr>
            <w:rStyle w:val="Hyperlink"/>
            <w:rFonts w:ascii="Times New Roman" w:hAnsi="Times New Roman" w:cs="Times New Roman"/>
          </w:rPr>
          <w:t>https://spnews.com/</w:t>
        </w:r>
      </w:hyperlink>
    </w:p>
    <w:p w14:paraId="0628991A" w14:textId="368CCD7E" w:rsidR="00C95FBA" w:rsidRDefault="00C95FBA" w:rsidP="00C95FBA">
      <w:pPr>
        <w:spacing w:line="480" w:lineRule="auto"/>
        <w:jc w:val="both"/>
        <w:rPr>
          <w:rFonts w:ascii="Times New Roman" w:hAnsi="Times New Roman" w:cs="Times New Roman"/>
        </w:rPr>
      </w:pPr>
      <w:hyperlink r:id="rId8" w:history="1">
        <w:r w:rsidRPr="00F648E9">
          <w:rPr>
            <w:rStyle w:val="Hyperlink"/>
            <w:rFonts w:ascii="Times New Roman" w:hAnsi="Times New Roman" w:cs="Times New Roman"/>
          </w:rPr>
          <w:t>https://packagingeurope.com/</w:t>
        </w:r>
      </w:hyperlink>
    </w:p>
    <w:p w14:paraId="241A4575" w14:textId="11825BC3" w:rsidR="00F3091F" w:rsidRDefault="00F3091F" w:rsidP="00C95FBA">
      <w:pPr>
        <w:spacing w:line="480" w:lineRule="auto"/>
        <w:jc w:val="both"/>
        <w:rPr>
          <w:rFonts w:ascii="Times New Roman" w:hAnsi="Times New Roman" w:cs="Times New Roman"/>
        </w:rPr>
      </w:pPr>
      <w:hyperlink r:id="rId9" w:history="1">
        <w:r w:rsidRPr="00294ECB">
          <w:rPr>
            <w:rStyle w:val="Hyperlink"/>
            <w:rFonts w:ascii="Times New Roman" w:hAnsi="Times New Roman" w:cs="Times New Roman"/>
          </w:rPr>
          <w:t>https://www.theweek.in/wire-updates/national/2025/03/13/mes1-kl-sustainable-packaging.html</w:t>
        </w:r>
      </w:hyperlink>
      <w:r>
        <w:rPr>
          <w:rFonts w:ascii="Times New Roman" w:hAnsi="Times New Roman" w:cs="Times New Roman"/>
        </w:rPr>
        <w:t xml:space="preserve"> </w:t>
      </w:r>
    </w:p>
    <w:p w14:paraId="35229CAD" w14:textId="4A7D25A5" w:rsidR="00F3091F" w:rsidRDefault="00F3091F" w:rsidP="00C95FBA">
      <w:pPr>
        <w:spacing w:line="480" w:lineRule="auto"/>
        <w:jc w:val="both"/>
        <w:rPr>
          <w:rFonts w:ascii="Times New Roman" w:hAnsi="Times New Roman" w:cs="Times New Roman"/>
        </w:rPr>
      </w:pPr>
      <w:hyperlink r:id="rId10" w:history="1">
        <w:r w:rsidRPr="00294ECB">
          <w:rPr>
            <w:rStyle w:val="Hyperlink"/>
            <w:rFonts w:ascii="Times New Roman" w:hAnsi="Times New Roman" w:cs="Times New Roman"/>
          </w:rPr>
          <w:t>https://www.latimes.com/b2b/consumer-goods-retail/story/2025-03-12/gem-pack-berries-partners-reborn-materials-advance-sustainable-packaging-solutions</w:t>
        </w:r>
      </w:hyperlink>
    </w:p>
    <w:p w14:paraId="0094E8F6" w14:textId="420AEEF7" w:rsidR="00F3091F" w:rsidRDefault="00F3091F" w:rsidP="00C95FBA">
      <w:pPr>
        <w:spacing w:line="480" w:lineRule="auto"/>
        <w:jc w:val="both"/>
        <w:rPr>
          <w:rFonts w:ascii="Times New Roman" w:hAnsi="Times New Roman" w:cs="Times New Roman"/>
        </w:rPr>
      </w:pPr>
      <w:hyperlink r:id="rId11" w:history="1">
        <w:r w:rsidRPr="00294ECB">
          <w:rPr>
            <w:rStyle w:val="Hyperlink"/>
            <w:rFonts w:ascii="Times New Roman" w:hAnsi="Times New Roman" w:cs="Times New Roman"/>
          </w:rPr>
          <w:t>https://finance.yahoo.com/news/pinc-invests-glenntex-sustainable-packaging-163734125.html</w:t>
        </w:r>
      </w:hyperlink>
    </w:p>
    <w:p w14:paraId="76A99FD2" w14:textId="77777777" w:rsidR="00F3091F" w:rsidRDefault="00F3091F" w:rsidP="00C95FBA">
      <w:pPr>
        <w:spacing w:line="480" w:lineRule="auto"/>
        <w:jc w:val="both"/>
        <w:rPr>
          <w:rFonts w:ascii="Times New Roman" w:hAnsi="Times New Roman" w:cs="Times New Roman"/>
        </w:rPr>
      </w:pPr>
    </w:p>
    <w:p w14:paraId="4E53D9F7" w14:textId="77777777" w:rsidR="00C95FBA" w:rsidRPr="00264EB5" w:rsidRDefault="00C95FBA" w:rsidP="00C95FBA">
      <w:pPr>
        <w:spacing w:line="480" w:lineRule="auto"/>
        <w:jc w:val="both"/>
        <w:rPr>
          <w:rFonts w:ascii="Times New Roman" w:hAnsi="Times New Roman" w:cs="Times New Roman"/>
        </w:rPr>
      </w:pPr>
    </w:p>
    <w:sectPr w:rsidR="00C95FBA" w:rsidRPr="00264EB5" w:rsidSect="00F3091F">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E399E" w14:textId="77777777" w:rsidR="003641BF" w:rsidRDefault="003641BF" w:rsidP="00F3091F">
      <w:pPr>
        <w:spacing w:after="0" w:line="240" w:lineRule="auto"/>
      </w:pPr>
      <w:r>
        <w:separator/>
      </w:r>
    </w:p>
  </w:endnote>
  <w:endnote w:type="continuationSeparator" w:id="0">
    <w:p w14:paraId="5A97466E" w14:textId="77777777" w:rsidR="003641BF" w:rsidRDefault="003641BF" w:rsidP="00F30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99AF70" w14:textId="77777777" w:rsidR="003641BF" w:rsidRDefault="003641BF" w:rsidP="00F3091F">
      <w:pPr>
        <w:spacing w:after="0" w:line="240" w:lineRule="auto"/>
      </w:pPr>
      <w:r>
        <w:separator/>
      </w:r>
    </w:p>
  </w:footnote>
  <w:footnote w:type="continuationSeparator" w:id="0">
    <w:p w14:paraId="3A2712B0" w14:textId="77777777" w:rsidR="003641BF" w:rsidRDefault="003641BF" w:rsidP="00F309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2742810"/>
      <w:docPartObj>
        <w:docPartGallery w:val="Page Numbers (Top of Page)"/>
        <w:docPartUnique/>
      </w:docPartObj>
    </w:sdtPr>
    <w:sdtEndPr>
      <w:rPr>
        <w:noProof/>
      </w:rPr>
    </w:sdtEndPr>
    <w:sdtContent>
      <w:p w14:paraId="4AD80374" w14:textId="6EF49F81" w:rsidR="00F3091F" w:rsidRDefault="00F3091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486C484" w14:textId="77777777" w:rsidR="00F3091F" w:rsidRDefault="00F309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EB5"/>
    <w:rsid w:val="001C57D6"/>
    <w:rsid w:val="00264EB5"/>
    <w:rsid w:val="003641BF"/>
    <w:rsid w:val="008357AF"/>
    <w:rsid w:val="00C95FBA"/>
    <w:rsid w:val="00D94A4F"/>
    <w:rsid w:val="00F30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48BFE"/>
  <w15:chartTrackingRefBased/>
  <w15:docId w15:val="{0F4F0FC2-7F4C-4409-B9F4-9C5FB4755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E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E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E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E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E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E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E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E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E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E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EB5"/>
    <w:rPr>
      <w:rFonts w:eastAsiaTheme="majorEastAsia" w:cstheme="majorBidi"/>
      <w:color w:val="272727" w:themeColor="text1" w:themeTint="D8"/>
    </w:rPr>
  </w:style>
  <w:style w:type="paragraph" w:styleId="Title">
    <w:name w:val="Title"/>
    <w:basedOn w:val="Normal"/>
    <w:next w:val="Normal"/>
    <w:link w:val="TitleChar"/>
    <w:uiPriority w:val="10"/>
    <w:qFormat/>
    <w:rsid w:val="00264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EB5"/>
    <w:pPr>
      <w:spacing w:before="160"/>
      <w:jc w:val="center"/>
    </w:pPr>
    <w:rPr>
      <w:i/>
      <w:iCs/>
      <w:color w:val="404040" w:themeColor="text1" w:themeTint="BF"/>
    </w:rPr>
  </w:style>
  <w:style w:type="character" w:customStyle="1" w:styleId="QuoteChar">
    <w:name w:val="Quote Char"/>
    <w:basedOn w:val="DefaultParagraphFont"/>
    <w:link w:val="Quote"/>
    <w:uiPriority w:val="29"/>
    <w:rsid w:val="00264EB5"/>
    <w:rPr>
      <w:i/>
      <w:iCs/>
      <w:color w:val="404040" w:themeColor="text1" w:themeTint="BF"/>
    </w:rPr>
  </w:style>
  <w:style w:type="paragraph" w:styleId="ListParagraph">
    <w:name w:val="List Paragraph"/>
    <w:basedOn w:val="Normal"/>
    <w:uiPriority w:val="34"/>
    <w:qFormat/>
    <w:rsid w:val="00264EB5"/>
    <w:pPr>
      <w:ind w:left="720"/>
      <w:contextualSpacing/>
    </w:pPr>
  </w:style>
  <w:style w:type="character" w:styleId="IntenseEmphasis">
    <w:name w:val="Intense Emphasis"/>
    <w:basedOn w:val="DefaultParagraphFont"/>
    <w:uiPriority w:val="21"/>
    <w:qFormat/>
    <w:rsid w:val="00264EB5"/>
    <w:rPr>
      <w:i/>
      <w:iCs/>
      <w:color w:val="0F4761" w:themeColor="accent1" w:themeShade="BF"/>
    </w:rPr>
  </w:style>
  <w:style w:type="paragraph" w:styleId="IntenseQuote">
    <w:name w:val="Intense Quote"/>
    <w:basedOn w:val="Normal"/>
    <w:next w:val="Normal"/>
    <w:link w:val="IntenseQuoteChar"/>
    <w:uiPriority w:val="30"/>
    <w:qFormat/>
    <w:rsid w:val="00264E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EB5"/>
    <w:rPr>
      <w:i/>
      <w:iCs/>
      <w:color w:val="0F4761" w:themeColor="accent1" w:themeShade="BF"/>
    </w:rPr>
  </w:style>
  <w:style w:type="character" w:styleId="IntenseReference">
    <w:name w:val="Intense Reference"/>
    <w:basedOn w:val="DefaultParagraphFont"/>
    <w:uiPriority w:val="32"/>
    <w:qFormat/>
    <w:rsid w:val="00264EB5"/>
    <w:rPr>
      <w:b/>
      <w:bCs/>
      <w:smallCaps/>
      <w:color w:val="0F4761" w:themeColor="accent1" w:themeShade="BF"/>
      <w:spacing w:val="5"/>
    </w:rPr>
  </w:style>
  <w:style w:type="character" w:styleId="Hyperlink">
    <w:name w:val="Hyperlink"/>
    <w:basedOn w:val="DefaultParagraphFont"/>
    <w:uiPriority w:val="99"/>
    <w:unhideWhenUsed/>
    <w:rsid w:val="00C95FBA"/>
    <w:rPr>
      <w:color w:val="467886" w:themeColor="hyperlink"/>
      <w:u w:val="single"/>
    </w:rPr>
  </w:style>
  <w:style w:type="character" w:styleId="UnresolvedMention">
    <w:name w:val="Unresolved Mention"/>
    <w:basedOn w:val="DefaultParagraphFont"/>
    <w:uiPriority w:val="99"/>
    <w:semiHidden/>
    <w:unhideWhenUsed/>
    <w:rsid w:val="00C95FBA"/>
    <w:rPr>
      <w:color w:val="605E5C"/>
      <w:shd w:val="clear" w:color="auto" w:fill="E1DFDD"/>
    </w:rPr>
  </w:style>
  <w:style w:type="paragraph" w:styleId="Header">
    <w:name w:val="header"/>
    <w:basedOn w:val="Normal"/>
    <w:link w:val="HeaderChar"/>
    <w:uiPriority w:val="99"/>
    <w:unhideWhenUsed/>
    <w:rsid w:val="00F30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91F"/>
  </w:style>
  <w:style w:type="paragraph" w:styleId="Footer">
    <w:name w:val="footer"/>
    <w:basedOn w:val="Normal"/>
    <w:link w:val="FooterChar"/>
    <w:uiPriority w:val="99"/>
    <w:unhideWhenUsed/>
    <w:rsid w:val="00F30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91F"/>
  </w:style>
  <w:style w:type="paragraph" w:styleId="NoSpacing">
    <w:name w:val="No Spacing"/>
    <w:link w:val="NoSpacingChar"/>
    <w:uiPriority w:val="1"/>
    <w:qFormat/>
    <w:rsid w:val="00F3091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3091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0938610">
      <w:bodyDiv w:val="1"/>
      <w:marLeft w:val="0"/>
      <w:marRight w:val="0"/>
      <w:marTop w:val="0"/>
      <w:marBottom w:val="0"/>
      <w:divBdr>
        <w:top w:val="none" w:sz="0" w:space="0" w:color="auto"/>
        <w:left w:val="none" w:sz="0" w:space="0" w:color="auto"/>
        <w:bottom w:val="none" w:sz="0" w:space="0" w:color="auto"/>
        <w:right w:val="none" w:sz="0" w:space="0" w:color="auto"/>
      </w:divBdr>
    </w:div>
    <w:div w:id="164445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ckagingeurope.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pnews.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nance.yahoo.com/news/pinc-invests-glenntex-sustainable-packaging-163734125.html" TargetMode="External"/><Relationship Id="rId5" Type="http://schemas.openxmlformats.org/officeDocument/2006/relationships/footnotes" Target="footnotes.xml"/><Relationship Id="rId10" Type="http://schemas.openxmlformats.org/officeDocument/2006/relationships/hyperlink" Target="https://www.latimes.com/b2b/consumer-goods-retail/story/2025-03-12/gem-pack-berries-partners-reborn-materials-advance-sustainable-packaging-solutions" TargetMode="External"/><Relationship Id="rId4" Type="http://schemas.openxmlformats.org/officeDocument/2006/relationships/webSettings" Target="webSettings.xml"/><Relationship Id="rId9" Type="http://schemas.openxmlformats.org/officeDocument/2006/relationships/hyperlink" Target="https://www.theweek.in/wire-updates/national/2025/03/13/mes1-kl-sustainable-packaging.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3073</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for SustainFlow: A Renewable Energy-Focused Sustainable Enterprise</dc:title>
  <dc:subject/>
  <dc:creator>Mirabela Voican (1907947)</dc:creator>
  <cp:keywords/>
  <dc:description/>
  <cp:lastModifiedBy>Mirabela Voican (1907947)</cp:lastModifiedBy>
  <cp:revision>2</cp:revision>
  <dcterms:created xsi:type="dcterms:W3CDTF">2025-03-14T02:26:00Z</dcterms:created>
  <dcterms:modified xsi:type="dcterms:W3CDTF">2025-03-14T02:26:00Z</dcterms:modified>
</cp:coreProperties>
</file>