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926D" w14:textId="5C761818" w:rsidR="00220D70" w:rsidRPr="00E245AD" w:rsidRDefault="00E245AD">
      <w:pPr>
        <w:rPr>
          <w:rFonts w:ascii="Cambria" w:hAnsi="Cambria"/>
          <w:sz w:val="24"/>
          <w:szCs w:val="24"/>
          <w:u w:val="single"/>
        </w:rPr>
      </w:pPr>
      <w:r w:rsidRPr="00E245AD">
        <w:rPr>
          <w:rFonts w:ascii="Cambria" w:hAnsi="Cambria"/>
          <w:sz w:val="24"/>
          <w:szCs w:val="24"/>
          <w:u w:val="single"/>
        </w:rPr>
        <w:t xml:space="preserve">Outline one relevant developmental theory, consider possible barriers to development through the lifespan. </w:t>
      </w:r>
    </w:p>
    <w:p w14:paraId="4B64D989" w14:textId="77777777" w:rsidR="009E79DE" w:rsidRDefault="00E245AD">
      <w:pPr>
        <w:rPr>
          <w:rFonts w:ascii="Cambria" w:hAnsi="Cambria"/>
        </w:rPr>
      </w:pPr>
      <w:r>
        <w:rPr>
          <w:rFonts w:ascii="Cambria" w:hAnsi="Cambria"/>
        </w:rPr>
        <w:t>Child development is a widely researched topic by many theorists since the 19</w:t>
      </w:r>
      <w:r w:rsidRPr="00E245AD">
        <w:rPr>
          <w:rFonts w:ascii="Cambria" w:hAnsi="Cambria"/>
          <w:vertAlign w:val="superscript"/>
        </w:rPr>
        <w:t>th</w:t>
      </w:r>
      <w:r>
        <w:rPr>
          <w:rFonts w:ascii="Cambria" w:hAnsi="Cambria"/>
        </w:rPr>
        <w:t xml:space="preserve"> century. Deepening </w:t>
      </w:r>
      <w:r w:rsidR="005175C3">
        <w:rPr>
          <w:rFonts w:ascii="Cambria" w:hAnsi="Cambria"/>
        </w:rPr>
        <w:t>into</w:t>
      </w:r>
      <w:r>
        <w:rPr>
          <w:rFonts w:ascii="Cambria" w:hAnsi="Cambria"/>
        </w:rPr>
        <w:t xml:space="preserve"> the developmental topic, a child’s first five years of life is crucial to developing a physical, social, </w:t>
      </w:r>
      <w:r w:rsidR="005175C3">
        <w:rPr>
          <w:rFonts w:ascii="Cambria" w:hAnsi="Cambria"/>
        </w:rPr>
        <w:t>cognitive,</w:t>
      </w:r>
      <w:r>
        <w:rPr>
          <w:rFonts w:ascii="Cambria" w:hAnsi="Cambria"/>
        </w:rPr>
        <w:t xml:space="preserve"> and emotional growth. Early emotions in children represent their </w:t>
      </w:r>
      <w:r w:rsidR="005175C3">
        <w:rPr>
          <w:rFonts w:ascii="Cambria" w:hAnsi="Cambria"/>
        </w:rPr>
        <w:t>thinking and intelligence capabilities. When studying the growth of a child, we understand how and why some children face difficulty or delays</w:t>
      </w:r>
      <w:r w:rsidR="00512726">
        <w:rPr>
          <w:rFonts w:ascii="Cambria" w:hAnsi="Cambria"/>
        </w:rPr>
        <w:t xml:space="preserve"> in</w:t>
      </w:r>
      <w:r w:rsidR="005175C3">
        <w:rPr>
          <w:rFonts w:ascii="Cambria" w:hAnsi="Cambria"/>
        </w:rPr>
        <w:t xml:space="preserve"> developing certain </w:t>
      </w:r>
      <w:r w:rsidR="00512726">
        <w:rPr>
          <w:rFonts w:ascii="Cambria" w:hAnsi="Cambria"/>
        </w:rPr>
        <w:t>abilities and</w:t>
      </w:r>
      <w:r w:rsidR="005175C3">
        <w:rPr>
          <w:rFonts w:ascii="Cambria" w:hAnsi="Cambria"/>
        </w:rPr>
        <w:t xml:space="preserve"> learn how and when to give specific support </w:t>
      </w:r>
      <w:r w:rsidR="00512726">
        <w:rPr>
          <w:rFonts w:ascii="Cambria" w:hAnsi="Cambria"/>
        </w:rPr>
        <w:t xml:space="preserve">and guidance </w:t>
      </w:r>
      <w:r w:rsidR="005175C3">
        <w:rPr>
          <w:rFonts w:ascii="Cambria" w:hAnsi="Cambria"/>
        </w:rPr>
        <w:t xml:space="preserve">to help them. </w:t>
      </w:r>
      <w:r w:rsidR="00007490">
        <w:rPr>
          <w:rFonts w:ascii="Cambria" w:hAnsi="Cambria"/>
        </w:rPr>
        <w:t xml:space="preserve">Whilst a child’s early emotional development can be studied, there must always be a certain criteria to follow due to ethical issues, however different forms of studied exist, for example the use of case studies, cross sectional studies and longitudinal studies. </w:t>
      </w:r>
    </w:p>
    <w:p w14:paraId="5948273C" w14:textId="6B9E227A" w:rsidR="00512726" w:rsidRDefault="00007490">
      <w:pPr>
        <w:rPr>
          <w:rFonts w:ascii="Cambria" w:hAnsi="Cambria"/>
        </w:rPr>
      </w:pPr>
      <w:r>
        <w:rPr>
          <w:rFonts w:ascii="Cambria" w:hAnsi="Cambria"/>
        </w:rPr>
        <w:t xml:space="preserve">Emotions had been seen as a concept which never correlated with cognitive and behaviour development, despite this, recent research and theoretical reports acknowledged that, in fact, characteristic such as these </w:t>
      </w:r>
      <w:r w:rsidR="00ED3870">
        <w:rPr>
          <w:rFonts w:ascii="Cambria" w:hAnsi="Cambria"/>
        </w:rPr>
        <w:t>tend to cross pathways and influence each other during a child’s developmental stage. Smith et al (2011) recognised that a negative past experience which made an individual feel saddened or uncomfortable, could be the basis of a behavioural problem in certain situations – this meaning, a person would act in a certain way, depending on their understanding and emotion toward a particular situation.</w:t>
      </w:r>
      <w:r w:rsidR="009E79DE">
        <w:rPr>
          <w:rFonts w:ascii="Cambria" w:hAnsi="Cambria"/>
        </w:rPr>
        <w:t xml:space="preserve"> </w:t>
      </w:r>
      <w:proofErr w:type="spellStart"/>
      <w:r w:rsidR="009E79DE">
        <w:rPr>
          <w:rFonts w:ascii="Cambria" w:hAnsi="Cambria"/>
        </w:rPr>
        <w:t>Granchrow</w:t>
      </w:r>
      <w:proofErr w:type="spellEnd"/>
      <w:r w:rsidR="009E79DE">
        <w:rPr>
          <w:rFonts w:ascii="Cambria" w:hAnsi="Cambria"/>
        </w:rPr>
        <w:t xml:space="preserve"> et al (1983) conducted a study on the ability of a new-born to show emotion. The study consisted of two groups of babies taking their first feeds, one group had a higher concentration of sugar, the other a more bitter taste. The findings show the group with the sweeter quality feed assimilated features associated with smiling, whilst the </w:t>
      </w:r>
      <w:r w:rsidR="00A26A44">
        <w:rPr>
          <w:rFonts w:ascii="Cambria" w:hAnsi="Cambria"/>
        </w:rPr>
        <w:t xml:space="preserve">more bitter quality feed showed more drooping features associated with a disliked emotion.  </w:t>
      </w:r>
    </w:p>
    <w:p w14:paraId="290F9456" w14:textId="6EA7777F" w:rsidR="00ED3870" w:rsidRDefault="00BB25D8">
      <w:pPr>
        <w:rPr>
          <w:rFonts w:ascii="Cambria" w:hAnsi="Cambria"/>
        </w:rPr>
      </w:pPr>
      <w:r>
        <w:rPr>
          <w:rFonts w:ascii="Cambria" w:hAnsi="Cambria"/>
        </w:rPr>
        <w:t xml:space="preserve">Psychoanalyst John Bowlby developed the attachment theory originally, by combining ethology and psychoanalysis based on animal behaviour in 1969. </w:t>
      </w:r>
    </w:p>
    <w:p w14:paraId="53D2766F" w14:textId="7A4BE3B9" w:rsidR="00BB25D8" w:rsidRDefault="00BB25D8" w:rsidP="00BB25D8">
      <w:pPr>
        <w:ind w:left="720"/>
        <w:rPr>
          <w:rFonts w:ascii="Cambria" w:hAnsi="Cambria"/>
        </w:rPr>
      </w:pPr>
      <w:r>
        <w:rPr>
          <w:rFonts w:ascii="Cambria" w:hAnsi="Cambria"/>
        </w:rPr>
        <w:t xml:space="preserve">‘His aim in devising attachment theory was to reintroduce a scientific ethos to psychodynamic theory, Klein and </w:t>
      </w:r>
      <w:proofErr w:type="spellStart"/>
      <w:r>
        <w:rPr>
          <w:rFonts w:ascii="Cambria" w:hAnsi="Cambria"/>
        </w:rPr>
        <w:t>Bion</w:t>
      </w:r>
      <w:proofErr w:type="spellEnd"/>
      <w:r>
        <w:rPr>
          <w:rFonts w:ascii="Cambria" w:hAnsi="Cambria"/>
        </w:rPr>
        <w:t xml:space="preserve"> having shifted psychoanalysis into the realms of a philosophical rather than psychological understanding of the person. Like the psychoanalytic theories of Klein and </w:t>
      </w:r>
      <w:proofErr w:type="spellStart"/>
      <w:r>
        <w:rPr>
          <w:rFonts w:ascii="Cambria" w:hAnsi="Cambria"/>
        </w:rPr>
        <w:t>Bion</w:t>
      </w:r>
      <w:proofErr w:type="spellEnd"/>
      <w:r>
        <w:rPr>
          <w:rFonts w:ascii="Cambria" w:hAnsi="Cambria"/>
        </w:rPr>
        <w:t xml:space="preserve">, attachment </w:t>
      </w:r>
      <w:r w:rsidR="006A505B">
        <w:rPr>
          <w:rFonts w:ascii="Cambria" w:hAnsi="Cambria"/>
        </w:rPr>
        <w:t>theory places tremendous significance on the infant’s primary relationship.’ Jarvis (2014, p 142).</w:t>
      </w:r>
    </w:p>
    <w:p w14:paraId="12A03069" w14:textId="76E76CFA" w:rsidR="006A505B" w:rsidRDefault="002C304B" w:rsidP="006A505B">
      <w:pPr>
        <w:rPr>
          <w:rFonts w:ascii="Cambria" w:hAnsi="Cambria"/>
        </w:rPr>
      </w:pPr>
      <w:r>
        <w:rPr>
          <w:rFonts w:ascii="Cambria" w:hAnsi="Cambria"/>
        </w:rPr>
        <w:t>Similarly,</w:t>
      </w:r>
      <w:r w:rsidR="00F0306E">
        <w:rPr>
          <w:rFonts w:ascii="Cambria" w:hAnsi="Cambria"/>
        </w:rPr>
        <w:t xml:space="preserve"> </w:t>
      </w:r>
      <w:r w:rsidR="006A505B">
        <w:rPr>
          <w:rFonts w:ascii="Cambria" w:hAnsi="Cambria"/>
        </w:rPr>
        <w:t>to Klein (1959), Bowlby</w:t>
      </w:r>
      <w:r w:rsidR="005A09B7">
        <w:rPr>
          <w:rFonts w:ascii="Cambria" w:hAnsi="Cambria"/>
        </w:rPr>
        <w:t xml:space="preserve"> affirmed that a neonate is born subject to form relationships, however, according to Bowlby, a behavioural system approach demonstrates the formation and structural components of relationship seeking favourably</w:t>
      </w:r>
      <w:r w:rsidR="00F0306E">
        <w:rPr>
          <w:rFonts w:ascii="Cambria" w:hAnsi="Cambria"/>
        </w:rPr>
        <w:t xml:space="preserve">. In other words, a series of behaviours including smiling, gesturing, </w:t>
      </w:r>
      <w:r w:rsidR="009F3FE8">
        <w:rPr>
          <w:rFonts w:ascii="Cambria" w:hAnsi="Cambria"/>
        </w:rPr>
        <w:t>crying,</w:t>
      </w:r>
      <w:r w:rsidR="00F0306E">
        <w:rPr>
          <w:rFonts w:ascii="Cambria" w:hAnsi="Cambria"/>
        </w:rPr>
        <w:t xml:space="preserve"> and sucking. </w:t>
      </w:r>
      <w:r>
        <w:rPr>
          <w:rFonts w:ascii="Cambria" w:hAnsi="Cambria"/>
        </w:rPr>
        <w:t>Additionally, in lieu of other stimuli, a baby would tend to familiarize itself towards an adult face, innate behaviours such as these have been termed as social releasers, primarily due to a function to evoke ‘</w:t>
      </w:r>
      <w:r>
        <w:rPr>
          <w:rFonts w:ascii="Cambria" w:hAnsi="Cambria"/>
          <w:i/>
          <w:iCs/>
        </w:rPr>
        <w:t>instinctive social responses from adults’ (Jarvis, 2014, p142).</w:t>
      </w:r>
      <w:r w:rsidR="002777AA">
        <w:rPr>
          <w:rFonts w:ascii="Cambria" w:hAnsi="Cambria"/>
        </w:rPr>
        <w:t xml:space="preserve"> The ‘instinctive responses’ are formed into a behavioural system. The reciprocity between the behavioural systems of the child and the parent is the process in which the attachment between infant and caregiver is built. </w:t>
      </w:r>
    </w:p>
    <w:p w14:paraId="41EF3D28" w14:textId="7E64B477" w:rsidR="00ED3870" w:rsidRDefault="002777AA">
      <w:pPr>
        <w:rPr>
          <w:rFonts w:ascii="Cambria" w:hAnsi="Cambria"/>
        </w:rPr>
      </w:pPr>
      <w:r>
        <w:rPr>
          <w:rFonts w:ascii="Cambria" w:hAnsi="Cambria"/>
        </w:rPr>
        <w:t xml:space="preserve">Bowlby’s theory (1969) </w:t>
      </w:r>
      <w:r w:rsidR="003B29B2">
        <w:rPr>
          <w:rFonts w:ascii="Cambria" w:hAnsi="Cambria"/>
        </w:rPr>
        <w:t>proposed that</w:t>
      </w:r>
      <w:r>
        <w:rPr>
          <w:rFonts w:ascii="Cambria" w:hAnsi="Cambria"/>
        </w:rPr>
        <w:t xml:space="preserve"> a child’s later life relationships could be impacted by </w:t>
      </w:r>
      <w:r w:rsidR="003B29B2">
        <w:rPr>
          <w:rFonts w:ascii="Cambria" w:hAnsi="Cambria"/>
        </w:rPr>
        <w:t xml:space="preserve">effects of their first attachment. He suggested that during the stages of a child’s development they form a mental representation of that first attached relationship to their caregiver, he explained that the quality of that representation has profound effects on later relationships. </w:t>
      </w:r>
      <w:r w:rsidR="004C4D27">
        <w:rPr>
          <w:rFonts w:ascii="Cambria" w:hAnsi="Cambria"/>
        </w:rPr>
        <w:t>The internal working model is Bowlby’s approach to the mental representation of the primary relationship. His model is somewhat self-explanatory, a child’s early interactions, particularly with the primary caregiver, influences and embodies their working model of a relationship</w:t>
      </w:r>
      <w:r w:rsidR="00416D61">
        <w:rPr>
          <w:rFonts w:ascii="Cambria" w:hAnsi="Cambria"/>
        </w:rPr>
        <w:t xml:space="preserve">. </w:t>
      </w:r>
      <w:r w:rsidR="00416D61">
        <w:rPr>
          <w:rFonts w:ascii="Cambria" w:hAnsi="Cambria"/>
        </w:rPr>
        <w:lastRenderedPageBreak/>
        <w:t xml:space="preserve">Therefore, the internalised working model is influenced by a child’s experience, a positive relationship between a child and their caregiver interprets a brighter future for later relationships, however a negative relationship </w:t>
      </w:r>
      <w:r w:rsidR="00902436">
        <w:rPr>
          <w:rFonts w:ascii="Cambria" w:hAnsi="Cambria"/>
        </w:rPr>
        <w:t>i.e.</w:t>
      </w:r>
      <w:r w:rsidR="00416D61">
        <w:rPr>
          <w:rFonts w:ascii="Cambria" w:hAnsi="Cambria"/>
        </w:rPr>
        <w:t xml:space="preserve"> if the child is neglected or abused, their future relationships will be affected due to a reproduction of these patterns experienced at the developmental stages. </w:t>
      </w:r>
      <w:r w:rsidR="008F020A">
        <w:rPr>
          <w:rFonts w:ascii="Cambria" w:hAnsi="Cambria"/>
        </w:rPr>
        <w:t xml:space="preserve">This phenomenon is capable of being logically proved, and is clearly applicable in understanding how a learner responds to a teacher; Jarvis (2014, p.143) explains, </w:t>
      </w:r>
    </w:p>
    <w:p w14:paraId="6EB10F26" w14:textId="4D9C5201" w:rsidR="008F020A" w:rsidRDefault="008F020A" w:rsidP="008F020A">
      <w:pPr>
        <w:ind w:left="720"/>
        <w:rPr>
          <w:rFonts w:ascii="Cambria" w:hAnsi="Cambria"/>
        </w:rPr>
      </w:pPr>
      <w:r>
        <w:rPr>
          <w:rFonts w:ascii="Cambria" w:hAnsi="Cambria"/>
        </w:rPr>
        <w:t>‘A learner that has positive experiences of relationships will have positive working models and thus positive expectations. They will tend to bring that expectation to their relationship with their teacher, whereas an individual whose primary relationship has been unsuccessful will have poor internal working models and will probably have more difficulty in building a positive relationship with a teacher or other professionals.’</w:t>
      </w:r>
    </w:p>
    <w:p w14:paraId="0102CBA1" w14:textId="348F2BFD" w:rsidR="008F020A" w:rsidRPr="00186EF8" w:rsidRDefault="00B9531D" w:rsidP="008F020A">
      <w:pPr>
        <w:rPr>
          <w:rFonts w:ascii="Cambria" w:hAnsi="Cambria"/>
        </w:rPr>
      </w:pPr>
      <w:r>
        <w:rPr>
          <w:rFonts w:ascii="Cambria" w:hAnsi="Cambria"/>
        </w:rPr>
        <w:t xml:space="preserve">John Bowlby’s central ideas of attachment theory were expanded and further developed by his colleague Mary Ainsworth. Bowlby’s ideas were operationalised by Ainsworth and presented to be more analytically testable. </w:t>
      </w:r>
      <w:r w:rsidR="00902436">
        <w:rPr>
          <w:rFonts w:ascii="Cambria" w:hAnsi="Cambria"/>
        </w:rPr>
        <w:t xml:space="preserve">Ainsworth developed a categorization of attachment forms and practical analysis for their assessment. </w:t>
      </w:r>
      <w:r w:rsidR="007031B2">
        <w:rPr>
          <w:rFonts w:ascii="Cambria" w:hAnsi="Cambria"/>
        </w:rPr>
        <w:t xml:space="preserve">Further methodical research </w:t>
      </w:r>
      <w:r w:rsidR="007031B2">
        <w:rPr>
          <w:rFonts w:ascii="Cambria" w:hAnsi="Cambria"/>
        </w:rPr>
        <w:t>has been facilitated by both</w:t>
      </w:r>
      <w:r w:rsidR="00902436">
        <w:rPr>
          <w:rFonts w:ascii="Cambria" w:hAnsi="Cambria"/>
        </w:rPr>
        <w:t xml:space="preserve"> Bowlby and Ainsworth’s work</w:t>
      </w:r>
      <w:r w:rsidR="007031B2">
        <w:rPr>
          <w:rFonts w:ascii="Cambria" w:hAnsi="Cambria"/>
        </w:rPr>
        <w:t>, into the sequelae of a child’s attachment type.</w:t>
      </w:r>
      <w:r w:rsidR="00B54947">
        <w:rPr>
          <w:rFonts w:ascii="Cambria" w:hAnsi="Cambria"/>
        </w:rPr>
        <w:t xml:space="preserve"> Using a system designed by Ainsworth et al (1978) examining how a child reacts on separation from </w:t>
      </w:r>
      <w:r w:rsidR="00186EF8">
        <w:rPr>
          <w:rFonts w:ascii="Cambria" w:hAnsi="Cambria"/>
        </w:rPr>
        <w:t>and reuniting with their primary caregiver when placed in a ‘</w:t>
      </w:r>
      <w:r w:rsidR="00186EF8">
        <w:rPr>
          <w:rFonts w:ascii="Cambria" w:hAnsi="Cambria"/>
          <w:i/>
          <w:iCs/>
        </w:rPr>
        <w:t xml:space="preserve">strange situation’ </w:t>
      </w:r>
      <w:r w:rsidR="00186EF8">
        <w:rPr>
          <w:rFonts w:ascii="Cambria" w:hAnsi="Cambria"/>
        </w:rPr>
        <w:t xml:space="preserve">(Keenan and Evans, 2009, p252), the majority of attachments fell into three categories; </w:t>
      </w:r>
    </w:p>
    <w:p w14:paraId="26255CB3" w14:textId="02621739" w:rsidR="00ED3870" w:rsidRDefault="00ED3870">
      <w:pPr>
        <w:rPr>
          <w:rFonts w:ascii="Cambria" w:hAnsi="Cambria"/>
        </w:rPr>
      </w:pPr>
    </w:p>
    <w:p w14:paraId="0821912B" w14:textId="5E53000D" w:rsidR="00ED3870" w:rsidRPr="00BA3899" w:rsidRDefault="00BA3899" w:rsidP="00BA3899">
      <w:pPr>
        <w:pStyle w:val="ListParagraph"/>
        <w:numPr>
          <w:ilvl w:val="0"/>
          <w:numId w:val="1"/>
        </w:numPr>
        <w:rPr>
          <w:rFonts w:ascii="Cambria" w:hAnsi="Cambria"/>
        </w:rPr>
      </w:pPr>
      <w:r>
        <w:rPr>
          <w:rFonts w:ascii="Cambria" w:hAnsi="Cambria"/>
          <w:u w:val="single"/>
        </w:rPr>
        <w:t>Avoidant</w:t>
      </w:r>
    </w:p>
    <w:p w14:paraId="4652200E" w14:textId="113A6C0C" w:rsidR="00BA3899" w:rsidRPr="00BA3899" w:rsidRDefault="00BA3899" w:rsidP="00BA3899">
      <w:pPr>
        <w:pStyle w:val="ListParagraph"/>
        <w:rPr>
          <w:rFonts w:ascii="Cambria" w:hAnsi="Cambria"/>
        </w:rPr>
      </w:pPr>
      <w:r>
        <w:rPr>
          <w:rFonts w:ascii="Cambria" w:hAnsi="Cambria"/>
        </w:rPr>
        <w:t xml:space="preserve">These types of infants usually play alone and tend to be independent. Avoidant children do not show anxiety when separated from their primary caregivers and show little to no effort of contact when reunited. According to van </w:t>
      </w:r>
      <w:proofErr w:type="spellStart"/>
      <w:r>
        <w:rPr>
          <w:rFonts w:ascii="Cambria" w:hAnsi="Cambria"/>
        </w:rPr>
        <w:t>Ijzendoorn</w:t>
      </w:r>
      <w:proofErr w:type="spellEnd"/>
      <w:r>
        <w:rPr>
          <w:rFonts w:ascii="Cambria" w:hAnsi="Cambria"/>
        </w:rPr>
        <w:t xml:space="preserve"> and Kroonenberg (1988), between 20% - 25% of British 12/18-month-olds are classified as type A. </w:t>
      </w:r>
    </w:p>
    <w:p w14:paraId="7876B2AC" w14:textId="094FC5F4" w:rsidR="00BA3899" w:rsidRPr="00BA3899" w:rsidRDefault="00BA3899" w:rsidP="00BA3899">
      <w:pPr>
        <w:pStyle w:val="ListParagraph"/>
        <w:numPr>
          <w:ilvl w:val="0"/>
          <w:numId w:val="1"/>
        </w:numPr>
        <w:rPr>
          <w:rFonts w:ascii="Cambria" w:hAnsi="Cambria"/>
        </w:rPr>
      </w:pPr>
      <w:r>
        <w:rPr>
          <w:rFonts w:ascii="Cambria" w:hAnsi="Cambria"/>
          <w:u w:val="single"/>
        </w:rPr>
        <w:t>Securely attached</w:t>
      </w:r>
    </w:p>
    <w:p w14:paraId="6143DE2C" w14:textId="415EC9F2" w:rsidR="006631D7" w:rsidRPr="006631D7" w:rsidRDefault="00BA3899" w:rsidP="006631D7">
      <w:pPr>
        <w:pStyle w:val="ListParagraph"/>
        <w:rPr>
          <w:rFonts w:ascii="Cambria" w:hAnsi="Cambria"/>
        </w:rPr>
      </w:pPr>
      <w:r>
        <w:rPr>
          <w:rFonts w:ascii="Cambria" w:hAnsi="Cambria"/>
        </w:rPr>
        <w:t xml:space="preserve">These types of infants are </w:t>
      </w:r>
      <w:proofErr w:type="gramStart"/>
      <w:r>
        <w:rPr>
          <w:rFonts w:ascii="Cambria" w:hAnsi="Cambria"/>
        </w:rPr>
        <w:t>fairly independent</w:t>
      </w:r>
      <w:proofErr w:type="gramEnd"/>
      <w:r>
        <w:rPr>
          <w:rFonts w:ascii="Cambria" w:hAnsi="Cambria"/>
        </w:rPr>
        <w:t xml:space="preserve"> whilst </w:t>
      </w:r>
      <w:r w:rsidR="006631D7">
        <w:rPr>
          <w:rFonts w:ascii="Cambria" w:hAnsi="Cambria"/>
        </w:rPr>
        <w:t>playing and</w:t>
      </w:r>
      <w:r>
        <w:rPr>
          <w:rFonts w:ascii="Cambria" w:hAnsi="Cambria"/>
        </w:rPr>
        <w:t xml:space="preserve"> show mild forms of separation anxiety or distress when removed from their caregiver. However, when reunited, type B </w:t>
      </w:r>
      <w:r w:rsidR="006631D7">
        <w:rPr>
          <w:rFonts w:ascii="Cambria" w:hAnsi="Cambria"/>
        </w:rPr>
        <w:t>have a more enthusiastic approach and greet nicely, they are easily comforted. Between 60% - 75% of British 12/18-month-olds are classified as type B.</w:t>
      </w:r>
    </w:p>
    <w:p w14:paraId="26C03011" w14:textId="6C7628AC" w:rsidR="00BA3899" w:rsidRPr="006631D7" w:rsidRDefault="00BA3899" w:rsidP="00BA3899">
      <w:pPr>
        <w:pStyle w:val="ListParagraph"/>
        <w:numPr>
          <w:ilvl w:val="0"/>
          <w:numId w:val="1"/>
        </w:numPr>
        <w:rPr>
          <w:rFonts w:ascii="Cambria" w:hAnsi="Cambria"/>
        </w:rPr>
      </w:pPr>
      <w:r>
        <w:rPr>
          <w:rFonts w:ascii="Cambria" w:hAnsi="Cambria"/>
          <w:u w:val="single"/>
        </w:rPr>
        <w:t>Resistant (or ambivalent)</w:t>
      </w:r>
    </w:p>
    <w:p w14:paraId="78B76D8B" w14:textId="61CE9DF2" w:rsidR="006631D7" w:rsidRDefault="006631D7" w:rsidP="006631D7">
      <w:pPr>
        <w:pStyle w:val="ListParagraph"/>
        <w:rPr>
          <w:rFonts w:ascii="Cambria" w:hAnsi="Cambria"/>
        </w:rPr>
      </w:pPr>
      <w:r>
        <w:rPr>
          <w:rFonts w:ascii="Cambria" w:hAnsi="Cambria"/>
        </w:rPr>
        <w:t>Resistant infants are less enthusiastic about exploring their environment, they are not independent players and become deeply anxious at separation. However, type C do not freely accept comfort when reunited. Around 3% of British infants are classified type C.</w:t>
      </w:r>
    </w:p>
    <w:p w14:paraId="4E8E37D6" w14:textId="0240CB6F" w:rsidR="006631D7" w:rsidRDefault="00F91456" w:rsidP="006631D7">
      <w:pPr>
        <w:rPr>
          <w:rFonts w:ascii="Cambria" w:hAnsi="Cambria"/>
        </w:rPr>
      </w:pPr>
      <w:r>
        <w:rPr>
          <w:rFonts w:ascii="Cambria" w:hAnsi="Cambria"/>
        </w:rPr>
        <w:t xml:space="preserve">Very few children with atypical attachments fall outside the normal range. This form of attachment is termed as type D attachment by Main and Solomon (1986). An infant who will vary between being avoidant and resistant or combine both are known as type D, whilst they remain close, they avoid contact and withstand being cuddled. Commonly, they appear fearful of their caregiver and favour a stranger. </w:t>
      </w:r>
      <w:r w:rsidR="00A1376A">
        <w:rPr>
          <w:rFonts w:ascii="Cambria" w:hAnsi="Cambria"/>
        </w:rPr>
        <w:t xml:space="preserve">If one is to accept the belief behind the attachment theory, that the nature of the relationship between infant and the primary caregiver contributes and generalises other later relationships, type A, B, C and D individuals are expected to react differently around teachers and peers. </w:t>
      </w:r>
      <w:r w:rsidR="00992170">
        <w:rPr>
          <w:rFonts w:ascii="Cambria" w:hAnsi="Cambria"/>
        </w:rPr>
        <w:t xml:space="preserve">Type A individuals would be expected to have very little friends and </w:t>
      </w:r>
      <w:proofErr w:type="gramStart"/>
      <w:r w:rsidR="00992170">
        <w:rPr>
          <w:rFonts w:ascii="Cambria" w:hAnsi="Cambria"/>
        </w:rPr>
        <w:t>a</w:t>
      </w:r>
      <w:proofErr w:type="gramEnd"/>
      <w:r w:rsidR="00992170">
        <w:rPr>
          <w:rFonts w:ascii="Cambria" w:hAnsi="Cambria"/>
        </w:rPr>
        <w:t xml:space="preserve"> isolated relationship with their teacher. Type B would be expected to have the larger closer relationship with friends and teachers, whilst type C are expected to have difficulty in almost all relationships. Lastly, type D individuals are associated with a more dysfunctional relationship with peers and teachers. </w:t>
      </w:r>
    </w:p>
    <w:p w14:paraId="0AC917CD" w14:textId="3964E816" w:rsidR="00155E65" w:rsidRDefault="00155E65" w:rsidP="006631D7">
      <w:pPr>
        <w:rPr>
          <w:rFonts w:ascii="Cambria" w:hAnsi="Cambria"/>
        </w:rPr>
      </w:pPr>
      <w:r>
        <w:rPr>
          <w:rFonts w:ascii="Cambria" w:hAnsi="Cambria"/>
        </w:rPr>
        <w:lastRenderedPageBreak/>
        <w:t xml:space="preserve">The </w:t>
      </w:r>
      <w:r w:rsidR="00093387">
        <w:rPr>
          <w:rFonts w:ascii="Cambria" w:hAnsi="Cambria"/>
        </w:rPr>
        <w:t>assumption</w:t>
      </w:r>
      <w:r>
        <w:rPr>
          <w:rFonts w:ascii="Cambria" w:hAnsi="Cambria"/>
        </w:rPr>
        <w:t xml:space="preserve"> that the major motive of the quality between a parent-child relationship </w:t>
      </w:r>
      <w:r w:rsidR="00093387">
        <w:rPr>
          <w:rFonts w:ascii="Cambria" w:hAnsi="Cambria"/>
        </w:rPr>
        <w:t xml:space="preserve">was the value of care provided by the primary caregiver, was believed by both Bowlby and Ainsworth. However, Ainsworth took a step further and functionalised the quality of care. The key variable was identified as sensitive responsiveness in the quality of parenting. Sensitive responsiveness was defined by Ainsworth as </w:t>
      </w:r>
      <w:r w:rsidR="00093387">
        <w:rPr>
          <w:rFonts w:ascii="Cambria" w:hAnsi="Cambria"/>
          <w:i/>
          <w:iCs/>
        </w:rPr>
        <w:t xml:space="preserve">‘the success with which the parent picks up the child’s non-verbal signals’ </w:t>
      </w:r>
      <w:r w:rsidR="00093387">
        <w:rPr>
          <w:rFonts w:ascii="Cambria" w:hAnsi="Cambria"/>
        </w:rPr>
        <w:t xml:space="preserve">Jarvis (2014 p.114).  </w:t>
      </w:r>
      <w:r w:rsidR="00DA37C1">
        <w:rPr>
          <w:rFonts w:ascii="Cambria" w:hAnsi="Cambria"/>
        </w:rPr>
        <w:t xml:space="preserve">There is </w:t>
      </w:r>
      <w:r w:rsidR="00093387">
        <w:rPr>
          <w:rFonts w:ascii="Cambria" w:hAnsi="Cambria"/>
        </w:rPr>
        <w:t xml:space="preserve">sufficient evidence </w:t>
      </w:r>
      <w:r w:rsidR="00DA37C1">
        <w:rPr>
          <w:rFonts w:ascii="Cambria" w:hAnsi="Cambria"/>
        </w:rPr>
        <w:t xml:space="preserve">available </w:t>
      </w:r>
      <w:r w:rsidR="00093387">
        <w:rPr>
          <w:rFonts w:ascii="Cambria" w:hAnsi="Cambria"/>
        </w:rPr>
        <w:t xml:space="preserve">to support the role </w:t>
      </w:r>
      <w:r w:rsidR="00DA37C1">
        <w:rPr>
          <w:rFonts w:ascii="Cambria" w:hAnsi="Cambria"/>
        </w:rPr>
        <w:t>of sensitive responsiveness in the</w:t>
      </w:r>
      <w:r w:rsidR="00093387">
        <w:rPr>
          <w:rFonts w:ascii="Cambria" w:hAnsi="Cambria"/>
        </w:rPr>
        <w:t xml:space="preserve"> development of secure attachment</w:t>
      </w:r>
      <w:r w:rsidR="00DA37C1">
        <w:rPr>
          <w:rFonts w:ascii="Cambria" w:hAnsi="Cambria"/>
        </w:rPr>
        <w:t xml:space="preserve">. Jarvis (2014) argues, </w:t>
      </w:r>
    </w:p>
    <w:p w14:paraId="6F285B8C" w14:textId="3AC91F22" w:rsidR="00DA37C1" w:rsidRDefault="00DA37C1" w:rsidP="00DA37C1">
      <w:pPr>
        <w:ind w:left="720"/>
        <w:rPr>
          <w:rFonts w:ascii="Cambria" w:hAnsi="Cambria"/>
        </w:rPr>
      </w:pPr>
      <w:r>
        <w:rPr>
          <w:rFonts w:ascii="Cambria" w:hAnsi="Cambria"/>
        </w:rPr>
        <w:t xml:space="preserve">‘If sensitive responsiveness is key to building mother-infant attachment, then it follows that teachers who are sensitive to the unvoiced needs of their learners should be more successful in building relationships with them.’ </w:t>
      </w:r>
    </w:p>
    <w:p w14:paraId="1D546AED" w14:textId="4226AA5E" w:rsidR="000427BD" w:rsidRDefault="00DA37C1" w:rsidP="006631D7">
      <w:pPr>
        <w:rPr>
          <w:rFonts w:ascii="Cambria" w:hAnsi="Cambria"/>
        </w:rPr>
      </w:pPr>
      <w:r>
        <w:rPr>
          <w:rFonts w:ascii="Cambria" w:hAnsi="Cambria"/>
        </w:rPr>
        <w:t xml:space="preserve">Research has supported the importance of attachment status with parenting styles and home environment to determine </w:t>
      </w:r>
      <w:r w:rsidR="000427BD">
        <w:rPr>
          <w:rFonts w:ascii="Cambria" w:hAnsi="Cambria"/>
        </w:rPr>
        <w:t xml:space="preserve">motivation academically and peer related to better the quality of relationships. Vondra et al (1999) studied 156 children. The study assessed the infant’s attachment to their primary carer and siblings, additionally, teacher reports were used to gather information about behaviour in the classroom. A positive relation was found between a secure attachment to the primary carer and sibling, and the quality of the relationship with the teacher and behavioural/social competence in the classroom. A similar study was carried out by Howes (1997), secure attachment was assessed in 107 children aged up to 5, they examined their play associations at nursery. Howes concluded that securely attached infants associated themselves in more intricate play with friends. </w:t>
      </w:r>
    </w:p>
    <w:p w14:paraId="60629E6E" w14:textId="4B543FFD" w:rsidR="00935F78" w:rsidRDefault="00935F78" w:rsidP="006631D7">
      <w:pPr>
        <w:rPr>
          <w:rFonts w:ascii="Cambria" w:hAnsi="Cambria"/>
        </w:rPr>
      </w:pPr>
      <w:r>
        <w:rPr>
          <w:rFonts w:ascii="Cambria" w:hAnsi="Cambria"/>
        </w:rPr>
        <w:t xml:space="preserve">To conclude, Bowlby believed that the carer whom holds an attached bond to the child must give that child continuous support for the first two years of their lives, or the attachment which they did attain fails, and can cause serious mental health issues for that child in later life. He stated that there were multiple mental issues which may be caused in children who face maternal deprivation, these issues include delinquency; reduced intelligence; increased aggression; depression; affectionate psychopathy. Theorist such as Ainsworth and Howes both have similar yet different explanations to the attachment theory, all of which cross paths and tie together. </w:t>
      </w:r>
    </w:p>
    <w:p w14:paraId="75B52371" w14:textId="77777777" w:rsidR="00935F78" w:rsidRPr="00093387" w:rsidRDefault="00935F78" w:rsidP="006631D7">
      <w:pPr>
        <w:rPr>
          <w:rFonts w:ascii="Cambria" w:hAnsi="Cambria"/>
        </w:rPr>
      </w:pPr>
    </w:p>
    <w:p w14:paraId="23F05A79" w14:textId="56CB8822" w:rsidR="00ED3870" w:rsidRDefault="00ED3870">
      <w:pPr>
        <w:rPr>
          <w:rFonts w:ascii="Cambria" w:hAnsi="Cambria"/>
        </w:rPr>
      </w:pPr>
    </w:p>
    <w:p w14:paraId="593271CB" w14:textId="7F4452BB" w:rsidR="00ED3870" w:rsidRDefault="00ED3870">
      <w:pPr>
        <w:rPr>
          <w:rFonts w:ascii="Cambria" w:hAnsi="Cambria"/>
        </w:rPr>
      </w:pPr>
    </w:p>
    <w:p w14:paraId="7B26D5E7" w14:textId="1BE8F66E" w:rsidR="00ED3870" w:rsidRDefault="00ED3870">
      <w:pPr>
        <w:rPr>
          <w:rFonts w:ascii="Cambria" w:hAnsi="Cambria"/>
        </w:rPr>
      </w:pPr>
    </w:p>
    <w:p w14:paraId="5342A902" w14:textId="3F5AA3C5" w:rsidR="00ED3870" w:rsidRDefault="00ED3870">
      <w:pPr>
        <w:rPr>
          <w:rFonts w:ascii="Cambria" w:hAnsi="Cambria"/>
        </w:rPr>
      </w:pPr>
    </w:p>
    <w:p w14:paraId="618A9F03" w14:textId="77777777" w:rsidR="00935F78" w:rsidRDefault="00935F78">
      <w:pPr>
        <w:rPr>
          <w:rFonts w:ascii="Cambria" w:hAnsi="Cambria"/>
          <w:sz w:val="24"/>
          <w:szCs w:val="24"/>
          <w:u w:val="single"/>
        </w:rPr>
      </w:pPr>
    </w:p>
    <w:p w14:paraId="77056970" w14:textId="77777777" w:rsidR="00935F78" w:rsidRDefault="00935F78">
      <w:pPr>
        <w:rPr>
          <w:rFonts w:ascii="Cambria" w:hAnsi="Cambria"/>
          <w:sz w:val="24"/>
          <w:szCs w:val="24"/>
          <w:u w:val="single"/>
        </w:rPr>
      </w:pPr>
    </w:p>
    <w:p w14:paraId="2AF6443F" w14:textId="77777777" w:rsidR="00935F78" w:rsidRDefault="00935F78">
      <w:pPr>
        <w:rPr>
          <w:rFonts w:ascii="Cambria" w:hAnsi="Cambria"/>
          <w:sz w:val="24"/>
          <w:szCs w:val="24"/>
          <w:u w:val="single"/>
        </w:rPr>
      </w:pPr>
    </w:p>
    <w:p w14:paraId="0782661E" w14:textId="77777777" w:rsidR="00935F78" w:rsidRDefault="00935F78">
      <w:pPr>
        <w:rPr>
          <w:rFonts w:ascii="Cambria" w:hAnsi="Cambria"/>
          <w:sz w:val="24"/>
          <w:szCs w:val="24"/>
          <w:u w:val="single"/>
        </w:rPr>
      </w:pPr>
    </w:p>
    <w:p w14:paraId="446D7DEA" w14:textId="77777777" w:rsidR="00935F78" w:rsidRDefault="00935F78">
      <w:pPr>
        <w:rPr>
          <w:rFonts w:ascii="Cambria" w:hAnsi="Cambria"/>
          <w:sz w:val="24"/>
          <w:szCs w:val="24"/>
          <w:u w:val="single"/>
        </w:rPr>
      </w:pPr>
    </w:p>
    <w:p w14:paraId="6BA850F5" w14:textId="77777777" w:rsidR="00935F78" w:rsidRDefault="00935F78">
      <w:pPr>
        <w:rPr>
          <w:rFonts w:ascii="Cambria" w:hAnsi="Cambria"/>
          <w:sz w:val="24"/>
          <w:szCs w:val="24"/>
          <w:u w:val="single"/>
        </w:rPr>
      </w:pPr>
    </w:p>
    <w:p w14:paraId="13498194" w14:textId="3B2F2DD9" w:rsidR="00ED3870" w:rsidRDefault="00ED3870">
      <w:pPr>
        <w:rPr>
          <w:rFonts w:ascii="Cambria" w:hAnsi="Cambria"/>
          <w:sz w:val="24"/>
          <w:szCs w:val="24"/>
          <w:u w:val="single"/>
        </w:rPr>
      </w:pPr>
      <w:r>
        <w:rPr>
          <w:rFonts w:ascii="Cambria" w:hAnsi="Cambria"/>
          <w:sz w:val="24"/>
          <w:szCs w:val="24"/>
          <w:u w:val="single"/>
        </w:rPr>
        <w:lastRenderedPageBreak/>
        <w:t>References</w:t>
      </w:r>
    </w:p>
    <w:p w14:paraId="1BFEA7B7" w14:textId="090B623D" w:rsidR="00326075" w:rsidRPr="00326075" w:rsidRDefault="00326075">
      <w:pPr>
        <w:rPr>
          <w:rFonts w:ascii="Cambria" w:hAnsi="Cambria"/>
        </w:rPr>
      </w:pPr>
      <w:r w:rsidRPr="00326075">
        <w:rPr>
          <w:rFonts w:ascii="Cambria" w:hAnsi="Cambria"/>
        </w:rPr>
        <w:t xml:space="preserve">Ainsworth, M. et al (1978) </w:t>
      </w:r>
      <w:r w:rsidRPr="00326075">
        <w:rPr>
          <w:rFonts w:ascii="Cambria" w:hAnsi="Cambria"/>
          <w:i/>
          <w:iCs/>
        </w:rPr>
        <w:t xml:space="preserve">Patterns of Attachment. </w:t>
      </w:r>
      <w:r w:rsidRPr="00326075">
        <w:rPr>
          <w:rFonts w:ascii="Cambria" w:hAnsi="Cambria"/>
        </w:rPr>
        <w:t xml:space="preserve">Lawrence Erlbaum, </w:t>
      </w:r>
      <w:proofErr w:type="spellStart"/>
      <w:r w:rsidRPr="00326075">
        <w:rPr>
          <w:rFonts w:ascii="Cambria" w:hAnsi="Cambria"/>
        </w:rPr>
        <w:t>Hillslade</w:t>
      </w:r>
      <w:proofErr w:type="spellEnd"/>
      <w:r w:rsidRPr="00326075">
        <w:rPr>
          <w:rFonts w:ascii="Cambria" w:hAnsi="Cambria"/>
        </w:rPr>
        <w:t xml:space="preserve"> NJ.</w:t>
      </w:r>
    </w:p>
    <w:p w14:paraId="050351AA" w14:textId="504B451C" w:rsidR="00A26A44" w:rsidRPr="00326075" w:rsidRDefault="00A26A44">
      <w:pPr>
        <w:rPr>
          <w:rFonts w:ascii="Cambria" w:hAnsi="Cambria"/>
        </w:rPr>
      </w:pPr>
      <w:proofErr w:type="spellStart"/>
      <w:r w:rsidRPr="00326075">
        <w:rPr>
          <w:rFonts w:ascii="Cambria" w:hAnsi="Cambria"/>
        </w:rPr>
        <w:t>Granchrow</w:t>
      </w:r>
      <w:proofErr w:type="spellEnd"/>
      <w:r w:rsidRPr="00326075">
        <w:rPr>
          <w:rFonts w:ascii="Cambria" w:hAnsi="Cambria"/>
        </w:rPr>
        <w:t xml:space="preserve"> et al. (1983), </w:t>
      </w:r>
      <w:r w:rsidRPr="00326075">
        <w:rPr>
          <w:rFonts w:ascii="Cambria" w:hAnsi="Cambria"/>
          <w:i/>
          <w:iCs/>
        </w:rPr>
        <w:t>Neonatal facial expressions in response to different qualities and intensities of gustatory stimuli</w:t>
      </w:r>
      <w:r w:rsidRPr="00326075">
        <w:rPr>
          <w:rFonts w:ascii="Cambria" w:hAnsi="Cambria"/>
          <w:i/>
          <w:iCs/>
        </w:rPr>
        <w:t>.</w:t>
      </w:r>
      <w:r w:rsidRPr="00326075">
        <w:rPr>
          <w:rFonts w:ascii="Cambria" w:hAnsi="Cambria"/>
        </w:rPr>
        <w:t xml:space="preserve"> [Online] Available at: </w:t>
      </w:r>
      <w:hyperlink r:id="rId5" w:history="1">
        <w:r w:rsidR="00326075" w:rsidRPr="00326075">
          <w:rPr>
            <w:rStyle w:val="Hyperlink"/>
            <w:rFonts w:ascii="Cambria" w:hAnsi="Cambria"/>
          </w:rPr>
          <w:t>https://www.sciencedirect.com/science/article/abs/pii/S0163638383903016</w:t>
        </w:r>
      </w:hyperlink>
    </w:p>
    <w:p w14:paraId="526F54EC" w14:textId="50EF4A34" w:rsidR="00326075" w:rsidRPr="00326075" w:rsidRDefault="00326075">
      <w:pPr>
        <w:rPr>
          <w:rFonts w:ascii="Cambria" w:hAnsi="Cambria"/>
          <w:i/>
          <w:iCs/>
        </w:rPr>
      </w:pPr>
      <w:r>
        <w:rPr>
          <w:rFonts w:ascii="Cambria" w:hAnsi="Cambria"/>
        </w:rPr>
        <w:t xml:space="preserve">Howes, C. (1997) Teacher sensitivity, children’s attachment and play with peers. </w:t>
      </w:r>
      <w:r>
        <w:rPr>
          <w:rFonts w:ascii="Cambria" w:hAnsi="Cambria"/>
          <w:i/>
          <w:iCs/>
        </w:rPr>
        <w:t>Early Education and Development.</w:t>
      </w:r>
    </w:p>
    <w:p w14:paraId="4BE2ECEB" w14:textId="74F08D8D" w:rsidR="00935F78" w:rsidRPr="00ED3870" w:rsidRDefault="00935F78" w:rsidP="00935F78">
      <w:pPr>
        <w:rPr>
          <w:rFonts w:ascii="Cambria" w:hAnsi="Cambria"/>
        </w:rPr>
      </w:pPr>
      <w:r>
        <w:rPr>
          <w:rFonts w:ascii="Cambria" w:hAnsi="Cambria"/>
        </w:rPr>
        <w:t>Jarv</w:t>
      </w:r>
      <w:r>
        <w:rPr>
          <w:rFonts w:ascii="Cambria" w:hAnsi="Cambria"/>
        </w:rPr>
        <w:t>is, M. (2014) The Psychology of effective learning and teaching. Oxford: Oxford University Press.</w:t>
      </w:r>
    </w:p>
    <w:p w14:paraId="2CF6EDFD" w14:textId="06FEA06F" w:rsidR="00ED3870" w:rsidRDefault="00ED3870">
      <w:pPr>
        <w:rPr>
          <w:rFonts w:ascii="Cambria" w:hAnsi="Cambria"/>
        </w:rPr>
      </w:pPr>
      <w:r w:rsidRPr="00ED3870">
        <w:rPr>
          <w:rFonts w:ascii="Cambria" w:hAnsi="Cambria"/>
        </w:rPr>
        <w:t xml:space="preserve">Smith, P., Cowie, H. and Blades, M. (2011) Understanding Children’s Development. 5th </w:t>
      </w:r>
      <w:proofErr w:type="spellStart"/>
      <w:r w:rsidRPr="00ED3870">
        <w:rPr>
          <w:rFonts w:ascii="Cambria" w:hAnsi="Cambria"/>
        </w:rPr>
        <w:t>edn</w:t>
      </w:r>
      <w:proofErr w:type="spellEnd"/>
      <w:r w:rsidRPr="00ED3870">
        <w:rPr>
          <w:rFonts w:ascii="Cambria" w:hAnsi="Cambria"/>
        </w:rPr>
        <w:t>. West Sussex: John Wiley &amp; Sons Ltd.</w:t>
      </w:r>
    </w:p>
    <w:p w14:paraId="715D793E" w14:textId="16183ED5" w:rsidR="00326075" w:rsidRPr="00326075" w:rsidRDefault="00326075">
      <w:pPr>
        <w:rPr>
          <w:rFonts w:ascii="Cambria" w:hAnsi="Cambria"/>
          <w:i/>
          <w:iCs/>
        </w:rPr>
      </w:pPr>
      <w:proofErr w:type="spellStart"/>
      <w:r w:rsidRPr="00326075">
        <w:rPr>
          <w:rFonts w:ascii="Cambria" w:hAnsi="Cambria"/>
          <w:lang w:val="fr-FR"/>
        </w:rPr>
        <w:t>Vondra</w:t>
      </w:r>
      <w:proofErr w:type="spellEnd"/>
      <w:r w:rsidRPr="00326075">
        <w:rPr>
          <w:rFonts w:ascii="Cambria" w:hAnsi="Cambria"/>
          <w:lang w:val="fr-FR"/>
        </w:rPr>
        <w:t xml:space="preserve">, J. et al. </w:t>
      </w:r>
      <w:r w:rsidRPr="00326075">
        <w:rPr>
          <w:rFonts w:ascii="Cambria" w:hAnsi="Cambria"/>
        </w:rPr>
        <w:t>(1999) Early relationship quality from h</w:t>
      </w:r>
      <w:r>
        <w:rPr>
          <w:rFonts w:ascii="Cambria" w:hAnsi="Cambria"/>
        </w:rPr>
        <w:t xml:space="preserve">ome to school: a longitudinal study. </w:t>
      </w:r>
      <w:r>
        <w:rPr>
          <w:rFonts w:ascii="Cambria" w:hAnsi="Cambria"/>
          <w:i/>
          <w:iCs/>
        </w:rPr>
        <w:t xml:space="preserve">Early Education and Development. </w:t>
      </w:r>
    </w:p>
    <w:p w14:paraId="26B999FE" w14:textId="77777777" w:rsidR="00935F78" w:rsidRPr="00326075" w:rsidRDefault="00935F78">
      <w:pPr>
        <w:rPr>
          <w:rFonts w:ascii="Cambria" w:hAnsi="Cambria"/>
        </w:rPr>
      </w:pPr>
    </w:p>
    <w:sectPr w:rsidR="00935F78" w:rsidRPr="003260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834EE7"/>
    <w:multiLevelType w:val="hybridMultilevel"/>
    <w:tmpl w:val="6E807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5AD"/>
    <w:rsid w:val="00007490"/>
    <w:rsid w:val="000427BD"/>
    <w:rsid w:val="00093387"/>
    <w:rsid w:val="00155E65"/>
    <w:rsid w:val="00186EF8"/>
    <w:rsid w:val="00220D70"/>
    <w:rsid w:val="002777AA"/>
    <w:rsid w:val="002C304B"/>
    <w:rsid w:val="00326075"/>
    <w:rsid w:val="003B29B2"/>
    <w:rsid w:val="00416D61"/>
    <w:rsid w:val="004C4D27"/>
    <w:rsid w:val="00512726"/>
    <w:rsid w:val="005175C3"/>
    <w:rsid w:val="005A09B7"/>
    <w:rsid w:val="006631D7"/>
    <w:rsid w:val="006A505B"/>
    <w:rsid w:val="007031B2"/>
    <w:rsid w:val="007E4597"/>
    <w:rsid w:val="008F020A"/>
    <w:rsid w:val="00902436"/>
    <w:rsid w:val="00935F78"/>
    <w:rsid w:val="00992170"/>
    <w:rsid w:val="009E79DE"/>
    <w:rsid w:val="009F3FE8"/>
    <w:rsid w:val="00A1376A"/>
    <w:rsid w:val="00A26A44"/>
    <w:rsid w:val="00B54947"/>
    <w:rsid w:val="00B9531D"/>
    <w:rsid w:val="00BA3899"/>
    <w:rsid w:val="00BB25D8"/>
    <w:rsid w:val="00C07AD2"/>
    <w:rsid w:val="00CA02A5"/>
    <w:rsid w:val="00DA37C1"/>
    <w:rsid w:val="00E245AD"/>
    <w:rsid w:val="00ED3870"/>
    <w:rsid w:val="00F0306E"/>
    <w:rsid w:val="00F91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9ACA5"/>
  <w15:chartTrackingRefBased/>
  <w15:docId w15:val="{3DBE885F-6F1C-416B-AC08-125722B6B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6A44"/>
    <w:rPr>
      <w:color w:val="0563C1" w:themeColor="hyperlink"/>
      <w:u w:val="single"/>
    </w:rPr>
  </w:style>
  <w:style w:type="character" w:styleId="UnresolvedMention">
    <w:name w:val="Unresolved Mention"/>
    <w:basedOn w:val="DefaultParagraphFont"/>
    <w:uiPriority w:val="99"/>
    <w:semiHidden/>
    <w:unhideWhenUsed/>
    <w:rsid w:val="00A26A44"/>
    <w:rPr>
      <w:color w:val="605E5C"/>
      <w:shd w:val="clear" w:color="auto" w:fill="E1DFDD"/>
    </w:rPr>
  </w:style>
  <w:style w:type="paragraph" w:styleId="ListParagraph">
    <w:name w:val="List Paragraph"/>
    <w:basedOn w:val="Normal"/>
    <w:uiPriority w:val="34"/>
    <w:qFormat/>
    <w:rsid w:val="00BA38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ciencedirect.com/science/article/abs/pii/S016363838390301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4</Pages>
  <Words>1652</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Messer</dc:creator>
  <cp:keywords/>
  <dc:description/>
  <cp:lastModifiedBy>Carys Messer</cp:lastModifiedBy>
  <cp:revision>9</cp:revision>
  <dcterms:created xsi:type="dcterms:W3CDTF">2020-04-27T17:44:00Z</dcterms:created>
  <dcterms:modified xsi:type="dcterms:W3CDTF">2020-04-27T22:51:00Z</dcterms:modified>
</cp:coreProperties>
</file>