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F9E2C3" w14:textId="47BDEB41" w:rsidR="00AC16DF" w:rsidRPr="00F53447" w:rsidRDefault="00AC16DF" w:rsidP="00AC16DF">
      <w:pPr>
        <w:jc w:val="center"/>
        <w:rPr>
          <w:b/>
          <w:bCs/>
          <w:sz w:val="32"/>
          <w:szCs w:val="32"/>
        </w:rPr>
      </w:pPr>
      <w:r w:rsidRPr="00F53447">
        <w:rPr>
          <w:b/>
          <w:bCs/>
          <w:sz w:val="32"/>
          <w:szCs w:val="32"/>
        </w:rPr>
        <w:t>Economics of sustainability</w:t>
      </w:r>
    </w:p>
    <w:p w14:paraId="66FCC2D2" w14:textId="77777777" w:rsidR="00AC16DF" w:rsidRPr="00F53447" w:rsidRDefault="00AC16DF" w:rsidP="00AC16DF">
      <w:pPr>
        <w:jc w:val="center"/>
        <w:rPr>
          <w:b/>
          <w:bCs/>
          <w:sz w:val="32"/>
          <w:szCs w:val="32"/>
        </w:rPr>
      </w:pPr>
    </w:p>
    <w:p w14:paraId="1EBE208C" w14:textId="6F8D8B6B" w:rsidR="0055589C" w:rsidRPr="00F53447" w:rsidRDefault="00AC16DF" w:rsidP="00AC16DF">
      <w:pPr>
        <w:jc w:val="center"/>
        <w:rPr>
          <w:b/>
          <w:bCs/>
          <w:sz w:val="32"/>
          <w:szCs w:val="32"/>
          <w:u w:val="single"/>
        </w:rPr>
      </w:pPr>
      <w:r w:rsidRPr="00F53447">
        <w:rPr>
          <w:b/>
          <w:bCs/>
          <w:sz w:val="32"/>
          <w:szCs w:val="32"/>
          <w:u w:val="single"/>
        </w:rPr>
        <w:t>Externalities of Production,</w:t>
      </w:r>
    </w:p>
    <w:p w14:paraId="5F08FDB7" w14:textId="555238F4" w:rsidR="00AC16DF" w:rsidRPr="00F53447" w:rsidRDefault="00AC16DF" w:rsidP="00AC16DF">
      <w:pPr>
        <w:jc w:val="center"/>
        <w:rPr>
          <w:b/>
          <w:bCs/>
          <w:sz w:val="32"/>
          <w:szCs w:val="32"/>
          <w:u w:val="single"/>
        </w:rPr>
      </w:pPr>
      <w:r w:rsidRPr="00F53447">
        <w:rPr>
          <w:b/>
          <w:bCs/>
          <w:sz w:val="32"/>
          <w:szCs w:val="32"/>
          <w:u w:val="single"/>
        </w:rPr>
        <w:t>The Market Failure and Solutions to Cement Production</w:t>
      </w:r>
    </w:p>
    <w:p w14:paraId="0BEA32BA" w14:textId="77777777" w:rsidR="00AC16DF" w:rsidRDefault="00AC16DF" w:rsidP="00AC16DF">
      <w:pPr>
        <w:jc w:val="center"/>
        <w:rPr>
          <w:b/>
          <w:bCs/>
          <w:u w:val="single"/>
        </w:rPr>
      </w:pPr>
    </w:p>
    <w:p w14:paraId="0D527394" w14:textId="77777777" w:rsidR="00AC16DF" w:rsidRDefault="00AC16DF" w:rsidP="00AC16DF">
      <w:pPr>
        <w:jc w:val="center"/>
        <w:rPr>
          <w:b/>
          <w:bCs/>
          <w:u w:val="single"/>
        </w:rPr>
      </w:pPr>
    </w:p>
    <w:p w14:paraId="4823E92A" w14:textId="77777777" w:rsidR="00AC16DF" w:rsidRDefault="00AC16DF" w:rsidP="00AC16DF">
      <w:pPr>
        <w:jc w:val="center"/>
        <w:rPr>
          <w:b/>
          <w:bCs/>
          <w:u w:val="single"/>
        </w:rPr>
      </w:pPr>
    </w:p>
    <w:p w14:paraId="49D06F30" w14:textId="77777777" w:rsidR="00AC16DF" w:rsidRDefault="00AC16DF" w:rsidP="00AC16DF">
      <w:pPr>
        <w:jc w:val="center"/>
        <w:rPr>
          <w:b/>
          <w:bCs/>
          <w:u w:val="single"/>
        </w:rPr>
      </w:pPr>
    </w:p>
    <w:p w14:paraId="152DDDDA" w14:textId="77777777" w:rsidR="00AC16DF" w:rsidRDefault="00AC16DF" w:rsidP="00AC16DF">
      <w:pPr>
        <w:jc w:val="center"/>
        <w:rPr>
          <w:b/>
          <w:bCs/>
          <w:u w:val="single"/>
        </w:rPr>
      </w:pPr>
    </w:p>
    <w:p w14:paraId="18FD496C" w14:textId="77777777" w:rsidR="00AC16DF" w:rsidRDefault="00AC16DF" w:rsidP="00AC16DF">
      <w:pPr>
        <w:jc w:val="center"/>
        <w:rPr>
          <w:b/>
          <w:bCs/>
          <w:u w:val="single"/>
        </w:rPr>
      </w:pPr>
    </w:p>
    <w:p w14:paraId="56793A4F" w14:textId="77777777" w:rsidR="00AC16DF" w:rsidRDefault="00AC16DF" w:rsidP="00AC16DF">
      <w:pPr>
        <w:jc w:val="center"/>
        <w:rPr>
          <w:b/>
          <w:bCs/>
          <w:u w:val="single"/>
        </w:rPr>
      </w:pPr>
    </w:p>
    <w:p w14:paraId="4A53819F" w14:textId="77777777" w:rsidR="00AC16DF" w:rsidRDefault="00AC16DF" w:rsidP="00AC16DF">
      <w:pPr>
        <w:jc w:val="center"/>
        <w:rPr>
          <w:b/>
          <w:bCs/>
          <w:u w:val="single"/>
        </w:rPr>
      </w:pPr>
    </w:p>
    <w:p w14:paraId="295F6E37" w14:textId="77777777" w:rsidR="00AC16DF" w:rsidRDefault="00AC16DF" w:rsidP="00AC16DF">
      <w:pPr>
        <w:jc w:val="center"/>
        <w:rPr>
          <w:b/>
          <w:bCs/>
          <w:u w:val="single"/>
        </w:rPr>
      </w:pPr>
    </w:p>
    <w:p w14:paraId="125251C5" w14:textId="77777777" w:rsidR="00AC16DF" w:rsidRDefault="00AC16DF" w:rsidP="00AC16DF">
      <w:pPr>
        <w:jc w:val="center"/>
        <w:rPr>
          <w:b/>
          <w:bCs/>
          <w:u w:val="single"/>
        </w:rPr>
      </w:pPr>
    </w:p>
    <w:p w14:paraId="594BF77F" w14:textId="77777777" w:rsidR="00AC16DF" w:rsidRDefault="00AC16DF" w:rsidP="00AC16DF">
      <w:pPr>
        <w:jc w:val="center"/>
        <w:rPr>
          <w:b/>
          <w:bCs/>
          <w:u w:val="single"/>
        </w:rPr>
      </w:pPr>
    </w:p>
    <w:p w14:paraId="2FDBCA13" w14:textId="77777777" w:rsidR="00AC16DF" w:rsidRDefault="00AC16DF" w:rsidP="00AC16DF">
      <w:pPr>
        <w:jc w:val="center"/>
        <w:rPr>
          <w:b/>
          <w:bCs/>
          <w:u w:val="single"/>
        </w:rPr>
      </w:pPr>
    </w:p>
    <w:p w14:paraId="50925EFD" w14:textId="77777777" w:rsidR="00AC16DF" w:rsidRDefault="00AC16DF" w:rsidP="00AC16DF">
      <w:pPr>
        <w:jc w:val="center"/>
        <w:rPr>
          <w:b/>
          <w:bCs/>
          <w:u w:val="single"/>
        </w:rPr>
      </w:pPr>
    </w:p>
    <w:p w14:paraId="7CE099C2" w14:textId="77777777" w:rsidR="00AC16DF" w:rsidRDefault="00AC16DF" w:rsidP="00AC16DF">
      <w:pPr>
        <w:jc w:val="center"/>
        <w:rPr>
          <w:b/>
          <w:bCs/>
          <w:u w:val="single"/>
        </w:rPr>
      </w:pPr>
    </w:p>
    <w:p w14:paraId="3D8DC2C4" w14:textId="77777777" w:rsidR="00AC16DF" w:rsidRDefault="00AC16DF" w:rsidP="00AC16DF">
      <w:pPr>
        <w:jc w:val="center"/>
        <w:rPr>
          <w:b/>
          <w:bCs/>
          <w:u w:val="single"/>
        </w:rPr>
      </w:pPr>
    </w:p>
    <w:p w14:paraId="799BD091" w14:textId="77777777" w:rsidR="00AC16DF" w:rsidRDefault="00AC16DF" w:rsidP="00AC16DF">
      <w:pPr>
        <w:jc w:val="center"/>
        <w:rPr>
          <w:b/>
          <w:bCs/>
          <w:u w:val="single"/>
        </w:rPr>
      </w:pPr>
    </w:p>
    <w:p w14:paraId="53E98FFE" w14:textId="77777777" w:rsidR="00AC16DF" w:rsidRDefault="00AC16DF" w:rsidP="00AC16DF">
      <w:pPr>
        <w:jc w:val="center"/>
        <w:rPr>
          <w:b/>
          <w:bCs/>
          <w:u w:val="single"/>
        </w:rPr>
      </w:pPr>
    </w:p>
    <w:p w14:paraId="108AAD51" w14:textId="77777777" w:rsidR="00AC16DF" w:rsidRDefault="00AC16DF" w:rsidP="00AC16DF">
      <w:pPr>
        <w:jc w:val="center"/>
        <w:rPr>
          <w:b/>
          <w:bCs/>
          <w:u w:val="single"/>
        </w:rPr>
      </w:pPr>
    </w:p>
    <w:p w14:paraId="17880094" w14:textId="77777777" w:rsidR="00AC16DF" w:rsidRDefault="00AC16DF" w:rsidP="00AC16DF">
      <w:pPr>
        <w:jc w:val="center"/>
        <w:rPr>
          <w:b/>
          <w:bCs/>
          <w:u w:val="single"/>
        </w:rPr>
      </w:pPr>
    </w:p>
    <w:p w14:paraId="0A2B8871" w14:textId="77777777" w:rsidR="00AC16DF" w:rsidRDefault="00AC16DF" w:rsidP="00AC16DF">
      <w:pPr>
        <w:jc w:val="center"/>
        <w:rPr>
          <w:b/>
          <w:bCs/>
          <w:u w:val="single"/>
        </w:rPr>
      </w:pPr>
    </w:p>
    <w:p w14:paraId="75582E40" w14:textId="77777777" w:rsidR="00AC16DF" w:rsidRDefault="00AC16DF" w:rsidP="00AC16DF">
      <w:pPr>
        <w:jc w:val="center"/>
        <w:rPr>
          <w:b/>
          <w:bCs/>
          <w:u w:val="single"/>
        </w:rPr>
      </w:pPr>
    </w:p>
    <w:p w14:paraId="5B148B21" w14:textId="77777777" w:rsidR="00AC16DF" w:rsidRDefault="00AC16DF" w:rsidP="00AC16DF">
      <w:pPr>
        <w:jc w:val="center"/>
        <w:rPr>
          <w:b/>
          <w:bCs/>
          <w:u w:val="single"/>
        </w:rPr>
      </w:pPr>
    </w:p>
    <w:p w14:paraId="7AEC7180" w14:textId="77777777" w:rsidR="00AC16DF" w:rsidRDefault="00AC16DF" w:rsidP="00AC16DF">
      <w:pPr>
        <w:jc w:val="center"/>
        <w:rPr>
          <w:b/>
          <w:bCs/>
          <w:u w:val="single"/>
        </w:rPr>
      </w:pPr>
    </w:p>
    <w:p w14:paraId="1B853F2E" w14:textId="77777777" w:rsidR="00AC16DF" w:rsidRDefault="00AC16DF" w:rsidP="00AC16DF">
      <w:pPr>
        <w:jc w:val="center"/>
        <w:rPr>
          <w:b/>
          <w:bCs/>
          <w:u w:val="single"/>
        </w:rPr>
      </w:pPr>
    </w:p>
    <w:p w14:paraId="5A981BEC" w14:textId="77777777" w:rsidR="00AC16DF" w:rsidRDefault="00AC16DF" w:rsidP="00AC16DF">
      <w:pPr>
        <w:jc w:val="center"/>
        <w:rPr>
          <w:b/>
          <w:bCs/>
          <w:u w:val="single"/>
        </w:rPr>
      </w:pPr>
    </w:p>
    <w:p w14:paraId="360D687F" w14:textId="77777777" w:rsidR="00AC16DF" w:rsidRDefault="00AC16DF" w:rsidP="00AC16DF">
      <w:pPr>
        <w:jc w:val="center"/>
        <w:rPr>
          <w:b/>
          <w:bCs/>
          <w:u w:val="single"/>
        </w:rPr>
      </w:pPr>
    </w:p>
    <w:p w14:paraId="641F1F1F" w14:textId="77777777" w:rsidR="00AC16DF" w:rsidRDefault="00AC16DF" w:rsidP="00AC16DF">
      <w:pPr>
        <w:jc w:val="center"/>
        <w:rPr>
          <w:b/>
          <w:bCs/>
          <w:u w:val="single"/>
        </w:rPr>
      </w:pPr>
    </w:p>
    <w:p w14:paraId="444FA64F" w14:textId="6D6920C2" w:rsidR="00AC16DF" w:rsidRDefault="00AC16DF" w:rsidP="00AC16DF">
      <w:pPr>
        <w:rPr>
          <w:b/>
          <w:bCs/>
          <w:u w:val="single"/>
        </w:rPr>
      </w:pPr>
      <w:r>
        <w:rPr>
          <w:b/>
          <w:bCs/>
          <w:u w:val="single"/>
        </w:rPr>
        <w:t>Contents</w:t>
      </w:r>
    </w:p>
    <w:p w14:paraId="76611BBD" w14:textId="03BA6138" w:rsidR="00AC16DF" w:rsidRPr="00F53447" w:rsidRDefault="00AC16DF" w:rsidP="00AC16DF">
      <w:pPr>
        <w:rPr>
          <w:b/>
          <w:bCs/>
          <w:u w:val="single"/>
        </w:rPr>
      </w:pPr>
      <w:r w:rsidRPr="00F53447">
        <w:rPr>
          <w:b/>
          <w:bCs/>
          <w:u w:val="single"/>
        </w:rPr>
        <w:t>Introduction</w:t>
      </w:r>
      <w:r w:rsidRPr="00F53447">
        <w:rPr>
          <w:b/>
          <w:bCs/>
          <w:u w:val="single"/>
        </w:rPr>
        <w:br/>
        <w:t>Market Failure</w:t>
      </w:r>
      <w:r w:rsidRPr="00AC16DF">
        <w:rPr>
          <w:b/>
          <w:bCs/>
        </w:rPr>
        <w:br/>
      </w:r>
      <w:r w:rsidRPr="00F53447">
        <w:rPr>
          <w:b/>
          <w:bCs/>
          <w:u w:val="single"/>
        </w:rPr>
        <w:t xml:space="preserve">Method and solutions to a failing </w:t>
      </w:r>
      <w:proofErr w:type="gramStart"/>
      <w:r w:rsidRPr="00F53447">
        <w:rPr>
          <w:b/>
          <w:bCs/>
          <w:u w:val="single"/>
        </w:rPr>
        <w:t>market</w:t>
      </w:r>
      <w:proofErr w:type="gramEnd"/>
    </w:p>
    <w:p w14:paraId="320797DA" w14:textId="7D7F0DA7" w:rsidR="00AC16DF" w:rsidRPr="00AC16DF" w:rsidRDefault="00AC16DF" w:rsidP="00AC16DF">
      <w:pPr>
        <w:rPr>
          <w:b/>
          <w:bCs/>
        </w:rPr>
      </w:pPr>
      <w:r w:rsidRPr="00AC16DF">
        <w:rPr>
          <w:b/>
          <w:bCs/>
        </w:rPr>
        <w:t>Solution 1</w:t>
      </w:r>
      <w:r w:rsidRPr="00AC16DF">
        <w:rPr>
          <w:b/>
          <w:bCs/>
        </w:rPr>
        <w:br/>
        <w:t>Market performance after</w:t>
      </w:r>
      <w:r w:rsidR="00F53447">
        <w:rPr>
          <w:b/>
          <w:bCs/>
        </w:rPr>
        <w:t xml:space="preserve"> government regulation/pollution limits</w:t>
      </w:r>
    </w:p>
    <w:p w14:paraId="1315D910" w14:textId="0F1906FF" w:rsidR="00AC16DF" w:rsidRPr="00AC16DF" w:rsidRDefault="00AC16DF" w:rsidP="00AC16DF">
      <w:pPr>
        <w:rPr>
          <w:b/>
          <w:bCs/>
        </w:rPr>
      </w:pPr>
      <w:r w:rsidRPr="00AC16DF">
        <w:rPr>
          <w:b/>
          <w:bCs/>
        </w:rPr>
        <w:t xml:space="preserve">Solution </w:t>
      </w:r>
      <w:r w:rsidRPr="00AC16DF">
        <w:rPr>
          <w:b/>
          <w:bCs/>
        </w:rPr>
        <w:t>2</w:t>
      </w:r>
      <w:r w:rsidRPr="00AC16DF">
        <w:rPr>
          <w:b/>
          <w:bCs/>
        </w:rPr>
        <w:br/>
        <w:t>Market performance after</w:t>
      </w:r>
      <w:r w:rsidR="00F53447">
        <w:rPr>
          <w:b/>
          <w:bCs/>
        </w:rPr>
        <w:t xml:space="preserve"> pollution Tax</w:t>
      </w:r>
    </w:p>
    <w:p w14:paraId="48350764" w14:textId="3A4F22A2" w:rsidR="00AC16DF" w:rsidRPr="00AC16DF" w:rsidRDefault="00AC16DF" w:rsidP="00AC16DF">
      <w:pPr>
        <w:rPr>
          <w:b/>
          <w:bCs/>
        </w:rPr>
      </w:pPr>
      <w:r w:rsidRPr="00AC16DF">
        <w:rPr>
          <w:b/>
          <w:bCs/>
        </w:rPr>
        <w:t xml:space="preserve">Solution </w:t>
      </w:r>
      <w:r w:rsidRPr="00AC16DF">
        <w:rPr>
          <w:b/>
          <w:bCs/>
        </w:rPr>
        <w:t>3</w:t>
      </w:r>
      <w:r w:rsidRPr="00AC16DF">
        <w:rPr>
          <w:b/>
          <w:bCs/>
        </w:rPr>
        <w:br/>
        <w:t>Market performance after</w:t>
      </w:r>
      <w:r w:rsidR="00F53447">
        <w:rPr>
          <w:b/>
          <w:bCs/>
        </w:rPr>
        <w:t xml:space="preserve"> </w:t>
      </w:r>
      <w:proofErr w:type="gramStart"/>
      <w:r w:rsidR="00F53447">
        <w:rPr>
          <w:b/>
          <w:bCs/>
        </w:rPr>
        <w:t>Permits</w:t>
      </w:r>
      <w:proofErr w:type="gramEnd"/>
    </w:p>
    <w:p w14:paraId="30A59DE1" w14:textId="78DFECE5" w:rsidR="00AC16DF" w:rsidRPr="00F53447" w:rsidRDefault="00AC16DF" w:rsidP="00AC16DF">
      <w:pPr>
        <w:rPr>
          <w:b/>
          <w:bCs/>
          <w:u w:val="single"/>
        </w:rPr>
      </w:pPr>
      <w:r w:rsidRPr="00F53447">
        <w:rPr>
          <w:b/>
          <w:bCs/>
          <w:u w:val="single"/>
        </w:rPr>
        <w:t>Conclusion</w:t>
      </w:r>
    </w:p>
    <w:p w14:paraId="4DC3746C" w14:textId="78FF4DA6" w:rsidR="00AC16DF" w:rsidRPr="00F53447" w:rsidRDefault="00AC16DF" w:rsidP="00AC16DF">
      <w:pPr>
        <w:rPr>
          <w:b/>
          <w:bCs/>
          <w:u w:val="single"/>
        </w:rPr>
      </w:pPr>
      <w:r w:rsidRPr="00F53447">
        <w:rPr>
          <w:b/>
          <w:bCs/>
          <w:u w:val="single"/>
        </w:rPr>
        <w:t>Bibliography</w:t>
      </w:r>
    </w:p>
    <w:p w14:paraId="1FE9541C" w14:textId="77777777" w:rsidR="006F4314" w:rsidRDefault="006F4314" w:rsidP="00AC16DF">
      <w:pPr>
        <w:rPr>
          <w:b/>
          <w:bCs/>
        </w:rPr>
      </w:pPr>
    </w:p>
    <w:p w14:paraId="7468DE54" w14:textId="77777777" w:rsidR="006F4314" w:rsidRDefault="006F4314" w:rsidP="00AC16DF">
      <w:pPr>
        <w:rPr>
          <w:b/>
          <w:bCs/>
        </w:rPr>
      </w:pPr>
    </w:p>
    <w:p w14:paraId="339834BB" w14:textId="77777777" w:rsidR="006F4314" w:rsidRDefault="006F4314" w:rsidP="00AC16DF">
      <w:pPr>
        <w:rPr>
          <w:b/>
          <w:bCs/>
        </w:rPr>
      </w:pPr>
    </w:p>
    <w:p w14:paraId="34C36E78" w14:textId="77777777" w:rsidR="006F4314" w:rsidRDefault="006F4314" w:rsidP="00AC16DF">
      <w:pPr>
        <w:rPr>
          <w:b/>
          <w:bCs/>
        </w:rPr>
      </w:pPr>
    </w:p>
    <w:p w14:paraId="4D93D5A8" w14:textId="77777777" w:rsidR="006F4314" w:rsidRDefault="006F4314" w:rsidP="00AC16DF">
      <w:pPr>
        <w:rPr>
          <w:b/>
          <w:bCs/>
        </w:rPr>
      </w:pPr>
    </w:p>
    <w:p w14:paraId="13EDF66E" w14:textId="77777777" w:rsidR="006F4314" w:rsidRDefault="006F4314" w:rsidP="00AC16DF">
      <w:pPr>
        <w:rPr>
          <w:b/>
          <w:bCs/>
        </w:rPr>
      </w:pPr>
    </w:p>
    <w:p w14:paraId="297EC3D8" w14:textId="77777777" w:rsidR="006F4314" w:rsidRDefault="006F4314" w:rsidP="00AC16DF">
      <w:pPr>
        <w:rPr>
          <w:b/>
          <w:bCs/>
        </w:rPr>
      </w:pPr>
    </w:p>
    <w:p w14:paraId="5324171E" w14:textId="77777777" w:rsidR="006F4314" w:rsidRDefault="006F4314" w:rsidP="00AC16DF">
      <w:pPr>
        <w:rPr>
          <w:b/>
          <w:bCs/>
        </w:rPr>
      </w:pPr>
    </w:p>
    <w:p w14:paraId="1C638278" w14:textId="77777777" w:rsidR="006F4314" w:rsidRDefault="006F4314" w:rsidP="00AC16DF">
      <w:pPr>
        <w:rPr>
          <w:b/>
          <w:bCs/>
        </w:rPr>
      </w:pPr>
    </w:p>
    <w:p w14:paraId="4289665E" w14:textId="77777777" w:rsidR="006F4314" w:rsidRDefault="006F4314" w:rsidP="00AC16DF">
      <w:pPr>
        <w:rPr>
          <w:b/>
          <w:bCs/>
        </w:rPr>
      </w:pPr>
    </w:p>
    <w:p w14:paraId="397CBD6A" w14:textId="77777777" w:rsidR="006F4314" w:rsidRDefault="006F4314" w:rsidP="00AC16DF">
      <w:pPr>
        <w:rPr>
          <w:b/>
          <w:bCs/>
        </w:rPr>
      </w:pPr>
    </w:p>
    <w:p w14:paraId="73B2B29C" w14:textId="77777777" w:rsidR="006F4314" w:rsidRDefault="006F4314" w:rsidP="00AC16DF">
      <w:pPr>
        <w:rPr>
          <w:b/>
          <w:bCs/>
        </w:rPr>
      </w:pPr>
    </w:p>
    <w:p w14:paraId="6C18C1CD" w14:textId="77777777" w:rsidR="006F4314" w:rsidRDefault="006F4314" w:rsidP="00AC16DF">
      <w:pPr>
        <w:rPr>
          <w:b/>
          <w:bCs/>
        </w:rPr>
      </w:pPr>
    </w:p>
    <w:p w14:paraId="1C0E81FB" w14:textId="77777777" w:rsidR="006F4314" w:rsidRDefault="006F4314" w:rsidP="00AC16DF">
      <w:pPr>
        <w:rPr>
          <w:b/>
          <w:bCs/>
        </w:rPr>
      </w:pPr>
    </w:p>
    <w:p w14:paraId="70189C20" w14:textId="77777777" w:rsidR="006F4314" w:rsidRDefault="006F4314" w:rsidP="00AC16DF">
      <w:pPr>
        <w:rPr>
          <w:b/>
          <w:bCs/>
        </w:rPr>
      </w:pPr>
    </w:p>
    <w:p w14:paraId="23B1BAE4" w14:textId="77777777" w:rsidR="006F4314" w:rsidRDefault="006F4314" w:rsidP="00AC16DF">
      <w:pPr>
        <w:rPr>
          <w:b/>
          <w:bCs/>
        </w:rPr>
      </w:pPr>
    </w:p>
    <w:p w14:paraId="74D8DC05" w14:textId="77777777" w:rsidR="006F4314" w:rsidRDefault="006F4314" w:rsidP="00AC16DF">
      <w:pPr>
        <w:rPr>
          <w:b/>
          <w:bCs/>
        </w:rPr>
      </w:pPr>
    </w:p>
    <w:p w14:paraId="74AA9FAA" w14:textId="77777777" w:rsidR="006F4314" w:rsidRDefault="006F4314" w:rsidP="00AC16DF">
      <w:pPr>
        <w:rPr>
          <w:b/>
          <w:bCs/>
        </w:rPr>
      </w:pPr>
    </w:p>
    <w:p w14:paraId="61AF0D59" w14:textId="77777777" w:rsidR="006F4314" w:rsidRDefault="006F4314" w:rsidP="00AC16DF">
      <w:pPr>
        <w:rPr>
          <w:b/>
          <w:bCs/>
        </w:rPr>
      </w:pPr>
    </w:p>
    <w:p w14:paraId="427A4EEB" w14:textId="77777777" w:rsidR="00F53447" w:rsidRDefault="00F53447" w:rsidP="00AC16DF">
      <w:pPr>
        <w:rPr>
          <w:b/>
          <w:bCs/>
          <w:u w:val="single"/>
        </w:rPr>
      </w:pPr>
    </w:p>
    <w:p w14:paraId="4E550CCA" w14:textId="77777777" w:rsidR="00F53447" w:rsidRDefault="00F53447" w:rsidP="00AC16DF">
      <w:pPr>
        <w:rPr>
          <w:b/>
          <w:bCs/>
          <w:u w:val="single"/>
        </w:rPr>
      </w:pPr>
    </w:p>
    <w:p w14:paraId="7DAEF5E1" w14:textId="69326B8E" w:rsidR="006F4314" w:rsidRPr="00822FBB" w:rsidRDefault="006F4314" w:rsidP="00AC16DF">
      <w:pPr>
        <w:rPr>
          <w:b/>
          <w:bCs/>
          <w:u w:val="single"/>
        </w:rPr>
      </w:pPr>
      <w:r w:rsidRPr="00822FBB">
        <w:rPr>
          <w:b/>
          <w:bCs/>
          <w:u w:val="single"/>
        </w:rPr>
        <w:t>Introduction</w:t>
      </w:r>
    </w:p>
    <w:p w14:paraId="45A0725A" w14:textId="0F7B7FA0" w:rsidR="006F4314" w:rsidRDefault="00AD0DB8" w:rsidP="00AC16DF">
      <w:r w:rsidRPr="00AD0DB8">
        <w:t xml:space="preserve">Cement is a </w:t>
      </w:r>
      <w:r>
        <w:t xml:space="preserve">man-made </w:t>
      </w:r>
      <w:r w:rsidRPr="00AD0DB8">
        <w:t>product created</w:t>
      </w:r>
      <w:r>
        <w:t xml:space="preserve"> using a combination of natural ingredients, including Lime, chalk, shale, and other natural materials that either require extracting from the land or are by products of other processes. A chemical reaction is created by heating the materials at high temperatures, which then produces a substance that can be crushed to produce a substance that is the raw material used for concrete production </w:t>
      </w:r>
      <w:r w:rsidRPr="00AD0DB8">
        <w:t>(</w:t>
      </w:r>
      <w:proofErr w:type="spellStart"/>
      <w:r w:rsidRPr="00AD0DB8">
        <w:t>Gasdia</w:t>
      </w:r>
      <w:proofErr w:type="spellEnd"/>
      <w:r w:rsidRPr="00AD0DB8">
        <w:t xml:space="preserve">-Cochrane &amp; </w:t>
      </w:r>
      <w:proofErr w:type="spellStart"/>
      <w:r w:rsidRPr="00AD0DB8">
        <w:t>Gasdia</w:t>
      </w:r>
      <w:proofErr w:type="spellEnd"/>
      <w:r w:rsidRPr="00AD0DB8">
        <w:t>-Cochrane, 2023)</w:t>
      </w:r>
      <w:r>
        <w:t xml:space="preserve">. </w:t>
      </w:r>
    </w:p>
    <w:p w14:paraId="7E2F1D81" w14:textId="764B7B45" w:rsidR="00AD0DB8" w:rsidRDefault="00AD0DB8" w:rsidP="00AC16DF">
      <w:r>
        <w:t xml:space="preserve">Cement production has increased year on year since the 1940s, with production now estimated at </w:t>
      </w:r>
      <w:r w:rsidR="00885A60">
        <w:t xml:space="preserve">4.1 billion tons annually, this has increased rapidly, from 1.39 billion tons in 1995 and statistics showing the amount of cement produced globally increased by over 3000% since 1950, with the sharpest increase being in the last two decades from 1995 </w:t>
      </w:r>
      <w:r w:rsidR="00885A60" w:rsidRPr="00885A60">
        <w:t>(Cement Production Global 2023 | Statista, 2024)</w:t>
      </w:r>
      <w:r w:rsidR="00885A60">
        <w:t>.</w:t>
      </w:r>
    </w:p>
    <w:p w14:paraId="1CCF95AD" w14:textId="77777777" w:rsidR="00AD0DB8" w:rsidRDefault="00AD0DB8" w:rsidP="00AD0DB8">
      <w:pPr>
        <w:keepNext/>
        <w:jc w:val="center"/>
      </w:pPr>
      <w:r w:rsidRPr="00AD0DB8">
        <w:drawing>
          <wp:inline distT="0" distB="0" distL="0" distR="0" wp14:anchorId="661A73BE" wp14:editId="3FDA869C">
            <wp:extent cx="4128911" cy="2400300"/>
            <wp:effectExtent l="0" t="0" r="5080" b="0"/>
            <wp:docPr id="765593275" name="Picture 1" descr="A graph with green and orang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593275" name="Picture 1" descr="A graph with green and orange lines&#10;&#10;Description automatically generated"/>
                    <pic:cNvPicPr/>
                  </pic:nvPicPr>
                  <pic:blipFill>
                    <a:blip r:embed="rId6"/>
                    <a:stretch>
                      <a:fillRect/>
                    </a:stretch>
                  </pic:blipFill>
                  <pic:spPr>
                    <a:xfrm>
                      <a:off x="0" y="0"/>
                      <a:ext cx="4139597" cy="2406512"/>
                    </a:xfrm>
                    <a:prstGeom prst="rect">
                      <a:avLst/>
                    </a:prstGeom>
                  </pic:spPr>
                </pic:pic>
              </a:graphicData>
            </a:graphic>
          </wp:inline>
        </w:drawing>
      </w:r>
    </w:p>
    <w:p w14:paraId="460F5A8A" w14:textId="6DCB77C5" w:rsidR="00AD0DB8" w:rsidRDefault="00AD0DB8" w:rsidP="00AD0DB8">
      <w:pPr>
        <w:pStyle w:val="Caption"/>
        <w:jc w:val="center"/>
      </w:pPr>
      <w:r>
        <w:t>(Mohr Et al, 2015)</w:t>
      </w:r>
    </w:p>
    <w:p w14:paraId="457DC5A1" w14:textId="54859C54" w:rsidR="00885A60" w:rsidRDefault="00885A60" w:rsidP="00885A60">
      <w:r>
        <w:t xml:space="preserve">Globally, the nations producing and using </w:t>
      </w:r>
      <w:proofErr w:type="gramStart"/>
      <w:r>
        <w:t>the vast majority of</w:t>
      </w:r>
      <w:proofErr w:type="gramEnd"/>
      <w:r>
        <w:t xml:space="preserve"> Cement are China and India, </w:t>
      </w:r>
      <w:r w:rsidR="0076108B">
        <w:t xml:space="preserve">with China producing the majority of cement by a large margin (two billion metric tons produced in 2022) </w:t>
      </w:r>
      <w:r>
        <w:t xml:space="preserve">this </w:t>
      </w:r>
      <w:r w:rsidR="0076108B">
        <w:t>could be explained by the fact that</w:t>
      </w:r>
      <w:r>
        <w:t xml:space="preserve"> these countries are rapidly expanding and developing, and with development comes the need to build. As Cement is comprised of natural ingredients that are available worldwide, it is</w:t>
      </w:r>
      <w:r w:rsidR="0076108B">
        <w:t xml:space="preserve"> a substance that </w:t>
      </w:r>
      <w:proofErr w:type="gramStart"/>
      <w:r w:rsidR="0076108B">
        <w:t>the majority of</w:t>
      </w:r>
      <w:proofErr w:type="gramEnd"/>
      <w:r w:rsidR="0076108B">
        <w:t xml:space="preserve"> countries will have the resources to produce, and there is unlikely to be a need to import cement unless restricted in production due to market limiting, resource scarcity (due to over production) or other factors which will be discussed further in this essay.</w:t>
      </w:r>
    </w:p>
    <w:p w14:paraId="047853BD" w14:textId="796FDEF5" w:rsidR="000C1556" w:rsidRDefault="0076108B" w:rsidP="006F4314">
      <w:r>
        <w:t xml:space="preserve">Perhaps surprisingly, Cement is the second most consumer substance in the world, with only water being a more ‘in demand’ resource </w:t>
      </w:r>
      <w:r w:rsidRPr="0076108B">
        <w:t>(Gagg, 2014)</w:t>
      </w:r>
      <w:r w:rsidR="000C6515">
        <w:t xml:space="preserve"> and cement production is responsible for around 8% of the worlds CO2 emissions </w:t>
      </w:r>
      <w:r w:rsidR="000C6515" w:rsidRPr="000C6515">
        <w:t>(Ali et al., 2015)</w:t>
      </w:r>
      <w:r w:rsidR="000C6515">
        <w:t xml:space="preserve"> as well as creating a lasting impact on communities where the natural materials required </w:t>
      </w:r>
      <w:r w:rsidR="00255E39">
        <w:t>for</w:t>
      </w:r>
      <w:r w:rsidR="000C6515">
        <w:t xml:space="preserve"> production are extracted, </w:t>
      </w:r>
      <w:r w:rsidR="000C1556">
        <w:t xml:space="preserve">including increased respiratory and other health issues in communities in proximity to mining works (the materials used in cement are usually produced by surface blast mining), </w:t>
      </w:r>
      <w:r w:rsidR="00E231A6">
        <w:t xml:space="preserve">as well as permanent economic deterioration such as </w:t>
      </w:r>
      <w:r w:rsidR="000C1556">
        <w:t xml:space="preserve">decreased biodiversity, water pollution, noise pollution, methane emissions and landscape affects, which can impact house prices, as well as damage to properties from blast mining shockwaves and </w:t>
      </w:r>
      <w:r w:rsidR="00255E39">
        <w:t>ongoing</w:t>
      </w:r>
      <w:r w:rsidR="000C1556">
        <w:t xml:space="preserve"> damage to roads due to increased traffic </w:t>
      </w:r>
      <w:r w:rsidR="000C1556" w:rsidRPr="000C1556">
        <w:t>(Ferrini et al., 2021)</w:t>
      </w:r>
      <w:r w:rsidR="000C1556">
        <w:t>.</w:t>
      </w:r>
    </w:p>
    <w:p w14:paraId="3363DDE3" w14:textId="6F90A5FF" w:rsidR="000C1556" w:rsidRDefault="000C1556" w:rsidP="006F4314">
      <w:r>
        <w:lastRenderedPageBreak/>
        <w:t xml:space="preserve">The purpose of this essay is to examine the solutions that have been put in place </w:t>
      </w:r>
      <w:proofErr w:type="gramStart"/>
      <w:r>
        <w:t>in order to</w:t>
      </w:r>
      <w:proofErr w:type="gramEnd"/>
      <w:r>
        <w:t xml:space="preserve"> address the negative externalities of production o</w:t>
      </w:r>
      <w:r w:rsidR="00255E39">
        <w:t>f</w:t>
      </w:r>
      <w:r>
        <w:t xml:space="preserve"> </w:t>
      </w:r>
      <w:r w:rsidR="0099429E">
        <w:t>cement and</w:t>
      </w:r>
      <w:r>
        <w:t xml:space="preserve"> explore the effectiveness of these solutions</w:t>
      </w:r>
      <w:r w:rsidR="0099429E">
        <w:t>.</w:t>
      </w:r>
    </w:p>
    <w:p w14:paraId="10AD3366" w14:textId="77777777" w:rsidR="0099429E" w:rsidRDefault="000C1556" w:rsidP="006F4314">
      <w:pPr>
        <w:rPr>
          <w:b/>
          <w:bCs/>
        </w:rPr>
      </w:pPr>
      <w:r>
        <w:br/>
      </w:r>
    </w:p>
    <w:p w14:paraId="554701C1" w14:textId="5FC12B76" w:rsidR="000C1556" w:rsidRPr="00822FBB" w:rsidRDefault="006F4314" w:rsidP="006F4314">
      <w:pPr>
        <w:rPr>
          <w:b/>
          <w:bCs/>
          <w:u w:val="single"/>
        </w:rPr>
      </w:pPr>
      <w:r w:rsidRPr="00822FBB">
        <w:rPr>
          <w:b/>
          <w:bCs/>
          <w:u w:val="single"/>
        </w:rPr>
        <w:t>Market Failure</w:t>
      </w:r>
    </w:p>
    <w:p w14:paraId="155E9235" w14:textId="5EB4DD49" w:rsidR="0099429E" w:rsidRDefault="0099429E" w:rsidP="0099429E">
      <w:proofErr w:type="gramStart"/>
      <w:r w:rsidRPr="0099429E">
        <w:t xml:space="preserve">It is clear that </w:t>
      </w:r>
      <w:r>
        <w:t>the</w:t>
      </w:r>
      <w:proofErr w:type="gramEnd"/>
      <w:r>
        <w:t xml:space="preserve"> level of CO2 production and environmental damage and societal damage caused by the cement industry is not equalled by the benefit it brings, therefore the cement industry has reached a ‘market failure’ level </w:t>
      </w:r>
      <w:r w:rsidR="00E231A6">
        <w:t>due to negative externalities of production and</w:t>
      </w:r>
      <w:r>
        <w:t xml:space="preserve"> is unsustainable unless changes are implemented to bring the cement production industry to an equilibrium point. International pressure is mounting to reduce emissions and make business more sustainable, and if an industry cannot make the changes required, they risk </w:t>
      </w:r>
      <w:r>
        <w:t>export barriers and economic consequences</w:t>
      </w:r>
      <w:r>
        <w:t xml:space="preserve">. Market failure is defined as </w:t>
      </w:r>
      <w:r w:rsidR="00E231A6">
        <w:t xml:space="preserve">an “inefficient distribution of goods and services” </w:t>
      </w:r>
      <w:r w:rsidR="00E231A6" w:rsidRPr="00E231A6">
        <w:t>(Market Failure | INOMICS, 2023)</w:t>
      </w:r>
      <w:r w:rsidR="00E231A6">
        <w:t xml:space="preserve"> </w:t>
      </w:r>
    </w:p>
    <w:p w14:paraId="681BC6EE" w14:textId="4C4540AD" w:rsidR="0099429E" w:rsidRDefault="00E231A6" w:rsidP="0099429E">
      <w:r>
        <w:t xml:space="preserve">The negative externalities of production of cement, </w:t>
      </w:r>
      <w:r w:rsidR="005D0CB8">
        <w:t xml:space="preserve">which cause welfare loss as a byproduct or ‘external cost’ </w:t>
      </w:r>
      <w:r>
        <w:t xml:space="preserve">at a local and global level are not </w:t>
      </w:r>
      <w:proofErr w:type="gramStart"/>
      <w:r>
        <w:t>taken into account</w:t>
      </w:r>
      <w:proofErr w:type="gramEnd"/>
      <w:r>
        <w:t xml:space="preserve"> when factoring in production cost and are not passed onto the consumer. Solutions need to be put in place </w:t>
      </w:r>
      <w:proofErr w:type="gramStart"/>
      <w:r>
        <w:t>in order to</w:t>
      </w:r>
      <w:proofErr w:type="gramEnd"/>
      <w:r>
        <w:t xml:space="preserve"> mitigate the social, environmental and economic cost of cement production. </w:t>
      </w:r>
      <w:r w:rsidR="00822FBB">
        <w:t>The below diagram demonstrates how negative externalities of production create welfare loss</w:t>
      </w:r>
      <w:r w:rsidR="00265268">
        <w:t xml:space="preserve"> and external cost.</w:t>
      </w:r>
    </w:p>
    <w:p w14:paraId="1F2E0C0C" w14:textId="77777777" w:rsidR="005D0CB8" w:rsidRDefault="005D0CB8" w:rsidP="005D0CB8">
      <w:pPr>
        <w:keepNext/>
        <w:jc w:val="center"/>
      </w:pPr>
      <w:r w:rsidRPr="005D0CB8">
        <w:drawing>
          <wp:inline distT="0" distB="0" distL="0" distR="0" wp14:anchorId="736ED29D" wp14:editId="7D92CFA9">
            <wp:extent cx="4336156" cy="3688400"/>
            <wp:effectExtent l="0" t="0" r="7620" b="7620"/>
            <wp:docPr id="812925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925827" name=""/>
                    <pic:cNvPicPr/>
                  </pic:nvPicPr>
                  <pic:blipFill>
                    <a:blip r:embed="rId7"/>
                    <a:stretch>
                      <a:fillRect/>
                    </a:stretch>
                  </pic:blipFill>
                  <pic:spPr>
                    <a:xfrm>
                      <a:off x="0" y="0"/>
                      <a:ext cx="4336156" cy="3688400"/>
                    </a:xfrm>
                    <a:prstGeom prst="rect">
                      <a:avLst/>
                    </a:prstGeom>
                  </pic:spPr>
                </pic:pic>
              </a:graphicData>
            </a:graphic>
          </wp:inline>
        </w:drawing>
      </w:r>
    </w:p>
    <w:p w14:paraId="7ED176A4" w14:textId="3DC93EDB" w:rsidR="005D0CB8" w:rsidRDefault="005D0CB8" w:rsidP="005D0CB8">
      <w:pPr>
        <w:pStyle w:val="Caption"/>
        <w:jc w:val="center"/>
      </w:pPr>
      <w:proofErr w:type="spellStart"/>
      <w:r>
        <w:t>MicroEconomics</w:t>
      </w:r>
      <w:proofErr w:type="spellEnd"/>
      <w:r>
        <w:t xml:space="preserve"> (adjusted)</w:t>
      </w:r>
    </w:p>
    <w:p w14:paraId="0BA606BF" w14:textId="201B3BE8" w:rsidR="006F4314" w:rsidRDefault="006F4314" w:rsidP="006F4314">
      <w:pPr>
        <w:rPr>
          <w:b/>
          <w:bCs/>
          <w:u w:val="single"/>
        </w:rPr>
      </w:pPr>
      <w:r w:rsidRPr="00AC16DF">
        <w:rPr>
          <w:b/>
          <w:bCs/>
        </w:rPr>
        <w:br/>
      </w:r>
      <w:r w:rsidRPr="00822FBB">
        <w:rPr>
          <w:b/>
          <w:bCs/>
          <w:u w:val="single"/>
        </w:rPr>
        <w:t xml:space="preserve">Method and solutions to a failing </w:t>
      </w:r>
      <w:proofErr w:type="gramStart"/>
      <w:r w:rsidRPr="00822FBB">
        <w:rPr>
          <w:b/>
          <w:bCs/>
          <w:u w:val="single"/>
        </w:rPr>
        <w:t>M</w:t>
      </w:r>
      <w:r w:rsidRPr="00822FBB">
        <w:rPr>
          <w:b/>
          <w:bCs/>
          <w:u w:val="single"/>
        </w:rPr>
        <w:t>arket</w:t>
      </w:r>
      <w:proofErr w:type="gramEnd"/>
    </w:p>
    <w:p w14:paraId="06482702" w14:textId="3B36BD28" w:rsidR="00377B39" w:rsidRDefault="00377B39" w:rsidP="006F4314">
      <w:r w:rsidRPr="00377B39">
        <w:t xml:space="preserve">The Cement industry is one that is </w:t>
      </w:r>
      <w:r>
        <w:t xml:space="preserve">subject to what is known as ‘inelastic demand’ – this means that broadly, demand for the product will stay the same despite if the price increases or decreases. In the </w:t>
      </w:r>
      <w:r>
        <w:lastRenderedPageBreak/>
        <w:t xml:space="preserve">case of the construction </w:t>
      </w:r>
      <w:r w:rsidR="00B8407B">
        <w:t>industry,</w:t>
      </w:r>
      <w:r>
        <w:t xml:space="preserve"> it is usually only in the worst cases of economic downturn where supply and demand for products are impacted</w:t>
      </w:r>
      <w:r w:rsidR="00B8407B">
        <w:t xml:space="preserve"> </w:t>
      </w:r>
      <w:r w:rsidR="00B8407B" w:rsidRPr="00B8407B">
        <w:t>(Fibich et al., 2005)</w:t>
      </w:r>
      <w:r w:rsidR="00B8407B">
        <w:t xml:space="preserve"> </w:t>
      </w:r>
    </w:p>
    <w:p w14:paraId="275BCD20" w14:textId="047A01BF" w:rsidR="00B8407B" w:rsidRPr="00377B39" w:rsidRDefault="00B8407B" w:rsidP="006F4314">
      <w:r>
        <w:t>Cement demand grow 8% in 2022 and 12% in 2023, this is despite rising pieces due to global inflation</w:t>
      </w:r>
      <w:r w:rsidRPr="00B8407B">
        <w:t xml:space="preserve"> </w:t>
      </w:r>
      <w:r w:rsidRPr="00B8407B">
        <w:t>(</w:t>
      </w:r>
      <w:proofErr w:type="spellStart"/>
      <w:r w:rsidRPr="00B8407B">
        <w:t>Pti</w:t>
      </w:r>
      <w:proofErr w:type="spellEnd"/>
      <w:r w:rsidRPr="00B8407B">
        <w:t>, 2024)</w:t>
      </w:r>
      <w:r>
        <w:t xml:space="preserve"> – with an increase in production and supply, the private benefit to producers and suppliers</w:t>
      </w:r>
      <w:r w:rsidR="00F53447">
        <w:t xml:space="preserve"> is not the only factor that must be </w:t>
      </w:r>
      <w:proofErr w:type="gramStart"/>
      <w:r w:rsidR="00F53447">
        <w:t>taken into account</w:t>
      </w:r>
      <w:proofErr w:type="gramEnd"/>
      <w:r w:rsidR="00F53447">
        <w:t xml:space="preserve">, with social and ecological impact increasing as production increases </w:t>
      </w:r>
      <w:r w:rsidR="00F53447" w:rsidRPr="00F53447">
        <w:t>(Juarez &amp; Finnegan, 2021)</w:t>
      </w:r>
      <w:r w:rsidR="00F53447">
        <w:t xml:space="preserve">. Several solutions to the market </w:t>
      </w:r>
      <w:proofErr w:type="gramStart"/>
      <w:r w:rsidR="00F53447">
        <w:t>failure, and</w:t>
      </w:r>
      <w:proofErr w:type="gramEnd"/>
      <w:r w:rsidR="00F53447">
        <w:t xml:space="preserve"> attempts to find a balance between essential production and the required reparations are explored in the following sections.</w:t>
      </w:r>
    </w:p>
    <w:p w14:paraId="4E749BA4" w14:textId="77777777" w:rsidR="00822FBB" w:rsidRDefault="006F4314" w:rsidP="006F4314">
      <w:pPr>
        <w:rPr>
          <w:b/>
          <w:bCs/>
        </w:rPr>
      </w:pPr>
      <w:r w:rsidRPr="00AC16DF">
        <w:rPr>
          <w:b/>
          <w:bCs/>
        </w:rPr>
        <w:t>Solution 1</w:t>
      </w:r>
      <w:r w:rsidR="00822FBB">
        <w:rPr>
          <w:b/>
          <w:bCs/>
        </w:rPr>
        <w:t>- Government regulation/pollution limits</w:t>
      </w:r>
    </w:p>
    <w:p w14:paraId="5E471F5B" w14:textId="441D486F" w:rsidR="00822FBB" w:rsidRDefault="00265268" w:rsidP="006F4314">
      <w:r w:rsidRPr="00265268">
        <w:t xml:space="preserve">One solution to the market failure </w:t>
      </w:r>
      <w:r>
        <w:t xml:space="preserve">is that of government regulations on production of goods, or a cap on the amount of pollution a company/industry can produce. </w:t>
      </w:r>
      <w:r w:rsidR="003950F6">
        <w:t xml:space="preserve">The aim of this is to produce an efficient outcome by making the producer/company pay for the emissions and impact it produces, or by regulating the total amount of pollution that can be produced by a company/producer annually, keeping pollution within pre-prescribed limits and therefore meeting targets. The risks of this method are that the costs of meeting the additional costs are likely to be passed onto the consumer, which may mean that consumers consumer less of the product, or that producers simply manufacture less of the product </w:t>
      </w:r>
      <w:proofErr w:type="gramStart"/>
      <w:r w:rsidR="003950F6">
        <w:t>in order to</w:t>
      </w:r>
      <w:proofErr w:type="gramEnd"/>
      <w:r w:rsidR="003950F6">
        <w:t xml:space="preserve"> stay within the limits of pollution allowed. </w:t>
      </w:r>
    </w:p>
    <w:p w14:paraId="24EC813A" w14:textId="7E33AE97" w:rsidR="003950F6" w:rsidRDefault="003950F6" w:rsidP="006F4314">
      <w:r>
        <w:t xml:space="preserve">The </w:t>
      </w:r>
      <w:r w:rsidRPr="003950F6">
        <w:rPr>
          <w:i/>
          <w:iCs/>
        </w:rPr>
        <w:t>intention</w:t>
      </w:r>
      <w:r>
        <w:t xml:space="preserve"> of schemes and regulations of this kind is that producers will explore more sustainable and effective methods of production, which allow them to continue production and sale, while causing less impact to the environment. </w:t>
      </w:r>
    </w:p>
    <w:p w14:paraId="32E5B8F6" w14:textId="4C71E4EF" w:rsidR="00582D99" w:rsidRDefault="00582D99" w:rsidP="006F4314">
      <w:r>
        <w:t>The below figure demonstrates how pollution limits for producers/companies can be modelled.</w:t>
      </w:r>
      <w:r w:rsidRPr="00582D99">
        <w:drawing>
          <wp:inline distT="0" distB="0" distL="0" distR="0" wp14:anchorId="52ECDB9B" wp14:editId="0EA8CC8E">
            <wp:extent cx="4839105" cy="3855720"/>
            <wp:effectExtent l="0" t="0" r="0" b="0"/>
            <wp:docPr id="1345384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384398" name=""/>
                    <pic:cNvPicPr/>
                  </pic:nvPicPr>
                  <pic:blipFill>
                    <a:blip r:embed="rId8"/>
                    <a:stretch>
                      <a:fillRect/>
                    </a:stretch>
                  </pic:blipFill>
                  <pic:spPr>
                    <a:xfrm>
                      <a:off x="0" y="0"/>
                      <a:ext cx="4841791" cy="3857860"/>
                    </a:xfrm>
                    <a:prstGeom prst="rect">
                      <a:avLst/>
                    </a:prstGeom>
                  </pic:spPr>
                </pic:pic>
              </a:graphicData>
            </a:graphic>
          </wp:inline>
        </w:drawing>
      </w:r>
    </w:p>
    <w:p w14:paraId="3DEAF050" w14:textId="0341CDB0" w:rsidR="004139A0" w:rsidRPr="004139A0" w:rsidRDefault="006F4314" w:rsidP="004139A0">
      <w:pPr>
        <w:rPr>
          <w:rFonts w:ascii="Times New Roman" w:eastAsia="Times New Roman" w:hAnsi="Times New Roman" w:cs="Times New Roman"/>
          <w:kern w:val="0"/>
          <w:sz w:val="24"/>
          <w:szCs w:val="24"/>
          <w:lang w:eastAsia="en-GB"/>
          <w14:ligatures w14:val="none"/>
        </w:rPr>
      </w:pPr>
      <w:r w:rsidRPr="00AC16DF">
        <w:rPr>
          <w:b/>
          <w:bCs/>
        </w:rPr>
        <w:br/>
        <w:t>Market performance afte</w:t>
      </w:r>
      <w:r w:rsidR="00265268">
        <w:rPr>
          <w:b/>
          <w:bCs/>
        </w:rPr>
        <w:t>r Government regulation</w:t>
      </w:r>
      <w:r w:rsidR="00582D99">
        <w:rPr>
          <w:b/>
          <w:bCs/>
        </w:rPr>
        <w:t>- Regulation/Pollution limits.</w:t>
      </w:r>
      <w:r w:rsidR="00582D99">
        <w:rPr>
          <w:b/>
          <w:bCs/>
        </w:rPr>
        <w:br/>
      </w:r>
      <w:r w:rsidR="004139A0" w:rsidRPr="004139A0">
        <w:lastRenderedPageBreak/>
        <w:t xml:space="preserve">The American ‘Clean Air Act’ </w:t>
      </w:r>
      <w:r w:rsidR="00255E39">
        <w:t xml:space="preserve">was </w:t>
      </w:r>
      <w:r w:rsidR="004139A0" w:rsidRPr="004139A0">
        <w:t>implemented in 1990, but not scheduled for full compliance until 2002</w:t>
      </w:r>
      <w:r w:rsidR="00255E39">
        <w:t>, the act</w:t>
      </w:r>
      <w:r w:rsidR="004139A0">
        <w:t xml:space="preserve"> included pollution limits and fines for exceeding this as part of the legislation, and has been widely criticised, as although the limits were (broadly) adhered to, this has caused an increase in costs in production, and allegedly hindered expansion, causing increased costs for consumers and causing competitive disadvantage, meaning that companies in America are ‘unable </w:t>
      </w:r>
      <w:r w:rsidR="004139A0" w:rsidRPr="004139A0">
        <w:t>to compete economically with China, India, and other developing economies</w:t>
      </w:r>
      <w:r w:rsidR="004139A0">
        <w:t xml:space="preserve">” </w:t>
      </w:r>
      <w:r w:rsidR="004139A0" w:rsidRPr="004139A0">
        <w:rPr>
          <w:rFonts w:ascii="Times New Roman" w:eastAsia="Times New Roman" w:hAnsi="Times New Roman" w:cs="Times New Roman"/>
          <w:kern w:val="0"/>
          <w:sz w:val="24"/>
          <w:szCs w:val="24"/>
          <w:lang w:eastAsia="en-GB"/>
          <w14:ligatures w14:val="none"/>
        </w:rPr>
        <w:t>(</w:t>
      </w:r>
      <w:r w:rsidR="004139A0" w:rsidRPr="004139A0">
        <w:rPr>
          <w:rFonts w:ascii="Times New Roman" w:eastAsia="Times New Roman" w:hAnsi="Times New Roman" w:cs="Times New Roman"/>
          <w:i/>
          <w:iCs/>
          <w:kern w:val="0"/>
          <w:sz w:val="24"/>
          <w:szCs w:val="24"/>
          <w:lang w:eastAsia="en-GB"/>
          <w14:ligatures w14:val="none"/>
        </w:rPr>
        <w:t>U.S. Senate Committee on Environment And Public Works</w:t>
      </w:r>
      <w:r w:rsidR="004139A0" w:rsidRPr="004139A0">
        <w:rPr>
          <w:rFonts w:ascii="Times New Roman" w:eastAsia="Times New Roman" w:hAnsi="Times New Roman" w:cs="Times New Roman"/>
          <w:kern w:val="0"/>
          <w:sz w:val="24"/>
          <w:szCs w:val="24"/>
          <w:lang w:eastAsia="en-GB"/>
          <w14:ligatures w14:val="none"/>
        </w:rPr>
        <w:t>, n.d.)</w:t>
      </w:r>
    </w:p>
    <w:p w14:paraId="7B5D7EB0" w14:textId="6B797DDF" w:rsidR="006F4314" w:rsidRDefault="004139A0" w:rsidP="006F4314">
      <w:r w:rsidRPr="004139A0">
        <w:t>It is important to note that while the Clean Air Act has been heavily criticized as detrimental to</w:t>
      </w:r>
      <w:r>
        <w:rPr>
          <w:b/>
          <w:bCs/>
        </w:rPr>
        <w:t xml:space="preserve"> </w:t>
      </w:r>
      <w:r w:rsidRPr="004139A0">
        <w:t xml:space="preserve">industry, there is very little data to show that producers have attempted to invest in alternative technologies or more sustainable techniques, rather have continued with the ‘old methods’ while protesting that their production capacity is impacted </w:t>
      </w:r>
      <w:r w:rsidRPr="004139A0">
        <w:t>(Nisbet, 2002)</w:t>
      </w:r>
      <w:r>
        <w:t>.</w:t>
      </w:r>
    </w:p>
    <w:p w14:paraId="306CCE2F" w14:textId="7811A0B2" w:rsidR="004139A0" w:rsidRPr="004139A0" w:rsidRDefault="004139A0" w:rsidP="006F4314">
      <w:r>
        <w:t>The clear picture is that pollution limits work, but they will only work to make a real difference globally if all nations are required to meet the same standard. Without a standardised regulation the problem of pollution only moves to another location.</w:t>
      </w:r>
    </w:p>
    <w:p w14:paraId="559C9BFA" w14:textId="77777777" w:rsidR="00582D99" w:rsidRDefault="006F4314" w:rsidP="006F4314">
      <w:pPr>
        <w:rPr>
          <w:b/>
          <w:bCs/>
        </w:rPr>
      </w:pPr>
      <w:r w:rsidRPr="00AC16DF">
        <w:rPr>
          <w:b/>
          <w:bCs/>
        </w:rPr>
        <w:t>Solution 2</w:t>
      </w:r>
      <w:r w:rsidR="00822FBB">
        <w:rPr>
          <w:b/>
          <w:bCs/>
        </w:rPr>
        <w:t xml:space="preserve">- Taxes/Levies </w:t>
      </w:r>
    </w:p>
    <w:p w14:paraId="02F9CAB6" w14:textId="216B8B6A" w:rsidR="004139A0" w:rsidRPr="004139A0" w:rsidRDefault="004139A0" w:rsidP="006F4314">
      <w:r>
        <w:t xml:space="preserve">Taxes and Levies per Unit of pollution is another method of adjusting the equilibrium, with the </w:t>
      </w:r>
      <w:r w:rsidR="0094071B">
        <w:t xml:space="preserve">ideal tax being one that is exactly equal with the cost of managing the pollution, the tax being ‘external’ and not left in the hands of the producer also allows the regulator to channel the preventative/combative activity to the method they consider most appropriate for the country/nation, allocating the cost equivalent of the pollution to a ‘more efficient good’ – while also incentivising firms to reduce their pollution by using more sustainable and cost effective processes, to maximise profits and production. Companies may consider investing in technology to identify ‘greener’ and more sustainable methods of production, which would allow the cost to produce the goods to fall, and allow the equilibrium point to increase, as the increased price of production would no longer be passed to the consumer. </w:t>
      </w:r>
    </w:p>
    <w:p w14:paraId="0A9F5AC6" w14:textId="77777777" w:rsidR="0094071B" w:rsidRDefault="00582D99" w:rsidP="006F4314">
      <w:pPr>
        <w:rPr>
          <w:b/>
          <w:bCs/>
        </w:rPr>
      </w:pPr>
      <w:r w:rsidRPr="00582D99">
        <w:drawing>
          <wp:inline distT="0" distB="0" distL="0" distR="0" wp14:anchorId="264D06B2" wp14:editId="7406AB22">
            <wp:extent cx="4313294" cy="3718882"/>
            <wp:effectExtent l="0" t="0" r="0" b="0"/>
            <wp:docPr id="619146280" name="Picture 1" descr="A diagram of a cost redu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146280" name="Picture 1" descr="A diagram of a cost reduction&#10;&#10;Description automatically generated"/>
                    <pic:cNvPicPr/>
                  </pic:nvPicPr>
                  <pic:blipFill>
                    <a:blip r:embed="rId9"/>
                    <a:stretch>
                      <a:fillRect/>
                    </a:stretch>
                  </pic:blipFill>
                  <pic:spPr>
                    <a:xfrm>
                      <a:off x="0" y="0"/>
                      <a:ext cx="4313294" cy="3718882"/>
                    </a:xfrm>
                    <a:prstGeom prst="rect">
                      <a:avLst/>
                    </a:prstGeom>
                  </pic:spPr>
                </pic:pic>
              </a:graphicData>
            </a:graphic>
          </wp:inline>
        </w:drawing>
      </w:r>
    </w:p>
    <w:p w14:paraId="32CA7DDC" w14:textId="77777777" w:rsidR="000B5637" w:rsidRDefault="0094071B" w:rsidP="006F4314">
      <w:r w:rsidRPr="0094071B">
        <w:lastRenderedPageBreak/>
        <w:t>If companies/producers choose not to invest in sustainable processes, the negative externality of production would be addresses by reduced consumption of the good, as prices for consumers (when factoring increased cost of production)</w:t>
      </w:r>
      <w:r>
        <w:rPr>
          <w:b/>
          <w:bCs/>
        </w:rPr>
        <w:t xml:space="preserve"> </w:t>
      </w:r>
      <w:r w:rsidRPr="0094071B">
        <w:t>would be reflected in the demand curve.</w:t>
      </w:r>
    </w:p>
    <w:p w14:paraId="26EBE57B" w14:textId="77777777" w:rsidR="000B5637" w:rsidRDefault="000B5637" w:rsidP="006F4314">
      <w:r>
        <w:t xml:space="preserve">The risk with taxes on pollution outputs, particularly in a market that is ‘cornered’ or monopolised is that, as demonstrated by </w:t>
      </w:r>
      <w:r w:rsidRPr="000B5637">
        <w:t xml:space="preserve">Gneezy and </w:t>
      </w:r>
      <w:proofErr w:type="spellStart"/>
      <w:r w:rsidRPr="000B5637">
        <w:t>Rustichini</w:t>
      </w:r>
      <w:proofErr w:type="spellEnd"/>
      <w:r w:rsidRPr="000B5637">
        <w:t xml:space="preserve"> (2000)</w:t>
      </w:r>
      <w:r>
        <w:t xml:space="preserve"> in their study on lateness, is that companies choose to simply factor in the additional cost, as the benefit to themselves (the private benefit) still exceeds the cost, this is a more defining factor in industries that are considered ‘essential’ such as the construction industry.</w:t>
      </w:r>
    </w:p>
    <w:p w14:paraId="4CD213B5" w14:textId="3036A2CF" w:rsidR="006F4314" w:rsidRDefault="006F4314" w:rsidP="006F4314">
      <w:pPr>
        <w:rPr>
          <w:b/>
          <w:bCs/>
        </w:rPr>
      </w:pPr>
      <w:r w:rsidRPr="0094071B">
        <w:br/>
      </w:r>
      <w:r w:rsidRPr="00AC16DF">
        <w:rPr>
          <w:b/>
          <w:bCs/>
        </w:rPr>
        <w:t>Market performance after</w:t>
      </w:r>
      <w:r w:rsidR="00255A4F">
        <w:rPr>
          <w:b/>
          <w:bCs/>
        </w:rPr>
        <w:t xml:space="preserve"> pollutant tax</w:t>
      </w:r>
    </w:p>
    <w:p w14:paraId="2890683B" w14:textId="0FD37775" w:rsidR="000B5637" w:rsidRDefault="00255A4F" w:rsidP="006F4314">
      <w:r w:rsidRPr="00255A4F">
        <w:t>Carbon Pricing, a standardised fee for producers of CO2 and other harmful chemicals is widely in use across the EU, in line with the EUs robust carbon reduction policies and this applies to both export and import goods. Statistics from SP Global (2022) show that the implementation of Carbon pricing across the EU has caused a rapid increase in the price of Cement, the below chart shows the comparison between the EU (Carbon Pricing) and America (Pollution limits)</w:t>
      </w:r>
      <w:r>
        <w:rPr>
          <w:b/>
          <w:bCs/>
        </w:rPr>
        <w:br/>
      </w:r>
      <w:r w:rsidRPr="00255A4F">
        <w:rPr>
          <w:b/>
          <w:bCs/>
        </w:rPr>
        <w:drawing>
          <wp:inline distT="0" distB="0" distL="0" distR="0" wp14:anchorId="3E9A87C4" wp14:editId="13EAE146">
            <wp:extent cx="5731510" cy="4424680"/>
            <wp:effectExtent l="0" t="0" r="2540" b="0"/>
            <wp:docPr id="1466729252" name="Picture 1" descr="A graph of a graph with blue and orang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729252" name="Picture 1" descr="A graph of a graph with blue and orange lines&#10;&#10;Description automatically generated"/>
                    <pic:cNvPicPr/>
                  </pic:nvPicPr>
                  <pic:blipFill>
                    <a:blip r:embed="rId10"/>
                    <a:stretch>
                      <a:fillRect/>
                    </a:stretch>
                  </pic:blipFill>
                  <pic:spPr>
                    <a:xfrm>
                      <a:off x="0" y="0"/>
                      <a:ext cx="5731510" cy="4424680"/>
                    </a:xfrm>
                    <a:prstGeom prst="rect">
                      <a:avLst/>
                    </a:prstGeom>
                  </pic:spPr>
                </pic:pic>
              </a:graphicData>
            </a:graphic>
          </wp:inline>
        </w:drawing>
      </w:r>
    </w:p>
    <w:p w14:paraId="5026993A" w14:textId="74AB3D5D" w:rsidR="00255A4F" w:rsidRPr="00AC16DF" w:rsidRDefault="004954AC" w:rsidP="006F4314">
      <w:pPr>
        <w:rPr>
          <w:b/>
          <w:bCs/>
        </w:rPr>
      </w:pPr>
      <w:r>
        <w:t>However, the EU is making significant investment in carbon neutral technologies and is willing to provide funding to companies/industries that are able to adhere to the new policies on sustainability and agree to “r</w:t>
      </w:r>
      <w:r w:rsidRPr="004954AC">
        <w:t>eport their economic activities against six objectives: climate change mitigation, climate change adaption, pollution prevention, circular economy, healthy ecosystem and finally sustainable use of water and marine resources.</w:t>
      </w:r>
      <w:r>
        <w:t>(</w:t>
      </w:r>
      <w:r w:rsidRPr="004954AC">
        <w:t xml:space="preserve"> Economic activity is considered environmentally sustainable if it makes a “substantial contribution” to at least one of these six areas</w:t>
      </w:r>
      <w:r>
        <w:t xml:space="preserve"> )” </w:t>
      </w:r>
      <w:r w:rsidRPr="004954AC">
        <w:t xml:space="preserve">(Voetmann, </w:t>
      </w:r>
      <w:r w:rsidRPr="004954AC">
        <w:lastRenderedPageBreak/>
        <w:t>2024)</w:t>
      </w:r>
      <w:r w:rsidR="00393BF8">
        <w:t xml:space="preserve"> and this funding would allow the production of products such as cement to continue, as long as they look to implement new systems such as cleaner energy sources and energy efficient processes, as well as scrubbers or ‘flaring’ systems to reduce the release of chemicals such as CO2 </w:t>
      </w:r>
      <w:r w:rsidR="00393BF8" w:rsidRPr="00393BF8">
        <w:t>(</w:t>
      </w:r>
      <w:r w:rsidR="00393BF8">
        <w:t>Economic Times</w:t>
      </w:r>
      <w:r w:rsidR="00393BF8" w:rsidRPr="00393BF8">
        <w:t>, 2023)</w:t>
      </w:r>
    </w:p>
    <w:p w14:paraId="0954B62E" w14:textId="77777777" w:rsidR="00393BF8" w:rsidRDefault="00393BF8" w:rsidP="006F4314">
      <w:pPr>
        <w:rPr>
          <w:b/>
          <w:bCs/>
        </w:rPr>
      </w:pPr>
    </w:p>
    <w:p w14:paraId="3B38CEE7" w14:textId="610148DA" w:rsidR="00582D99" w:rsidRDefault="006F4314" w:rsidP="006F4314">
      <w:pPr>
        <w:rPr>
          <w:b/>
          <w:bCs/>
        </w:rPr>
      </w:pPr>
      <w:r w:rsidRPr="00AC16DF">
        <w:rPr>
          <w:b/>
          <w:bCs/>
        </w:rPr>
        <w:t>Solution 3</w:t>
      </w:r>
      <w:r w:rsidR="00822FBB">
        <w:rPr>
          <w:b/>
          <w:bCs/>
        </w:rPr>
        <w:t xml:space="preserve">- Market Based Solution- Permits </w:t>
      </w:r>
    </w:p>
    <w:p w14:paraId="3A10CC1E" w14:textId="6BEA9810" w:rsidR="004954AC" w:rsidRPr="005915AC" w:rsidRDefault="005915AC" w:rsidP="006F4314">
      <w:r w:rsidRPr="005915AC">
        <w:t>As a Market based solution, introducing tradeable permits</w:t>
      </w:r>
      <w:r>
        <w:t xml:space="preserve"> means that the regulator/government can set a maximum limit on production, extraction and/or emissions, and this should not be exceeded, regardless of how many competitors or interested parties are in a market. Permits can be traded between companies once distributed by the regulator, and robust reporting practices must be adhered to, to ensure that companies are not working without permit or exceeding permit limits.</w:t>
      </w:r>
    </w:p>
    <w:p w14:paraId="0D9A8386" w14:textId="77777777" w:rsidR="005915AC" w:rsidRDefault="004954AC" w:rsidP="006F4314">
      <w:pPr>
        <w:rPr>
          <w:b/>
          <w:bCs/>
        </w:rPr>
      </w:pPr>
      <w:r>
        <w:rPr>
          <w:b/>
          <w:bCs/>
        </w:rPr>
        <w:t>,</w:t>
      </w:r>
      <w:r w:rsidR="00582D99">
        <w:rPr>
          <w:noProof/>
        </w:rPr>
        <w:drawing>
          <wp:inline distT="0" distB="0" distL="0" distR="0" wp14:anchorId="3A9BD344" wp14:editId="03E09FDA">
            <wp:extent cx="5731510" cy="4979620"/>
            <wp:effectExtent l="0" t="0" r="2540" b="0"/>
            <wp:docPr id="1" name="Picture 1" descr="A diagram of a supply of tradeable perm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supply of tradeable permi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979620"/>
                    </a:xfrm>
                    <a:prstGeom prst="rect">
                      <a:avLst/>
                    </a:prstGeom>
                    <a:noFill/>
                    <a:ln>
                      <a:noFill/>
                    </a:ln>
                  </pic:spPr>
                </pic:pic>
              </a:graphicData>
            </a:graphic>
          </wp:inline>
        </w:drawing>
      </w:r>
    </w:p>
    <w:p w14:paraId="0615FB48" w14:textId="77777777" w:rsidR="005915AC" w:rsidRDefault="005915AC" w:rsidP="005915AC">
      <w:pPr>
        <w:tabs>
          <w:tab w:val="left" w:pos="5028"/>
        </w:tabs>
      </w:pPr>
      <w:r w:rsidRPr="005915AC">
        <w:t>As the supply of permits is ‘elastic’</w:t>
      </w:r>
      <w:r>
        <w:rPr>
          <w:b/>
          <w:bCs/>
        </w:rPr>
        <w:t xml:space="preserve"> </w:t>
      </w:r>
      <w:r w:rsidRPr="005915AC">
        <w:t>governments or</w:t>
      </w:r>
      <w:r>
        <w:t xml:space="preserve"> regulators can forward plan and have a time schedule for reducing emissions or other environmental damage. The companies bidding for the permits will be aware of the reduction plan and will therefore be encouraged to put more sustainable processes in place </w:t>
      </w:r>
      <w:proofErr w:type="gramStart"/>
      <w:r>
        <w:t>in order to</w:t>
      </w:r>
      <w:proofErr w:type="gramEnd"/>
      <w:r>
        <w:t xml:space="preserve"> be able to continue production in line with tighter permit caps. </w:t>
      </w:r>
    </w:p>
    <w:p w14:paraId="0F2FDD28" w14:textId="77777777" w:rsidR="00A0720D" w:rsidRDefault="005915AC" w:rsidP="005915AC">
      <w:pPr>
        <w:tabs>
          <w:tab w:val="left" w:pos="5028"/>
        </w:tabs>
      </w:pPr>
      <w:r>
        <w:lastRenderedPageBreak/>
        <w:t>There are technical difficulties in designing a permit scheme, and yet more difficulties in monitoring such a scheme</w:t>
      </w:r>
      <w:r w:rsidR="00326183">
        <w:t>. Pricing of such permits is also a crucial factor “</w:t>
      </w:r>
      <w:r w:rsidR="00326183" w:rsidRPr="00326183">
        <w:t>Too high, and significant economic harm can be done. Too low, and firms will consider the payment of an additional tax or the cost of permits to be a cost of doing business and continue to pollute in the same quantities that they did prior to the market-based intervention attempting to correct the market failure.</w:t>
      </w:r>
      <w:r w:rsidR="00326183">
        <w:t xml:space="preserve">” </w:t>
      </w:r>
      <w:r w:rsidR="00326183" w:rsidRPr="00326183">
        <w:t>(AP</w:t>
      </w:r>
      <w:r w:rsidR="00326183">
        <w:t xml:space="preserve"> </w:t>
      </w:r>
      <w:r w:rsidR="00326183" w:rsidRPr="00326183">
        <w:t>MICROECONOMICS)</w:t>
      </w:r>
    </w:p>
    <w:p w14:paraId="324AE4A4" w14:textId="1F3A3FA2" w:rsidR="006F4314" w:rsidRDefault="006F4314" w:rsidP="005915AC">
      <w:pPr>
        <w:tabs>
          <w:tab w:val="left" w:pos="5028"/>
        </w:tabs>
        <w:rPr>
          <w:b/>
          <w:bCs/>
        </w:rPr>
      </w:pPr>
      <w:r w:rsidRPr="00AC16DF">
        <w:rPr>
          <w:b/>
          <w:bCs/>
        </w:rPr>
        <w:br/>
        <w:t>Market performance afte</w:t>
      </w:r>
      <w:r w:rsidR="00A0720D">
        <w:rPr>
          <w:b/>
          <w:bCs/>
        </w:rPr>
        <w:t>r</w:t>
      </w:r>
      <w:r w:rsidR="00F53447">
        <w:rPr>
          <w:b/>
          <w:bCs/>
        </w:rPr>
        <w:t xml:space="preserve"> </w:t>
      </w:r>
      <w:proofErr w:type="gramStart"/>
      <w:r w:rsidR="00F53447">
        <w:rPr>
          <w:b/>
          <w:bCs/>
        </w:rPr>
        <w:t>permits</w:t>
      </w:r>
      <w:proofErr w:type="gramEnd"/>
    </w:p>
    <w:p w14:paraId="20507A82" w14:textId="20592668" w:rsidR="00A0720D" w:rsidRPr="00A0720D" w:rsidRDefault="00A0720D" w:rsidP="005915AC">
      <w:pPr>
        <w:tabs>
          <w:tab w:val="left" w:pos="5028"/>
        </w:tabs>
      </w:pPr>
      <w:r w:rsidRPr="00A0720D">
        <w:t xml:space="preserve">A 1993 study by Rose and Stevens </w:t>
      </w:r>
      <w:r>
        <w:t>showed that the introduction of permits across eight countries (spanning the full range of economic development levels) created positive change, their paper states that “</w:t>
      </w:r>
      <w:r w:rsidRPr="00A0720D">
        <w:t>The net welfare gains associated with an overall 20% reduction in CO2 emissions are estimated to be nearly $20 billion, an increase of several billion dollars over a system of inflexible emission quotas requiring 20% abatement in each country</w:t>
      </w:r>
      <w:r>
        <w:t>” Rose &amp; Stevens argue that a permit system shows a greater increase in welfare, and a greater reduction in CO2 emissions and other detrimental environmental effects than pollution taxes or levies or pollution limits enforced by legislation</w:t>
      </w:r>
      <w:r w:rsidR="00E35129">
        <w:t xml:space="preserve"> </w:t>
      </w:r>
      <w:r w:rsidR="00E35129" w:rsidRPr="00E35129">
        <w:t>(Rose &amp; Stevens, 1993)</w:t>
      </w:r>
      <w:r w:rsidR="00E35129">
        <w:t>.</w:t>
      </w:r>
    </w:p>
    <w:p w14:paraId="64D1DC72" w14:textId="124A2941" w:rsidR="00055881" w:rsidRPr="00F53447" w:rsidRDefault="00055881" w:rsidP="006F4314">
      <w:pPr>
        <w:rPr>
          <w:b/>
          <w:bCs/>
          <w:u w:val="single"/>
        </w:rPr>
      </w:pPr>
      <w:r w:rsidRPr="00F53447">
        <w:rPr>
          <w:b/>
          <w:bCs/>
          <w:u w:val="single"/>
        </w:rPr>
        <w:t>Conclusion</w:t>
      </w:r>
    </w:p>
    <w:p w14:paraId="44564BD6" w14:textId="4B465904" w:rsidR="00A0720D" w:rsidRDefault="00E35129" w:rsidP="006F4314">
      <w:r w:rsidRPr="00E35129">
        <w:t xml:space="preserve">The Cement industry is one of the greatest producers of CO2 globally, and the industry has pledged to become fully carbon neutral by 2050, yet cement production is also prediction to increase to at least twice the current rate, due to population growth and the necessity for developing countries to build and expand infrastructure. </w:t>
      </w:r>
      <w:proofErr w:type="gramStart"/>
      <w:r>
        <w:t>In order to</w:t>
      </w:r>
      <w:proofErr w:type="gramEnd"/>
      <w:r>
        <w:t xml:space="preserve"> ensure that </w:t>
      </w:r>
      <w:proofErr w:type="spellStart"/>
      <w:r>
        <w:t>te</w:t>
      </w:r>
      <w:proofErr w:type="spellEnd"/>
      <w:r>
        <w:t xml:space="preserve"> industry avoids complete market failure, they will need to implement more than the strategies discussed above. </w:t>
      </w:r>
      <w:r>
        <w:br/>
      </w:r>
    </w:p>
    <w:p w14:paraId="7A454807" w14:textId="7B00BC13" w:rsidR="00E35129" w:rsidRDefault="00E35129" w:rsidP="006F4314">
      <w:r>
        <w:t>While Legislation, taxes/</w:t>
      </w:r>
      <w:r w:rsidR="00055881">
        <w:t>levies,</w:t>
      </w:r>
      <w:r>
        <w:t xml:space="preserve"> and </w:t>
      </w:r>
      <w:r w:rsidR="00055881">
        <w:t>market-based</w:t>
      </w:r>
      <w:r>
        <w:t xml:space="preserve"> solutions such as permits have their place and have been proved to make a difference in </w:t>
      </w:r>
      <w:r w:rsidR="00055881">
        <w:t xml:space="preserve">improving welfare and reducing harm, more needs to be done </w:t>
      </w:r>
      <w:proofErr w:type="gramStart"/>
      <w:r w:rsidR="00055881">
        <w:t>in order to</w:t>
      </w:r>
      <w:proofErr w:type="gramEnd"/>
      <w:r w:rsidR="00055881">
        <w:t xml:space="preserve"> make the industry fully sustainable. </w:t>
      </w:r>
    </w:p>
    <w:p w14:paraId="2CAD4B74" w14:textId="1B688564" w:rsidR="00055881" w:rsidRDefault="00055881" w:rsidP="006F4314">
      <w:r>
        <w:t xml:space="preserve">Following the EU model of investing in companies that are willing to introduce renewable technologies and explore alternative methods of production would allow, after initial investment, </w:t>
      </w:r>
      <w:r w:rsidR="00680C27">
        <w:t>prices to remain at a level where the demand curve is maintained, as well as reducing harmful emissions and damage to people and planet. This investment could include a move towards Carbon capture, heat recovery systems, electric kilns and processing systems powered by renewable energy</w:t>
      </w:r>
      <w:r w:rsidR="00377B39">
        <w:t xml:space="preserve"> and electrochemical reactions, reducing overall welfare and energy costs from production. </w:t>
      </w:r>
    </w:p>
    <w:p w14:paraId="63B509AF" w14:textId="4312334C" w:rsidR="00055881" w:rsidRDefault="00377B39" w:rsidP="006F4314">
      <w:r>
        <w:t>The welfare costs of extraction and transport, as well as the ‘end use’ of the product would still be present, and this would require further exploration to identify methods of reducing welfare cost and ensuring equilibrium within the market, and the risk of 1</w:t>
      </w:r>
      <w:r w:rsidRPr="00377B39">
        <w:rPr>
          <w:vertAlign w:val="superscript"/>
        </w:rPr>
        <w:t>st</w:t>
      </w:r>
      <w:r>
        <w:t xml:space="preserve"> world countries becoming ‘pioneers’ or clean production is only of benefit if regulation is global and all countries, including the developing nations are required to adhere to the same legislation.</w:t>
      </w:r>
    </w:p>
    <w:p w14:paraId="2FE8B89A" w14:textId="77777777" w:rsidR="00377B39" w:rsidRDefault="00377B39" w:rsidP="006F4314"/>
    <w:p w14:paraId="707D079C" w14:textId="362D8E93" w:rsidR="00F53447" w:rsidRDefault="00F53447" w:rsidP="006F4314">
      <w:r>
        <w:t>2526 words</w:t>
      </w:r>
    </w:p>
    <w:p w14:paraId="7D75D58C" w14:textId="1EDA77DA" w:rsidR="00377B39" w:rsidRPr="00E35129" w:rsidRDefault="00377B39" w:rsidP="006F4314"/>
    <w:p w14:paraId="7F71BCAD" w14:textId="77777777" w:rsidR="00F53447" w:rsidRDefault="00F53447" w:rsidP="006F4314">
      <w:pPr>
        <w:rPr>
          <w:b/>
          <w:bCs/>
        </w:rPr>
      </w:pPr>
    </w:p>
    <w:p w14:paraId="47409D3F" w14:textId="29490BFD" w:rsidR="00F53447" w:rsidRPr="00F53447" w:rsidRDefault="00F53447" w:rsidP="00F53447">
      <w:pPr>
        <w:pStyle w:val="Heading1"/>
        <w:pageBreakBefore/>
        <w:rPr>
          <w:rFonts w:ascii="Arial" w:eastAsia="Arial" w:hAnsi="Arial" w:cs="Arial"/>
          <w:b/>
          <w:bCs/>
          <w:color w:val="auto"/>
          <w:kern w:val="0"/>
          <w:sz w:val="22"/>
          <w:szCs w:val="22"/>
          <w:lang w:val="nl-NL" w:eastAsia="en-GB"/>
          <w14:ligatures w14:val="none"/>
        </w:rPr>
      </w:pPr>
      <w:r>
        <w:rPr>
          <w:b/>
          <w:bCs/>
        </w:rPr>
        <w:lastRenderedPageBreak/>
        <w:br/>
      </w:r>
      <w:r w:rsidRPr="00F53447">
        <w:rPr>
          <w:rFonts w:ascii="Arial" w:eastAsia="Arial" w:hAnsi="Arial" w:cs="Arial"/>
          <w:b/>
          <w:bCs/>
          <w:color w:val="auto"/>
          <w:kern w:val="0"/>
          <w:sz w:val="22"/>
          <w:szCs w:val="22"/>
          <w:lang w:val="nl-NL" w:eastAsia="en-GB"/>
          <w14:ligatures w14:val="none"/>
        </w:rPr>
        <w:t xml:space="preserve">Bibliography/ </w:t>
      </w:r>
      <w:r w:rsidRPr="00F53447">
        <w:rPr>
          <w:rFonts w:ascii="Arial" w:eastAsia="Arial" w:hAnsi="Arial" w:cs="Arial"/>
          <w:b/>
          <w:bCs/>
          <w:color w:val="auto"/>
          <w:kern w:val="0"/>
          <w:sz w:val="22"/>
          <w:szCs w:val="22"/>
          <w:lang w:val="nl-NL" w:eastAsia="en-GB"/>
          <w14:ligatures w14:val="none"/>
        </w:rPr>
        <w:t>References</w:t>
      </w:r>
    </w:p>
    <w:p w14:paraId="14DD4831" w14:textId="77777777" w:rsidR="00F53447" w:rsidRPr="00F53447" w:rsidRDefault="00F53447" w:rsidP="00F53447">
      <w:pPr>
        <w:spacing w:after="0" w:line="480" w:lineRule="auto"/>
        <w:ind w:firstLine="720"/>
        <w:rPr>
          <w:rFonts w:ascii="Arial" w:eastAsia="Arial" w:hAnsi="Arial" w:cs="Arial"/>
          <w:kern w:val="0"/>
          <w:lang w:eastAsia="en-GB"/>
          <w14:ligatures w14:val="none"/>
        </w:rPr>
      </w:pPr>
      <w:r w:rsidRPr="00F53447">
        <w:rPr>
          <w:rFonts w:ascii="Arial" w:eastAsia="Arial" w:hAnsi="Arial" w:cs="Arial"/>
          <w:kern w:val="0"/>
          <w:lang w:eastAsia="en-GB"/>
          <w14:ligatures w14:val="none"/>
        </w:rPr>
        <w:t xml:space="preserve">Ali, N., Abbas, J., Anwer, M., Alwi, S. K. K., Anjum, M. N., Ali, N., Raja, M. R., Hussain, A., &amp; Xu, M. (2015). The greenhouse gas emissions produced by cement production and its impact on environment A Review of Global Cement Processing. </w:t>
      </w:r>
      <w:r w:rsidRPr="00F53447">
        <w:rPr>
          <w:rFonts w:ascii="Arial" w:eastAsia="Arial" w:hAnsi="Arial" w:cs="Arial"/>
          <w:i/>
          <w:iCs/>
          <w:kern w:val="0"/>
          <w:lang w:eastAsia="en-GB"/>
          <w14:ligatures w14:val="none"/>
        </w:rPr>
        <w:t>International Journal of Research</w:t>
      </w:r>
      <w:r w:rsidRPr="00F53447">
        <w:rPr>
          <w:rFonts w:ascii="Arial" w:eastAsia="Arial" w:hAnsi="Arial" w:cs="Arial"/>
          <w:kern w:val="0"/>
          <w:lang w:eastAsia="en-GB"/>
          <w14:ligatures w14:val="none"/>
        </w:rPr>
        <w:t xml:space="preserve">, </w:t>
      </w:r>
      <w:r w:rsidRPr="00F53447">
        <w:rPr>
          <w:rFonts w:ascii="Arial" w:eastAsia="Arial" w:hAnsi="Arial" w:cs="Arial"/>
          <w:i/>
          <w:iCs/>
          <w:kern w:val="0"/>
          <w:lang w:eastAsia="en-GB"/>
          <w14:ligatures w14:val="none"/>
        </w:rPr>
        <w:t>2</w:t>
      </w:r>
      <w:r w:rsidRPr="00F53447">
        <w:rPr>
          <w:rFonts w:ascii="Arial" w:eastAsia="Arial" w:hAnsi="Arial" w:cs="Arial"/>
          <w:kern w:val="0"/>
          <w:lang w:eastAsia="en-GB"/>
          <w14:ligatures w14:val="none"/>
        </w:rPr>
        <w:t>(2), 488–500. https://journals.pen2print.org/index.php/ijr/article/download/1455/1371</w:t>
      </w:r>
    </w:p>
    <w:p w14:paraId="08272C29" w14:textId="77777777" w:rsidR="00F53447" w:rsidRPr="00F53447" w:rsidRDefault="00F53447" w:rsidP="00F53447">
      <w:pPr>
        <w:spacing w:after="0" w:line="480" w:lineRule="auto"/>
        <w:ind w:firstLine="720"/>
        <w:rPr>
          <w:rFonts w:ascii="Arial" w:eastAsia="Arial" w:hAnsi="Arial" w:cs="Arial"/>
          <w:kern w:val="0"/>
          <w:lang w:eastAsia="en-GB"/>
          <w14:ligatures w14:val="none"/>
        </w:rPr>
      </w:pPr>
      <w:r w:rsidRPr="00F53447">
        <w:rPr>
          <w:rFonts w:ascii="Arial" w:eastAsia="Arial" w:hAnsi="Arial" w:cs="Arial"/>
          <w:kern w:val="0"/>
          <w:lang w:eastAsia="en-GB"/>
          <w14:ligatures w14:val="none"/>
        </w:rPr>
        <w:t xml:space="preserve">Andrew, R. M. (2019). Global CO&amp;amp;lt;sub&amp;amp;gt;2&amp;amp;lt;/sub&amp;amp;gt; emissions from cement production, 1928–2018. </w:t>
      </w:r>
      <w:r w:rsidRPr="00F53447">
        <w:rPr>
          <w:rFonts w:ascii="Arial" w:eastAsia="Arial" w:hAnsi="Arial" w:cs="Arial"/>
          <w:i/>
          <w:iCs/>
          <w:kern w:val="0"/>
          <w:lang w:eastAsia="en-GB"/>
          <w14:ligatures w14:val="none"/>
        </w:rPr>
        <w:t>Earth System Science Data</w:t>
      </w:r>
      <w:r w:rsidRPr="00F53447">
        <w:rPr>
          <w:rFonts w:ascii="Arial" w:eastAsia="Arial" w:hAnsi="Arial" w:cs="Arial"/>
          <w:kern w:val="0"/>
          <w:lang w:eastAsia="en-GB"/>
          <w14:ligatures w14:val="none"/>
        </w:rPr>
        <w:t xml:space="preserve">, </w:t>
      </w:r>
      <w:r w:rsidRPr="00F53447">
        <w:rPr>
          <w:rFonts w:ascii="Arial" w:eastAsia="Arial" w:hAnsi="Arial" w:cs="Arial"/>
          <w:i/>
          <w:iCs/>
          <w:kern w:val="0"/>
          <w:lang w:eastAsia="en-GB"/>
          <w14:ligatures w14:val="none"/>
        </w:rPr>
        <w:t>11</w:t>
      </w:r>
      <w:r w:rsidRPr="00F53447">
        <w:rPr>
          <w:rFonts w:ascii="Arial" w:eastAsia="Arial" w:hAnsi="Arial" w:cs="Arial"/>
          <w:kern w:val="0"/>
          <w:lang w:eastAsia="en-GB"/>
          <w14:ligatures w14:val="none"/>
        </w:rPr>
        <w:t>(4), 1675–1710. https://doi.org/10.5194/essd-11-1675-2019</w:t>
      </w:r>
    </w:p>
    <w:p w14:paraId="61D5E8C0" w14:textId="77777777" w:rsidR="00F53447" w:rsidRPr="00F53447" w:rsidRDefault="00F53447" w:rsidP="00F53447">
      <w:pPr>
        <w:spacing w:after="0" w:line="480" w:lineRule="auto"/>
        <w:ind w:firstLine="720"/>
        <w:rPr>
          <w:rFonts w:ascii="Arial" w:eastAsia="Arial" w:hAnsi="Arial" w:cs="Arial"/>
          <w:kern w:val="0"/>
          <w:lang w:eastAsia="en-GB"/>
          <w14:ligatures w14:val="none"/>
        </w:rPr>
      </w:pPr>
      <w:r w:rsidRPr="00F53447">
        <w:rPr>
          <w:rFonts w:ascii="Arial" w:eastAsia="Arial" w:hAnsi="Arial" w:cs="Arial"/>
          <w:i/>
          <w:iCs/>
          <w:kern w:val="0"/>
          <w:lang w:eastAsia="en-GB"/>
          <w14:ligatures w14:val="none"/>
        </w:rPr>
        <w:t>AP MICROECONOMICS</w:t>
      </w:r>
      <w:r w:rsidRPr="00F53447">
        <w:rPr>
          <w:rFonts w:ascii="Arial" w:eastAsia="Arial" w:hAnsi="Arial" w:cs="Arial"/>
          <w:kern w:val="0"/>
          <w:lang w:eastAsia="en-GB"/>
          <w14:ligatures w14:val="none"/>
        </w:rPr>
        <w:t>. (n.d.). AP MICROECONOMICS. https://www.microeconomicsap.com/</w:t>
      </w:r>
    </w:p>
    <w:p w14:paraId="664EEF01" w14:textId="77777777" w:rsidR="00F53447" w:rsidRPr="00F53447" w:rsidRDefault="00F53447" w:rsidP="00F53447">
      <w:pPr>
        <w:spacing w:after="0" w:line="480" w:lineRule="auto"/>
        <w:ind w:firstLine="720"/>
        <w:rPr>
          <w:rFonts w:ascii="Arial" w:eastAsia="Arial" w:hAnsi="Arial" w:cs="Arial"/>
          <w:kern w:val="0"/>
          <w:lang w:eastAsia="en-GB"/>
          <w14:ligatures w14:val="none"/>
        </w:rPr>
      </w:pPr>
      <w:r w:rsidRPr="00F53447">
        <w:rPr>
          <w:rFonts w:ascii="Arial" w:eastAsia="Arial" w:hAnsi="Arial" w:cs="Arial"/>
          <w:kern w:val="0"/>
          <w:lang w:eastAsia="en-GB"/>
          <w14:ligatures w14:val="none"/>
        </w:rPr>
        <w:t xml:space="preserve">Ashton, D. (2024, January 29). </w:t>
      </w:r>
      <w:r w:rsidRPr="00F53447">
        <w:rPr>
          <w:rFonts w:ascii="Arial" w:eastAsia="Arial" w:hAnsi="Arial" w:cs="Arial"/>
          <w:i/>
          <w:iCs/>
          <w:kern w:val="0"/>
          <w:lang w:eastAsia="en-GB"/>
          <w14:ligatures w14:val="none"/>
        </w:rPr>
        <w:t>12 sustainable alternatives to traditional concrete</w:t>
      </w:r>
      <w:r w:rsidRPr="00F53447">
        <w:rPr>
          <w:rFonts w:ascii="Arial" w:eastAsia="Arial" w:hAnsi="Arial" w:cs="Arial"/>
          <w:kern w:val="0"/>
          <w:lang w:eastAsia="en-GB"/>
          <w14:ligatures w14:val="none"/>
        </w:rPr>
        <w:t>. University College of Estate Management. https://www.ucem.ac.uk/whats-happening/articles/concrete-alternatives/</w:t>
      </w:r>
    </w:p>
    <w:p w14:paraId="7D33F0B8" w14:textId="77777777" w:rsidR="00F53447" w:rsidRPr="00F53447" w:rsidRDefault="00F53447" w:rsidP="00F53447">
      <w:pPr>
        <w:spacing w:after="0" w:line="480" w:lineRule="auto"/>
        <w:ind w:firstLine="720"/>
        <w:rPr>
          <w:rFonts w:ascii="Arial" w:eastAsia="Arial" w:hAnsi="Arial" w:cs="Arial"/>
          <w:kern w:val="0"/>
          <w:lang w:eastAsia="en-GB"/>
          <w14:ligatures w14:val="none"/>
        </w:rPr>
      </w:pPr>
      <w:r w:rsidRPr="00F53447">
        <w:rPr>
          <w:rFonts w:ascii="Arial" w:eastAsia="Arial" w:hAnsi="Arial" w:cs="Arial"/>
          <w:kern w:val="0"/>
          <w:lang w:eastAsia="en-GB"/>
          <w14:ligatures w14:val="none"/>
        </w:rPr>
        <w:t xml:space="preserve">Barnard, M. (2023, September 18). Fixing concrete and steel part of short list of climate actions that will work. </w:t>
      </w:r>
      <w:r w:rsidRPr="00F53447">
        <w:rPr>
          <w:rFonts w:ascii="Arial" w:eastAsia="Arial" w:hAnsi="Arial" w:cs="Arial"/>
          <w:i/>
          <w:iCs/>
          <w:kern w:val="0"/>
          <w:lang w:eastAsia="en-GB"/>
          <w14:ligatures w14:val="none"/>
        </w:rPr>
        <w:t>Forbes</w:t>
      </w:r>
      <w:r w:rsidRPr="00F53447">
        <w:rPr>
          <w:rFonts w:ascii="Arial" w:eastAsia="Arial" w:hAnsi="Arial" w:cs="Arial"/>
          <w:kern w:val="0"/>
          <w:lang w:eastAsia="en-GB"/>
          <w14:ligatures w14:val="none"/>
        </w:rPr>
        <w:t>. https://www.forbes.com/sites/michaelbarnard/2023/09/18/fixing-concrete--steel-part-of-short-list-of-climate-actions-that-will-work/</w:t>
      </w:r>
    </w:p>
    <w:p w14:paraId="4CA6D09C" w14:textId="77777777" w:rsidR="00F53447" w:rsidRPr="00F53447" w:rsidRDefault="00F53447" w:rsidP="00F53447">
      <w:pPr>
        <w:spacing w:after="0" w:line="480" w:lineRule="auto"/>
        <w:ind w:firstLine="720"/>
        <w:rPr>
          <w:rFonts w:ascii="Arial" w:eastAsia="Arial" w:hAnsi="Arial" w:cs="Arial"/>
          <w:kern w:val="0"/>
          <w:lang w:eastAsia="en-GB"/>
          <w14:ligatures w14:val="none"/>
        </w:rPr>
      </w:pPr>
      <w:r w:rsidRPr="00F53447">
        <w:rPr>
          <w:rFonts w:ascii="Arial" w:eastAsia="Arial" w:hAnsi="Arial" w:cs="Arial"/>
          <w:kern w:val="0"/>
          <w:lang w:eastAsia="en-GB"/>
          <w14:ligatures w14:val="none"/>
        </w:rPr>
        <w:t xml:space="preserve">Bélaïd, F. (2022). How does concrete and cement industry transformation contribute to mitigating climate change challenges? </w:t>
      </w:r>
      <w:r w:rsidRPr="00F53447">
        <w:rPr>
          <w:rFonts w:ascii="Arial" w:eastAsia="Arial" w:hAnsi="Arial" w:cs="Arial"/>
          <w:i/>
          <w:iCs/>
          <w:kern w:val="0"/>
          <w:lang w:eastAsia="en-GB"/>
          <w14:ligatures w14:val="none"/>
        </w:rPr>
        <w:t>Resources, Conservation &amp; Recycling Advances</w:t>
      </w:r>
      <w:r w:rsidRPr="00F53447">
        <w:rPr>
          <w:rFonts w:ascii="Arial" w:eastAsia="Arial" w:hAnsi="Arial" w:cs="Arial"/>
          <w:kern w:val="0"/>
          <w:lang w:eastAsia="en-GB"/>
          <w14:ligatures w14:val="none"/>
        </w:rPr>
        <w:t xml:space="preserve">, </w:t>
      </w:r>
      <w:r w:rsidRPr="00F53447">
        <w:rPr>
          <w:rFonts w:ascii="Arial" w:eastAsia="Arial" w:hAnsi="Arial" w:cs="Arial"/>
          <w:i/>
          <w:iCs/>
          <w:kern w:val="0"/>
          <w:lang w:eastAsia="en-GB"/>
          <w14:ligatures w14:val="none"/>
        </w:rPr>
        <w:t>15</w:t>
      </w:r>
      <w:r w:rsidRPr="00F53447">
        <w:rPr>
          <w:rFonts w:ascii="Arial" w:eastAsia="Arial" w:hAnsi="Arial" w:cs="Arial"/>
          <w:kern w:val="0"/>
          <w:lang w:eastAsia="en-GB"/>
          <w14:ligatures w14:val="none"/>
        </w:rPr>
        <w:t>, 200084. https://doi.org/10.1016/j.rcradv.2022.200084</w:t>
      </w:r>
    </w:p>
    <w:p w14:paraId="369DBDA0" w14:textId="77777777" w:rsidR="00F53447" w:rsidRPr="00F53447" w:rsidRDefault="00F53447" w:rsidP="00F53447">
      <w:pPr>
        <w:spacing w:after="0" w:line="480" w:lineRule="auto"/>
        <w:ind w:firstLine="720"/>
        <w:rPr>
          <w:rFonts w:ascii="Arial" w:eastAsia="Arial" w:hAnsi="Arial" w:cs="Arial"/>
          <w:kern w:val="0"/>
          <w:lang w:eastAsia="en-GB"/>
          <w14:ligatures w14:val="none"/>
        </w:rPr>
      </w:pPr>
      <w:r w:rsidRPr="00F53447">
        <w:rPr>
          <w:rFonts w:ascii="Arial" w:eastAsia="Arial" w:hAnsi="Arial" w:cs="Arial"/>
          <w:i/>
          <w:iCs/>
          <w:kern w:val="0"/>
          <w:lang w:eastAsia="en-GB"/>
          <w14:ligatures w14:val="none"/>
        </w:rPr>
        <w:t>Cement - IEA</w:t>
      </w:r>
      <w:r w:rsidRPr="00F53447">
        <w:rPr>
          <w:rFonts w:ascii="Arial" w:eastAsia="Arial" w:hAnsi="Arial" w:cs="Arial"/>
          <w:kern w:val="0"/>
          <w:lang w:eastAsia="en-GB"/>
          <w14:ligatures w14:val="none"/>
        </w:rPr>
        <w:t>. (n.d.). IEA. https://www.iea.org/energy-system/industry/cement</w:t>
      </w:r>
    </w:p>
    <w:p w14:paraId="5C806B81" w14:textId="77777777" w:rsidR="00F53447" w:rsidRPr="00F53447" w:rsidRDefault="00F53447" w:rsidP="00F53447">
      <w:pPr>
        <w:spacing w:after="0" w:line="480" w:lineRule="auto"/>
        <w:ind w:firstLine="720"/>
        <w:rPr>
          <w:rFonts w:ascii="Arial" w:eastAsia="Arial" w:hAnsi="Arial" w:cs="Arial"/>
          <w:kern w:val="0"/>
          <w:lang w:eastAsia="en-GB"/>
          <w14:ligatures w14:val="none"/>
        </w:rPr>
      </w:pPr>
      <w:r w:rsidRPr="00F53447">
        <w:rPr>
          <w:rFonts w:ascii="Arial" w:eastAsia="Arial" w:hAnsi="Arial" w:cs="Arial"/>
          <w:i/>
          <w:iCs/>
          <w:kern w:val="0"/>
          <w:lang w:eastAsia="en-GB"/>
          <w14:ligatures w14:val="none"/>
        </w:rPr>
        <w:t>Cement Manufacturing Enforcement Initiative | US EPA</w:t>
      </w:r>
      <w:r w:rsidRPr="00F53447">
        <w:rPr>
          <w:rFonts w:ascii="Arial" w:eastAsia="Arial" w:hAnsi="Arial" w:cs="Arial"/>
          <w:kern w:val="0"/>
          <w:lang w:eastAsia="en-GB"/>
          <w14:ligatures w14:val="none"/>
        </w:rPr>
        <w:t>. (2023, August 29). US EPA. https://www.epa.gov/enforcement/cement-manufacturing-enforcement-initiative</w:t>
      </w:r>
    </w:p>
    <w:p w14:paraId="45A91F89" w14:textId="77777777" w:rsidR="00F53447" w:rsidRPr="00F53447" w:rsidRDefault="00F53447" w:rsidP="00F53447">
      <w:pPr>
        <w:spacing w:after="0" w:line="480" w:lineRule="auto"/>
        <w:ind w:firstLine="720"/>
        <w:rPr>
          <w:rFonts w:ascii="Arial" w:eastAsia="Arial" w:hAnsi="Arial" w:cs="Arial"/>
          <w:kern w:val="0"/>
          <w:lang w:eastAsia="en-GB"/>
          <w14:ligatures w14:val="none"/>
        </w:rPr>
      </w:pPr>
      <w:r w:rsidRPr="00F53447">
        <w:rPr>
          <w:rFonts w:ascii="Arial" w:eastAsia="Arial" w:hAnsi="Arial" w:cs="Arial"/>
          <w:i/>
          <w:iCs/>
          <w:kern w:val="0"/>
          <w:lang w:eastAsia="en-GB"/>
          <w14:ligatures w14:val="none"/>
        </w:rPr>
        <w:t>Cement production global 2023 | Statista</w:t>
      </w:r>
      <w:r w:rsidRPr="00F53447">
        <w:rPr>
          <w:rFonts w:ascii="Arial" w:eastAsia="Arial" w:hAnsi="Arial" w:cs="Arial"/>
          <w:kern w:val="0"/>
          <w:lang w:eastAsia="en-GB"/>
          <w14:ligatures w14:val="none"/>
        </w:rPr>
        <w:t>. (2024, February 9). Statista. https://www.statista.com/statistics/1087115/global-cement-production-volume/</w:t>
      </w:r>
    </w:p>
    <w:p w14:paraId="042BA549" w14:textId="77777777" w:rsidR="00F53447" w:rsidRPr="00F53447" w:rsidRDefault="00F53447" w:rsidP="00F53447">
      <w:pPr>
        <w:spacing w:after="0" w:line="480" w:lineRule="auto"/>
        <w:ind w:firstLine="720"/>
        <w:rPr>
          <w:rFonts w:ascii="Arial" w:eastAsia="Arial" w:hAnsi="Arial" w:cs="Arial"/>
          <w:kern w:val="0"/>
          <w:lang w:eastAsia="en-GB"/>
          <w14:ligatures w14:val="none"/>
        </w:rPr>
      </w:pPr>
      <w:r w:rsidRPr="00F53447">
        <w:rPr>
          <w:rFonts w:ascii="Arial" w:eastAsia="Arial" w:hAnsi="Arial" w:cs="Arial"/>
          <w:i/>
          <w:iCs/>
          <w:kern w:val="0"/>
          <w:lang w:eastAsia="en-GB"/>
          <w14:ligatures w14:val="none"/>
        </w:rPr>
        <w:lastRenderedPageBreak/>
        <w:t>Cleaning up one of the world’s most commonly used substances | MIT Sustainability</w:t>
      </w:r>
      <w:r w:rsidRPr="00F53447">
        <w:rPr>
          <w:rFonts w:ascii="Arial" w:eastAsia="Arial" w:hAnsi="Arial" w:cs="Arial"/>
          <w:kern w:val="0"/>
          <w:lang w:eastAsia="en-GB"/>
          <w14:ligatures w14:val="none"/>
        </w:rPr>
        <w:t>. (2023, October 13). https://sustainability.mit.edu/article/cleaning-one-worlds-most-commonly-used-substances#:~:text=Concrete%20is%20the%20second%20most,it&amp;apos;s%20used%20to%20make%20concrete.</w:t>
      </w:r>
    </w:p>
    <w:p w14:paraId="1970A52F" w14:textId="77777777" w:rsidR="00F53447" w:rsidRPr="00F53447" w:rsidRDefault="00F53447" w:rsidP="00F53447">
      <w:pPr>
        <w:spacing w:after="0" w:line="480" w:lineRule="auto"/>
        <w:ind w:firstLine="720"/>
        <w:rPr>
          <w:rFonts w:ascii="Arial" w:eastAsia="Arial" w:hAnsi="Arial" w:cs="Arial"/>
          <w:kern w:val="0"/>
          <w:lang w:eastAsia="en-GB"/>
          <w14:ligatures w14:val="none"/>
        </w:rPr>
      </w:pPr>
      <w:r w:rsidRPr="00F53447">
        <w:rPr>
          <w:rFonts w:ascii="Arial" w:eastAsia="Arial" w:hAnsi="Arial" w:cs="Arial"/>
          <w:kern w:val="0"/>
          <w:lang w:eastAsia="en-GB"/>
          <w14:ligatures w14:val="none"/>
        </w:rPr>
        <w:t xml:space="preserve">Contributors, E. (2023, September 23). Decarbonising cement: One of the biggest challenges in the infrastructure industry. </w:t>
      </w:r>
      <w:r w:rsidRPr="00F53447">
        <w:rPr>
          <w:rFonts w:ascii="Arial" w:eastAsia="Arial" w:hAnsi="Arial" w:cs="Arial"/>
          <w:i/>
          <w:iCs/>
          <w:kern w:val="0"/>
          <w:lang w:eastAsia="en-GB"/>
          <w14:ligatures w14:val="none"/>
        </w:rPr>
        <w:t>The Economic Times</w:t>
      </w:r>
      <w:r w:rsidRPr="00F53447">
        <w:rPr>
          <w:rFonts w:ascii="Arial" w:eastAsia="Arial" w:hAnsi="Arial" w:cs="Arial"/>
          <w:kern w:val="0"/>
          <w:lang w:eastAsia="en-GB"/>
          <w14:ligatures w14:val="none"/>
        </w:rPr>
        <w:t>. https://economictimes.indiatimes.com/small-biz/sustainability/decarbonising-cement-one-of-the-biggest-challenges-in-the-infrastructure-industry/articleshow/103881982.cms?from=mdr</w:t>
      </w:r>
    </w:p>
    <w:p w14:paraId="117DB061" w14:textId="77777777" w:rsidR="00F53447" w:rsidRPr="00F53447" w:rsidRDefault="00F53447" w:rsidP="00F53447">
      <w:pPr>
        <w:spacing w:after="0" w:line="480" w:lineRule="auto"/>
        <w:ind w:firstLine="720"/>
        <w:rPr>
          <w:rFonts w:ascii="Arial" w:eastAsia="Arial" w:hAnsi="Arial" w:cs="Arial"/>
          <w:kern w:val="0"/>
          <w:lang w:eastAsia="en-GB"/>
          <w14:ligatures w14:val="none"/>
        </w:rPr>
      </w:pPr>
      <w:r w:rsidRPr="00F53447">
        <w:rPr>
          <w:rFonts w:ascii="Arial" w:eastAsia="Arial" w:hAnsi="Arial" w:cs="Arial"/>
          <w:i/>
          <w:iCs/>
          <w:kern w:val="0"/>
          <w:lang w:eastAsia="en-GB"/>
          <w14:ligatures w14:val="none"/>
        </w:rPr>
        <w:t>Externalities - AP Microeconomics</w:t>
      </w:r>
      <w:r w:rsidRPr="00F53447">
        <w:rPr>
          <w:rFonts w:ascii="Arial" w:eastAsia="Arial" w:hAnsi="Arial" w:cs="Arial"/>
          <w:kern w:val="0"/>
          <w:lang w:eastAsia="en-GB"/>
          <w14:ligatures w14:val="none"/>
        </w:rPr>
        <w:t>. (n.d.). AP MICROECONOMICS. https://www.microeconomicsap.com/externalities-ap-microeconomics.html</w:t>
      </w:r>
    </w:p>
    <w:p w14:paraId="1DE42479" w14:textId="77777777" w:rsidR="00F53447" w:rsidRPr="00F53447" w:rsidRDefault="00F53447" w:rsidP="00F53447">
      <w:pPr>
        <w:spacing w:after="0" w:line="480" w:lineRule="auto"/>
        <w:ind w:firstLine="720"/>
        <w:rPr>
          <w:rFonts w:ascii="Arial" w:eastAsia="Arial" w:hAnsi="Arial" w:cs="Arial"/>
          <w:kern w:val="0"/>
          <w:lang w:eastAsia="en-GB"/>
          <w14:ligatures w14:val="none"/>
        </w:rPr>
      </w:pPr>
      <w:r w:rsidRPr="00F53447">
        <w:rPr>
          <w:rFonts w:ascii="Arial" w:eastAsia="Arial" w:hAnsi="Arial" w:cs="Arial"/>
          <w:i/>
          <w:iCs/>
          <w:kern w:val="0"/>
          <w:lang w:eastAsia="en-GB"/>
          <w14:ligatures w14:val="none"/>
        </w:rPr>
        <w:t>Externalities: Prices do not capture all costs</w:t>
      </w:r>
      <w:r w:rsidRPr="00F53447">
        <w:rPr>
          <w:rFonts w:ascii="Arial" w:eastAsia="Arial" w:hAnsi="Arial" w:cs="Arial"/>
          <w:kern w:val="0"/>
          <w:lang w:eastAsia="en-GB"/>
          <w14:ligatures w14:val="none"/>
        </w:rPr>
        <w:t>. (2017, May 10). IMF. https://www.imf.org/en/Publications/fandd/issues/Series/Back-to-Basics/Externalities</w:t>
      </w:r>
    </w:p>
    <w:p w14:paraId="54580861" w14:textId="77777777" w:rsidR="00F53447" w:rsidRPr="00F53447" w:rsidRDefault="00F53447" w:rsidP="00F53447">
      <w:pPr>
        <w:spacing w:after="0" w:line="480" w:lineRule="auto"/>
        <w:ind w:firstLine="720"/>
        <w:rPr>
          <w:rFonts w:ascii="Arial" w:eastAsia="Arial" w:hAnsi="Arial" w:cs="Arial"/>
          <w:kern w:val="0"/>
          <w:lang w:eastAsia="en-GB"/>
          <w14:ligatures w14:val="none"/>
        </w:rPr>
      </w:pPr>
      <w:r w:rsidRPr="00F53447">
        <w:rPr>
          <w:rFonts w:ascii="Arial" w:eastAsia="Arial" w:hAnsi="Arial" w:cs="Arial"/>
          <w:kern w:val="0"/>
          <w:lang w:eastAsia="en-GB"/>
          <w14:ligatures w14:val="none"/>
        </w:rPr>
        <w:t xml:space="preserve">Ferrini, S., Talia, V., &amp; Di Matteo, M. (2021). Coal mining and policy responses: are externalities appropriately addressed? A meta-analysis. </w:t>
      </w:r>
      <w:r w:rsidRPr="00F53447">
        <w:rPr>
          <w:rFonts w:ascii="Arial" w:eastAsia="Arial" w:hAnsi="Arial" w:cs="Arial"/>
          <w:i/>
          <w:iCs/>
          <w:kern w:val="0"/>
          <w:lang w:eastAsia="en-GB"/>
          <w14:ligatures w14:val="none"/>
        </w:rPr>
        <w:t>Environmental Science &amp; Policy</w:t>
      </w:r>
      <w:r w:rsidRPr="00F53447">
        <w:rPr>
          <w:rFonts w:ascii="Arial" w:eastAsia="Arial" w:hAnsi="Arial" w:cs="Arial"/>
          <w:kern w:val="0"/>
          <w:lang w:eastAsia="en-GB"/>
          <w14:ligatures w14:val="none"/>
        </w:rPr>
        <w:t xml:space="preserve">, </w:t>
      </w:r>
      <w:r w:rsidRPr="00F53447">
        <w:rPr>
          <w:rFonts w:ascii="Arial" w:eastAsia="Arial" w:hAnsi="Arial" w:cs="Arial"/>
          <w:i/>
          <w:iCs/>
          <w:kern w:val="0"/>
          <w:lang w:eastAsia="en-GB"/>
          <w14:ligatures w14:val="none"/>
        </w:rPr>
        <w:t>126</w:t>
      </w:r>
      <w:r w:rsidRPr="00F53447">
        <w:rPr>
          <w:rFonts w:ascii="Arial" w:eastAsia="Arial" w:hAnsi="Arial" w:cs="Arial"/>
          <w:kern w:val="0"/>
          <w:lang w:eastAsia="en-GB"/>
          <w14:ligatures w14:val="none"/>
        </w:rPr>
        <w:t>, 39–47. https://doi.org/10.1016/j.envsci.2021.09.013</w:t>
      </w:r>
    </w:p>
    <w:p w14:paraId="50464395" w14:textId="77777777" w:rsidR="00F53447" w:rsidRPr="00F53447" w:rsidRDefault="00F53447" w:rsidP="00F53447">
      <w:pPr>
        <w:spacing w:after="0" w:line="480" w:lineRule="auto"/>
        <w:ind w:firstLine="720"/>
        <w:rPr>
          <w:rFonts w:ascii="Arial" w:eastAsia="Arial" w:hAnsi="Arial" w:cs="Arial"/>
          <w:kern w:val="0"/>
          <w:lang w:eastAsia="en-GB"/>
          <w14:ligatures w14:val="none"/>
        </w:rPr>
      </w:pPr>
      <w:r w:rsidRPr="00F53447">
        <w:rPr>
          <w:rFonts w:ascii="Arial" w:eastAsia="Arial" w:hAnsi="Arial" w:cs="Arial"/>
          <w:kern w:val="0"/>
          <w:lang w:eastAsia="en-GB"/>
          <w14:ligatures w14:val="none"/>
        </w:rPr>
        <w:t xml:space="preserve">Fibich, G., Gavious, A., &amp; Lowengart, O. (2005). The dynamics of price elasticity of demand in the presence of reference price effects. </w:t>
      </w:r>
      <w:r w:rsidRPr="00F53447">
        <w:rPr>
          <w:rFonts w:ascii="Arial" w:eastAsia="Arial" w:hAnsi="Arial" w:cs="Arial"/>
          <w:i/>
          <w:iCs/>
          <w:kern w:val="0"/>
          <w:lang w:eastAsia="en-GB"/>
          <w14:ligatures w14:val="none"/>
        </w:rPr>
        <w:t>Journal of the Academy of Marketing Science</w:t>
      </w:r>
      <w:r w:rsidRPr="00F53447">
        <w:rPr>
          <w:rFonts w:ascii="Arial" w:eastAsia="Arial" w:hAnsi="Arial" w:cs="Arial"/>
          <w:kern w:val="0"/>
          <w:lang w:eastAsia="en-GB"/>
          <w14:ligatures w14:val="none"/>
        </w:rPr>
        <w:t xml:space="preserve">, </w:t>
      </w:r>
      <w:r w:rsidRPr="00F53447">
        <w:rPr>
          <w:rFonts w:ascii="Arial" w:eastAsia="Arial" w:hAnsi="Arial" w:cs="Arial"/>
          <w:i/>
          <w:iCs/>
          <w:kern w:val="0"/>
          <w:lang w:eastAsia="en-GB"/>
          <w14:ligatures w14:val="none"/>
        </w:rPr>
        <w:t>33</w:t>
      </w:r>
      <w:r w:rsidRPr="00F53447">
        <w:rPr>
          <w:rFonts w:ascii="Arial" w:eastAsia="Arial" w:hAnsi="Arial" w:cs="Arial"/>
          <w:kern w:val="0"/>
          <w:lang w:eastAsia="en-GB"/>
          <w14:ligatures w14:val="none"/>
        </w:rPr>
        <w:t>(1), 66–78. https://doi.org/10.1177/0092070304267108</w:t>
      </w:r>
    </w:p>
    <w:p w14:paraId="329B9CDF" w14:textId="77777777" w:rsidR="00F53447" w:rsidRPr="00F53447" w:rsidRDefault="00F53447" w:rsidP="00F53447">
      <w:pPr>
        <w:spacing w:after="0" w:line="480" w:lineRule="auto"/>
        <w:ind w:firstLine="720"/>
        <w:rPr>
          <w:rFonts w:ascii="Arial" w:eastAsia="Arial" w:hAnsi="Arial" w:cs="Arial"/>
          <w:kern w:val="0"/>
          <w:lang w:eastAsia="en-GB"/>
          <w14:ligatures w14:val="none"/>
        </w:rPr>
      </w:pPr>
      <w:r w:rsidRPr="00F53447">
        <w:rPr>
          <w:rFonts w:ascii="Arial" w:eastAsia="Arial" w:hAnsi="Arial" w:cs="Arial"/>
          <w:i/>
          <w:iCs/>
          <w:kern w:val="0"/>
          <w:lang w:eastAsia="en-GB"/>
          <w14:ligatures w14:val="none"/>
        </w:rPr>
        <w:t>Figure 5. Annual production of cement, showing an initial rise ~1950. . ..</w:t>
      </w:r>
      <w:r w:rsidRPr="00F53447">
        <w:rPr>
          <w:rFonts w:ascii="Arial" w:eastAsia="Arial" w:hAnsi="Arial" w:cs="Arial"/>
          <w:kern w:val="0"/>
          <w:lang w:eastAsia="en-GB"/>
          <w14:ligatures w14:val="none"/>
        </w:rPr>
        <w:t xml:space="preserve"> (n.d.). ResearchGate. https://www.researchgate.net/figure/Annual-production-of-cement-showing-an-initial-rise-1950-Crucially-the-amount-of_fig4_356207147</w:t>
      </w:r>
    </w:p>
    <w:p w14:paraId="16DDE683" w14:textId="77777777" w:rsidR="00F53447" w:rsidRPr="00F53447" w:rsidRDefault="00F53447" w:rsidP="00F53447">
      <w:pPr>
        <w:spacing w:after="0" w:line="480" w:lineRule="auto"/>
        <w:ind w:firstLine="720"/>
        <w:rPr>
          <w:rFonts w:ascii="Arial" w:eastAsia="Arial" w:hAnsi="Arial" w:cs="Arial"/>
          <w:kern w:val="0"/>
          <w:lang w:eastAsia="en-GB"/>
          <w14:ligatures w14:val="none"/>
        </w:rPr>
      </w:pPr>
      <w:r w:rsidRPr="00F53447">
        <w:rPr>
          <w:rFonts w:ascii="Arial" w:eastAsia="Arial" w:hAnsi="Arial" w:cs="Arial"/>
          <w:kern w:val="0"/>
          <w:lang w:eastAsia="en-GB"/>
          <w14:ligatures w14:val="none"/>
        </w:rPr>
        <w:t xml:space="preserve">Gagg, C. (2014). Cement and concrete as an engineering material: An historic appraisal and case study analysis. </w:t>
      </w:r>
      <w:r w:rsidRPr="00F53447">
        <w:rPr>
          <w:rFonts w:ascii="Arial" w:eastAsia="Arial" w:hAnsi="Arial" w:cs="Arial"/>
          <w:i/>
          <w:iCs/>
          <w:kern w:val="0"/>
          <w:lang w:eastAsia="en-GB"/>
          <w14:ligatures w14:val="none"/>
        </w:rPr>
        <w:t>Engineering Failure Analysis</w:t>
      </w:r>
      <w:r w:rsidRPr="00F53447">
        <w:rPr>
          <w:rFonts w:ascii="Arial" w:eastAsia="Arial" w:hAnsi="Arial" w:cs="Arial"/>
          <w:kern w:val="0"/>
          <w:lang w:eastAsia="en-GB"/>
          <w14:ligatures w14:val="none"/>
        </w:rPr>
        <w:t xml:space="preserve">, </w:t>
      </w:r>
      <w:r w:rsidRPr="00F53447">
        <w:rPr>
          <w:rFonts w:ascii="Arial" w:eastAsia="Arial" w:hAnsi="Arial" w:cs="Arial"/>
          <w:i/>
          <w:iCs/>
          <w:kern w:val="0"/>
          <w:lang w:eastAsia="en-GB"/>
          <w14:ligatures w14:val="none"/>
        </w:rPr>
        <w:t>40</w:t>
      </w:r>
      <w:r w:rsidRPr="00F53447">
        <w:rPr>
          <w:rFonts w:ascii="Arial" w:eastAsia="Arial" w:hAnsi="Arial" w:cs="Arial"/>
          <w:kern w:val="0"/>
          <w:lang w:eastAsia="en-GB"/>
          <w14:ligatures w14:val="none"/>
        </w:rPr>
        <w:t>, 114–140. https://doi.org/10.1016/j.engfailanal.2014.02.004</w:t>
      </w:r>
    </w:p>
    <w:p w14:paraId="59E0FEB6" w14:textId="77777777" w:rsidR="00F53447" w:rsidRPr="00F53447" w:rsidRDefault="00F53447" w:rsidP="00F53447">
      <w:pPr>
        <w:spacing w:after="0" w:line="480" w:lineRule="auto"/>
        <w:ind w:firstLine="720"/>
        <w:rPr>
          <w:rFonts w:ascii="Arial" w:eastAsia="Arial" w:hAnsi="Arial" w:cs="Arial"/>
          <w:kern w:val="0"/>
          <w:lang w:eastAsia="en-GB"/>
          <w14:ligatures w14:val="none"/>
        </w:rPr>
      </w:pPr>
      <w:r w:rsidRPr="00F53447">
        <w:rPr>
          <w:rFonts w:ascii="Arial" w:eastAsia="Arial" w:hAnsi="Arial" w:cs="Arial"/>
          <w:kern w:val="0"/>
          <w:lang w:eastAsia="en-GB"/>
          <w14:ligatures w14:val="none"/>
        </w:rPr>
        <w:t xml:space="preserve">Gasdia-Cochrane, M., &amp; Gasdia-Cochrane, M. (2023, December 20). The cement manufacturing process. </w:t>
      </w:r>
      <w:r w:rsidRPr="00F53447">
        <w:rPr>
          <w:rFonts w:ascii="Arial" w:eastAsia="Arial" w:hAnsi="Arial" w:cs="Arial"/>
          <w:i/>
          <w:iCs/>
          <w:kern w:val="0"/>
          <w:lang w:eastAsia="en-GB"/>
          <w14:ligatures w14:val="none"/>
        </w:rPr>
        <w:t>Advancing Mining</w:t>
      </w:r>
      <w:r w:rsidRPr="00F53447">
        <w:rPr>
          <w:rFonts w:ascii="Arial" w:eastAsia="Arial" w:hAnsi="Arial" w:cs="Arial"/>
          <w:kern w:val="0"/>
          <w:lang w:eastAsia="en-GB"/>
          <w14:ligatures w14:val="none"/>
        </w:rPr>
        <w:t>. https://www.thermofisher.com/blog/mining/the-</w:t>
      </w:r>
      <w:r w:rsidRPr="00F53447">
        <w:rPr>
          <w:rFonts w:ascii="Arial" w:eastAsia="Arial" w:hAnsi="Arial" w:cs="Arial"/>
          <w:kern w:val="0"/>
          <w:lang w:eastAsia="en-GB"/>
          <w14:ligatures w14:val="none"/>
        </w:rPr>
        <w:lastRenderedPageBreak/>
        <w:t>cement-manufacturing-process/#:~:text=How%20cement%20is%20made,C%20in%20a%20cement%20kiln.</w:t>
      </w:r>
    </w:p>
    <w:p w14:paraId="27988521" w14:textId="77777777" w:rsidR="00F53447" w:rsidRPr="00F53447" w:rsidRDefault="00F53447" w:rsidP="00F53447">
      <w:pPr>
        <w:spacing w:after="0" w:line="480" w:lineRule="auto"/>
        <w:ind w:firstLine="720"/>
        <w:rPr>
          <w:rFonts w:ascii="Arial" w:eastAsia="Arial" w:hAnsi="Arial" w:cs="Arial"/>
          <w:kern w:val="0"/>
          <w:lang w:eastAsia="en-GB"/>
          <w14:ligatures w14:val="none"/>
        </w:rPr>
      </w:pPr>
      <w:r w:rsidRPr="00F53447">
        <w:rPr>
          <w:rFonts w:ascii="Arial" w:eastAsia="Arial" w:hAnsi="Arial" w:cs="Arial"/>
          <w:kern w:val="0"/>
          <w:lang w:eastAsia="en-GB"/>
          <w14:ligatures w14:val="none"/>
        </w:rPr>
        <w:t xml:space="preserve">Gneezy, U., &amp; Rustichini, A. (2000). A Fine is a Price. </w:t>
      </w:r>
      <w:r w:rsidRPr="00F53447">
        <w:rPr>
          <w:rFonts w:ascii="Arial" w:eastAsia="Arial" w:hAnsi="Arial" w:cs="Arial"/>
          <w:i/>
          <w:iCs/>
          <w:kern w:val="0"/>
          <w:lang w:eastAsia="en-GB"/>
          <w14:ligatures w14:val="none"/>
        </w:rPr>
        <w:t>The Journal of Legal Studies</w:t>
      </w:r>
      <w:r w:rsidRPr="00F53447">
        <w:rPr>
          <w:rFonts w:ascii="Arial" w:eastAsia="Arial" w:hAnsi="Arial" w:cs="Arial"/>
          <w:kern w:val="0"/>
          <w:lang w:eastAsia="en-GB"/>
          <w14:ligatures w14:val="none"/>
        </w:rPr>
        <w:t xml:space="preserve">, </w:t>
      </w:r>
      <w:r w:rsidRPr="00F53447">
        <w:rPr>
          <w:rFonts w:ascii="Arial" w:eastAsia="Arial" w:hAnsi="Arial" w:cs="Arial"/>
          <w:i/>
          <w:iCs/>
          <w:kern w:val="0"/>
          <w:lang w:eastAsia="en-GB"/>
          <w14:ligatures w14:val="none"/>
        </w:rPr>
        <w:t>29</w:t>
      </w:r>
      <w:r w:rsidRPr="00F53447">
        <w:rPr>
          <w:rFonts w:ascii="Arial" w:eastAsia="Arial" w:hAnsi="Arial" w:cs="Arial"/>
          <w:kern w:val="0"/>
          <w:lang w:eastAsia="en-GB"/>
          <w14:ligatures w14:val="none"/>
        </w:rPr>
        <w:t>(1), 1–17. https://doi.org/10.1086/468061</w:t>
      </w:r>
    </w:p>
    <w:p w14:paraId="213803E1" w14:textId="77777777" w:rsidR="00F53447" w:rsidRPr="00F53447" w:rsidRDefault="00F53447" w:rsidP="00F53447">
      <w:pPr>
        <w:spacing w:after="0" w:line="480" w:lineRule="auto"/>
        <w:ind w:firstLine="720"/>
        <w:rPr>
          <w:rFonts w:ascii="Arial" w:eastAsia="Arial" w:hAnsi="Arial" w:cs="Arial"/>
          <w:kern w:val="0"/>
          <w:lang w:eastAsia="en-GB"/>
          <w14:ligatures w14:val="none"/>
        </w:rPr>
      </w:pPr>
      <w:r w:rsidRPr="00F53447">
        <w:rPr>
          <w:rFonts w:ascii="Arial" w:eastAsia="Arial" w:hAnsi="Arial" w:cs="Arial"/>
          <w:kern w:val="0"/>
          <w:lang w:eastAsia="en-GB"/>
          <w14:ligatures w14:val="none"/>
        </w:rPr>
        <w:t xml:space="preserve">Juarez, R. I. C., &amp; Finnegan, S. (2021). The environmental impact of cement production in Europe: A holistic review of existing EPDs. </w:t>
      </w:r>
      <w:r w:rsidRPr="00F53447">
        <w:rPr>
          <w:rFonts w:ascii="Arial" w:eastAsia="Arial" w:hAnsi="Arial" w:cs="Arial"/>
          <w:i/>
          <w:iCs/>
          <w:kern w:val="0"/>
          <w:lang w:eastAsia="en-GB"/>
          <w14:ligatures w14:val="none"/>
        </w:rPr>
        <w:t>Cleaner Environmental Systems</w:t>
      </w:r>
      <w:r w:rsidRPr="00F53447">
        <w:rPr>
          <w:rFonts w:ascii="Arial" w:eastAsia="Arial" w:hAnsi="Arial" w:cs="Arial"/>
          <w:kern w:val="0"/>
          <w:lang w:eastAsia="en-GB"/>
          <w14:ligatures w14:val="none"/>
        </w:rPr>
        <w:t xml:space="preserve">, </w:t>
      </w:r>
      <w:r w:rsidRPr="00F53447">
        <w:rPr>
          <w:rFonts w:ascii="Arial" w:eastAsia="Arial" w:hAnsi="Arial" w:cs="Arial"/>
          <w:i/>
          <w:iCs/>
          <w:kern w:val="0"/>
          <w:lang w:eastAsia="en-GB"/>
          <w14:ligatures w14:val="none"/>
        </w:rPr>
        <w:t>3</w:t>
      </w:r>
      <w:r w:rsidRPr="00F53447">
        <w:rPr>
          <w:rFonts w:ascii="Arial" w:eastAsia="Arial" w:hAnsi="Arial" w:cs="Arial"/>
          <w:kern w:val="0"/>
          <w:lang w:eastAsia="en-GB"/>
          <w14:ligatures w14:val="none"/>
        </w:rPr>
        <w:t>, 100053. https://doi.org/10.1016/j.cesys.2021.100053</w:t>
      </w:r>
    </w:p>
    <w:p w14:paraId="7CF98DC0" w14:textId="77777777" w:rsidR="00F53447" w:rsidRPr="00F53447" w:rsidRDefault="00F53447" w:rsidP="00F53447">
      <w:pPr>
        <w:spacing w:after="0" w:line="480" w:lineRule="auto"/>
        <w:ind w:firstLine="720"/>
        <w:rPr>
          <w:rFonts w:ascii="Arial" w:eastAsia="Arial" w:hAnsi="Arial" w:cs="Arial"/>
          <w:kern w:val="0"/>
          <w:lang w:eastAsia="en-GB"/>
          <w14:ligatures w14:val="none"/>
        </w:rPr>
      </w:pPr>
      <w:r w:rsidRPr="00F53447">
        <w:rPr>
          <w:rFonts w:ascii="Arial" w:eastAsia="Arial" w:hAnsi="Arial" w:cs="Arial"/>
          <w:i/>
          <w:iCs/>
          <w:kern w:val="0"/>
          <w:lang w:eastAsia="en-GB"/>
          <w14:ligatures w14:val="none"/>
        </w:rPr>
        <w:t>Market failure | INOMICS</w:t>
      </w:r>
      <w:r w:rsidRPr="00F53447">
        <w:rPr>
          <w:rFonts w:ascii="Arial" w:eastAsia="Arial" w:hAnsi="Arial" w:cs="Arial"/>
          <w:kern w:val="0"/>
          <w:lang w:eastAsia="en-GB"/>
          <w14:ligatures w14:val="none"/>
        </w:rPr>
        <w:t>. (2023, November 16). INOMICS. https://inomics.com/terms/market-failure-1540294</w:t>
      </w:r>
    </w:p>
    <w:p w14:paraId="0CBFF5BD" w14:textId="77777777" w:rsidR="00F53447" w:rsidRPr="00F53447" w:rsidRDefault="00F53447" w:rsidP="00F53447">
      <w:pPr>
        <w:spacing w:after="0" w:line="480" w:lineRule="auto"/>
        <w:ind w:firstLine="720"/>
        <w:rPr>
          <w:rFonts w:ascii="Arial" w:eastAsia="Arial" w:hAnsi="Arial" w:cs="Arial"/>
          <w:kern w:val="0"/>
          <w:lang w:eastAsia="en-GB"/>
          <w14:ligatures w14:val="none"/>
        </w:rPr>
      </w:pPr>
      <w:r w:rsidRPr="00F53447">
        <w:rPr>
          <w:rFonts w:ascii="Arial" w:eastAsia="Arial" w:hAnsi="Arial" w:cs="Arial"/>
          <w:i/>
          <w:iCs/>
          <w:kern w:val="0"/>
          <w:lang w:eastAsia="en-GB"/>
          <w14:ligatures w14:val="none"/>
        </w:rPr>
        <w:t>Mitsubishi Heavy Industries, Ltd. Global website | Heidelberg Materials North America and MHI are working toward first Full-Scale Carbon Capture, Utilization and Storage solution for cement industry</w:t>
      </w:r>
      <w:r w:rsidRPr="00F53447">
        <w:rPr>
          <w:rFonts w:ascii="Arial" w:eastAsia="Arial" w:hAnsi="Arial" w:cs="Arial"/>
          <w:kern w:val="0"/>
          <w:lang w:eastAsia="en-GB"/>
          <w14:ligatures w14:val="none"/>
        </w:rPr>
        <w:t>. (2023, August 17). Mitsubishi Heavy Industries, Ltd. https://www.mhi.com/news/23081702.html</w:t>
      </w:r>
    </w:p>
    <w:p w14:paraId="3B431838" w14:textId="77777777" w:rsidR="00F53447" w:rsidRPr="00F53447" w:rsidRDefault="00F53447" w:rsidP="00F53447">
      <w:pPr>
        <w:spacing w:after="0" w:line="480" w:lineRule="auto"/>
        <w:ind w:firstLine="720"/>
        <w:rPr>
          <w:rFonts w:ascii="Arial" w:eastAsia="Arial" w:hAnsi="Arial" w:cs="Arial"/>
          <w:kern w:val="0"/>
          <w:lang w:eastAsia="en-GB"/>
          <w14:ligatures w14:val="none"/>
        </w:rPr>
      </w:pPr>
      <w:r w:rsidRPr="00F53447">
        <w:rPr>
          <w:rFonts w:ascii="Arial" w:eastAsia="Arial" w:hAnsi="Arial" w:cs="Arial"/>
          <w:kern w:val="0"/>
          <w:lang w:eastAsia="en-GB"/>
          <w14:ligatures w14:val="none"/>
        </w:rPr>
        <w:t xml:space="preserve">Nisbet, M. (2002). The Clean Air Act Amendments: regulator’s dream, cement industry’s nightmare. In </w:t>
      </w:r>
      <w:r w:rsidRPr="00F53447">
        <w:rPr>
          <w:rFonts w:ascii="Arial" w:eastAsia="Arial" w:hAnsi="Arial" w:cs="Arial"/>
          <w:i/>
          <w:iCs/>
          <w:kern w:val="0"/>
          <w:lang w:eastAsia="en-GB"/>
          <w14:ligatures w14:val="none"/>
        </w:rPr>
        <w:t>Electric Power Generation: The Changing Dimensions</w:t>
      </w:r>
      <w:r w:rsidRPr="00F53447">
        <w:rPr>
          <w:rFonts w:ascii="Arial" w:eastAsia="Arial" w:hAnsi="Arial" w:cs="Arial"/>
          <w:kern w:val="0"/>
          <w:lang w:eastAsia="en-GB"/>
          <w14:ligatures w14:val="none"/>
        </w:rPr>
        <w:t>. https://doi.org/10.1109/citcon.1995.514340</w:t>
      </w:r>
    </w:p>
    <w:p w14:paraId="1804FDE7" w14:textId="77777777" w:rsidR="00F53447" w:rsidRPr="00F53447" w:rsidRDefault="00F53447" w:rsidP="00F53447">
      <w:pPr>
        <w:spacing w:after="0" w:line="480" w:lineRule="auto"/>
        <w:ind w:firstLine="720"/>
        <w:rPr>
          <w:rFonts w:ascii="Arial" w:eastAsia="Arial" w:hAnsi="Arial" w:cs="Arial"/>
          <w:kern w:val="0"/>
          <w:lang w:eastAsia="en-GB"/>
          <w14:ligatures w14:val="none"/>
        </w:rPr>
      </w:pPr>
      <w:r w:rsidRPr="00F53447">
        <w:rPr>
          <w:rFonts w:ascii="Arial" w:eastAsia="Arial" w:hAnsi="Arial" w:cs="Arial"/>
          <w:kern w:val="0"/>
          <w:lang w:eastAsia="en-GB"/>
          <w14:ligatures w14:val="none"/>
        </w:rPr>
        <w:t xml:space="preserve">Pti. (2024, January 23). Cement industry to add 150-160 million tonnes capacity by FY28: Report. </w:t>
      </w:r>
      <w:r w:rsidRPr="00F53447">
        <w:rPr>
          <w:rFonts w:ascii="Arial" w:eastAsia="Arial" w:hAnsi="Arial" w:cs="Arial"/>
          <w:i/>
          <w:iCs/>
          <w:kern w:val="0"/>
          <w:lang w:eastAsia="en-GB"/>
          <w14:ligatures w14:val="none"/>
        </w:rPr>
        <w:t>The Economic Times</w:t>
      </w:r>
      <w:r w:rsidRPr="00F53447">
        <w:rPr>
          <w:rFonts w:ascii="Arial" w:eastAsia="Arial" w:hAnsi="Arial" w:cs="Arial"/>
          <w:kern w:val="0"/>
          <w:lang w:eastAsia="en-GB"/>
          <w14:ligatures w14:val="none"/>
        </w:rPr>
        <w:t>. https://economictimes.indiatimes.com/industry/indl-goods/svs/cement/cement-industry-to-add-150-160-million-tonnes-capacity-by-fy28-report/articleshow/107080970.cms?from=mdr</w:t>
      </w:r>
    </w:p>
    <w:p w14:paraId="128D4D6E" w14:textId="77777777" w:rsidR="00F53447" w:rsidRPr="00F53447" w:rsidRDefault="00F53447" w:rsidP="00F53447">
      <w:pPr>
        <w:spacing w:after="0" w:line="480" w:lineRule="auto"/>
        <w:ind w:firstLine="720"/>
        <w:rPr>
          <w:rFonts w:ascii="Arial" w:eastAsia="Arial" w:hAnsi="Arial" w:cs="Arial"/>
          <w:kern w:val="0"/>
          <w:lang w:eastAsia="en-GB"/>
          <w14:ligatures w14:val="none"/>
        </w:rPr>
      </w:pPr>
      <w:r w:rsidRPr="00F53447">
        <w:rPr>
          <w:rFonts w:ascii="Arial" w:eastAsia="Arial" w:hAnsi="Arial" w:cs="Arial"/>
          <w:kern w:val="0"/>
          <w:lang w:eastAsia="en-GB"/>
          <w14:ligatures w14:val="none"/>
        </w:rPr>
        <w:t xml:space="preserve">Rodrigues, F. P., &amp; Joekes, I. (2010). Cement industry: sustainability, challenges and perspectives. </w:t>
      </w:r>
      <w:r w:rsidRPr="00F53447">
        <w:rPr>
          <w:rFonts w:ascii="Arial" w:eastAsia="Arial" w:hAnsi="Arial" w:cs="Arial"/>
          <w:i/>
          <w:iCs/>
          <w:kern w:val="0"/>
          <w:lang w:eastAsia="en-GB"/>
          <w14:ligatures w14:val="none"/>
        </w:rPr>
        <w:t>Environmental Chemistry Letters</w:t>
      </w:r>
      <w:r w:rsidRPr="00F53447">
        <w:rPr>
          <w:rFonts w:ascii="Arial" w:eastAsia="Arial" w:hAnsi="Arial" w:cs="Arial"/>
          <w:kern w:val="0"/>
          <w:lang w:eastAsia="en-GB"/>
          <w14:ligatures w14:val="none"/>
        </w:rPr>
        <w:t xml:space="preserve">, </w:t>
      </w:r>
      <w:r w:rsidRPr="00F53447">
        <w:rPr>
          <w:rFonts w:ascii="Arial" w:eastAsia="Arial" w:hAnsi="Arial" w:cs="Arial"/>
          <w:i/>
          <w:iCs/>
          <w:kern w:val="0"/>
          <w:lang w:eastAsia="en-GB"/>
          <w14:ligatures w14:val="none"/>
        </w:rPr>
        <w:t>9</w:t>
      </w:r>
      <w:r w:rsidRPr="00F53447">
        <w:rPr>
          <w:rFonts w:ascii="Arial" w:eastAsia="Arial" w:hAnsi="Arial" w:cs="Arial"/>
          <w:kern w:val="0"/>
          <w:lang w:eastAsia="en-GB"/>
          <w14:ligatures w14:val="none"/>
        </w:rPr>
        <w:t>(2), 151–166. https://doi.org/10.1007/s10311-010-0302-2</w:t>
      </w:r>
    </w:p>
    <w:p w14:paraId="51E02584" w14:textId="77777777" w:rsidR="00F53447" w:rsidRPr="00F53447" w:rsidRDefault="00F53447" w:rsidP="00F53447">
      <w:pPr>
        <w:spacing w:after="0" w:line="480" w:lineRule="auto"/>
        <w:ind w:firstLine="720"/>
        <w:rPr>
          <w:rFonts w:ascii="Arial" w:eastAsia="Arial" w:hAnsi="Arial" w:cs="Arial"/>
          <w:kern w:val="0"/>
          <w:lang w:eastAsia="en-GB"/>
          <w14:ligatures w14:val="none"/>
        </w:rPr>
      </w:pPr>
      <w:r w:rsidRPr="00F53447">
        <w:rPr>
          <w:rFonts w:ascii="Arial" w:eastAsia="Arial" w:hAnsi="Arial" w:cs="Arial"/>
          <w:kern w:val="0"/>
          <w:lang w:eastAsia="en-GB"/>
          <w14:ligatures w14:val="none"/>
        </w:rPr>
        <w:t xml:space="preserve">Rose, A., &amp; Stevens, B. (1993). The efficiency and equity of marketable permits for CO2 emissions. </w:t>
      </w:r>
      <w:r w:rsidRPr="00F53447">
        <w:rPr>
          <w:rFonts w:ascii="Arial" w:eastAsia="Arial" w:hAnsi="Arial" w:cs="Arial"/>
          <w:i/>
          <w:iCs/>
          <w:kern w:val="0"/>
          <w:lang w:eastAsia="en-GB"/>
          <w14:ligatures w14:val="none"/>
        </w:rPr>
        <w:t>Resource and Energy Economics</w:t>
      </w:r>
      <w:r w:rsidRPr="00F53447">
        <w:rPr>
          <w:rFonts w:ascii="Arial" w:eastAsia="Arial" w:hAnsi="Arial" w:cs="Arial"/>
          <w:kern w:val="0"/>
          <w:lang w:eastAsia="en-GB"/>
          <w14:ligatures w14:val="none"/>
        </w:rPr>
        <w:t xml:space="preserve">, </w:t>
      </w:r>
      <w:r w:rsidRPr="00F53447">
        <w:rPr>
          <w:rFonts w:ascii="Arial" w:eastAsia="Arial" w:hAnsi="Arial" w:cs="Arial"/>
          <w:i/>
          <w:iCs/>
          <w:kern w:val="0"/>
          <w:lang w:eastAsia="en-GB"/>
          <w14:ligatures w14:val="none"/>
        </w:rPr>
        <w:t>15</w:t>
      </w:r>
      <w:r w:rsidRPr="00F53447">
        <w:rPr>
          <w:rFonts w:ascii="Arial" w:eastAsia="Arial" w:hAnsi="Arial" w:cs="Arial"/>
          <w:kern w:val="0"/>
          <w:lang w:eastAsia="en-GB"/>
          <w14:ligatures w14:val="none"/>
        </w:rPr>
        <w:t>(1).</w:t>
      </w:r>
    </w:p>
    <w:p w14:paraId="1F0C0768" w14:textId="77777777" w:rsidR="00F53447" w:rsidRPr="00F53447" w:rsidRDefault="00F53447" w:rsidP="00F53447">
      <w:pPr>
        <w:spacing w:after="0" w:line="480" w:lineRule="auto"/>
        <w:ind w:firstLine="720"/>
        <w:rPr>
          <w:rFonts w:ascii="Arial" w:eastAsia="Arial" w:hAnsi="Arial" w:cs="Arial"/>
          <w:kern w:val="0"/>
          <w:lang w:eastAsia="en-GB"/>
          <w14:ligatures w14:val="none"/>
        </w:rPr>
      </w:pPr>
      <w:r w:rsidRPr="00F53447">
        <w:rPr>
          <w:rFonts w:ascii="Arial" w:eastAsia="Arial" w:hAnsi="Arial" w:cs="Arial"/>
          <w:kern w:val="0"/>
          <w:lang w:eastAsia="en-GB"/>
          <w14:ligatures w14:val="none"/>
        </w:rPr>
        <w:t xml:space="preserve">Schneider, M., Römer, M., Tschudin, M., &amp; Bolio, H. (2011). Sustainable cement production—present and future. </w:t>
      </w:r>
      <w:r w:rsidRPr="00F53447">
        <w:rPr>
          <w:rFonts w:ascii="Arial" w:eastAsia="Arial" w:hAnsi="Arial" w:cs="Arial"/>
          <w:i/>
          <w:iCs/>
          <w:kern w:val="0"/>
          <w:lang w:eastAsia="en-GB"/>
          <w14:ligatures w14:val="none"/>
        </w:rPr>
        <w:t>Cement and Concrete Research</w:t>
      </w:r>
      <w:r w:rsidRPr="00F53447">
        <w:rPr>
          <w:rFonts w:ascii="Arial" w:eastAsia="Arial" w:hAnsi="Arial" w:cs="Arial"/>
          <w:kern w:val="0"/>
          <w:lang w:eastAsia="en-GB"/>
          <w14:ligatures w14:val="none"/>
        </w:rPr>
        <w:t xml:space="preserve">, </w:t>
      </w:r>
      <w:r w:rsidRPr="00F53447">
        <w:rPr>
          <w:rFonts w:ascii="Arial" w:eastAsia="Arial" w:hAnsi="Arial" w:cs="Arial"/>
          <w:i/>
          <w:iCs/>
          <w:kern w:val="0"/>
          <w:lang w:eastAsia="en-GB"/>
          <w14:ligatures w14:val="none"/>
        </w:rPr>
        <w:t>41</w:t>
      </w:r>
      <w:r w:rsidRPr="00F53447">
        <w:rPr>
          <w:rFonts w:ascii="Arial" w:eastAsia="Arial" w:hAnsi="Arial" w:cs="Arial"/>
          <w:kern w:val="0"/>
          <w:lang w:eastAsia="en-GB"/>
          <w14:ligatures w14:val="none"/>
        </w:rPr>
        <w:t>(7), 642–650. https://doi.org/10.1016/j.cemconres.2011.03.019</w:t>
      </w:r>
    </w:p>
    <w:p w14:paraId="2B84DB14" w14:textId="77777777" w:rsidR="00F53447" w:rsidRPr="00F53447" w:rsidRDefault="00F53447" w:rsidP="00F53447">
      <w:pPr>
        <w:spacing w:after="0" w:line="480" w:lineRule="auto"/>
        <w:ind w:firstLine="720"/>
        <w:rPr>
          <w:rFonts w:ascii="Arial" w:eastAsia="Arial" w:hAnsi="Arial" w:cs="Arial"/>
          <w:kern w:val="0"/>
          <w:lang w:eastAsia="en-GB"/>
          <w14:ligatures w14:val="none"/>
        </w:rPr>
      </w:pPr>
      <w:r w:rsidRPr="00F53447">
        <w:rPr>
          <w:rFonts w:ascii="Arial" w:eastAsia="Arial" w:hAnsi="Arial" w:cs="Arial"/>
          <w:i/>
          <w:iCs/>
          <w:kern w:val="0"/>
          <w:lang w:eastAsia="en-GB"/>
          <w14:ligatures w14:val="none"/>
        </w:rPr>
        <w:lastRenderedPageBreak/>
        <w:t>U.S. Senate Committee on Environment and Public Works</w:t>
      </w:r>
      <w:r w:rsidRPr="00F53447">
        <w:rPr>
          <w:rFonts w:ascii="Arial" w:eastAsia="Arial" w:hAnsi="Arial" w:cs="Arial"/>
          <w:kern w:val="0"/>
          <w:lang w:eastAsia="en-GB"/>
          <w14:ligatures w14:val="none"/>
        </w:rPr>
        <w:t>. (n.d.). https://www.epw.senate.gov/</w:t>
      </w:r>
    </w:p>
    <w:p w14:paraId="22D54DE2" w14:textId="77777777" w:rsidR="00F53447" w:rsidRPr="00F53447" w:rsidRDefault="00F53447" w:rsidP="00F53447">
      <w:pPr>
        <w:spacing w:after="0" w:line="480" w:lineRule="auto"/>
        <w:ind w:firstLine="720"/>
        <w:rPr>
          <w:rFonts w:ascii="Arial" w:eastAsia="Arial" w:hAnsi="Arial" w:cs="Arial"/>
          <w:kern w:val="0"/>
          <w:lang w:eastAsia="en-GB"/>
          <w14:ligatures w14:val="none"/>
        </w:rPr>
      </w:pPr>
      <w:r w:rsidRPr="00F53447">
        <w:rPr>
          <w:rFonts w:ascii="Arial" w:eastAsia="Arial" w:hAnsi="Arial" w:cs="Arial"/>
          <w:kern w:val="0"/>
          <w:lang w:eastAsia="en-GB"/>
          <w14:ligatures w14:val="none"/>
        </w:rPr>
        <w:t xml:space="preserve">Voetmann, F. (2024, January 11). </w:t>
      </w:r>
      <w:r w:rsidRPr="00F53447">
        <w:rPr>
          <w:rFonts w:ascii="Arial" w:eastAsia="Arial" w:hAnsi="Arial" w:cs="Arial"/>
          <w:i/>
          <w:iCs/>
          <w:kern w:val="0"/>
          <w:lang w:eastAsia="en-GB"/>
          <w14:ligatures w14:val="none"/>
        </w:rPr>
        <w:t>EU Taxonomy will heavily impact the cement industry</w:t>
      </w:r>
      <w:r w:rsidRPr="00F53447">
        <w:rPr>
          <w:rFonts w:ascii="Arial" w:eastAsia="Arial" w:hAnsi="Arial" w:cs="Arial"/>
          <w:kern w:val="0"/>
          <w:lang w:eastAsia="en-GB"/>
          <w14:ligatures w14:val="none"/>
        </w:rPr>
        <w:t>. FORESIGHT Climate &amp; Energy. https://foresightmedia.com/historie/swp188034-adGxoxbA-07f1f</w:t>
      </w:r>
    </w:p>
    <w:p w14:paraId="54C32096" w14:textId="6C1992BE" w:rsidR="006F4314" w:rsidRPr="00F53447" w:rsidRDefault="006F4314" w:rsidP="006F4314">
      <w:pPr>
        <w:rPr>
          <w:rFonts w:ascii="Arial" w:hAnsi="Arial" w:cs="Arial"/>
          <w:b/>
          <w:bCs/>
        </w:rPr>
      </w:pPr>
    </w:p>
    <w:p w14:paraId="084CA872" w14:textId="77777777" w:rsidR="006F4314" w:rsidRPr="00F53447" w:rsidRDefault="006F4314" w:rsidP="00AC16DF">
      <w:pPr>
        <w:rPr>
          <w:rFonts w:ascii="Arial" w:hAnsi="Arial" w:cs="Arial"/>
          <w:b/>
          <w:bCs/>
        </w:rPr>
      </w:pPr>
    </w:p>
    <w:p w14:paraId="36DBEF55" w14:textId="77777777" w:rsidR="006F4314" w:rsidRPr="00F53447" w:rsidRDefault="006F4314" w:rsidP="00AC16DF">
      <w:pPr>
        <w:rPr>
          <w:rFonts w:ascii="Arial" w:hAnsi="Arial" w:cs="Arial"/>
          <w:b/>
          <w:bCs/>
        </w:rPr>
      </w:pPr>
    </w:p>
    <w:p w14:paraId="77412997" w14:textId="77777777" w:rsidR="00AC16DF" w:rsidRPr="00F53447" w:rsidRDefault="00AC16DF" w:rsidP="00AC16DF">
      <w:pPr>
        <w:rPr>
          <w:rFonts w:ascii="Arial" w:hAnsi="Arial" w:cs="Arial"/>
          <w:b/>
          <w:bCs/>
          <w:u w:val="single"/>
        </w:rPr>
      </w:pPr>
    </w:p>
    <w:p w14:paraId="7B30645B" w14:textId="77777777" w:rsidR="00AC16DF" w:rsidRPr="00F53447" w:rsidRDefault="00AC16DF" w:rsidP="00AC16DF">
      <w:pPr>
        <w:rPr>
          <w:rFonts w:ascii="Arial" w:hAnsi="Arial" w:cs="Arial"/>
          <w:b/>
          <w:bCs/>
          <w:u w:val="single"/>
        </w:rPr>
      </w:pPr>
    </w:p>
    <w:p w14:paraId="2F3F3073" w14:textId="77777777" w:rsidR="00AC16DF" w:rsidRPr="00F53447" w:rsidRDefault="00AC16DF" w:rsidP="00AC16DF">
      <w:pPr>
        <w:jc w:val="center"/>
        <w:rPr>
          <w:rFonts w:ascii="Arial" w:hAnsi="Arial" w:cs="Arial"/>
          <w:b/>
          <w:bCs/>
          <w:u w:val="single"/>
        </w:rPr>
      </w:pPr>
    </w:p>
    <w:p w14:paraId="770F802D" w14:textId="77777777" w:rsidR="00AC16DF" w:rsidRPr="00F53447" w:rsidRDefault="00AC16DF" w:rsidP="00AC16DF">
      <w:pPr>
        <w:jc w:val="center"/>
        <w:rPr>
          <w:rFonts w:ascii="Arial" w:hAnsi="Arial" w:cs="Arial"/>
          <w:b/>
          <w:bCs/>
          <w:u w:val="single"/>
        </w:rPr>
      </w:pPr>
    </w:p>
    <w:p w14:paraId="4BE2BC55" w14:textId="77777777" w:rsidR="00AC16DF" w:rsidRPr="00F53447" w:rsidRDefault="00AC16DF" w:rsidP="00AC16DF">
      <w:pPr>
        <w:jc w:val="center"/>
        <w:rPr>
          <w:rFonts w:ascii="Arial" w:hAnsi="Arial" w:cs="Arial"/>
          <w:b/>
          <w:bCs/>
          <w:u w:val="single"/>
        </w:rPr>
      </w:pPr>
    </w:p>
    <w:sectPr w:rsidR="00AC16DF" w:rsidRPr="00F53447">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5D9FDB" w14:textId="77777777" w:rsidR="00FA696F" w:rsidRDefault="00FA696F" w:rsidP="00F53447">
      <w:pPr>
        <w:spacing w:after="0" w:line="240" w:lineRule="auto"/>
      </w:pPr>
      <w:r>
        <w:separator/>
      </w:r>
    </w:p>
  </w:endnote>
  <w:endnote w:type="continuationSeparator" w:id="0">
    <w:p w14:paraId="0943C862" w14:textId="77777777" w:rsidR="00FA696F" w:rsidRDefault="00FA696F" w:rsidP="00F534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1F660F" w14:textId="77777777" w:rsidR="00FA696F" w:rsidRDefault="00FA696F" w:rsidP="00F53447">
      <w:pPr>
        <w:spacing w:after="0" w:line="240" w:lineRule="auto"/>
      </w:pPr>
      <w:r>
        <w:separator/>
      </w:r>
    </w:p>
  </w:footnote>
  <w:footnote w:type="continuationSeparator" w:id="0">
    <w:p w14:paraId="280C5AF2" w14:textId="77777777" w:rsidR="00FA696F" w:rsidRDefault="00FA696F" w:rsidP="00F534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CDAE54" w14:textId="3E99A66E" w:rsidR="00F53447" w:rsidRDefault="00F53447">
    <w:pPr>
      <w:pStyle w:val="Header"/>
    </w:pPr>
    <w:r>
      <w:t>Laura Clarke- 2105356</w:t>
    </w:r>
  </w:p>
  <w:p w14:paraId="4E7EED7C" w14:textId="77777777" w:rsidR="00F53447" w:rsidRDefault="00F5344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6DF"/>
    <w:rsid w:val="00055881"/>
    <w:rsid w:val="000B5637"/>
    <w:rsid w:val="000C1556"/>
    <w:rsid w:val="000C6515"/>
    <w:rsid w:val="001D6FE5"/>
    <w:rsid w:val="00255A4F"/>
    <w:rsid w:val="00255E39"/>
    <w:rsid w:val="00265268"/>
    <w:rsid w:val="00326183"/>
    <w:rsid w:val="00377B39"/>
    <w:rsid w:val="00393BF8"/>
    <w:rsid w:val="003950F6"/>
    <w:rsid w:val="004139A0"/>
    <w:rsid w:val="004954AC"/>
    <w:rsid w:val="0055589C"/>
    <w:rsid w:val="00582D99"/>
    <w:rsid w:val="005915AC"/>
    <w:rsid w:val="005D0CB8"/>
    <w:rsid w:val="00680C27"/>
    <w:rsid w:val="006F4314"/>
    <w:rsid w:val="0076108B"/>
    <w:rsid w:val="00822FBB"/>
    <w:rsid w:val="00885A60"/>
    <w:rsid w:val="0094071B"/>
    <w:rsid w:val="00993556"/>
    <w:rsid w:val="0099429E"/>
    <w:rsid w:val="00A0720D"/>
    <w:rsid w:val="00AC16DF"/>
    <w:rsid w:val="00AD0DB8"/>
    <w:rsid w:val="00B8407B"/>
    <w:rsid w:val="00E231A6"/>
    <w:rsid w:val="00E35129"/>
    <w:rsid w:val="00F53447"/>
    <w:rsid w:val="00FA69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E63B6"/>
  <w15:chartTrackingRefBased/>
  <w15:docId w15:val="{A51F3F77-2422-4863-B111-2B8D3D0C8D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16D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C16D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C16D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C16D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C16D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C16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16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16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16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16D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C16D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C16D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C16D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C16D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C16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16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16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16DF"/>
    <w:rPr>
      <w:rFonts w:eastAsiaTheme="majorEastAsia" w:cstheme="majorBidi"/>
      <w:color w:val="272727" w:themeColor="text1" w:themeTint="D8"/>
    </w:rPr>
  </w:style>
  <w:style w:type="paragraph" w:styleId="Title">
    <w:name w:val="Title"/>
    <w:basedOn w:val="Normal"/>
    <w:next w:val="Normal"/>
    <w:link w:val="TitleChar"/>
    <w:uiPriority w:val="10"/>
    <w:qFormat/>
    <w:rsid w:val="00AC16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16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16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16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16DF"/>
    <w:pPr>
      <w:spacing w:before="160"/>
      <w:jc w:val="center"/>
    </w:pPr>
    <w:rPr>
      <w:i/>
      <w:iCs/>
      <w:color w:val="404040" w:themeColor="text1" w:themeTint="BF"/>
    </w:rPr>
  </w:style>
  <w:style w:type="character" w:customStyle="1" w:styleId="QuoteChar">
    <w:name w:val="Quote Char"/>
    <w:basedOn w:val="DefaultParagraphFont"/>
    <w:link w:val="Quote"/>
    <w:uiPriority w:val="29"/>
    <w:rsid w:val="00AC16DF"/>
    <w:rPr>
      <w:i/>
      <w:iCs/>
      <w:color w:val="404040" w:themeColor="text1" w:themeTint="BF"/>
    </w:rPr>
  </w:style>
  <w:style w:type="paragraph" w:styleId="ListParagraph">
    <w:name w:val="List Paragraph"/>
    <w:basedOn w:val="Normal"/>
    <w:uiPriority w:val="34"/>
    <w:qFormat/>
    <w:rsid w:val="00AC16DF"/>
    <w:pPr>
      <w:ind w:left="720"/>
      <w:contextualSpacing/>
    </w:pPr>
  </w:style>
  <w:style w:type="character" w:styleId="IntenseEmphasis">
    <w:name w:val="Intense Emphasis"/>
    <w:basedOn w:val="DefaultParagraphFont"/>
    <w:uiPriority w:val="21"/>
    <w:qFormat/>
    <w:rsid w:val="00AC16DF"/>
    <w:rPr>
      <w:i/>
      <w:iCs/>
      <w:color w:val="2F5496" w:themeColor="accent1" w:themeShade="BF"/>
    </w:rPr>
  </w:style>
  <w:style w:type="paragraph" w:styleId="IntenseQuote">
    <w:name w:val="Intense Quote"/>
    <w:basedOn w:val="Normal"/>
    <w:next w:val="Normal"/>
    <w:link w:val="IntenseQuoteChar"/>
    <w:uiPriority w:val="30"/>
    <w:qFormat/>
    <w:rsid w:val="00AC16D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C16DF"/>
    <w:rPr>
      <w:i/>
      <w:iCs/>
      <w:color w:val="2F5496" w:themeColor="accent1" w:themeShade="BF"/>
    </w:rPr>
  </w:style>
  <w:style w:type="character" w:styleId="IntenseReference">
    <w:name w:val="Intense Reference"/>
    <w:basedOn w:val="DefaultParagraphFont"/>
    <w:uiPriority w:val="32"/>
    <w:qFormat/>
    <w:rsid w:val="00AC16DF"/>
    <w:rPr>
      <w:b/>
      <w:bCs/>
      <w:smallCaps/>
      <w:color w:val="2F5496" w:themeColor="accent1" w:themeShade="BF"/>
      <w:spacing w:val="5"/>
    </w:rPr>
  </w:style>
  <w:style w:type="paragraph" w:styleId="Caption">
    <w:name w:val="caption"/>
    <w:basedOn w:val="Normal"/>
    <w:next w:val="Normal"/>
    <w:uiPriority w:val="35"/>
    <w:unhideWhenUsed/>
    <w:qFormat/>
    <w:rsid w:val="00AD0DB8"/>
    <w:pPr>
      <w:spacing w:after="200" w:line="240" w:lineRule="auto"/>
    </w:pPr>
    <w:rPr>
      <w:i/>
      <w:iCs/>
      <w:color w:val="44546A" w:themeColor="text2"/>
      <w:sz w:val="18"/>
      <w:szCs w:val="18"/>
    </w:rPr>
  </w:style>
  <w:style w:type="paragraph" w:styleId="Header">
    <w:name w:val="header"/>
    <w:basedOn w:val="Normal"/>
    <w:link w:val="HeaderChar"/>
    <w:uiPriority w:val="99"/>
    <w:unhideWhenUsed/>
    <w:rsid w:val="00F534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3447"/>
  </w:style>
  <w:style w:type="paragraph" w:styleId="Footer">
    <w:name w:val="footer"/>
    <w:basedOn w:val="Normal"/>
    <w:link w:val="FooterChar"/>
    <w:uiPriority w:val="99"/>
    <w:unhideWhenUsed/>
    <w:rsid w:val="00F534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34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95383">
      <w:bodyDiv w:val="1"/>
      <w:marLeft w:val="0"/>
      <w:marRight w:val="0"/>
      <w:marTop w:val="0"/>
      <w:marBottom w:val="0"/>
      <w:divBdr>
        <w:top w:val="none" w:sz="0" w:space="0" w:color="auto"/>
        <w:left w:val="none" w:sz="0" w:space="0" w:color="auto"/>
        <w:bottom w:val="none" w:sz="0" w:space="0" w:color="auto"/>
        <w:right w:val="none" w:sz="0" w:space="0" w:color="auto"/>
      </w:divBdr>
    </w:div>
    <w:div w:id="910888216">
      <w:bodyDiv w:val="1"/>
      <w:marLeft w:val="0"/>
      <w:marRight w:val="0"/>
      <w:marTop w:val="0"/>
      <w:marBottom w:val="0"/>
      <w:divBdr>
        <w:top w:val="none" w:sz="0" w:space="0" w:color="auto"/>
        <w:left w:val="none" w:sz="0" w:space="0" w:color="auto"/>
        <w:bottom w:val="none" w:sz="0" w:space="0" w:color="auto"/>
        <w:right w:val="none" w:sz="0" w:space="0" w:color="auto"/>
      </w:divBdr>
    </w:div>
    <w:div w:id="1865512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2838</TotalTime>
  <Pages>13</Pages>
  <Words>3063</Words>
  <Characters>17464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Clarke</dc:creator>
  <cp:keywords/>
  <dc:description/>
  <cp:lastModifiedBy>Laura Clarke</cp:lastModifiedBy>
  <cp:revision>2</cp:revision>
  <dcterms:created xsi:type="dcterms:W3CDTF">2024-03-22T18:56:00Z</dcterms:created>
  <dcterms:modified xsi:type="dcterms:W3CDTF">2024-03-26T12:22:00Z</dcterms:modified>
</cp:coreProperties>
</file>