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F07F09" w:themeColor="accent1"/>
        </w:rPr>
        <w:id w:val="-870372292"/>
        <w:docPartObj>
          <w:docPartGallery w:val="Cover Pages"/>
          <w:docPartUnique/>
        </w:docPartObj>
      </w:sdtPr>
      <w:sdtEndPr>
        <w:rPr>
          <w:color w:val="auto"/>
        </w:rPr>
      </w:sdtEndPr>
      <w:sdtContent>
        <w:p w14:paraId="27B9B3CD" w14:textId="18B154D5" w:rsidR="00F41E63" w:rsidRDefault="00F41E63">
          <w:pPr>
            <w:pStyle w:val="NoSpacing"/>
            <w:spacing w:before="1540" w:after="240"/>
            <w:jc w:val="center"/>
            <w:rPr>
              <w:color w:val="F07F09" w:themeColor="accent1"/>
            </w:rPr>
          </w:pPr>
          <w:r>
            <w:rPr>
              <w:noProof/>
              <w:color w:val="F07F09" w:themeColor="accent1"/>
            </w:rPr>
            <w:drawing>
              <wp:inline distT="0" distB="0" distL="0" distR="0" wp14:anchorId="48E843C9" wp14:editId="532A849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F07F09" w:themeColor="accent1"/>
              <w:sz w:val="56"/>
              <w:szCs w:val="56"/>
            </w:rPr>
            <w:alias w:val="Title"/>
            <w:tag w:val=""/>
            <w:id w:val="1735040861"/>
            <w:placeholder>
              <w:docPart w:val="2736A9334C7748429941A748ECD7F9FD"/>
            </w:placeholder>
            <w:dataBinding w:prefixMappings="xmlns:ns0='http://purl.org/dc/elements/1.1/' xmlns:ns1='http://schemas.openxmlformats.org/package/2006/metadata/core-properties' " w:xpath="/ns1:coreProperties[1]/ns0:title[1]" w:storeItemID="{6C3C8BC8-F283-45AE-878A-BAB7291924A1}"/>
            <w:text/>
          </w:sdtPr>
          <w:sdtContent>
            <w:p w14:paraId="1A337965" w14:textId="4480057B" w:rsidR="00F41E63" w:rsidRPr="009B4705" w:rsidRDefault="009B4705">
              <w:pPr>
                <w:pStyle w:val="NoSpacing"/>
                <w:pBdr>
                  <w:top w:val="single" w:sz="6" w:space="6" w:color="F07F09" w:themeColor="accent1"/>
                  <w:bottom w:val="single" w:sz="6" w:space="6" w:color="F07F09" w:themeColor="accent1"/>
                </w:pBdr>
                <w:spacing w:after="240"/>
                <w:jc w:val="center"/>
                <w:rPr>
                  <w:rFonts w:ascii="Arial" w:eastAsiaTheme="majorEastAsia" w:hAnsi="Arial" w:cs="Arial"/>
                  <w:caps/>
                  <w:color w:val="F07F09" w:themeColor="accent1"/>
                  <w:sz w:val="56"/>
                  <w:szCs w:val="56"/>
                </w:rPr>
              </w:pPr>
              <w:r w:rsidRPr="009B4705">
                <w:rPr>
                  <w:rFonts w:ascii="Arial" w:eastAsiaTheme="majorEastAsia" w:hAnsi="Arial" w:cs="Arial"/>
                  <w:caps/>
                  <w:color w:val="F07F09" w:themeColor="accent1"/>
                  <w:sz w:val="56"/>
                  <w:szCs w:val="56"/>
                </w:rPr>
                <w:t>Essay: Global Forces and Their Influence on Unilever’s International Strategy (2024–2025)</w:t>
              </w:r>
            </w:p>
          </w:sdtContent>
        </w:sdt>
        <w:p w14:paraId="43C4DAD4" w14:textId="62FF013F" w:rsidR="00F41E63" w:rsidRPr="00015B59" w:rsidRDefault="00015B59">
          <w:pPr>
            <w:pStyle w:val="NoSpacing"/>
            <w:jc w:val="center"/>
            <w:rPr>
              <w:rFonts w:ascii="Arial" w:hAnsi="Arial" w:cs="Arial"/>
              <w:color w:val="F07F09" w:themeColor="accent1"/>
              <w:sz w:val="32"/>
              <w:szCs w:val="32"/>
            </w:rPr>
          </w:pPr>
          <w:sdt>
            <w:sdtPr>
              <w:rPr>
                <w:rFonts w:ascii="Arial" w:hAnsi="Arial" w:cs="Arial"/>
                <w:b/>
                <w:color w:val="F07F09" w:themeColor="accent1"/>
                <w:sz w:val="32"/>
                <w:szCs w:val="32"/>
              </w:rPr>
              <w:alias w:val="Subtitle"/>
              <w:tag w:val=""/>
              <w:id w:val="328029620"/>
              <w:placeholder>
                <w:docPart w:val="14665D214212409B8613145CD2DAE467"/>
              </w:placeholder>
              <w:dataBinding w:prefixMappings="xmlns:ns0='http://purl.org/dc/elements/1.1/' xmlns:ns1='http://schemas.openxmlformats.org/package/2006/metadata/core-properties' " w:xpath="/ns1:coreProperties[1]/ns0:subject[1]" w:storeItemID="{6C3C8BC8-F283-45AE-878A-BAB7291924A1}"/>
              <w:text/>
            </w:sdtPr>
            <w:sdtContent>
              <w:r w:rsidRPr="00015B59">
                <w:rPr>
                  <w:rFonts w:ascii="Arial" w:hAnsi="Arial" w:cs="Arial"/>
                  <w:b/>
                  <w:color w:val="F07F09" w:themeColor="accent1"/>
                  <w:sz w:val="32"/>
                  <w:szCs w:val="32"/>
                </w:rPr>
                <w:t xml:space="preserve">Global Business Environment - </w:t>
              </w:r>
            </w:sdtContent>
          </w:sdt>
          <w:r w:rsidRPr="00015B59">
            <w:rPr>
              <w:rFonts w:ascii="Arial" w:hAnsi="Arial" w:cs="Arial"/>
              <w:b/>
              <w:color w:val="F07F09" w:themeColor="accent1"/>
              <w:sz w:val="32"/>
              <w:szCs w:val="32"/>
            </w:rPr>
            <w:t xml:space="preserve"> </w:t>
          </w:r>
          <w:r w:rsidRPr="00015B59">
            <w:rPr>
              <w:rFonts w:ascii="Arial" w:hAnsi="Arial" w:cs="Arial"/>
              <w:b/>
              <w:color w:val="F07F09" w:themeColor="accent1"/>
              <w:sz w:val="32"/>
              <w:szCs w:val="32"/>
            </w:rPr>
            <w:t>LCBB4016</w:t>
          </w:r>
        </w:p>
        <w:p w14:paraId="720BC743" w14:textId="27BBA981" w:rsidR="00F41E63" w:rsidRDefault="00F41E63">
          <w:pPr>
            <w:pStyle w:val="NoSpacing"/>
            <w:spacing w:before="480"/>
            <w:jc w:val="center"/>
            <w:rPr>
              <w:color w:val="F07F09" w:themeColor="accent1"/>
            </w:rPr>
          </w:pPr>
          <w:r>
            <w:rPr>
              <w:noProof/>
              <w:color w:val="F07F09" w:themeColor="accent1"/>
            </w:rPr>
            <w:drawing>
              <wp:inline distT="0" distB="0" distL="0" distR="0" wp14:anchorId="02FE5023" wp14:editId="3F2B4CE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3EDF20" w14:textId="77777777" w:rsidR="00BF21EF" w:rsidRDefault="00BF21EF">
          <w:r>
            <w:rPr>
              <w:noProof/>
              <w:color w:val="F07F09" w:themeColor="accent1"/>
            </w:rPr>
            <mc:AlternateContent>
              <mc:Choice Requires="wps">
                <w:drawing>
                  <wp:anchor distT="0" distB="0" distL="114300" distR="114300" simplePos="0" relativeHeight="251659264" behindDoc="0" locked="0" layoutInCell="1" allowOverlap="1" wp14:anchorId="0DF20DAB" wp14:editId="7C1C29A0">
                    <wp:simplePos x="0" y="0"/>
                    <wp:positionH relativeFrom="margin">
                      <wp:posOffset>-295422</wp:posOffset>
                    </wp:positionH>
                    <wp:positionV relativeFrom="page">
                      <wp:posOffset>8328074</wp:posOffset>
                    </wp:positionV>
                    <wp:extent cx="6456485" cy="822520"/>
                    <wp:effectExtent l="0" t="0" r="1905" b="0"/>
                    <wp:wrapNone/>
                    <wp:docPr id="142" name="Text Box 146"/>
                    <wp:cNvGraphicFramePr/>
                    <a:graphic xmlns:a="http://schemas.openxmlformats.org/drawingml/2006/main">
                      <a:graphicData uri="http://schemas.microsoft.com/office/word/2010/wordprocessingShape">
                        <wps:wsp>
                          <wps:cNvSpPr txBox="1"/>
                          <wps:spPr>
                            <a:xfrm>
                              <a:off x="0" y="0"/>
                              <a:ext cx="6456485" cy="822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07F09"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1T00:00:00Z">
                                    <w:dateFormat w:val="MMMM d, yyyy"/>
                                    <w:lid w:val="en-US"/>
                                    <w:storeMappedDataAs w:val="dateTime"/>
                                    <w:calendar w:val="gregorian"/>
                                  </w:date>
                                </w:sdtPr>
                                <w:sdtContent>
                                  <w:p w14:paraId="2125997A" w14:textId="6F6386BE" w:rsidR="00F41E63" w:rsidRDefault="00BF21EF">
                                    <w:pPr>
                                      <w:pStyle w:val="NoSpacing"/>
                                      <w:spacing w:after="40"/>
                                      <w:jc w:val="center"/>
                                      <w:rPr>
                                        <w:caps/>
                                        <w:color w:val="F07F09" w:themeColor="accent1"/>
                                        <w:sz w:val="28"/>
                                        <w:szCs w:val="28"/>
                                      </w:rPr>
                                    </w:pPr>
                                    <w:r>
                                      <w:rPr>
                                        <w:caps/>
                                        <w:color w:val="F07F09" w:themeColor="accent1"/>
                                        <w:sz w:val="28"/>
                                        <w:szCs w:val="28"/>
                                        <w:lang w:val="en-US"/>
                                      </w:rPr>
                                      <w:t>November 21, 2025</w:t>
                                    </w:r>
                                  </w:p>
                                </w:sdtContent>
                              </w:sdt>
                              <w:p w14:paraId="54299526" w14:textId="50864952" w:rsidR="00217593" w:rsidRDefault="00F41E63" w:rsidP="008070A8">
                                <w:pPr>
                                  <w:pStyle w:val="NoSpacing"/>
                                  <w:jc w:val="left"/>
                                  <w:rPr>
                                    <w:rFonts w:ascii="Arial" w:hAnsi="Arial" w:cs="Arial"/>
                                    <w:caps/>
                                    <w:color w:val="F07F09" w:themeColor="accent1"/>
                                    <w:sz w:val="32"/>
                                    <w:szCs w:val="32"/>
                                  </w:rPr>
                                </w:pPr>
                                <w:sdt>
                                  <w:sdtPr>
                                    <w:rPr>
                                      <w:rFonts w:ascii="Arial" w:hAnsi="Arial" w:cs="Arial"/>
                                      <w:caps/>
                                      <w:color w:val="F07F09"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944DC">
                                      <w:rPr>
                                        <w:rFonts w:ascii="Arial" w:hAnsi="Arial" w:cs="Arial"/>
                                        <w:caps/>
                                        <w:color w:val="F07F09" w:themeColor="accent1"/>
                                        <w:sz w:val="32"/>
                                        <w:szCs w:val="32"/>
                                      </w:rPr>
                                      <w:t xml:space="preserve">     </w:t>
                                    </w:r>
                                  </w:sdtContent>
                                </w:sdt>
                                <w:r w:rsidR="008070A8" w:rsidRPr="00217593">
                                  <w:rPr>
                                    <w:rFonts w:ascii="Arial" w:hAnsi="Arial" w:cs="Arial"/>
                                    <w:caps/>
                                    <w:color w:val="F07F09" w:themeColor="accent1"/>
                                    <w:sz w:val="32"/>
                                    <w:szCs w:val="32"/>
                                  </w:rPr>
                                  <w:t xml:space="preserve">By Alexandra Chistol </w:t>
                                </w:r>
                              </w:p>
                              <w:p w14:paraId="3A7D9465" w14:textId="7B1213D1" w:rsidR="00F41E63" w:rsidRPr="00217593" w:rsidRDefault="006944DC" w:rsidP="008070A8">
                                <w:pPr>
                                  <w:pStyle w:val="NoSpacing"/>
                                  <w:jc w:val="left"/>
                                  <w:rPr>
                                    <w:rFonts w:ascii="Arial" w:hAnsi="Arial" w:cs="Arial"/>
                                    <w:color w:val="F07F09" w:themeColor="accent1"/>
                                    <w:sz w:val="32"/>
                                    <w:szCs w:val="32"/>
                                  </w:rPr>
                                </w:pPr>
                                <w:r>
                                  <w:rPr>
                                    <w:rFonts w:ascii="Arial" w:hAnsi="Arial" w:cs="Arial"/>
                                    <w:caps/>
                                    <w:color w:val="F07F09" w:themeColor="accent1"/>
                                    <w:sz w:val="32"/>
                                    <w:szCs w:val="32"/>
                                  </w:rPr>
                                  <w:t xml:space="preserve">     </w:t>
                                </w:r>
                                <w:r w:rsidR="008070A8" w:rsidRPr="00217593">
                                  <w:rPr>
                                    <w:rFonts w:ascii="Arial" w:hAnsi="Arial" w:cs="Arial"/>
                                    <w:caps/>
                                    <w:color w:val="F07F09" w:themeColor="accent1"/>
                                    <w:sz w:val="32"/>
                                    <w:szCs w:val="32"/>
                                  </w:rPr>
                                  <w:t>Student ID 2</w:t>
                                </w:r>
                                <w:r w:rsidR="00217593" w:rsidRPr="00217593">
                                  <w:rPr>
                                    <w:rFonts w:ascii="Arial" w:hAnsi="Arial" w:cs="Arial"/>
                                    <w:caps/>
                                    <w:color w:val="F07F09" w:themeColor="accent1"/>
                                    <w:sz w:val="32"/>
                                    <w:szCs w:val="32"/>
                                  </w:rPr>
                                  <w:t xml:space="preserve">319949          </w:t>
                                </w:r>
                                <w:r w:rsidR="00217593">
                                  <w:rPr>
                                    <w:rFonts w:ascii="Arial" w:hAnsi="Arial" w:cs="Arial"/>
                                    <w:caps/>
                                    <w:color w:val="F07F09" w:themeColor="accent1"/>
                                    <w:sz w:val="32"/>
                                    <w:szCs w:val="32"/>
                                  </w:rPr>
                                  <w:t xml:space="preserve">                </w:t>
                                </w:r>
                                <w:r w:rsidR="00217593" w:rsidRPr="00217593">
                                  <w:rPr>
                                    <w:rFonts w:ascii="Arial" w:hAnsi="Arial" w:cs="Arial"/>
                                    <w:caps/>
                                    <w:color w:val="F07F09" w:themeColor="accent1"/>
                                    <w:sz w:val="32"/>
                                    <w:szCs w:val="32"/>
                                  </w:rPr>
                                  <w:t>lECTURER kAREEM sANI</w:t>
                                </w:r>
                              </w:p>
                              <w:p w14:paraId="7EB2AD92" w14:textId="6D9FF0A0" w:rsidR="00F41E63" w:rsidRDefault="00F41E63">
                                <w:pPr>
                                  <w:pStyle w:val="NoSpacing"/>
                                  <w:jc w:val="center"/>
                                  <w:rPr>
                                    <w:color w:val="F07F09" w:themeColor="accent1"/>
                                  </w:rPr>
                                </w:pPr>
                                <w:sdt>
                                  <w:sdtPr>
                                    <w:rPr>
                                      <w:color w:val="F07F09"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F21EF">
                                      <w:rPr>
                                        <w:color w:val="F07F09"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F20DAB" id="_x0000_t202" coordsize="21600,21600" o:spt="202" path="m,l,21600r21600,l21600,xe">
                    <v:stroke joinstyle="miter"/>
                    <v:path gradientshapeok="t" o:connecttype="rect"/>
                  </v:shapetype>
                  <v:shape id="Text Box 146" o:spid="_x0000_s1026" type="#_x0000_t202" style="position:absolute;left:0;text-align:left;margin-left:-23.25pt;margin-top:655.75pt;width:508.4pt;height:64.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" filled="f" stroked="f" strokeweight=".5pt">
                    <v:textbox inset="0,0,0,0">
                      <w:txbxContent>
                        <w:sdt>
                          <w:sdtPr>
                            <w:rPr>
                              <w:caps/>
                              <w:color w:val="F07F09"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1T00:00:00Z">
                              <w:dateFormat w:val="MMMM d, yyyy"/>
                              <w:lid w:val="en-US"/>
                              <w:storeMappedDataAs w:val="dateTime"/>
                              <w:calendar w:val="gregorian"/>
                            </w:date>
                          </w:sdtPr>
                          <w:sdtContent>
                            <w:p w14:paraId="2125997A" w14:textId="6F6386BE" w:rsidR="00F41E63" w:rsidRDefault="00BF21EF">
                              <w:pPr>
                                <w:pStyle w:val="NoSpacing"/>
                                <w:spacing w:after="40"/>
                                <w:jc w:val="center"/>
                                <w:rPr>
                                  <w:caps/>
                                  <w:color w:val="F07F09" w:themeColor="accent1"/>
                                  <w:sz w:val="28"/>
                                  <w:szCs w:val="28"/>
                                </w:rPr>
                              </w:pPr>
                              <w:r>
                                <w:rPr>
                                  <w:caps/>
                                  <w:color w:val="F07F09" w:themeColor="accent1"/>
                                  <w:sz w:val="28"/>
                                  <w:szCs w:val="28"/>
                                  <w:lang w:val="en-US"/>
                                </w:rPr>
                                <w:t>November 21, 2025</w:t>
                              </w:r>
                            </w:p>
                          </w:sdtContent>
                        </w:sdt>
                        <w:p w14:paraId="54299526" w14:textId="50864952" w:rsidR="00217593" w:rsidRDefault="00F41E63" w:rsidP="008070A8">
                          <w:pPr>
                            <w:pStyle w:val="NoSpacing"/>
                            <w:jc w:val="left"/>
                            <w:rPr>
                              <w:rFonts w:ascii="Arial" w:hAnsi="Arial" w:cs="Arial"/>
                              <w:caps/>
                              <w:color w:val="F07F09" w:themeColor="accent1"/>
                              <w:sz w:val="32"/>
                              <w:szCs w:val="32"/>
                            </w:rPr>
                          </w:pPr>
                          <w:sdt>
                            <w:sdtPr>
                              <w:rPr>
                                <w:rFonts w:ascii="Arial" w:hAnsi="Arial" w:cs="Arial"/>
                                <w:caps/>
                                <w:color w:val="F07F09"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944DC">
                                <w:rPr>
                                  <w:rFonts w:ascii="Arial" w:hAnsi="Arial" w:cs="Arial"/>
                                  <w:caps/>
                                  <w:color w:val="F07F09" w:themeColor="accent1"/>
                                  <w:sz w:val="32"/>
                                  <w:szCs w:val="32"/>
                                </w:rPr>
                                <w:t xml:space="preserve">     </w:t>
                              </w:r>
                            </w:sdtContent>
                          </w:sdt>
                          <w:r w:rsidR="008070A8" w:rsidRPr="00217593">
                            <w:rPr>
                              <w:rFonts w:ascii="Arial" w:hAnsi="Arial" w:cs="Arial"/>
                              <w:caps/>
                              <w:color w:val="F07F09" w:themeColor="accent1"/>
                              <w:sz w:val="32"/>
                              <w:szCs w:val="32"/>
                            </w:rPr>
                            <w:t xml:space="preserve">By Alexandra Chistol </w:t>
                          </w:r>
                        </w:p>
                        <w:p w14:paraId="3A7D9465" w14:textId="7B1213D1" w:rsidR="00F41E63" w:rsidRPr="00217593" w:rsidRDefault="006944DC" w:rsidP="008070A8">
                          <w:pPr>
                            <w:pStyle w:val="NoSpacing"/>
                            <w:jc w:val="left"/>
                            <w:rPr>
                              <w:rFonts w:ascii="Arial" w:hAnsi="Arial" w:cs="Arial"/>
                              <w:color w:val="F07F09" w:themeColor="accent1"/>
                              <w:sz w:val="32"/>
                              <w:szCs w:val="32"/>
                            </w:rPr>
                          </w:pPr>
                          <w:r>
                            <w:rPr>
                              <w:rFonts w:ascii="Arial" w:hAnsi="Arial" w:cs="Arial"/>
                              <w:caps/>
                              <w:color w:val="F07F09" w:themeColor="accent1"/>
                              <w:sz w:val="32"/>
                              <w:szCs w:val="32"/>
                            </w:rPr>
                            <w:t xml:space="preserve">     </w:t>
                          </w:r>
                          <w:r w:rsidR="008070A8" w:rsidRPr="00217593">
                            <w:rPr>
                              <w:rFonts w:ascii="Arial" w:hAnsi="Arial" w:cs="Arial"/>
                              <w:caps/>
                              <w:color w:val="F07F09" w:themeColor="accent1"/>
                              <w:sz w:val="32"/>
                              <w:szCs w:val="32"/>
                            </w:rPr>
                            <w:t>Student ID 2</w:t>
                          </w:r>
                          <w:r w:rsidR="00217593" w:rsidRPr="00217593">
                            <w:rPr>
                              <w:rFonts w:ascii="Arial" w:hAnsi="Arial" w:cs="Arial"/>
                              <w:caps/>
                              <w:color w:val="F07F09" w:themeColor="accent1"/>
                              <w:sz w:val="32"/>
                              <w:szCs w:val="32"/>
                            </w:rPr>
                            <w:t xml:space="preserve">319949          </w:t>
                          </w:r>
                          <w:r w:rsidR="00217593">
                            <w:rPr>
                              <w:rFonts w:ascii="Arial" w:hAnsi="Arial" w:cs="Arial"/>
                              <w:caps/>
                              <w:color w:val="F07F09" w:themeColor="accent1"/>
                              <w:sz w:val="32"/>
                              <w:szCs w:val="32"/>
                            </w:rPr>
                            <w:t xml:space="preserve">                </w:t>
                          </w:r>
                          <w:r w:rsidR="00217593" w:rsidRPr="00217593">
                            <w:rPr>
                              <w:rFonts w:ascii="Arial" w:hAnsi="Arial" w:cs="Arial"/>
                              <w:caps/>
                              <w:color w:val="F07F09" w:themeColor="accent1"/>
                              <w:sz w:val="32"/>
                              <w:szCs w:val="32"/>
                            </w:rPr>
                            <w:t>lECTURER kAREEM sANI</w:t>
                          </w:r>
                        </w:p>
                        <w:p w14:paraId="7EB2AD92" w14:textId="6D9FF0A0" w:rsidR="00F41E63" w:rsidRDefault="00F41E63">
                          <w:pPr>
                            <w:pStyle w:val="NoSpacing"/>
                            <w:jc w:val="center"/>
                            <w:rPr>
                              <w:color w:val="F07F09" w:themeColor="accent1"/>
                            </w:rPr>
                          </w:pPr>
                          <w:sdt>
                            <w:sdtPr>
                              <w:rPr>
                                <w:color w:val="F07F09"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F21EF">
                                <w:rPr>
                                  <w:color w:val="F07F09" w:themeColor="accent1"/>
                                </w:rPr>
                                <w:t xml:space="preserve">     </w:t>
                              </w:r>
                            </w:sdtContent>
                          </w:sdt>
                        </w:p>
                      </w:txbxContent>
                    </v:textbox>
                    <w10:wrap anchorx="margin" anchory="page"/>
                  </v:shape>
                </w:pict>
              </mc:Fallback>
            </mc:AlternateContent>
          </w:r>
          <w:r w:rsidR="00F41E63">
            <w:br w:type="page"/>
          </w:r>
        </w:p>
        <w:p w14:paraId="2A7DDCFF" w14:textId="512E033B" w:rsidR="00F41E63" w:rsidRDefault="00F41E63"/>
      </w:sdtContent>
    </w:sdt>
    <w:p w14:paraId="3739029A" w14:textId="16A45904" w:rsidR="00D25307" w:rsidRPr="00462830" w:rsidRDefault="00F41E63" w:rsidP="00462830">
      <w:pPr>
        <w:pStyle w:val="Heading1"/>
        <w:jc w:val="center"/>
        <w:rPr>
          <w:rFonts w:ascii="Arial" w:hAnsi="Arial" w:cs="Arial"/>
          <w:b/>
          <w:bCs/>
          <w:u w:val="single"/>
        </w:rPr>
      </w:pPr>
      <w:r w:rsidRPr="00462830">
        <w:rPr>
          <w:rFonts w:ascii="Arial" w:hAnsi="Arial" w:cs="Arial"/>
          <w:b/>
          <w:bCs/>
          <w:u w:val="single"/>
        </w:rPr>
        <w:t>Table of Contents</w:t>
      </w:r>
    </w:p>
    <w:p w14:paraId="6BBB7CC0" w14:textId="77777777" w:rsidR="00F41E63" w:rsidRDefault="00F41E63" w:rsidP="00F41E63">
      <w:pPr>
        <w:jc w:val="center"/>
        <w:rPr>
          <w:rFonts w:ascii="Arial" w:hAnsi="Arial" w:cs="Arial"/>
          <w:sz w:val="24"/>
          <w:szCs w:val="24"/>
        </w:rPr>
      </w:pPr>
    </w:p>
    <w:p w14:paraId="7BD0C95C" w14:textId="3F5B0766" w:rsidR="00F41E63" w:rsidRPr="00C945D1" w:rsidRDefault="00C945D1" w:rsidP="00C945D1">
      <w:pPr>
        <w:pStyle w:val="ListParagraph"/>
        <w:numPr>
          <w:ilvl w:val="0"/>
          <w:numId w:val="8"/>
        </w:numPr>
        <w:spacing w:line="360" w:lineRule="auto"/>
        <w:rPr>
          <w:rFonts w:ascii="Arial" w:hAnsi="Arial" w:cs="Arial"/>
          <w:sz w:val="24"/>
          <w:szCs w:val="24"/>
        </w:rPr>
      </w:pPr>
      <w:r>
        <w:rPr>
          <w:rFonts w:ascii="Arial" w:hAnsi="Arial" w:cs="Arial"/>
          <w:sz w:val="24"/>
          <w:szCs w:val="24"/>
        </w:rPr>
        <w:t>INTRODUCTION…………………………………………………… page 2</w:t>
      </w:r>
    </w:p>
    <w:p w14:paraId="45C45225" w14:textId="77777777" w:rsidR="00C945D1" w:rsidRDefault="00C945D1" w:rsidP="00C945D1">
      <w:pPr>
        <w:pStyle w:val="ListParagraph"/>
        <w:numPr>
          <w:ilvl w:val="0"/>
          <w:numId w:val="8"/>
        </w:numPr>
        <w:spacing w:line="360" w:lineRule="auto"/>
        <w:rPr>
          <w:rFonts w:ascii="Arial" w:hAnsi="Arial" w:cs="Arial"/>
          <w:sz w:val="24"/>
          <w:szCs w:val="24"/>
        </w:rPr>
      </w:pPr>
      <w:r w:rsidRPr="00C945D1">
        <w:rPr>
          <w:rFonts w:ascii="Arial" w:hAnsi="Arial" w:cs="Arial"/>
          <w:sz w:val="24"/>
          <w:szCs w:val="24"/>
        </w:rPr>
        <w:t xml:space="preserve">OPPORTUNITIES AND CHALLENGES </w:t>
      </w:r>
    </w:p>
    <w:p w14:paraId="1A73730D" w14:textId="3C80E747" w:rsidR="00F41E63" w:rsidRPr="00C945D1" w:rsidRDefault="00C945D1" w:rsidP="00C945D1">
      <w:pPr>
        <w:pStyle w:val="ListParagraph"/>
        <w:spacing w:line="360" w:lineRule="auto"/>
        <w:rPr>
          <w:rFonts w:ascii="Arial" w:hAnsi="Arial" w:cs="Arial"/>
          <w:sz w:val="24"/>
          <w:szCs w:val="24"/>
        </w:rPr>
      </w:pPr>
      <w:r w:rsidRPr="00C945D1">
        <w:rPr>
          <w:rFonts w:ascii="Arial" w:hAnsi="Arial" w:cs="Arial"/>
          <w:sz w:val="24"/>
          <w:szCs w:val="24"/>
        </w:rPr>
        <w:t>CREATED BY CONTEMPORARY GLOBAL FORCES</w:t>
      </w:r>
      <w:r>
        <w:rPr>
          <w:rFonts w:ascii="Arial" w:hAnsi="Arial" w:cs="Arial"/>
          <w:sz w:val="24"/>
          <w:szCs w:val="24"/>
        </w:rPr>
        <w:t>………. page 3-5</w:t>
      </w:r>
    </w:p>
    <w:p w14:paraId="37B6454E" w14:textId="77777777" w:rsidR="006D26F6" w:rsidRDefault="006D26F6" w:rsidP="00C945D1">
      <w:pPr>
        <w:pStyle w:val="ListParagraph"/>
        <w:numPr>
          <w:ilvl w:val="0"/>
          <w:numId w:val="8"/>
        </w:numPr>
        <w:spacing w:line="360" w:lineRule="auto"/>
        <w:rPr>
          <w:rFonts w:ascii="Arial" w:hAnsi="Arial" w:cs="Arial"/>
          <w:sz w:val="24"/>
          <w:szCs w:val="24"/>
        </w:rPr>
      </w:pPr>
      <w:r w:rsidRPr="006D26F6">
        <w:rPr>
          <w:rFonts w:ascii="Arial" w:hAnsi="Arial" w:cs="Arial"/>
          <w:sz w:val="24"/>
          <w:szCs w:val="24"/>
        </w:rPr>
        <w:t xml:space="preserve">IMPACT OF GLOBAL FORCES ON </w:t>
      </w:r>
    </w:p>
    <w:p w14:paraId="48EFAFA1" w14:textId="55EF4862" w:rsidR="00F41E63" w:rsidRPr="00C945D1" w:rsidRDefault="006D26F6" w:rsidP="006D26F6">
      <w:pPr>
        <w:pStyle w:val="ListParagraph"/>
        <w:spacing w:line="360" w:lineRule="auto"/>
        <w:rPr>
          <w:rFonts w:ascii="Arial" w:hAnsi="Arial" w:cs="Arial"/>
          <w:sz w:val="24"/>
          <w:szCs w:val="24"/>
        </w:rPr>
      </w:pPr>
      <w:r w:rsidRPr="006D26F6">
        <w:rPr>
          <w:rFonts w:ascii="Arial" w:hAnsi="Arial" w:cs="Arial"/>
          <w:sz w:val="24"/>
          <w:szCs w:val="24"/>
        </w:rPr>
        <w:t>UNILEVER’S INTERNATIONAL STRATEGY</w:t>
      </w:r>
      <w:r>
        <w:rPr>
          <w:rFonts w:ascii="Arial" w:hAnsi="Arial" w:cs="Arial"/>
          <w:sz w:val="24"/>
          <w:szCs w:val="24"/>
        </w:rPr>
        <w:t>………………</w:t>
      </w:r>
      <w:r w:rsidR="0037032D">
        <w:rPr>
          <w:rFonts w:ascii="Arial" w:hAnsi="Arial" w:cs="Arial"/>
          <w:sz w:val="24"/>
          <w:szCs w:val="24"/>
        </w:rPr>
        <w:t xml:space="preserve">…. page 6-7 </w:t>
      </w:r>
    </w:p>
    <w:p w14:paraId="25C8D8C4" w14:textId="0C9099A4" w:rsidR="00F41E63" w:rsidRPr="0037032D" w:rsidRDefault="0037032D" w:rsidP="0037032D">
      <w:pPr>
        <w:pStyle w:val="ListParagraph"/>
        <w:numPr>
          <w:ilvl w:val="0"/>
          <w:numId w:val="8"/>
        </w:numPr>
        <w:spacing w:line="360" w:lineRule="auto"/>
        <w:rPr>
          <w:rFonts w:ascii="Arial" w:hAnsi="Arial" w:cs="Arial"/>
          <w:sz w:val="24"/>
          <w:szCs w:val="24"/>
        </w:rPr>
      </w:pPr>
      <w:r w:rsidRPr="0037032D">
        <w:rPr>
          <w:rFonts w:ascii="Arial" w:hAnsi="Arial" w:cs="Arial"/>
          <w:sz w:val="24"/>
          <w:szCs w:val="24"/>
        </w:rPr>
        <w:t>STRATEGIC RECOMMENDATIONS</w:t>
      </w:r>
      <w:r>
        <w:rPr>
          <w:rFonts w:ascii="Arial" w:hAnsi="Arial" w:cs="Arial"/>
          <w:sz w:val="24"/>
          <w:szCs w:val="24"/>
        </w:rPr>
        <w:t>………………………</w:t>
      </w:r>
      <w:r w:rsidR="00D571A7">
        <w:rPr>
          <w:rFonts w:ascii="Arial" w:hAnsi="Arial" w:cs="Arial"/>
          <w:sz w:val="24"/>
          <w:szCs w:val="24"/>
        </w:rPr>
        <w:t>…. page</w:t>
      </w:r>
      <w:r>
        <w:rPr>
          <w:rFonts w:ascii="Arial" w:hAnsi="Arial" w:cs="Arial"/>
          <w:sz w:val="24"/>
          <w:szCs w:val="24"/>
        </w:rPr>
        <w:t xml:space="preserve"> 7-8</w:t>
      </w:r>
    </w:p>
    <w:p w14:paraId="60638135" w14:textId="7F7039A0" w:rsidR="00F41E63" w:rsidRPr="00D571A7" w:rsidRDefault="00D571A7" w:rsidP="00D571A7">
      <w:pPr>
        <w:pStyle w:val="ListParagraph"/>
        <w:numPr>
          <w:ilvl w:val="0"/>
          <w:numId w:val="8"/>
        </w:numPr>
        <w:spacing w:line="360" w:lineRule="auto"/>
        <w:rPr>
          <w:rFonts w:ascii="Arial" w:hAnsi="Arial" w:cs="Arial"/>
          <w:sz w:val="24"/>
          <w:szCs w:val="24"/>
        </w:rPr>
      </w:pPr>
      <w:r>
        <w:rPr>
          <w:rFonts w:ascii="Arial" w:hAnsi="Arial" w:cs="Arial"/>
          <w:sz w:val="24"/>
          <w:szCs w:val="24"/>
        </w:rPr>
        <w:t>CONCLUSION……………………………………………………page 9</w:t>
      </w:r>
    </w:p>
    <w:p w14:paraId="7B61869E" w14:textId="08B6D237" w:rsidR="00F41E63" w:rsidRPr="00D571A7" w:rsidRDefault="00D571A7" w:rsidP="00F41E63">
      <w:pPr>
        <w:pStyle w:val="ListParagraph"/>
        <w:numPr>
          <w:ilvl w:val="0"/>
          <w:numId w:val="8"/>
        </w:numPr>
        <w:spacing w:line="360" w:lineRule="auto"/>
        <w:rPr>
          <w:rFonts w:ascii="Arial" w:hAnsi="Arial" w:cs="Arial"/>
          <w:sz w:val="24"/>
          <w:szCs w:val="24"/>
        </w:rPr>
      </w:pPr>
      <w:r>
        <w:rPr>
          <w:rFonts w:ascii="Arial" w:hAnsi="Arial" w:cs="Arial"/>
          <w:sz w:val="24"/>
          <w:szCs w:val="24"/>
        </w:rPr>
        <w:t>REFERENCES………………………………………………</w:t>
      </w:r>
      <w:r w:rsidR="006944DC">
        <w:rPr>
          <w:rFonts w:ascii="Arial" w:hAnsi="Arial" w:cs="Arial"/>
          <w:sz w:val="24"/>
          <w:szCs w:val="24"/>
        </w:rPr>
        <w:t>…. page</w:t>
      </w:r>
      <w:r>
        <w:rPr>
          <w:rFonts w:ascii="Arial" w:hAnsi="Arial" w:cs="Arial"/>
          <w:sz w:val="24"/>
          <w:szCs w:val="24"/>
        </w:rPr>
        <w:t xml:space="preserve"> 10-12</w:t>
      </w:r>
    </w:p>
    <w:p w14:paraId="408C78A3" w14:textId="77777777" w:rsidR="00E85D59" w:rsidRDefault="00E85D59" w:rsidP="00F41E63">
      <w:pPr>
        <w:spacing w:line="360" w:lineRule="auto"/>
        <w:rPr>
          <w:rFonts w:ascii="Arial" w:hAnsi="Arial" w:cs="Arial"/>
          <w:sz w:val="24"/>
          <w:szCs w:val="24"/>
        </w:rPr>
      </w:pPr>
    </w:p>
    <w:p w14:paraId="6D72D1D2" w14:textId="77777777" w:rsidR="00E85D59" w:rsidRDefault="00E85D59" w:rsidP="00F41E63">
      <w:pPr>
        <w:spacing w:line="360" w:lineRule="auto"/>
        <w:rPr>
          <w:rFonts w:ascii="Arial" w:hAnsi="Arial" w:cs="Arial"/>
          <w:sz w:val="24"/>
          <w:szCs w:val="24"/>
        </w:rPr>
      </w:pPr>
    </w:p>
    <w:p w14:paraId="354E32BF" w14:textId="77777777" w:rsidR="00E85D59" w:rsidRDefault="00E85D59" w:rsidP="00F41E63">
      <w:pPr>
        <w:spacing w:line="360" w:lineRule="auto"/>
        <w:rPr>
          <w:rFonts w:ascii="Arial" w:hAnsi="Arial" w:cs="Arial"/>
          <w:sz w:val="24"/>
          <w:szCs w:val="24"/>
        </w:rPr>
      </w:pPr>
    </w:p>
    <w:p w14:paraId="04579AA7" w14:textId="77777777" w:rsidR="00E85D59" w:rsidRDefault="00E85D59" w:rsidP="00F41E63">
      <w:pPr>
        <w:spacing w:line="360" w:lineRule="auto"/>
        <w:rPr>
          <w:rFonts w:ascii="Arial" w:hAnsi="Arial" w:cs="Arial"/>
          <w:sz w:val="24"/>
          <w:szCs w:val="24"/>
        </w:rPr>
      </w:pPr>
    </w:p>
    <w:p w14:paraId="0B5E8A51" w14:textId="77777777" w:rsidR="00E85D59" w:rsidRDefault="00E85D59" w:rsidP="00F41E63">
      <w:pPr>
        <w:spacing w:line="360" w:lineRule="auto"/>
        <w:rPr>
          <w:rFonts w:ascii="Arial" w:hAnsi="Arial" w:cs="Arial"/>
          <w:sz w:val="24"/>
          <w:szCs w:val="24"/>
        </w:rPr>
      </w:pPr>
    </w:p>
    <w:p w14:paraId="53AAD55B" w14:textId="77777777" w:rsidR="00E85D59" w:rsidRDefault="00E85D59" w:rsidP="00F41E63">
      <w:pPr>
        <w:spacing w:line="360" w:lineRule="auto"/>
        <w:rPr>
          <w:rFonts w:ascii="Arial" w:hAnsi="Arial" w:cs="Arial"/>
          <w:sz w:val="24"/>
          <w:szCs w:val="24"/>
        </w:rPr>
      </w:pPr>
    </w:p>
    <w:p w14:paraId="1CAFBCB4" w14:textId="77777777" w:rsidR="00E85D59" w:rsidRDefault="00E85D59" w:rsidP="00F41E63">
      <w:pPr>
        <w:spacing w:line="360" w:lineRule="auto"/>
        <w:rPr>
          <w:rFonts w:ascii="Arial" w:hAnsi="Arial" w:cs="Arial"/>
          <w:sz w:val="24"/>
          <w:szCs w:val="24"/>
        </w:rPr>
      </w:pPr>
    </w:p>
    <w:p w14:paraId="67DCE0AB" w14:textId="77777777" w:rsidR="00E85D59" w:rsidRDefault="00E85D59" w:rsidP="00F41E63">
      <w:pPr>
        <w:spacing w:line="360" w:lineRule="auto"/>
        <w:rPr>
          <w:rFonts w:ascii="Arial" w:hAnsi="Arial" w:cs="Arial"/>
          <w:sz w:val="24"/>
          <w:szCs w:val="24"/>
        </w:rPr>
      </w:pPr>
    </w:p>
    <w:p w14:paraId="6C521F83" w14:textId="77777777" w:rsidR="00E85D59" w:rsidRDefault="00E85D59" w:rsidP="00F41E63">
      <w:pPr>
        <w:spacing w:line="360" w:lineRule="auto"/>
        <w:rPr>
          <w:rFonts w:ascii="Arial" w:hAnsi="Arial" w:cs="Arial"/>
          <w:sz w:val="24"/>
          <w:szCs w:val="24"/>
        </w:rPr>
      </w:pPr>
    </w:p>
    <w:p w14:paraId="17D9A481" w14:textId="77777777" w:rsidR="00E85D59" w:rsidRDefault="00E85D59" w:rsidP="00F41E63">
      <w:pPr>
        <w:spacing w:line="360" w:lineRule="auto"/>
        <w:rPr>
          <w:rFonts w:ascii="Arial" w:hAnsi="Arial" w:cs="Arial"/>
          <w:sz w:val="24"/>
          <w:szCs w:val="24"/>
        </w:rPr>
      </w:pPr>
    </w:p>
    <w:p w14:paraId="7D4C8B78" w14:textId="77777777" w:rsidR="00E85D59" w:rsidRDefault="00E85D59" w:rsidP="00F41E63">
      <w:pPr>
        <w:spacing w:line="360" w:lineRule="auto"/>
        <w:rPr>
          <w:rFonts w:ascii="Arial" w:hAnsi="Arial" w:cs="Arial"/>
          <w:sz w:val="24"/>
          <w:szCs w:val="24"/>
        </w:rPr>
      </w:pPr>
    </w:p>
    <w:p w14:paraId="64E264D3" w14:textId="77777777" w:rsidR="00D571A7" w:rsidRDefault="00D571A7" w:rsidP="00F41E63">
      <w:pPr>
        <w:spacing w:line="360" w:lineRule="auto"/>
        <w:rPr>
          <w:rFonts w:ascii="Arial" w:hAnsi="Arial" w:cs="Arial"/>
          <w:sz w:val="24"/>
          <w:szCs w:val="24"/>
        </w:rPr>
      </w:pPr>
    </w:p>
    <w:p w14:paraId="0D4C45AD" w14:textId="77777777" w:rsidR="00D571A7" w:rsidRDefault="00D571A7" w:rsidP="00F41E63">
      <w:pPr>
        <w:spacing w:line="360" w:lineRule="auto"/>
        <w:rPr>
          <w:rFonts w:ascii="Arial" w:hAnsi="Arial" w:cs="Arial"/>
          <w:sz w:val="24"/>
          <w:szCs w:val="24"/>
        </w:rPr>
      </w:pPr>
    </w:p>
    <w:p w14:paraId="7060DB8D" w14:textId="77777777" w:rsidR="00D571A7" w:rsidRDefault="00D571A7" w:rsidP="00F41E63">
      <w:pPr>
        <w:spacing w:line="360" w:lineRule="auto"/>
        <w:rPr>
          <w:rFonts w:ascii="Arial" w:hAnsi="Arial" w:cs="Arial"/>
          <w:sz w:val="24"/>
          <w:szCs w:val="24"/>
        </w:rPr>
      </w:pPr>
    </w:p>
    <w:p w14:paraId="26C89CE5" w14:textId="77777777" w:rsidR="00E85D59" w:rsidRDefault="00E85D59" w:rsidP="00F41E63">
      <w:pPr>
        <w:spacing w:line="360" w:lineRule="auto"/>
        <w:rPr>
          <w:rFonts w:ascii="Arial" w:hAnsi="Arial" w:cs="Arial"/>
          <w:sz w:val="24"/>
          <w:szCs w:val="24"/>
        </w:rPr>
      </w:pPr>
    </w:p>
    <w:p w14:paraId="6DABA64D" w14:textId="71C51965" w:rsidR="00E85D59" w:rsidRDefault="00E85D59" w:rsidP="00E85D59">
      <w:pPr>
        <w:pStyle w:val="Heading1"/>
        <w:jc w:val="center"/>
        <w:rPr>
          <w:rFonts w:ascii="Arial" w:hAnsi="Arial" w:cs="Arial"/>
          <w:b/>
          <w:bCs/>
          <w:u w:val="single"/>
        </w:rPr>
      </w:pPr>
      <w:r w:rsidRPr="00E85D59">
        <w:rPr>
          <w:rFonts w:ascii="Arial" w:hAnsi="Arial" w:cs="Arial"/>
          <w:b/>
          <w:bCs/>
          <w:u w:val="single"/>
        </w:rPr>
        <w:lastRenderedPageBreak/>
        <w:t>Introduction</w:t>
      </w:r>
    </w:p>
    <w:p w14:paraId="1E10F04E" w14:textId="77777777" w:rsidR="00E85D59" w:rsidRDefault="00E85D59" w:rsidP="00E85D59">
      <w:pPr>
        <w:rPr>
          <w:rFonts w:ascii="Arial" w:hAnsi="Arial" w:cs="Arial"/>
          <w:sz w:val="24"/>
          <w:szCs w:val="24"/>
        </w:rPr>
      </w:pPr>
    </w:p>
    <w:p w14:paraId="5AFDE67C" w14:textId="537654F4" w:rsidR="00462830" w:rsidRDefault="00462830" w:rsidP="00462830">
      <w:pPr>
        <w:spacing w:line="360" w:lineRule="auto"/>
        <w:ind w:firstLine="720"/>
        <w:rPr>
          <w:rFonts w:ascii="Arial" w:hAnsi="Arial" w:cs="Arial"/>
          <w:sz w:val="24"/>
          <w:szCs w:val="24"/>
        </w:rPr>
      </w:pPr>
      <w:r w:rsidRPr="00462830">
        <w:rPr>
          <w:rFonts w:ascii="Arial" w:hAnsi="Arial" w:cs="Arial"/>
          <w:sz w:val="24"/>
          <w:szCs w:val="24"/>
        </w:rPr>
        <w:t>Globalisation refers to the increasing integration of markets, manufacturing systems, technology, and cultures beyond national borders. It has enabled businesses to expand worldwide, access global talent, build cross-border supply chains, and compete in more interconnected marketplaces (Gereffi, 2018). Globalisation remains a defining force in contemporary international business, but the environment is fast changing because of technical advancements, increased geopolitical tensions, and rising sustainability standards. These changes not only reconfigure competitive landscapes, but they also alter how multinational corporations (MNEs) create and implement worldwide strategies.</w:t>
      </w:r>
    </w:p>
    <w:p w14:paraId="335FE330" w14:textId="77777777" w:rsidR="00462830" w:rsidRDefault="00462830" w:rsidP="00462830">
      <w:pPr>
        <w:spacing w:line="360" w:lineRule="auto"/>
        <w:ind w:firstLine="720"/>
        <w:rPr>
          <w:rFonts w:ascii="Arial" w:hAnsi="Arial" w:cs="Arial"/>
          <w:sz w:val="24"/>
          <w:szCs w:val="24"/>
        </w:rPr>
      </w:pPr>
      <w:r w:rsidRPr="00462830">
        <w:rPr>
          <w:rFonts w:ascii="Arial" w:hAnsi="Arial" w:cs="Arial"/>
          <w:sz w:val="24"/>
          <w:szCs w:val="24"/>
        </w:rPr>
        <w:t>Unilever plc, a UK-based multinational consumer goods firm headquartered in London, operates in over 190 countries and oversees one of the world's most complicated supply chains. Unilever is a major player in the worldwide consumer products market, with a diverse brand portfolio that includes Dove, Lifebuoy, Knorr, and Ben &amp; Jerry's. As a highly integrated institution in global production networks, it is heavily influenced by technological, geopolitical, and sustainability-driven influences.</w:t>
      </w:r>
    </w:p>
    <w:p w14:paraId="5DDE5045" w14:textId="77777777" w:rsidR="00462830" w:rsidRPr="00462830" w:rsidRDefault="00462830" w:rsidP="00462830">
      <w:pPr>
        <w:spacing w:line="360" w:lineRule="auto"/>
        <w:ind w:firstLine="720"/>
        <w:rPr>
          <w:rFonts w:ascii="Arial" w:hAnsi="Arial" w:cs="Arial"/>
          <w:sz w:val="24"/>
          <w:szCs w:val="24"/>
        </w:rPr>
      </w:pPr>
      <w:r w:rsidRPr="00462830">
        <w:rPr>
          <w:rFonts w:ascii="Arial" w:hAnsi="Arial" w:cs="Arial"/>
          <w:sz w:val="24"/>
          <w:szCs w:val="24"/>
        </w:rPr>
        <w:t>This essay critically examines the impact of three major global forces on Unilever between 2024 and 2025: (1) rapid adoption of artificial intelligence (AI), (2) supply-chain disruptions caused by geopolitical tensions, and (3) new sustainability demands, particularly the EU's Corporate Sustainability Reporting Directive. It examines the opportunities and difficulties presented by these developments, assesses their impact on Unilever's foreign operations and competitiveness, and makes strategic recommendations to help the firm achieve global success.</w:t>
      </w:r>
    </w:p>
    <w:p w14:paraId="7E6355C1" w14:textId="77777777" w:rsidR="00462830" w:rsidRDefault="00462830" w:rsidP="00462830">
      <w:pPr>
        <w:spacing w:line="360" w:lineRule="auto"/>
        <w:ind w:firstLine="720"/>
        <w:rPr>
          <w:rFonts w:ascii="Arial" w:hAnsi="Arial" w:cs="Arial"/>
          <w:sz w:val="24"/>
          <w:szCs w:val="24"/>
        </w:rPr>
      </w:pPr>
    </w:p>
    <w:p w14:paraId="4E252274" w14:textId="77777777" w:rsidR="00462830" w:rsidRDefault="00462830" w:rsidP="00462830">
      <w:pPr>
        <w:spacing w:line="360" w:lineRule="auto"/>
        <w:ind w:firstLine="720"/>
        <w:rPr>
          <w:rFonts w:ascii="Arial" w:hAnsi="Arial" w:cs="Arial"/>
          <w:sz w:val="24"/>
          <w:szCs w:val="24"/>
        </w:rPr>
      </w:pPr>
    </w:p>
    <w:p w14:paraId="16F1FBAF" w14:textId="77777777" w:rsidR="00462830" w:rsidRDefault="00462830" w:rsidP="00462830">
      <w:pPr>
        <w:spacing w:line="360" w:lineRule="auto"/>
        <w:ind w:firstLine="720"/>
        <w:rPr>
          <w:rFonts w:ascii="Arial" w:hAnsi="Arial" w:cs="Arial"/>
          <w:sz w:val="24"/>
          <w:szCs w:val="24"/>
        </w:rPr>
      </w:pPr>
    </w:p>
    <w:p w14:paraId="30012CA3" w14:textId="77777777" w:rsidR="00462830" w:rsidRDefault="00462830" w:rsidP="00462830">
      <w:pPr>
        <w:spacing w:line="360" w:lineRule="auto"/>
        <w:ind w:firstLine="720"/>
        <w:rPr>
          <w:rFonts w:ascii="Arial" w:hAnsi="Arial" w:cs="Arial"/>
          <w:sz w:val="24"/>
          <w:szCs w:val="24"/>
        </w:rPr>
      </w:pPr>
    </w:p>
    <w:p w14:paraId="60C7F60F" w14:textId="77777777" w:rsidR="00462830" w:rsidRDefault="00462830" w:rsidP="00462830">
      <w:pPr>
        <w:spacing w:line="360" w:lineRule="auto"/>
        <w:ind w:firstLine="720"/>
        <w:rPr>
          <w:rFonts w:ascii="Arial" w:hAnsi="Arial" w:cs="Arial"/>
          <w:sz w:val="24"/>
          <w:szCs w:val="24"/>
        </w:rPr>
      </w:pPr>
    </w:p>
    <w:p w14:paraId="59D04B0A" w14:textId="6E7ED2A4" w:rsidR="00462830" w:rsidRDefault="00462830" w:rsidP="00462830">
      <w:pPr>
        <w:pStyle w:val="Heading1"/>
        <w:jc w:val="center"/>
        <w:rPr>
          <w:rFonts w:ascii="Arial" w:hAnsi="Arial" w:cs="Arial"/>
          <w:b/>
          <w:bCs/>
          <w:u w:val="single"/>
        </w:rPr>
      </w:pPr>
      <w:r w:rsidRPr="00462830">
        <w:rPr>
          <w:rFonts w:ascii="Arial" w:hAnsi="Arial" w:cs="Arial"/>
          <w:b/>
          <w:bCs/>
          <w:u w:val="single"/>
        </w:rPr>
        <w:lastRenderedPageBreak/>
        <w:t>Opportunities and Challenges Created by Contemporary Global Forces</w:t>
      </w:r>
    </w:p>
    <w:p w14:paraId="05A0C330" w14:textId="77777777" w:rsidR="00462830" w:rsidRDefault="00462830" w:rsidP="00462830"/>
    <w:p w14:paraId="7D9FCF9B" w14:textId="0EB794D3" w:rsidR="00462830" w:rsidRPr="00462830" w:rsidRDefault="00462830" w:rsidP="00462830">
      <w:pPr>
        <w:pStyle w:val="ListParagraph"/>
        <w:numPr>
          <w:ilvl w:val="0"/>
          <w:numId w:val="1"/>
        </w:numPr>
        <w:spacing w:line="360" w:lineRule="auto"/>
        <w:rPr>
          <w:rFonts w:ascii="Arial" w:hAnsi="Arial" w:cs="Arial"/>
          <w:b/>
          <w:bCs/>
          <w:sz w:val="24"/>
          <w:szCs w:val="24"/>
        </w:rPr>
      </w:pPr>
      <w:r w:rsidRPr="00462830">
        <w:rPr>
          <w:rFonts w:ascii="Arial" w:hAnsi="Arial" w:cs="Arial"/>
          <w:b/>
          <w:bCs/>
          <w:sz w:val="24"/>
          <w:szCs w:val="24"/>
        </w:rPr>
        <w:t>Opportunities from Artificial Intelligence Adoption</w:t>
      </w:r>
    </w:p>
    <w:p w14:paraId="68FBFB75" w14:textId="77777777" w:rsidR="00462830" w:rsidRDefault="00462830" w:rsidP="00462830">
      <w:pPr>
        <w:spacing w:line="360" w:lineRule="auto"/>
        <w:ind w:firstLine="360"/>
        <w:rPr>
          <w:rFonts w:ascii="Arial" w:hAnsi="Arial" w:cs="Arial"/>
          <w:sz w:val="24"/>
          <w:szCs w:val="24"/>
        </w:rPr>
      </w:pPr>
      <w:r w:rsidRPr="00462830">
        <w:rPr>
          <w:rFonts w:ascii="Arial" w:hAnsi="Arial" w:cs="Arial"/>
          <w:sz w:val="24"/>
          <w:szCs w:val="24"/>
        </w:rPr>
        <w:t>Rapid AI development offers MNEs huge opportunity to improve efficiency, innovation, and decision-making. According to research, AI allows for increased forecasting, automation, customer engagement, and supply-chain accuracy (Chui et al., 2018; Wamba et al., 2021). Unilever's AI implementation has already altered functions such as demand forecasting, consumer analytics, and supply chain management. Companies that use machine learning to assess weather patterns, market data, and consumption trends can greatly minimise inventory waste and enhance responsiveness (Wang et al., 2020).</w:t>
      </w:r>
    </w:p>
    <w:p w14:paraId="79CE47F2" w14:textId="77777777" w:rsidR="00462830" w:rsidRPr="00462830" w:rsidRDefault="00462830" w:rsidP="00462830">
      <w:pPr>
        <w:spacing w:line="360" w:lineRule="auto"/>
        <w:ind w:firstLine="360"/>
        <w:rPr>
          <w:rFonts w:ascii="Arial" w:hAnsi="Arial" w:cs="Arial"/>
          <w:sz w:val="24"/>
          <w:szCs w:val="24"/>
        </w:rPr>
      </w:pPr>
      <w:r w:rsidRPr="00462830">
        <w:rPr>
          <w:rFonts w:ascii="Arial" w:hAnsi="Arial" w:cs="Arial"/>
          <w:sz w:val="24"/>
          <w:szCs w:val="24"/>
        </w:rPr>
        <w:t>Unilever's digital transformation is consistent with industry research showing that AI-enabled supply chains may gain improved agility, real-time visibility, and disruption resistance (Ivanov &amp; Dolgui, 2021). Furthermore, AI-driven automation promotes operational excellence in manufacturing by lowering downtime and increasing productivity. In terms of human resources, AI acts as a catalyst for workforce upskilling, assisting in the development of digital capabilities critical to competitiveness (Brock &amp; von Wangenheim, 2019).</w:t>
      </w:r>
    </w:p>
    <w:p w14:paraId="56CAE677" w14:textId="76021961" w:rsidR="00462830" w:rsidRDefault="00462830" w:rsidP="00462830">
      <w:pPr>
        <w:spacing w:line="360" w:lineRule="auto"/>
        <w:ind w:firstLine="360"/>
        <w:rPr>
          <w:rFonts w:ascii="Arial" w:hAnsi="Arial" w:cs="Arial"/>
          <w:b/>
          <w:bCs/>
          <w:sz w:val="24"/>
          <w:szCs w:val="24"/>
        </w:rPr>
      </w:pPr>
      <w:r w:rsidRPr="00462830">
        <w:rPr>
          <w:rFonts w:ascii="Arial" w:hAnsi="Arial" w:cs="Arial"/>
          <w:b/>
          <w:bCs/>
          <w:sz w:val="24"/>
          <w:szCs w:val="24"/>
        </w:rPr>
        <w:t>Challenges Linked to AI</w:t>
      </w:r>
    </w:p>
    <w:p w14:paraId="1B9EC067" w14:textId="6D3FB4EF" w:rsidR="00C03ADA" w:rsidRDefault="00C03ADA" w:rsidP="00C03ADA">
      <w:pPr>
        <w:spacing w:line="360" w:lineRule="auto"/>
        <w:ind w:firstLine="360"/>
        <w:rPr>
          <w:rFonts w:ascii="Arial" w:hAnsi="Arial" w:cs="Arial"/>
          <w:sz w:val="24"/>
          <w:szCs w:val="24"/>
        </w:rPr>
      </w:pPr>
      <w:r w:rsidRPr="00C03ADA">
        <w:rPr>
          <w:rFonts w:ascii="Arial" w:hAnsi="Arial" w:cs="Arial"/>
          <w:sz w:val="24"/>
          <w:szCs w:val="24"/>
        </w:rPr>
        <w:t>Despite these advantages, scholarly research highlights several obstacles to the adoption of AI. Data fragmentation and inconsistent quality are significant obstacles, especially in multinational corporations running many legacy systems (Ransbotham et al., 2021). Operating hundreds of plants on several countries makes it more difficult for Unilever to obtain the high-quality, integrated datasets required for successful AI adoption.</w:t>
      </w:r>
    </w:p>
    <w:p w14:paraId="6377CE6C" w14:textId="345546A7" w:rsidR="00C03ADA" w:rsidRDefault="00C03ADA" w:rsidP="00C03ADA">
      <w:pPr>
        <w:spacing w:line="360" w:lineRule="auto"/>
        <w:ind w:firstLine="360"/>
        <w:rPr>
          <w:rFonts w:ascii="Arial" w:hAnsi="Arial" w:cs="Arial"/>
          <w:sz w:val="24"/>
          <w:szCs w:val="24"/>
        </w:rPr>
      </w:pPr>
      <w:r w:rsidRPr="00C03ADA">
        <w:rPr>
          <w:rFonts w:ascii="Arial" w:hAnsi="Arial" w:cs="Arial"/>
          <w:sz w:val="24"/>
          <w:szCs w:val="24"/>
        </w:rPr>
        <w:t xml:space="preserve">Concerns around ethical governance, employment displacement, and regulatory compliance are also raised using AI. According to Brynjolfsson and Mitchell (2017), adoption may be hampered by employee opposition to automation and algorithmic systems. Talent shortages in digital and AI skills provide strategic challenges for multinational corporations, especially in developing nations where technology </w:t>
      </w:r>
      <w:r w:rsidRPr="00C03ADA">
        <w:rPr>
          <w:rFonts w:ascii="Arial" w:hAnsi="Arial" w:cs="Arial"/>
          <w:sz w:val="24"/>
          <w:szCs w:val="24"/>
        </w:rPr>
        <w:lastRenderedPageBreak/>
        <w:t>infrastructure may lag. As a result, AI offers both a challenging organisational problem and a transformative potential.</w:t>
      </w:r>
    </w:p>
    <w:p w14:paraId="5E1213E5" w14:textId="0140A9CB" w:rsidR="00C03ADA" w:rsidRDefault="00C03ADA" w:rsidP="00C03ADA">
      <w:pPr>
        <w:pStyle w:val="ListParagraph"/>
        <w:numPr>
          <w:ilvl w:val="0"/>
          <w:numId w:val="1"/>
        </w:numPr>
        <w:spacing w:line="360" w:lineRule="auto"/>
        <w:rPr>
          <w:rFonts w:ascii="Arial" w:hAnsi="Arial" w:cs="Arial"/>
          <w:b/>
          <w:bCs/>
          <w:sz w:val="24"/>
          <w:szCs w:val="24"/>
        </w:rPr>
      </w:pPr>
      <w:r w:rsidRPr="00C03ADA">
        <w:rPr>
          <w:rFonts w:ascii="Arial" w:hAnsi="Arial" w:cs="Arial"/>
          <w:b/>
          <w:bCs/>
          <w:sz w:val="24"/>
          <w:szCs w:val="24"/>
        </w:rPr>
        <w:t>Geopolitical Tensions and Supply-Chain Disruptions</w:t>
      </w:r>
    </w:p>
    <w:p w14:paraId="30B0E72E" w14:textId="77777777" w:rsid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In recent years, geopolitical instability has become a significant factor impacting global manufacturing networks. According to academic research, events such as trade wars, regional conflicts, sanctions, and transport route closures pose systemic supply-chain risks to MNEs (Javorcik, 2020). The Red Sea disturbances, which affect the Suez Canal, a critical artery for global trade, as well as escalating tensions between China and Taiwan, have a substantial impact on shipping reliability, costs, and lead times (Sheffi, 2022).</w:t>
      </w:r>
    </w:p>
    <w:p w14:paraId="0C89C5EA" w14:textId="77777777" w:rsidR="00B5318A" w:rsidRP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Unilever's geographically spread supply network makes it especially exposed to such interruptions. Geopolitical tensions can cause increased freight costs, delayed shipments, inflationary pressures, and production bottlenecks in a corporation that relies on raw materials from multiple locations, worldwide manufacturing activities, and international logistics networks. According to research, such shocks drive organisations to revamp supply-chain strategies, boost inventory buffers, or explore localisation, all of which require strategic and operational trade-offs (Gereffi &amp; Fernandez-Stark, 2016).</w:t>
      </w:r>
    </w:p>
    <w:p w14:paraId="64ED7871" w14:textId="3236594E" w:rsidR="00B5318A" w:rsidRDefault="00B5318A" w:rsidP="00B5318A">
      <w:pPr>
        <w:spacing w:line="360" w:lineRule="auto"/>
        <w:ind w:firstLine="360"/>
        <w:rPr>
          <w:rFonts w:ascii="Arial" w:hAnsi="Arial" w:cs="Arial"/>
          <w:b/>
          <w:bCs/>
          <w:sz w:val="24"/>
          <w:szCs w:val="24"/>
        </w:rPr>
      </w:pPr>
      <w:r w:rsidRPr="00B5318A">
        <w:rPr>
          <w:rFonts w:ascii="Arial" w:hAnsi="Arial" w:cs="Arial"/>
          <w:b/>
          <w:bCs/>
          <w:sz w:val="24"/>
          <w:szCs w:val="24"/>
        </w:rPr>
        <w:t>Opportunities within Geopolitical Disruption</w:t>
      </w:r>
    </w:p>
    <w:p w14:paraId="36D8B3D6" w14:textId="601B66BE" w:rsidR="00B5318A" w:rsidRP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Despite the challenges, there are chances for resilience development. Firms that rearrange supply networks in response to geopolitical concerns tend to become nimbler and more competitive in the long run (Tang, 2006). Scenario modelling and digital twin technologies enable businesses to simulate disruptions and create more resilient contingency plans (Ivanov, 2020). Unilever, which is already known for its digital supply chain innovation, can use these capabilities to outperform competitors in terms of resilience.</w:t>
      </w:r>
    </w:p>
    <w:p w14:paraId="20ADB823" w14:textId="77777777" w:rsidR="00B5318A" w:rsidRP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Furthermore, diversification of sourcing and regionalisation—strategies widely supported in academic literature—can reduce overreliance on vulnerable regions and enhance supply security (Gereffi, 2020). This shift may allow Unilever to achieve operational stability and strategic flexibility.</w:t>
      </w:r>
    </w:p>
    <w:p w14:paraId="6B93D826" w14:textId="628596A4" w:rsidR="00B5318A" w:rsidRPr="00B5318A" w:rsidRDefault="00B5318A" w:rsidP="00B5318A">
      <w:pPr>
        <w:pStyle w:val="ListParagraph"/>
        <w:numPr>
          <w:ilvl w:val="0"/>
          <w:numId w:val="1"/>
        </w:numPr>
        <w:spacing w:line="360" w:lineRule="auto"/>
        <w:rPr>
          <w:rFonts w:ascii="Arial" w:hAnsi="Arial" w:cs="Arial"/>
          <w:b/>
          <w:bCs/>
          <w:sz w:val="24"/>
          <w:szCs w:val="24"/>
        </w:rPr>
      </w:pPr>
      <w:r w:rsidRPr="00B5318A">
        <w:rPr>
          <w:rFonts w:ascii="Arial" w:hAnsi="Arial" w:cs="Arial"/>
          <w:b/>
          <w:bCs/>
          <w:sz w:val="24"/>
          <w:szCs w:val="24"/>
        </w:rPr>
        <w:lastRenderedPageBreak/>
        <w:t>Sustainability Demands and the CSRD</w:t>
      </w:r>
    </w:p>
    <w:p w14:paraId="3DA5F50D" w14:textId="77777777" w:rsid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Sustainability concerns are another transformative global factor. The EU's Corporate Sustainability Reporting Directive (CSRD) compels large European firms to publish thorough, standardised disclosures on their environmental, social, and governance (ESG) performance, including full value-chain implications (European Commission, 2022). According to academic evaluations, these policies dramatically raise reporting requirements, supply-chain transparency expectations, and organisational accountability (La Torre et al., 2020).</w:t>
      </w:r>
    </w:p>
    <w:p w14:paraId="72696BD2" w14:textId="77777777" w:rsidR="00B5318A" w:rsidRPr="00B5318A" w:rsidRDefault="00B5318A" w:rsidP="00B5318A">
      <w:pPr>
        <w:spacing w:line="360" w:lineRule="auto"/>
        <w:ind w:firstLine="360"/>
        <w:rPr>
          <w:rFonts w:ascii="Arial" w:hAnsi="Arial" w:cs="Arial"/>
          <w:b/>
          <w:bCs/>
          <w:sz w:val="24"/>
          <w:szCs w:val="24"/>
        </w:rPr>
      </w:pPr>
      <w:r w:rsidRPr="00B5318A">
        <w:rPr>
          <w:rFonts w:ascii="Arial" w:hAnsi="Arial" w:cs="Arial"/>
          <w:sz w:val="24"/>
          <w:szCs w:val="24"/>
        </w:rPr>
        <w:t>Unilever, which has long positioned itself as a sustainability leader, sees CSRD as an opportunity to boost brand credibility, increase stakeholder confidence, and attract ESG-focused investors. According to research, organisations that embrace sustainability reporting frequently obtain a competitive edge through improved reputation, risk management, and innovation in sustainable products (Eccles and Klimenko, 2019).</w:t>
      </w:r>
    </w:p>
    <w:p w14:paraId="40EAE2CC" w14:textId="7C1644D0" w:rsidR="00B5318A" w:rsidRDefault="00B5318A" w:rsidP="00B5318A">
      <w:pPr>
        <w:spacing w:line="360" w:lineRule="auto"/>
        <w:ind w:firstLine="360"/>
        <w:rPr>
          <w:rFonts w:ascii="Arial" w:hAnsi="Arial" w:cs="Arial"/>
          <w:b/>
          <w:bCs/>
          <w:sz w:val="24"/>
          <w:szCs w:val="24"/>
        </w:rPr>
      </w:pPr>
      <w:r w:rsidRPr="00B5318A">
        <w:rPr>
          <w:rFonts w:ascii="Arial" w:hAnsi="Arial" w:cs="Arial"/>
          <w:b/>
          <w:bCs/>
          <w:sz w:val="24"/>
          <w:szCs w:val="24"/>
        </w:rPr>
        <w:t>Challenges Arising from Sustainability Regulation</w:t>
      </w:r>
    </w:p>
    <w:p w14:paraId="50EC13D0" w14:textId="77777777" w:rsid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However, compliance presents significant obstacles. Unilever handles thousands of suppliers and a vast global distribution network, making the collection of precise, auditable sustainability data extremely challenging. Academic research reveals that Scope 3 emissions reporting, which includes upstream and downstream value-chain activities, is particularly difficult due to data shortages and uneven measuring procedures (Downie &amp; Stubbs, 2013).</w:t>
      </w:r>
    </w:p>
    <w:p w14:paraId="5D5DE6ED" w14:textId="77777777" w:rsidR="00B5318A" w:rsidRPr="00B5318A" w:rsidRDefault="00B5318A" w:rsidP="00B5318A">
      <w:pPr>
        <w:spacing w:line="360" w:lineRule="auto"/>
        <w:ind w:firstLine="360"/>
        <w:rPr>
          <w:rFonts w:ascii="Arial" w:hAnsi="Arial" w:cs="Arial"/>
          <w:sz w:val="24"/>
          <w:szCs w:val="24"/>
        </w:rPr>
      </w:pPr>
      <w:r w:rsidRPr="00B5318A">
        <w:rPr>
          <w:rFonts w:ascii="Arial" w:hAnsi="Arial" w:cs="Arial"/>
          <w:sz w:val="24"/>
          <w:szCs w:val="24"/>
        </w:rPr>
        <w:t>Furthermore, sustainability transitions may cause conflict between cost efficiency and environmental responsibility, particularly in unpredictable markets where raw material costs fluctuate. Firms face penalties or reputational harm if disclosures are false or breach regulatory standards (Boiral, 2016). Thus, sustainability needs offer both strategic opportunities and operational challenges.</w:t>
      </w:r>
    </w:p>
    <w:p w14:paraId="12E68C5E" w14:textId="77777777" w:rsidR="00B5318A" w:rsidRDefault="00B5318A" w:rsidP="00B5318A">
      <w:pPr>
        <w:spacing w:line="360" w:lineRule="auto"/>
        <w:ind w:firstLine="360"/>
        <w:rPr>
          <w:rFonts w:ascii="Arial" w:hAnsi="Arial" w:cs="Arial"/>
          <w:sz w:val="24"/>
          <w:szCs w:val="24"/>
        </w:rPr>
      </w:pPr>
    </w:p>
    <w:p w14:paraId="6C6F9A32" w14:textId="77777777" w:rsidR="00B5318A" w:rsidRDefault="00B5318A" w:rsidP="00B5318A">
      <w:pPr>
        <w:spacing w:line="360" w:lineRule="auto"/>
        <w:ind w:firstLine="360"/>
        <w:rPr>
          <w:rFonts w:ascii="Arial" w:hAnsi="Arial" w:cs="Arial"/>
          <w:sz w:val="24"/>
          <w:szCs w:val="24"/>
        </w:rPr>
      </w:pPr>
    </w:p>
    <w:p w14:paraId="68FA780B" w14:textId="77777777" w:rsidR="00B5318A" w:rsidRDefault="00B5318A" w:rsidP="00B5318A">
      <w:pPr>
        <w:spacing w:line="360" w:lineRule="auto"/>
        <w:ind w:firstLine="360"/>
        <w:rPr>
          <w:rFonts w:ascii="Arial" w:hAnsi="Arial" w:cs="Arial"/>
          <w:sz w:val="24"/>
          <w:szCs w:val="24"/>
        </w:rPr>
      </w:pPr>
    </w:p>
    <w:p w14:paraId="7A67E66A" w14:textId="056E66A3" w:rsidR="00B5318A" w:rsidRPr="00B5318A" w:rsidRDefault="00B5318A" w:rsidP="00B5318A">
      <w:pPr>
        <w:pStyle w:val="Heading1"/>
        <w:jc w:val="center"/>
        <w:rPr>
          <w:rFonts w:ascii="Arial" w:hAnsi="Arial" w:cs="Arial"/>
          <w:b/>
          <w:bCs/>
          <w:u w:val="single"/>
        </w:rPr>
      </w:pPr>
      <w:r w:rsidRPr="00B5318A">
        <w:rPr>
          <w:rFonts w:ascii="Arial" w:hAnsi="Arial" w:cs="Arial"/>
          <w:b/>
          <w:bCs/>
          <w:u w:val="single"/>
        </w:rPr>
        <w:lastRenderedPageBreak/>
        <w:t>Impact of Global Forces on Unilever’s International Strategy</w:t>
      </w:r>
    </w:p>
    <w:p w14:paraId="55654D83" w14:textId="77777777" w:rsidR="00B5318A" w:rsidRPr="00B5318A" w:rsidRDefault="00B5318A" w:rsidP="00B5318A">
      <w:pPr>
        <w:spacing w:line="360" w:lineRule="auto"/>
        <w:ind w:firstLine="360"/>
        <w:rPr>
          <w:rFonts w:ascii="Arial" w:hAnsi="Arial" w:cs="Arial"/>
          <w:sz w:val="24"/>
          <w:szCs w:val="24"/>
        </w:rPr>
      </w:pPr>
    </w:p>
    <w:p w14:paraId="31ADE224" w14:textId="09B22BC9" w:rsidR="00B5318A" w:rsidRDefault="00C92205" w:rsidP="00C92205">
      <w:pPr>
        <w:pStyle w:val="ListParagraph"/>
        <w:numPr>
          <w:ilvl w:val="0"/>
          <w:numId w:val="3"/>
        </w:numPr>
        <w:spacing w:line="360" w:lineRule="auto"/>
        <w:rPr>
          <w:rFonts w:ascii="Arial" w:hAnsi="Arial" w:cs="Arial"/>
          <w:b/>
          <w:bCs/>
          <w:sz w:val="24"/>
          <w:szCs w:val="24"/>
        </w:rPr>
      </w:pPr>
      <w:r w:rsidRPr="00C92205">
        <w:rPr>
          <w:rFonts w:ascii="Arial" w:hAnsi="Arial" w:cs="Arial"/>
          <w:b/>
          <w:bCs/>
          <w:sz w:val="24"/>
          <w:szCs w:val="24"/>
        </w:rPr>
        <w:t>Market Positioning and Competitiveness</w:t>
      </w:r>
    </w:p>
    <w:p w14:paraId="75507731" w14:textId="35DC324D" w:rsidR="00C92205" w:rsidRDefault="00C92205" w:rsidP="00C92205">
      <w:pPr>
        <w:spacing w:line="360" w:lineRule="auto"/>
        <w:ind w:firstLine="360"/>
        <w:rPr>
          <w:rFonts w:ascii="Arial" w:hAnsi="Arial" w:cs="Arial"/>
          <w:sz w:val="24"/>
          <w:szCs w:val="24"/>
        </w:rPr>
      </w:pPr>
      <w:r w:rsidRPr="00C92205">
        <w:rPr>
          <w:rFonts w:ascii="Arial" w:hAnsi="Arial" w:cs="Arial"/>
          <w:sz w:val="24"/>
          <w:szCs w:val="24"/>
        </w:rPr>
        <w:t>The combined forces of AI adoption, geopolitical tension and sustainability regulation significantly affect Unilever’s market positioning. As Porter (1985) emphasises, differentiation and cost competitiveness are central to global strategy. Unilever’s sustainable brand identity can enhance differentiation in markets where consumers increasingly value environmental and social responsibility (Hainmueller &amp; Hiscox, 2015). AI capabilities strengthen operational efficiency, potentially improving margins and pricing flexibility.</w:t>
      </w:r>
    </w:p>
    <w:p w14:paraId="09C1FD14" w14:textId="31E6346D" w:rsidR="00C92205" w:rsidRDefault="00C92205" w:rsidP="00C92205">
      <w:pPr>
        <w:spacing w:line="360" w:lineRule="auto"/>
        <w:ind w:firstLine="360"/>
        <w:rPr>
          <w:rFonts w:ascii="Arial" w:hAnsi="Arial" w:cs="Arial"/>
          <w:sz w:val="24"/>
          <w:szCs w:val="24"/>
        </w:rPr>
      </w:pPr>
      <w:r w:rsidRPr="00C92205">
        <w:rPr>
          <w:rFonts w:ascii="Arial" w:hAnsi="Arial" w:cs="Arial"/>
          <w:sz w:val="24"/>
          <w:szCs w:val="24"/>
        </w:rPr>
        <w:t>However, supply-chain disruptions and compliance costs increase financial pressures. Inflationary effects from geopolitical shocks can weaken price competitiveness, while the rising cost of sustainability transformation may strain resources. Thus, the net impact on competitiveness depends largely on strategic execution.</w:t>
      </w:r>
    </w:p>
    <w:p w14:paraId="7FACAB12" w14:textId="3E773DD4" w:rsidR="00C92205" w:rsidRDefault="00C92205" w:rsidP="00C92205">
      <w:pPr>
        <w:pStyle w:val="ListParagraph"/>
        <w:numPr>
          <w:ilvl w:val="0"/>
          <w:numId w:val="3"/>
        </w:numPr>
        <w:spacing w:line="360" w:lineRule="auto"/>
        <w:rPr>
          <w:rFonts w:ascii="Arial" w:hAnsi="Arial" w:cs="Arial"/>
          <w:b/>
          <w:bCs/>
          <w:sz w:val="24"/>
          <w:szCs w:val="24"/>
        </w:rPr>
      </w:pPr>
      <w:r w:rsidRPr="00C92205">
        <w:rPr>
          <w:rFonts w:ascii="Arial" w:hAnsi="Arial" w:cs="Arial"/>
          <w:b/>
          <w:bCs/>
          <w:sz w:val="24"/>
          <w:szCs w:val="24"/>
        </w:rPr>
        <w:t>Innovation</w:t>
      </w:r>
    </w:p>
    <w:p w14:paraId="40A99E49" w14:textId="77777777" w:rsidR="00C92205" w:rsidRDefault="00C92205" w:rsidP="00C92205">
      <w:pPr>
        <w:spacing w:line="360" w:lineRule="auto"/>
        <w:ind w:firstLine="360"/>
        <w:rPr>
          <w:rFonts w:ascii="Arial" w:hAnsi="Arial" w:cs="Arial"/>
          <w:sz w:val="24"/>
          <w:szCs w:val="24"/>
        </w:rPr>
      </w:pPr>
      <w:r w:rsidRPr="00C92205">
        <w:rPr>
          <w:rFonts w:ascii="Arial" w:hAnsi="Arial" w:cs="Arial"/>
          <w:sz w:val="24"/>
          <w:szCs w:val="24"/>
        </w:rPr>
        <w:t>AI drives innovation in product development, marketing, and operational design. According to research, data-driven innovation improves consumer targeting, accelerates R&amp;D cycles, and enhances product personalisation. This allows Unilever to develop specialised products for a wide range of international markets.</w:t>
      </w:r>
    </w:p>
    <w:p w14:paraId="5B799361" w14:textId="77777777" w:rsidR="00C92205" w:rsidRPr="00C92205" w:rsidRDefault="00C92205" w:rsidP="00C92205">
      <w:pPr>
        <w:spacing w:line="360" w:lineRule="auto"/>
        <w:ind w:firstLine="360"/>
        <w:rPr>
          <w:rFonts w:ascii="Arial" w:hAnsi="Arial" w:cs="Arial"/>
          <w:sz w:val="24"/>
          <w:szCs w:val="24"/>
        </w:rPr>
      </w:pPr>
      <w:r w:rsidRPr="00C92205">
        <w:rPr>
          <w:rFonts w:ascii="Arial" w:hAnsi="Arial" w:cs="Arial"/>
          <w:sz w:val="24"/>
          <w:szCs w:val="24"/>
        </w:rPr>
        <w:t>However, if digital usage varies by location, innovation may become scattered across global divisions. Organisational inertia, cultural differences, and inconsistency in resource distribution can all decrease innovation effectiveness (Teece, 2018). As a result, worldwide cooperation is necessary.</w:t>
      </w:r>
    </w:p>
    <w:p w14:paraId="45807643" w14:textId="11D40BE3" w:rsidR="00C92205" w:rsidRDefault="00C92205" w:rsidP="00C92205">
      <w:pPr>
        <w:pStyle w:val="ListParagraph"/>
        <w:numPr>
          <w:ilvl w:val="0"/>
          <w:numId w:val="3"/>
        </w:numPr>
        <w:spacing w:line="360" w:lineRule="auto"/>
        <w:rPr>
          <w:rFonts w:ascii="Arial" w:hAnsi="Arial" w:cs="Arial"/>
          <w:b/>
          <w:bCs/>
          <w:sz w:val="24"/>
          <w:szCs w:val="24"/>
        </w:rPr>
      </w:pPr>
      <w:r w:rsidRPr="00C92205">
        <w:rPr>
          <w:rFonts w:ascii="Arial" w:hAnsi="Arial" w:cs="Arial"/>
          <w:b/>
          <w:bCs/>
          <w:sz w:val="24"/>
          <w:szCs w:val="24"/>
        </w:rPr>
        <w:t>Talent Management</w:t>
      </w:r>
    </w:p>
    <w:p w14:paraId="3843CE73" w14:textId="76397438" w:rsidR="00C92205" w:rsidRDefault="00C92205" w:rsidP="00C92205">
      <w:pPr>
        <w:spacing w:line="360" w:lineRule="auto"/>
        <w:ind w:firstLine="360"/>
        <w:rPr>
          <w:rFonts w:ascii="Arial" w:hAnsi="Arial" w:cs="Arial"/>
          <w:sz w:val="24"/>
          <w:szCs w:val="24"/>
        </w:rPr>
      </w:pPr>
      <w:r w:rsidRPr="00C92205">
        <w:rPr>
          <w:rFonts w:ascii="Arial" w:hAnsi="Arial" w:cs="Arial"/>
          <w:sz w:val="24"/>
          <w:szCs w:val="24"/>
        </w:rPr>
        <w:t xml:space="preserve">The change to AI-driven operations and sustainability reporting alters personnel requirements. Firms require individuals with expertise in data science, AI governance, sustainability analytics, and supply chain risk management. Academic research </w:t>
      </w:r>
      <w:r w:rsidRPr="00C92205">
        <w:rPr>
          <w:rFonts w:ascii="Arial" w:hAnsi="Arial" w:cs="Arial"/>
          <w:sz w:val="24"/>
          <w:szCs w:val="24"/>
        </w:rPr>
        <w:lastRenderedPageBreak/>
        <w:t>highlights the significance of workforce upskilling and continual learning in digital transformations (Sung, 2020).</w:t>
      </w:r>
    </w:p>
    <w:p w14:paraId="2DF50289" w14:textId="77777777" w:rsidR="00C92205" w:rsidRPr="00C92205" w:rsidRDefault="00C92205" w:rsidP="00C92205">
      <w:pPr>
        <w:spacing w:line="360" w:lineRule="auto"/>
        <w:ind w:firstLine="360"/>
        <w:rPr>
          <w:rFonts w:ascii="Arial" w:hAnsi="Arial" w:cs="Arial"/>
          <w:sz w:val="24"/>
          <w:szCs w:val="24"/>
        </w:rPr>
      </w:pPr>
      <w:r w:rsidRPr="00C92205">
        <w:rPr>
          <w:rFonts w:ascii="Arial" w:hAnsi="Arial" w:cs="Arial"/>
          <w:sz w:val="24"/>
          <w:szCs w:val="24"/>
        </w:rPr>
        <w:t>However, Unilever's worldwide workforce experiences regional variations in technical infrastructure and digital literacy. Without consistent worldwide training programs, skill gaps could stymie strategic success.</w:t>
      </w:r>
    </w:p>
    <w:p w14:paraId="68039A17" w14:textId="549029AF" w:rsidR="00C92205" w:rsidRDefault="00817228" w:rsidP="00817228">
      <w:pPr>
        <w:pStyle w:val="ListParagraph"/>
        <w:numPr>
          <w:ilvl w:val="0"/>
          <w:numId w:val="3"/>
        </w:numPr>
        <w:spacing w:line="360" w:lineRule="auto"/>
        <w:rPr>
          <w:rFonts w:ascii="Arial" w:hAnsi="Arial" w:cs="Arial"/>
          <w:b/>
          <w:bCs/>
          <w:sz w:val="24"/>
          <w:szCs w:val="24"/>
        </w:rPr>
      </w:pPr>
      <w:r w:rsidRPr="00817228">
        <w:rPr>
          <w:rFonts w:ascii="Arial" w:hAnsi="Arial" w:cs="Arial"/>
          <w:b/>
          <w:bCs/>
          <w:sz w:val="24"/>
          <w:szCs w:val="24"/>
        </w:rPr>
        <w:t>Operational Strategy and Global Supply Chains</w:t>
      </w:r>
    </w:p>
    <w:p w14:paraId="4268BBB3" w14:textId="77777777" w:rsidR="00817228" w:rsidRDefault="00817228" w:rsidP="00817228">
      <w:pPr>
        <w:spacing w:line="360" w:lineRule="auto"/>
        <w:ind w:firstLine="360"/>
        <w:rPr>
          <w:rFonts w:ascii="Arial" w:hAnsi="Arial" w:cs="Arial"/>
          <w:sz w:val="24"/>
          <w:szCs w:val="24"/>
        </w:rPr>
      </w:pPr>
      <w:r w:rsidRPr="00817228">
        <w:rPr>
          <w:rFonts w:ascii="Arial" w:hAnsi="Arial" w:cs="Arial"/>
          <w:sz w:val="24"/>
          <w:szCs w:val="24"/>
        </w:rPr>
        <w:t>Unilever must reevaluate its supply-chain architecture due to the interplay between geopolitical risk and sustainability expectations. Research suggests that geographic variety, redundancy, and real-time visibility are necessary for robust supply chains (Pettit et al., 2019). At the same time, companies are under pressure to rethink manufacturing, sourcing, and logistics due to sustainability rules that demand transparency and emissions reductions.</w:t>
      </w:r>
    </w:p>
    <w:p w14:paraId="6D015107" w14:textId="5BC50732" w:rsidR="00817228" w:rsidRDefault="00817228" w:rsidP="00817228">
      <w:pPr>
        <w:spacing w:line="360" w:lineRule="auto"/>
        <w:ind w:firstLine="360"/>
        <w:rPr>
          <w:rFonts w:ascii="Arial" w:hAnsi="Arial" w:cs="Arial"/>
          <w:sz w:val="24"/>
          <w:szCs w:val="24"/>
        </w:rPr>
      </w:pPr>
      <w:r w:rsidRPr="00817228">
        <w:rPr>
          <w:rFonts w:ascii="Arial" w:hAnsi="Arial" w:cs="Arial"/>
          <w:sz w:val="24"/>
          <w:szCs w:val="24"/>
        </w:rPr>
        <w:t>As a result, Unilever must strike a balance between sustainability, resilience, and efficiency—a complicated triangle that Ivanov and Dolgui (2021) recognised as a defining problem for contemporary supply-chain planning.</w:t>
      </w:r>
    </w:p>
    <w:p w14:paraId="3330711B" w14:textId="50C6CA0D" w:rsidR="00817228" w:rsidRDefault="00817228" w:rsidP="00817228">
      <w:pPr>
        <w:pStyle w:val="Heading1"/>
        <w:jc w:val="center"/>
        <w:rPr>
          <w:rFonts w:ascii="Arial" w:hAnsi="Arial" w:cs="Arial"/>
          <w:b/>
          <w:bCs/>
          <w:u w:val="single"/>
        </w:rPr>
      </w:pPr>
      <w:r w:rsidRPr="00817228">
        <w:rPr>
          <w:rFonts w:ascii="Arial" w:hAnsi="Arial" w:cs="Arial"/>
          <w:b/>
          <w:bCs/>
          <w:u w:val="single"/>
        </w:rPr>
        <w:t>Strategic Recommendations</w:t>
      </w:r>
    </w:p>
    <w:p w14:paraId="27841E7C" w14:textId="77777777" w:rsidR="00817228" w:rsidRPr="00817228" w:rsidRDefault="00817228" w:rsidP="00817228">
      <w:pPr>
        <w:rPr>
          <w:b/>
          <w:bCs/>
        </w:rPr>
      </w:pPr>
    </w:p>
    <w:p w14:paraId="1205B1FA" w14:textId="77777777" w:rsidR="00817228" w:rsidRPr="00817228" w:rsidRDefault="00817228" w:rsidP="00817228">
      <w:pPr>
        <w:pStyle w:val="ListParagraph"/>
        <w:numPr>
          <w:ilvl w:val="0"/>
          <w:numId w:val="5"/>
        </w:numPr>
        <w:rPr>
          <w:rFonts w:ascii="Arial" w:hAnsi="Arial" w:cs="Arial"/>
          <w:b/>
          <w:bCs/>
          <w:sz w:val="24"/>
          <w:szCs w:val="24"/>
        </w:rPr>
      </w:pPr>
      <w:r w:rsidRPr="00817228">
        <w:rPr>
          <w:rFonts w:ascii="Arial" w:hAnsi="Arial" w:cs="Arial"/>
          <w:b/>
          <w:bCs/>
          <w:sz w:val="24"/>
          <w:szCs w:val="24"/>
        </w:rPr>
        <w:t xml:space="preserve">Strengthen Regionalisation and Supply-Chain Diversification </w:t>
      </w:r>
    </w:p>
    <w:p w14:paraId="5B7F45D9" w14:textId="4A9D5D00" w:rsidR="00817228" w:rsidRPr="00817228" w:rsidRDefault="00817228" w:rsidP="00817228">
      <w:pPr>
        <w:spacing w:line="360" w:lineRule="auto"/>
        <w:ind w:firstLine="360"/>
        <w:rPr>
          <w:rFonts w:ascii="Arial" w:hAnsi="Arial" w:cs="Arial"/>
          <w:sz w:val="24"/>
          <w:szCs w:val="24"/>
        </w:rPr>
      </w:pPr>
      <w:r w:rsidRPr="00817228">
        <w:rPr>
          <w:rFonts w:ascii="Arial" w:hAnsi="Arial" w:cs="Arial"/>
          <w:sz w:val="24"/>
          <w:szCs w:val="24"/>
        </w:rPr>
        <w:t>Unilever should lessen its reliance on high-risk transportation corridors, expand regional production centres, and diversify its sourcing beyond geopolitically unstable areas. Research demonstrates that regionalisation improves resilience without significantly reducing efficiency (Gereffi, 2020).</w:t>
      </w:r>
    </w:p>
    <w:p w14:paraId="119EA7D9" w14:textId="6AB8B877" w:rsidR="00817228" w:rsidRDefault="00817228" w:rsidP="00817228">
      <w:pPr>
        <w:pStyle w:val="ListParagraph"/>
        <w:numPr>
          <w:ilvl w:val="0"/>
          <w:numId w:val="5"/>
        </w:numPr>
        <w:spacing w:line="360" w:lineRule="auto"/>
        <w:rPr>
          <w:rFonts w:ascii="Arial" w:hAnsi="Arial" w:cs="Arial"/>
          <w:b/>
          <w:bCs/>
          <w:sz w:val="24"/>
          <w:szCs w:val="24"/>
        </w:rPr>
      </w:pPr>
      <w:r w:rsidRPr="00817228">
        <w:rPr>
          <w:rFonts w:ascii="Arial" w:hAnsi="Arial" w:cs="Arial"/>
          <w:b/>
          <w:bCs/>
          <w:sz w:val="24"/>
          <w:szCs w:val="24"/>
        </w:rPr>
        <w:t>Accelerate Integrated AI Adoption Across All Markets</w:t>
      </w:r>
    </w:p>
    <w:p w14:paraId="072F5C35" w14:textId="35F1953D" w:rsidR="00817228" w:rsidRDefault="00817228" w:rsidP="00817228">
      <w:pPr>
        <w:spacing w:line="360" w:lineRule="auto"/>
        <w:ind w:firstLine="360"/>
        <w:rPr>
          <w:rFonts w:ascii="Arial" w:hAnsi="Arial" w:cs="Arial"/>
          <w:sz w:val="24"/>
          <w:szCs w:val="24"/>
        </w:rPr>
      </w:pPr>
      <w:r w:rsidRPr="00817228">
        <w:rPr>
          <w:rFonts w:ascii="Arial" w:hAnsi="Arial" w:cs="Arial"/>
          <w:sz w:val="24"/>
          <w:szCs w:val="24"/>
        </w:rPr>
        <w:t>To maximise AI benefits and minimise strategic fragmentation, Unilever should:</w:t>
      </w:r>
    </w:p>
    <w:p w14:paraId="3C2BE442" w14:textId="6B531542" w:rsidR="00817228" w:rsidRDefault="00817228" w:rsidP="00817228">
      <w:pPr>
        <w:pStyle w:val="ListParagraph"/>
        <w:numPr>
          <w:ilvl w:val="0"/>
          <w:numId w:val="7"/>
        </w:numPr>
        <w:spacing w:line="360" w:lineRule="auto"/>
        <w:rPr>
          <w:rFonts w:ascii="Arial" w:hAnsi="Arial" w:cs="Arial"/>
          <w:sz w:val="24"/>
          <w:szCs w:val="24"/>
        </w:rPr>
      </w:pPr>
      <w:r w:rsidRPr="00817228">
        <w:rPr>
          <w:rFonts w:ascii="Arial" w:hAnsi="Arial" w:cs="Arial"/>
          <w:sz w:val="24"/>
          <w:szCs w:val="24"/>
        </w:rPr>
        <w:t>modernise legacy systems to ensure data compatibility.</w:t>
      </w:r>
    </w:p>
    <w:p w14:paraId="748A27DD" w14:textId="73541C48" w:rsidR="00817228" w:rsidRDefault="00817228" w:rsidP="00817228">
      <w:pPr>
        <w:pStyle w:val="ListParagraph"/>
        <w:numPr>
          <w:ilvl w:val="0"/>
          <w:numId w:val="7"/>
        </w:numPr>
        <w:spacing w:line="360" w:lineRule="auto"/>
        <w:rPr>
          <w:rFonts w:ascii="Arial" w:hAnsi="Arial" w:cs="Arial"/>
          <w:sz w:val="24"/>
          <w:szCs w:val="24"/>
        </w:rPr>
      </w:pPr>
      <w:r w:rsidRPr="00817228">
        <w:rPr>
          <w:rFonts w:ascii="Arial" w:hAnsi="Arial" w:cs="Arial"/>
          <w:sz w:val="24"/>
          <w:szCs w:val="24"/>
        </w:rPr>
        <w:t>create a unified AI governance framework</w:t>
      </w:r>
      <w:r>
        <w:rPr>
          <w:rFonts w:ascii="Arial" w:hAnsi="Arial" w:cs="Arial"/>
          <w:sz w:val="24"/>
          <w:szCs w:val="24"/>
        </w:rPr>
        <w:t>.</w:t>
      </w:r>
    </w:p>
    <w:p w14:paraId="035745D9" w14:textId="29ADD132" w:rsidR="00817228" w:rsidRDefault="00817228" w:rsidP="00817228">
      <w:pPr>
        <w:pStyle w:val="ListParagraph"/>
        <w:numPr>
          <w:ilvl w:val="0"/>
          <w:numId w:val="7"/>
        </w:numPr>
        <w:spacing w:line="360" w:lineRule="auto"/>
        <w:rPr>
          <w:rFonts w:ascii="Arial" w:hAnsi="Arial" w:cs="Arial"/>
          <w:sz w:val="24"/>
          <w:szCs w:val="24"/>
        </w:rPr>
      </w:pPr>
      <w:r w:rsidRPr="00817228">
        <w:rPr>
          <w:rFonts w:ascii="Arial" w:hAnsi="Arial" w:cs="Arial"/>
          <w:sz w:val="24"/>
          <w:szCs w:val="24"/>
        </w:rPr>
        <w:t>invest in global data-quality infrastructure</w:t>
      </w:r>
      <w:r>
        <w:rPr>
          <w:rFonts w:ascii="Arial" w:hAnsi="Arial" w:cs="Arial"/>
          <w:sz w:val="24"/>
          <w:szCs w:val="24"/>
        </w:rPr>
        <w:t>.</w:t>
      </w:r>
    </w:p>
    <w:p w14:paraId="1C4FA30B" w14:textId="77777777" w:rsidR="00817228" w:rsidRDefault="00817228" w:rsidP="00817228">
      <w:pPr>
        <w:pStyle w:val="ListParagraph"/>
        <w:numPr>
          <w:ilvl w:val="0"/>
          <w:numId w:val="7"/>
        </w:numPr>
        <w:spacing w:line="360" w:lineRule="auto"/>
        <w:rPr>
          <w:rFonts w:ascii="Arial" w:hAnsi="Arial" w:cs="Arial"/>
          <w:sz w:val="24"/>
          <w:szCs w:val="24"/>
        </w:rPr>
      </w:pPr>
      <w:r w:rsidRPr="00817228">
        <w:rPr>
          <w:rFonts w:ascii="Arial" w:hAnsi="Arial" w:cs="Arial"/>
          <w:sz w:val="24"/>
          <w:szCs w:val="24"/>
        </w:rPr>
        <w:t>expand digital-skills training in emerging market</w:t>
      </w:r>
      <w:r>
        <w:rPr>
          <w:rFonts w:ascii="Arial" w:hAnsi="Arial" w:cs="Arial"/>
          <w:sz w:val="24"/>
          <w:szCs w:val="24"/>
        </w:rPr>
        <w:t>s.</w:t>
      </w:r>
    </w:p>
    <w:p w14:paraId="1AC36647" w14:textId="05D37582" w:rsidR="00817228" w:rsidRDefault="00817228" w:rsidP="00817228">
      <w:pPr>
        <w:spacing w:line="360" w:lineRule="auto"/>
        <w:ind w:firstLine="720"/>
        <w:rPr>
          <w:rFonts w:ascii="Arial" w:hAnsi="Arial" w:cs="Arial"/>
          <w:sz w:val="24"/>
          <w:szCs w:val="24"/>
        </w:rPr>
      </w:pPr>
      <w:r w:rsidRPr="00817228">
        <w:rPr>
          <w:rFonts w:ascii="Arial" w:hAnsi="Arial" w:cs="Arial"/>
          <w:sz w:val="24"/>
          <w:szCs w:val="24"/>
        </w:rPr>
        <w:lastRenderedPageBreak/>
        <w:t>This aligns with recommendations in Brock and von Wangenheim (2019) regarding the need for coherent organisational digital transformation.</w:t>
      </w:r>
    </w:p>
    <w:p w14:paraId="1AF165C0" w14:textId="0ED6F039" w:rsidR="00817228" w:rsidRPr="00817228" w:rsidRDefault="00817228" w:rsidP="00817228">
      <w:pPr>
        <w:pStyle w:val="ListParagraph"/>
        <w:numPr>
          <w:ilvl w:val="0"/>
          <w:numId w:val="5"/>
        </w:numPr>
        <w:spacing w:line="360" w:lineRule="auto"/>
        <w:rPr>
          <w:rFonts w:ascii="Arial" w:hAnsi="Arial" w:cs="Arial"/>
          <w:b/>
          <w:bCs/>
          <w:sz w:val="24"/>
          <w:szCs w:val="24"/>
        </w:rPr>
      </w:pPr>
      <w:r w:rsidRPr="00817228">
        <w:rPr>
          <w:rFonts w:ascii="Arial" w:hAnsi="Arial" w:cs="Arial"/>
          <w:b/>
          <w:bCs/>
          <w:sz w:val="24"/>
          <w:szCs w:val="24"/>
        </w:rPr>
        <w:t>Implement End-to-End Sustainability Data Systems for CSRD Compliance</w:t>
      </w:r>
    </w:p>
    <w:p w14:paraId="1632E99D" w14:textId="77777777" w:rsidR="00817228" w:rsidRDefault="00817228" w:rsidP="00817228">
      <w:pPr>
        <w:spacing w:line="360" w:lineRule="auto"/>
        <w:ind w:firstLine="360"/>
        <w:rPr>
          <w:rFonts w:ascii="Arial" w:hAnsi="Arial" w:cs="Arial"/>
          <w:sz w:val="24"/>
          <w:szCs w:val="24"/>
        </w:rPr>
      </w:pPr>
      <w:r w:rsidRPr="00817228">
        <w:rPr>
          <w:rFonts w:ascii="Arial" w:hAnsi="Arial" w:cs="Arial"/>
          <w:sz w:val="24"/>
          <w:szCs w:val="24"/>
        </w:rPr>
        <w:t>Unilever should implement cutting-edge sustainability data platforms that can record supplier data, emissions measures, and value-chain performance indicators in real-time. As demonstrated by La Torre et al. (2020), supply-chain cooperation will be necessary to gather accurate Scope 3 data.</w:t>
      </w:r>
    </w:p>
    <w:p w14:paraId="2E57CAE3" w14:textId="77777777" w:rsidR="00817228" w:rsidRDefault="00817228" w:rsidP="00817228">
      <w:pPr>
        <w:spacing w:line="360" w:lineRule="auto"/>
        <w:ind w:firstLine="360"/>
        <w:rPr>
          <w:rFonts w:ascii="Arial" w:hAnsi="Arial" w:cs="Arial"/>
          <w:sz w:val="24"/>
          <w:szCs w:val="24"/>
        </w:rPr>
      </w:pPr>
      <w:r w:rsidRPr="00817228">
        <w:rPr>
          <w:rFonts w:ascii="Arial" w:hAnsi="Arial" w:cs="Arial"/>
          <w:sz w:val="24"/>
          <w:szCs w:val="24"/>
        </w:rPr>
        <w:t>Additionally, procurement, product design, and performance evaluation should incorporate sustainability metrics.</w:t>
      </w:r>
    </w:p>
    <w:p w14:paraId="6ECD7181" w14:textId="77777777" w:rsidR="00C945D1" w:rsidRPr="00C945D1" w:rsidRDefault="00C945D1" w:rsidP="00C945D1">
      <w:pPr>
        <w:spacing w:line="360" w:lineRule="auto"/>
        <w:ind w:firstLine="360"/>
        <w:rPr>
          <w:rFonts w:ascii="Arial" w:hAnsi="Arial" w:cs="Arial"/>
          <w:b/>
          <w:bCs/>
          <w:sz w:val="24"/>
          <w:szCs w:val="24"/>
        </w:rPr>
      </w:pPr>
      <w:r w:rsidRPr="00C945D1">
        <w:rPr>
          <w:rFonts w:ascii="Arial" w:hAnsi="Arial" w:cs="Arial"/>
          <w:b/>
          <w:bCs/>
          <w:sz w:val="24"/>
          <w:szCs w:val="24"/>
        </w:rPr>
        <w:t>4. Invest in Scenario Planning and Digital-Twin Modelling</w:t>
      </w:r>
    </w:p>
    <w:p w14:paraId="5A884E95" w14:textId="77777777" w:rsidR="00C945D1" w:rsidRDefault="00C945D1" w:rsidP="00C945D1">
      <w:pPr>
        <w:spacing w:line="360" w:lineRule="auto"/>
        <w:ind w:firstLine="360"/>
        <w:rPr>
          <w:rFonts w:ascii="Arial" w:hAnsi="Arial" w:cs="Arial"/>
          <w:sz w:val="24"/>
          <w:szCs w:val="24"/>
        </w:rPr>
      </w:pPr>
      <w:r w:rsidRPr="00C945D1">
        <w:rPr>
          <w:rFonts w:ascii="Arial" w:hAnsi="Arial" w:cs="Arial"/>
          <w:sz w:val="24"/>
          <w:szCs w:val="24"/>
        </w:rPr>
        <w:t>Scenario planning and digital-twin technology can help Unilever simulate geopolitical disruptions, optimise inventories and improve logistics planning. Research supports these methods as effective tools for building resilience (Ivanov, 2020).</w:t>
      </w:r>
    </w:p>
    <w:p w14:paraId="46C21E9A" w14:textId="77777777" w:rsidR="00C945D1" w:rsidRPr="00C945D1" w:rsidRDefault="00C945D1" w:rsidP="00C945D1">
      <w:pPr>
        <w:spacing w:line="360" w:lineRule="auto"/>
        <w:ind w:firstLine="360"/>
        <w:rPr>
          <w:rFonts w:ascii="Arial" w:hAnsi="Arial" w:cs="Arial"/>
          <w:b/>
          <w:bCs/>
          <w:sz w:val="24"/>
          <w:szCs w:val="24"/>
        </w:rPr>
      </w:pPr>
      <w:r w:rsidRPr="00C945D1">
        <w:rPr>
          <w:rFonts w:ascii="Arial" w:hAnsi="Arial" w:cs="Arial"/>
          <w:b/>
          <w:bCs/>
          <w:sz w:val="24"/>
          <w:szCs w:val="24"/>
        </w:rPr>
        <w:t>5. Enhance Talent Strategy Focused on AI, Sustainability and Global Risk</w:t>
      </w:r>
    </w:p>
    <w:p w14:paraId="201CCDA4" w14:textId="77777777" w:rsidR="00C945D1" w:rsidRPr="00C945D1" w:rsidRDefault="00C945D1" w:rsidP="00C945D1">
      <w:pPr>
        <w:spacing w:line="360" w:lineRule="auto"/>
        <w:ind w:firstLine="360"/>
        <w:rPr>
          <w:rFonts w:ascii="Arial" w:hAnsi="Arial" w:cs="Arial"/>
          <w:sz w:val="24"/>
          <w:szCs w:val="24"/>
        </w:rPr>
      </w:pPr>
      <w:r w:rsidRPr="00C945D1">
        <w:rPr>
          <w:rFonts w:ascii="Arial" w:hAnsi="Arial" w:cs="Arial"/>
          <w:sz w:val="24"/>
          <w:szCs w:val="24"/>
        </w:rPr>
        <w:t>Unilever should strengthen global training programmes, develop centres of excellence for AI and sustainability, and ensure that talent development is aligned across regions. Upskilling employees is essential for long-term competitiveness (Sung, 2020).</w:t>
      </w:r>
    </w:p>
    <w:p w14:paraId="171825E8" w14:textId="77777777" w:rsidR="00C945D1" w:rsidRDefault="00C945D1" w:rsidP="00C945D1">
      <w:pPr>
        <w:spacing w:line="360" w:lineRule="auto"/>
        <w:ind w:firstLine="360"/>
        <w:rPr>
          <w:rFonts w:ascii="Arial" w:hAnsi="Arial" w:cs="Arial"/>
          <w:sz w:val="24"/>
          <w:szCs w:val="24"/>
        </w:rPr>
      </w:pPr>
    </w:p>
    <w:p w14:paraId="561C8E58" w14:textId="77777777" w:rsidR="00C945D1" w:rsidRDefault="00C945D1" w:rsidP="00C945D1">
      <w:pPr>
        <w:spacing w:line="360" w:lineRule="auto"/>
        <w:ind w:firstLine="360"/>
        <w:rPr>
          <w:rFonts w:ascii="Arial" w:hAnsi="Arial" w:cs="Arial"/>
          <w:sz w:val="24"/>
          <w:szCs w:val="24"/>
        </w:rPr>
      </w:pPr>
    </w:p>
    <w:p w14:paraId="774396D2" w14:textId="77777777" w:rsidR="00C945D1" w:rsidRDefault="00C945D1" w:rsidP="00C945D1">
      <w:pPr>
        <w:spacing w:line="360" w:lineRule="auto"/>
        <w:ind w:firstLine="360"/>
        <w:rPr>
          <w:rFonts w:ascii="Arial" w:hAnsi="Arial" w:cs="Arial"/>
          <w:sz w:val="24"/>
          <w:szCs w:val="24"/>
        </w:rPr>
      </w:pPr>
    </w:p>
    <w:p w14:paraId="0730F999" w14:textId="77777777" w:rsidR="00C945D1" w:rsidRDefault="00C945D1" w:rsidP="00C945D1">
      <w:pPr>
        <w:spacing w:line="360" w:lineRule="auto"/>
        <w:ind w:firstLine="360"/>
        <w:rPr>
          <w:rFonts w:ascii="Arial" w:hAnsi="Arial" w:cs="Arial"/>
          <w:sz w:val="24"/>
          <w:szCs w:val="24"/>
        </w:rPr>
      </w:pPr>
    </w:p>
    <w:p w14:paraId="53CA9F28" w14:textId="77777777" w:rsidR="00C945D1" w:rsidRDefault="00C945D1" w:rsidP="00C945D1">
      <w:pPr>
        <w:spacing w:line="360" w:lineRule="auto"/>
        <w:ind w:firstLine="360"/>
        <w:rPr>
          <w:rFonts w:ascii="Arial" w:hAnsi="Arial" w:cs="Arial"/>
          <w:sz w:val="24"/>
          <w:szCs w:val="24"/>
        </w:rPr>
      </w:pPr>
    </w:p>
    <w:p w14:paraId="4149487E" w14:textId="77777777" w:rsidR="00C945D1" w:rsidRDefault="00C945D1" w:rsidP="00C945D1">
      <w:pPr>
        <w:spacing w:line="360" w:lineRule="auto"/>
        <w:ind w:firstLine="360"/>
        <w:rPr>
          <w:rFonts w:ascii="Arial" w:hAnsi="Arial" w:cs="Arial"/>
          <w:sz w:val="24"/>
          <w:szCs w:val="24"/>
        </w:rPr>
      </w:pPr>
    </w:p>
    <w:p w14:paraId="3EF99CE6" w14:textId="77777777" w:rsidR="00C945D1" w:rsidRDefault="00C945D1" w:rsidP="00C945D1">
      <w:pPr>
        <w:spacing w:line="360" w:lineRule="auto"/>
        <w:ind w:firstLine="360"/>
        <w:rPr>
          <w:rFonts w:ascii="Arial" w:hAnsi="Arial" w:cs="Arial"/>
          <w:sz w:val="24"/>
          <w:szCs w:val="24"/>
        </w:rPr>
      </w:pPr>
    </w:p>
    <w:p w14:paraId="1F2960FD" w14:textId="77777777" w:rsidR="00C945D1" w:rsidRDefault="00C945D1" w:rsidP="00C945D1">
      <w:pPr>
        <w:spacing w:line="360" w:lineRule="auto"/>
        <w:ind w:firstLine="360"/>
        <w:rPr>
          <w:rFonts w:ascii="Arial" w:hAnsi="Arial" w:cs="Arial"/>
          <w:sz w:val="24"/>
          <w:szCs w:val="24"/>
        </w:rPr>
      </w:pPr>
    </w:p>
    <w:p w14:paraId="232350E6" w14:textId="27BE43E0" w:rsidR="00C945D1" w:rsidRDefault="00C945D1" w:rsidP="00C945D1">
      <w:pPr>
        <w:pStyle w:val="Heading1"/>
        <w:jc w:val="center"/>
        <w:rPr>
          <w:rFonts w:ascii="Arial" w:hAnsi="Arial" w:cs="Arial"/>
          <w:b/>
          <w:bCs/>
          <w:u w:val="single"/>
        </w:rPr>
      </w:pPr>
      <w:r w:rsidRPr="00C945D1">
        <w:rPr>
          <w:rFonts w:ascii="Arial" w:hAnsi="Arial" w:cs="Arial"/>
          <w:b/>
          <w:bCs/>
          <w:u w:val="single"/>
        </w:rPr>
        <w:lastRenderedPageBreak/>
        <w:t>Conclusion</w:t>
      </w:r>
    </w:p>
    <w:p w14:paraId="13102554" w14:textId="77777777" w:rsidR="00C945D1" w:rsidRDefault="00C945D1" w:rsidP="00C945D1"/>
    <w:p w14:paraId="51E07138" w14:textId="77777777" w:rsidR="00C945D1" w:rsidRDefault="00C945D1" w:rsidP="00C945D1">
      <w:pPr>
        <w:spacing w:line="360" w:lineRule="auto"/>
        <w:ind w:firstLine="720"/>
        <w:rPr>
          <w:rFonts w:ascii="Arial" w:hAnsi="Arial" w:cs="Arial"/>
          <w:sz w:val="24"/>
          <w:szCs w:val="24"/>
        </w:rPr>
      </w:pPr>
      <w:r w:rsidRPr="00C945D1">
        <w:rPr>
          <w:rFonts w:ascii="Arial" w:hAnsi="Arial" w:cs="Arial"/>
          <w:sz w:val="24"/>
          <w:szCs w:val="24"/>
        </w:rPr>
        <w:t>The interwoven dynamics of sustainability, geopolitics, and technology will characterise the global economic climate of 2024–2025. These developments have an impact on market positioning, innovation capacity, operational resilience, and talent requirements for a global company like Unilever.</w:t>
      </w:r>
    </w:p>
    <w:p w14:paraId="5509F4BF" w14:textId="77777777" w:rsidR="00C945D1" w:rsidRDefault="00C945D1" w:rsidP="00C945D1">
      <w:pPr>
        <w:spacing w:line="360" w:lineRule="auto"/>
        <w:ind w:firstLine="720"/>
        <w:rPr>
          <w:rFonts w:ascii="Arial" w:hAnsi="Arial" w:cs="Arial"/>
          <w:sz w:val="24"/>
          <w:szCs w:val="24"/>
        </w:rPr>
      </w:pPr>
      <w:r w:rsidRPr="00C945D1">
        <w:rPr>
          <w:rFonts w:ascii="Arial" w:hAnsi="Arial" w:cs="Arial"/>
          <w:sz w:val="24"/>
          <w:szCs w:val="24"/>
        </w:rPr>
        <w:t>Adoption of AI has tremendous potential for productivity, creativity, and insight generation, but it also poses issues with data, governance, and worker preparedness. Global supply chains are vulnerable due to geopolitical tensions, but they also serve as a catalyst for strategic redesign and resilience-building. Unilever's competitive differentiation is strengthened by sustainability criteria, especially CSRD, but they also impose complicated reporting and value-chain transparency requirements.</w:t>
      </w:r>
    </w:p>
    <w:p w14:paraId="6B108935" w14:textId="77777777" w:rsidR="00C945D1" w:rsidRPr="00C945D1" w:rsidRDefault="00C945D1" w:rsidP="00C945D1">
      <w:pPr>
        <w:spacing w:line="360" w:lineRule="auto"/>
        <w:ind w:firstLine="720"/>
        <w:rPr>
          <w:rFonts w:ascii="Arial" w:hAnsi="Arial" w:cs="Arial"/>
          <w:sz w:val="24"/>
          <w:szCs w:val="24"/>
        </w:rPr>
      </w:pPr>
      <w:r w:rsidRPr="00C945D1">
        <w:rPr>
          <w:rFonts w:ascii="Arial" w:hAnsi="Arial" w:cs="Arial"/>
          <w:sz w:val="24"/>
          <w:szCs w:val="24"/>
        </w:rPr>
        <w:t>Supply-chain diversification, integrated technology adoption, strong sustainability systems, improved workforce development, and sophisticated risk-management tools are all necessary for Unilever to successfully manage the interaction of these pressures. In a time of fast worldwide change, comprehending and adapting to these global dynamics is crucial for both Unilever's competitive advantage and the larger discipline of international strategic management.</w:t>
      </w:r>
    </w:p>
    <w:p w14:paraId="40A1712F" w14:textId="77777777" w:rsidR="00C945D1" w:rsidRDefault="00C945D1" w:rsidP="00C945D1">
      <w:pPr>
        <w:spacing w:line="360" w:lineRule="auto"/>
        <w:ind w:firstLine="720"/>
        <w:rPr>
          <w:rFonts w:ascii="Arial" w:hAnsi="Arial" w:cs="Arial"/>
          <w:sz w:val="24"/>
          <w:szCs w:val="24"/>
        </w:rPr>
      </w:pPr>
    </w:p>
    <w:p w14:paraId="12D7C14E" w14:textId="77777777" w:rsidR="00C945D1" w:rsidRDefault="00C945D1" w:rsidP="00C945D1">
      <w:pPr>
        <w:spacing w:line="360" w:lineRule="auto"/>
        <w:ind w:firstLine="720"/>
        <w:rPr>
          <w:rFonts w:ascii="Arial" w:hAnsi="Arial" w:cs="Arial"/>
          <w:sz w:val="24"/>
          <w:szCs w:val="24"/>
        </w:rPr>
      </w:pPr>
    </w:p>
    <w:p w14:paraId="2552C099" w14:textId="77777777" w:rsidR="00C945D1" w:rsidRDefault="00C945D1" w:rsidP="00C945D1">
      <w:pPr>
        <w:spacing w:line="360" w:lineRule="auto"/>
        <w:ind w:firstLine="720"/>
        <w:rPr>
          <w:rFonts w:ascii="Arial" w:hAnsi="Arial" w:cs="Arial"/>
          <w:sz w:val="24"/>
          <w:szCs w:val="24"/>
        </w:rPr>
      </w:pPr>
    </w:p>
    <w:p w14:paraId="6B1D1A63" w14:textId="77777777" w:rsidR="00C945D1" w:rsidRDefault="00C945D1" w:rsidP="00C945D1">
      <w:pPr>
        <w:spacing w:line="360" w:lineRule="auto"/>
        <w:ind w:firstLine="720"/>
        <w:rPr>
          <w:rFonts w:ascii="Arial" w:hAnsi="Arial" w:cs="Arial"/>
          <w:sz w:val="24"/>
          <w:szCs w:val="24"/>
        </w:rPr>
      </w:pPr>
    </w:p>
    <w:p w14:paraId="1221E9D2" w14:textId="77777777" w:rsidR="00C945D1" w:rsidRDefault="00C945D1" w:rsidP="00C945D1">
      <w:pPr>
        <w:spacing w:line="360" w:lineRule="auto"/>
        <w:ind w:firstLine="720"/>
        <w:rPr>
          <w:rFonts w:ascii="Arial" w:hAnsi="Arial" w:cs="Arial"/>
          <w:sz w:val="24"/>
          <w:szCs w:val="24"/>
        </w:rPr>
      </w:pPr>
    </w:p>
    <w:p w14:paraId="248D68C4" w14:textId="77777777" w:rsidR="00C945D1" w:rsidRDefault="00C945D1" w:rsidP="00C945D1">
      <w:pPr>
        <w:spacing w:line="360" w:lineRule="auto"/>
        <w:ind w:firstLine="720"/>
        <w:rPr>
          <w:rFonts w:ascii="Arial" w:hAnsi="Arial" w:cs="Arial"/>
          <w:sz w:val="24"/>
          <w:szCs w:val="24"/>
        </w:rPr>
      </w:pPr>
    </w:p>
    <w:p w14:paraId="6C06530F" w14:textId="77777777" w:rsidR="00C945D1" w:rsidRDefault="00C945D1" w:rsidP="00C945D1">
      <w:pPr>
        <w:spacing w:line="360" w:lineRule="auto"/>
        <w:ind w:firstLine="720"/>
        <w:rPr>
          <w:rFonts w:ascii="Arial" w:hAnsi="Arial" w:cs="Arial"/>
          <w:sz w:val="24"/>
          <w:szCs w:val="24"/>
        </w:rPr>
      </w:pPr>
    </w:p>
    <w:p w14:paraId="17DE3951" w14:textId="77777777" w:rsidR="00C945D1" w:rsidRDefault="00C945D1" w:rsidP="00C945D1">
      <w:pPr>
        <w:spacing w:line="360" w:lineRule="auto"/>
        <w:ind w:firstLine="720"/>
        <w:rPr>
          <w:rFonts w:ascii="Arial" w:hAnsi="Arial" w:cs="Arial"/>
          <w:sz w:val="24"/>
          <w:szCs w:val="24"/>
        </w:rPr>
      </w:pPr>
    </w:p>
    <w:p w14:paraId="7ACD68F4" w14:textId="77777777" w:rsidR="00C945D1" w:rsidRDefault="00C945D1" w:rsidP="00C945D1">
      <w:pPr>
        <w:spacing w:line="360" w:lineRule="auto"/>
        <w:ind w:firstLine="720"/>
        <w:rPr>
          <w:rFonts w:ascii="Arial" w:hAnsi="Arial" w:cs="Arial"/>
          <w:sz w:val="24"/>
          <w:szCs w:val="24"/>
        </w:rPr>
      </w:pPr>
    </w:p>
    <w:p w14:paraId="7F0D9A1D" w14:textId="739020CA" w:rsidR="00C945D1" w:rsidRDefault="00C945D1" w:rsidP="00C945D1">
      <w:pPr>
        <w:pStyle w:val="Heading1"/>
        <w:jc w:val="center"/>
        <w:rPr>
          <w:rFonts w:ascii="Arial" w:hAnsi="Arial" w:cs="Arial"/>
          <w:b/>
          <w:bCs/>
          <w:u w:val="single"/>
        </w:rPr>
      </w:pPr>
      <w:r>
        <w:rPr>
          <w:rFonts w:ascii="Arial" w:hAnsi="Arial" w:cs="Arial"/>
          <w:b/>
          <w:bCs/>
          <w:u w:val="single"/>
        </w:rPr>
        <w:lastRenderedPageBreak/>
        <w:t>References</w:t>
      </w:r>
    </w:p>
    <w:p w14:paraId="66254861" w14:textId="77777777" w:rsidR="00C945D1" w:rsidRDefault="00C945D1" w:rsidP="00C945D1"/>
    <w:p w14:paraId="2E937C8B"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Bienhaus, F. and Haddud, A. (2018) ‘Procurement 4.0: Factors influencing the digitisation of procurement and supply chains’, </w:t>
      </w:r>
      <w:r w:rsidRPr="00C945D1">
        <w:rPr>
          <w:rFonts w:ascii="Arial" w:hAnsi="Arial" w:cs="Arial"/>
          <w:i/>
          <w:iCs/>
          <w:sz w:val="24"/>
          <w:szCs w:val="24"/>
        </w:rPr>
        <w:t>Business Process Management Journal</w:t>
      </w:r>
      <w:r w:rsidRPr="00C945D1">
        <w:rPr>
          <w:rFonts w:ascii="Arial" w:hAnsi="Arial" w:cs="Arial"/>
          <w:sz w:val="24"/>
          <w:szCs w:val="24"/>
        </w:rPr>
        <w:t>, 24(4), pp. 965–984.</w:t>
      </w:r>
    </w:p>
    <w:p w14:paraId="6B1DAB6C"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Boiral, O. (2016) ‘Accounting for the unaccountable: Biodiversity reporting and impression management’, </w:t>
      </w:r>
      <w:r w:rsidRPr="00C945D1">
        <w:rPr>
          <w:rFonts w:ascii="Arial" w:hAnsi="Arial" w:cs="Arial"/>
          <w:i/>
          <w:iCs/>
          <w:sz w:val="24"/>
          <w:szCs w:val="24"/>
        </w:rPr>
        <w:t>Journal of Business Ethics</w:t>
      </w:r>
      <w:r w:rsidRPr="00C945D1">
        <w:rPr>
          <w:rFonts w:ascii="Arial" w:hAnsi="Arial" w:cs="Arial"/>
          <w:sz w:val="24"/>
          <w:szCs w:val="24"/>
        </w:rPr>
        <w:t>, 135(4), pp. 751–768.</w:t>
      </w:r>
    </w:p>
    <w:p w14:paraId="6C4640A6"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Brock, J.K.-U. and von Wangenheim, F. (2019) ‘Demystifying AI: What digital transformation leaders can teach you about realistic AI adoption’, </w:t>
      </w:r>
      <w:r w:rsidRPr="00C945D1">
        <w:rPr>
          <w:rFonts w:ascii="Arial" w:hAnsi="Arial" w:cs="Arial"/>
          <w:i/>
          <w:iCs/>
          <w:sz w:val="24"/>
          <w:szCs w:val="24"/>
        </w:rPr>
        <w:t>MIS Quarterly Executive</w:t>
      </w:r>
      <w:r w:rsidRPr="00C945D1">
        <w:rPr>
          <w:rFonts w:ascii="Arial" w:hAnsi="Arial" w:cs="Arial"/>
          <w:sz w:val="24"/>
          <w:szCs w:val="24"/>
        </w:rPr>
        <w:t>, 18(4), pp. 263–277.</w:t>
      </w:r>
    </w:p>
    <w:p w14:paraId="5E2B083B"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Brynjolfsson, E. and Mitchell, T. (2017) ‘What can machine learning do? Workforce implications’, </w:t>
      </w:r>
      <w:r w:rsidRPr="00C945D1">
        <w:rPr>
          <w:rFonts w:ascii="Arial" w:hAnsi="Arial" w:cs="Arial"/>
          <w:i/>
          <w:iCs/>
          <w:sz w:val="24"/>
          <w:szCs w:val="24"/>
        </w:rPr>
        <w:t>Science</w:t>
      </w:r>
      <w:r w:rsidRPr="00C945D1">
        <w:rPr>
          <w:rFonts w:ascii="Arial" w:hAnsi="Arial" w:cs="Arial"/>
          <w:sz w:val="24"/>
          <w:szCs w:val="24"/>
        </w:rPr>
        <w:t>, 358(6370), pp. 1530–1534.</w:t>
      </w:r>
    </w:p>
    <w:p w14:paraId="33E796E0"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Chui, M., Manyika, J., Miremadi, M. (2018) ‘What AI can and can’t do (yet) for your business’, </w:t>
      </w:r>
      <w:r w:rsidRPr="00C945D1">
        <w:rPr>
          <w:rFonts w:ascii="Arial" w:hAnsi="Arial" w:cs="Arial"/>
          <w:i/>
          <w:iCs/>
          <w:sz w:val="24"/>
          <w:szCs w:val="24"/>
        </w:rPr>
        <w:t>McKinsey Quarterly</w:t>
      </w:r>
      <w:r w:rsidRPr="00C945D1">
        <w:rPr>
          <w:rFonts w:ascii="Arial" w:hAnsi="Arial" w:cs="Arial"/>
          <w:sz w:val="24"/>
          <w:szCs w:val="24"/>
        </w:rPr>
        <w:t>, 2, pp. 1–10.</w:t>
      </w:r>
    </w:p>
    <w:p w14:paraId="5693E83D"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Downie, J. and Stubbs, W. (2013) ‘Corporate carbon strategies and greenhouse gas emission assessments: The implications of Scope 3 boundary setting’, </w:t>
      </w:r>
      <w:r w:rsidRPr="00C945D1">
        <w:rPr>
          <w:rFonts w:ascii="Arial" w:hAnsi="Arial" w:cs="Arial"/>
          <w:i/>
          <w:iCs/>
          <w:sz w:val="24"/>
          <w:szCs w:val="24"/>
        </w:rPr>
        <w:t>Carbon Management</w:t>
      </w:r>
      <w:r w:rsidRPr="00C945D1">
        <w:rPr>
          <w:rFonts w:ascii="Arial" w:hAnsi="Arial" w:cs="Arial"/>
          <w:sz w:val="24"/>
          <w:szCs w:val="24"/>
        </w:rPr>
        <w:t>, 4(5), pp. 473–486.</w:t>
      </w:r>
    </w:p>
    <w:p w14:paraId="03415656"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Eccles, R.G. and Klimenko, S. (2019) ‘The investor revolution’, </w:t>
      </w:r>
      <w:r w:rsidRPr="00C945D1">
        <w:rPr>
          <w:rFonts w:ascii="Arial" w:hAnsi="Arial" w:cs="Arial"/>
          <w:i/>
          <w:iCs/>
          <w:sz w:val="24"/>
          <w:szCs w:val="24"/>
        </w:rPr>
        <w:t>Harvard Business Review</w:t>
      </w:r>
      <w:r w:rsidRPr="00C945D1">
        <w:rPr>
          <w:rFonts w:ascii="Arial" w:hAnsi="Arial" w:cs="Arial"/>
          <w:sz w:val="24"/>
          <w:szCs w:val="24"/>
        </w:rPr>
        <w:t>, 97(3), pp. 106–116.</w:t>
      </w:r>
    </w:p>
    <w:p w14:paraId="7C99E37A"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European Commission (2022) </w:t>
      </w:r>
      <w:r w:rsidRPr="00C945D1">
        <w:rPr>
          <w:rFonts w:ascii="Arial" w:hAnsi="Arial" w:cs="Arial"/>
          <w:i/>
          <w:iCs/>
          <w:sz w:val="24"/>
          <w:szCs w:val="24"/>
        </w:rPr>
        <w:t>Corporate Sustainability Reporting Directive (CSRD)</w:t>
      </w:r>
      <w:r w:rsidRPr="00C945D1">
        <w:rPr>
          <w:rFonts w:ascii="Arial" w:hAnsi="Arial" w:cs="Arial"/>
          <w:sz w:val="24"/>
          <w:szCs w:val="24"/>
        </w:rPr>
        <w:t>. Brussels: EU Publications.</w:t>
      </w:r>
    </w:p>
    <w:p w14:paraId="36B8AF0B"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Gereffi, G. (2018) </w:t>
      </w:r>
      <w:r w:rsidRPr="00C945D1">
        <w:rPr>
          <w:rFonts w:ascii="Arial" w:hAnsi="Arial" w:cs="Arial"/>
          <w:i/>
          <w:iCs/>
          <w:sz w:val="24"/>
          <w:szCs w:val="24"/>
        </w:rPr>
        <w:t>Globalization: A Very Short Introduction</w:t>
      </w:r>
      <w:r w:rsidRPr="00C945D1">
        <w:rPr>
          <w:rFonts w:ascii="Arial" w:hAnsi="Arial" w:cs="Arial"/>
          <w:sz w:val="24"/>
          <w:szCs w:val="24"/>
        </w:rPr>
        <w:t>. Oxford: Oxford University Press.</w:t>
      </w:r>
    </w:p>
    <w:p w14:paraId="661FFCCE"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Gereffi, G. (2020) ‘What does the COVID-19 pandemic teach us about global value chains?’, </w:t>
      </w:r>
      <w:r w:rsidRPr="00C945D1">
        <w:rPr>
          <w:rFonts w:ascii="Arial" w:hAnsi="Arial" w:cs="Arial"/>
          <w:i/>
          <w:iCs/>
          <w:sz w:val="24"/>
          <w:szCs w:val="24"/>
        </w:rPr>
        <w:t>Journal of International Business Policy</w:t>
      </w:r>
      <w:r w:rsidRPr="00C945D1">
        <w:rPr>
          <w:rFonts w:ascii="Arial" w:hAnsi="Arial" w:cs="Arial"/>
          <w:sz w:val="24"/>
          <w:szCs w:val="24"/>
        </w:rPr>
        <w:t>, 3(3), pp. 287–301.</w:t>
      </w:r>
    </w:p>
    <w:p w14:paraId="7432536F"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Gereffi, G. and Fernandez-Stark, K. (2016) </w:t>
      </w:r>
      <w:r w:rsidRPr="00C945D1">
        <w:rPr>
          <w:rFonts w:ascii="Arial" w:hAnsi="Arial" w:cs="Arial"/>
          <w:i/>
          <w:iCs/>
          <w:sz w:val="24"/>
          <w:szCs w:val="24"/>
        </w:rPr>
        <w:t>Global Value Chain Analysis: A Primer</w:t>
      </w:r>
      <w:r w:rsidRPr="00C945D1">
        <w:rPr>
          <w:rFonts w:ascii="Arial" w:hAnsi="Arial" w:cs="Arial"/>
          <w:sz w:val="24"/>
          <w:szCs w:val="24"/>
        </w:rPr>
        <w:t>. Duke University Center on Globalization.</w:t>
      </w:r>
    </w:p>
    <w:p w14:paraId="49B7B90B"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lastRenderedPageBreak/>
        <w:t xml:space="preserve">Hainmueller, J. and Hiscox, M.J. (2015) ‘The socially conscious consumer? Field experimental tests’, </w:t>
      </w:r>
      <w:r w:rsidRPr="00C945D1">
        <w:rPr>
          <w:rFonts w:ascii="Arial" w:hAnsi="Arial" w:cs="Arial"/>
          <w:i/>
          <w:iCs/>
          <w:sz w:val="24"/>
          <w:szCs w:val="24"/>
        </w:rPr>
        <w:t>American Journal of Political Science</w:t>
      </w:r>
      <w:r w:rsidRPr="00C945D1">
        <w:rPr>
          <w:rFonts w:ascii="Arial" w:hAnsi="Arial" w:cs="Arial"/>
          <w:sz w:val="24"/>
          <w:szCs w:val="24"/>
        </w:rPr>
        <w:t>, 59(3), pp. 650–665.</w:t>
      </w:r>
    </w:p>
    <w:p w14:paraId="2842AE3E"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Ivanov, D. (2020) ‘Predicting the impacts of epidemic outbreaks on global supply chains’, </w:t>
      </w:r>
      <w:r w:rsidRPr="00C945D1">
        <w:rPr>
          <w:rFonts w:ascii="Arial" w:hAnsi="Arial" w:cs="Arial"/>
          <w:i/>
          <w:iCs/>
          <w:sz w:val="24"/>
          <w:szCs w:val="24"/>
        </w:rPr>
        <w:t>Transportation Research Part E</w:t>
      </w:r>
      <w:r w:rsidRPr="00C945D1">
        <w:rPr>
          <w:rFonts w:ascii="Arial" w:hAnsi="Arial" w:cs="Arial"/>
          <w:sz w:val="24"/>
          <w:szCs w:val="24"/>
        </w:rPr>
        <w:t>, 136, pp. 1–14.</w:t>
      </w:r>
    </w:p>
    <w:p w14:paraId="212352CC"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Ivanov, D. and Dolgui, A. (2021) ‘A digital supply chain twin for managing the disruption risks and resilience in the era of Industry 4.0’, </w:t>
      </w:r>
      <w:r w:rsidRPr="00C945D1">
        <w:rPr>
          <w:rFonts w:ascii="Arial" w:hAnsi="Arial" w:cs="Arial"/>
          <w:i/>
          <w:iCs/>
          <w:sz w:val="24"/>
          <w:szCs w:val="24"/>
        </w:rPr>
        <w:t>Omega</w:t>
      </w:r>
      <w:r w:rsidRPr="00C945D1">
        <w:rPr>
          <w:rFonts w:ascii="Arial" w:hAnsi="Arial" w:cs="Arial"/>
          <w:sz w:val="24"/>
          <w:szCs w:val="24"/>
        </w:rPr>
        <w:t>, 107, pp. 1–17.</w:t>
      </w:r>
    </w:p>
    <w:p w14:paraId="632C2084"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Javorcik, B. (2020) ‘Global supply chains will not be the same in the post-COVID-19 world’, in Baldwin, R. and Evenett, S. (eds.) </w:t>
      </w:r>
      <w:r w:rsidRPr="00C945D1">
        <w:rPr>
          <w:rFonts w:ascii="Arial" w:hAnsi="Arial" w:cs="Arial"/>
          <w:i/>
          <w:iCs/>
          <w:sz w:val="24"/>
          <w:szCs w:val="24"/>
        </w:rPr>
        <w:t>COVID-19 and Trade Policy: Why Turning Inward Won’t Work</w:t>
      </w:r>
      <w:r w:rsidRPr="00C945D1">
        <w:rPr>
          <w:rFonts w:ascii="Arial" w:hAnsi="Arial" w:cs="Arial"/>
          <w:sz w:val="24"/>
          <w:szCs w:val="24"/>
        </w:rPr>
        <w:t>. CEPR Press, pp. 111–116.</w:t>
      </w:r>
    </w:p>
    <w:p w14:paraId="2EE861F0"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La Torre, M., Sabelfeld, S., Blomkvist, M., Tarquinio, L. and Dumay, J. (2020) ‘Harmonising non-financial reporting regulation in Europe’, </w:t>
      </w:r>
      <w:r w:rsidRPr="00C945D1">
        <w:rPr>
          <w:rFonts w:ascii="Arial" w:hAnsi="Arial" w:cs="Arial"/>
          <w:i/>
          <w:iCs/>
          <w:sz w:val="24"/>
          <w:szCs w:val="24"/>
        </w:rPr>
        <w:t>Meditari Accountancy Research</w:t>
      </w:r>
      <w:r w:rsidRPr="00C945D1">
        <w:rPr>
          <w:rFonts w:ascii="Arial" w:hAnsi="Arial" w:cs="Arial"/>
          <w:sz w:val="24"/>
          <w:szCs w:val="24"/>
        </w:rPr>
        <w:t>, 28(5), pp. 701–720.</w:t>
      </w:r>
    </w:p>
    <w:p w14:paraId="240202F0"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Pettit, T.J., Croxton, K.L. and Fiksel, J. (2019) ‘The evolution of resilience in supply chain management’, </w:t>
      </w:r>
      <w:r w:rsidRPr="00C945D1">
        <w:rPr>
          <w:rFonts w:ascii="Arial" w:hAnsi="Arial" w:cs="Arial"/>
          <w:i/>
          <w:iCs/>
          <w:sz w:val="24"/>
          <w:szCs w:val="24"/>
        </w:rPr>
        <w:t>Journal of Business Logistics</w:t>
      </w:r>
      <w:r w:rsidRPr="00C945D1">
        <w:rPr>
          <w:rFonts w:ascii="Arial" w:hAnsi="Arial" w:cs="Arial"/>
          <w:sz w:val="24"/>
          <w:szCs w:val="24"/>
        </w:rPr>
        <w:t>, 40(1), pp. 56–65.</w:t>
      </w:r>
    </w:p>
    <w:p w14:paraId="7C37875A"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Porter, M.E. (1985) </w:t>
      </w:r>
      <w:r w:rsidRPr="00C945D1">
        <w:rPr>
          <w:rFonts w:ascii="Arial" w:hAnsi="Arial" w:cs="Arial"/>
          <w:i/>
          <w:iCs/>
          <w:sz w:val="24"/>
          <w:szCs w:val="24"/>
        </w:rPr>
        <w:t>Competitive Advantage: Creating and Sustaining Superior Performance</w:t>
      </w:r>
      <w:r w:rsidRPr="00C945D1">
        <w:rPr>
          <w:rFonts w:ascii="Arial" w:hAnsi="Arial" w:cs="Arial"/>
          <w:sz w:val="24"/>
          <w:szCs w:val="24"/>
        </w:rPr>
        <w:t>. New York: Free Press.</w:t>
      </w:r>
    </w:p>
    <w:p w14:paraId="7950838C"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Ransbotham, S., Kiron, D., Gerbert, P. and Reeves, M. (2021) ‘The cultural barriers to AI adoption’, </w:t>
      </w:r>
      <w:r w:rsidRPr="00C945D1">
        <w:rPr>
          <w:rFonts w:ascii="Arial" w:hAnsi="Arial" w:cs="Arial"/>
          <w:i/>
          <w:iCs/>
          <w:sz w:val="24"/>
          <w:szCs w:val="24"/>
        </w:rPr>
        <w:t>MIT Sloan Management Review</w:t>
      </w:r>
      <w:r w:rsidRPr="00C945D1">
        <w:rPr>
          <w:rFonts w:ascii="Arial" w:hAnsi="Arial" w:cs="Arial"/>
          <w:sz w:val="24"/>
          <w:szCs w:val="24"/>
        </w:rPr>
        <w:t>, 62(2), pp. 1–13.</w:t>
      </w:r>
    </w:p>
    <w:p w14:paraId="20D39BCE"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Sheffi, Y. (2022) </w:t>
      </w:r>
      <w:r w:rsidRPr="00C945D1">
        <w:rPr>
          <w:rFonts w:ascii="Arial" w:hAnsi="Arial" w:cs="Arial"/>
          <w:i/>
          <w:iCs/>
          <w:sz w:val="24"/>
          <w:szCs w:val="24"/>
        </w:rPr>
        <w:t>The Magic Conveyor Belt: Supply Chains, A.I., and the Future of Work</w:t>
      </w:r>
      <w:r w:rsidRPr="00C945D1">
        <w:rPr>
          <w:rFonts w:ascii="Arial" w:hAnsi="Arial" w:cs="Arial"/>
          <w:sz w:val="24"/>
          <w:szCs w:val="24"/>
        </w:rPr>
        <w:t>. MIT Press.</w:t>
      </w:r>
    </w:p>
    <w:p w14:paraId="710CF0BF"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Sung, T.K. (2020) ‘Industry 4.0: A Korea perspective’, </w:t>
      </w:r>
      <w:r w:rsidRPr="00C945D1">
        <w:rPr>
          <w:rFonts w:ascii="Arial" w:hAnsi="Arial" w:cs="Arial"/>
          <w:i/>
          <w:iCs/>
          <w:sz w:val="24"/>
          <w:szCs w:val="24"/>
        </w:rPr>
        <w:t>Technological Forecasting and Social Change</w:t>
      </w:r>
      <w:r w:rsidRPr="00C945D1">
        <w:rPr>
          <w:rFonts w:ascii="Arial" w:hAnsi="Arial" w:cs="Arial"/>
          <w:sz w:val="24"/>
          <w:szCs w:val="24"/>
        </w:rPr>
        <w:t>, 132, pp. 40–45.</w:t>
      </w:r>
    </w:p>
    <w:p w14:paraId="187CB119"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Tang, C.S. (2006) ‘Perspectives in supply chain risk management’, </w:t>
      </w:r>
      <w:r w:rsidRPr="00C945D1">
        <w:rPr>
          <w:rFonts w:ascii="Arial" w:hAnsi="Arial" w:cs="Arial"/>
          <w:i/>
          <w:iCs/>
          <w:sz w:val="24"/>
          <w:szCs w:val="24"/>
        </w:rPr>
        <w:t>International Journal of Production Economics</w:t>
      </w:r>
      <w:r w:rsidRPr="00C945D1">
        <w:rPr>
          <w:rFonts w:ascii="Arial" w:hAnsi="Arial" w:cs="Arial"/>
          <w:sz w:val="24"/>
          <w:szCs w:val="24"/>
        </w:rPr>
        <w:t>, 103(2), pp. 451–488.</w:t>
      </w:r>
    </w:p>
    <w:p w14:paraId="02A2BA2B"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Teece, D.J. (2018) ‘Business models and dynamic capabilities’, </w:t>
      </w:r>
      <w:r w:rsidRPr="00C945D1">
        <w:rPr>
          <w:rFonts w:ascii="Arial" w:hAnsi="Arial" w:cs="Arial"/>
          <w:i/>
          <w:iCs/>
          <w:sz w:val="24"/>
          <w:szCs w:val="24"/>
        </w:rPr>
        <w:t>Long Range Planning</w:t>
      </w:r>
      <w:r w:rsidRPr="00C945D1">
        <w:rPr>
          <w:rFonts w:ascii="Arial" w:hAnsi="Arial" w:cs="Arial"/>
          <w:sz w:val="24"/>
          <w:szCs w:val="24"/>
        </w:rPr>
        <w:t>, 51(1), pp. 40–49.</w:t>
      </w:r>
    </w:p>
    <w:p w14:paraId="37CCABEF"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Unilever (2023) </w:t>
      </w:r>
      <w:r w:rsidRPr="00C945D1">
        <w:rPr>
          <w:rFonts w:ascii="Arial" w:hAnsi="Arial" w:cs="Arial"/>
          <w:i/>
          <w:iCs/>
          <w:sz w:val="24"/>
          <w:szCs w:val="24"/>
        </w:rPr>
        <w:t>Annual Report and Accounts 2023</w:t>
      </w:r>
      <w:r w:rsidRPr="00C945D1">
        <w:rPr>
          <w:rFonts w:ascii="Arial" w:hAnsi="Arial" w:cs="Arial"/>
          <w:sz w:val="24"/>
          <w:szCs w:val="24"/>
        </w:rPr>
        <w:t>. London: Unilever plc.</w:t>
      </w:r>
    </w:p>
    <w:p w14:paraId="41ECBF07"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lastRenderedPageBreak/>
        <w:t xml:space="preserve">Wamba, S.F., Queiroz, M.M. and Trinchera, L. (2021) ‘Dynamics between big data analytics capabilities and firm performance’, </w:t>
      </w:r>
      <w:r w:rsidRPr="00C945D1">
        <w:rPr>
          <w:rFonts w:ascii="Arial" w:hAnsi="Arial" w:cs="Arial"/>
          <w:i/>
          <w:iCs/>
          <w:sz w:val="24"/>
          <w:szCs w:val="24"/>
        </w:rPr>
        <w:t>Information &amp; Management</w:t>
      </w:r>
      <w:r w:rsidRPr="00C945D1">
        <w:rPr>
          <w:rFonts w:ascii="Arial" w:hAnsi="Arial" w:cs="Arial"/>
          <w:sz w:val="24"/>
          <w:szCs w:val="24"/>
        </w:rPr>
        <w:t>, 58(1), pp. 1–13.</w:t>
      </w:r>
    </w:p>
    <w:p w14:paraId="326939CC" w14:textId="77777777" w:rsidR="00C945D1" w:rsidRPr="00C945D1" w:rsidRDefault="00C945D1" w:rsidP="00C945D1">
      <w:pPr>
        <w:spacing w:line="360" w:lineRule="auto"/>
        <w:rPr>
          <w:rFonts w:ascii="Arial" w:hAnsi="Arial" w:cs="Arial"/>
          <w:sz w:val="24"/>
          <w:szCs w:val="24"/>
        </w:rPr>
      </w:pPr>
      <w:r w:rsidRPr="00C945D1">
        <w:rPr>
          <w:rFonts w:ascii="Arial" w:hAnsi="Arial" w:cs="Arial"/>
          <w:sz w:val="24"/>
          <w:szCs w:val="24"/>
        </w:rPr>
        <w:t xml:space="preserve">Wang, G., Gunasekaran, A., Ngai, E.W.T. and Papadopoulos, T. (2020) ‘Big data analytics in logistics and supply chain management’, </w:t>
      </w:r>
      <w:r w:rsidRPr="00C945D1">
        <w:rPr>
          <w:rFonts w:ascii="Arial" w:hAnsi="Arial" w:cs="Arial"/>
          <w:i/>
          <w:iCs/>
          <w:sz w:val="24"/>
          <w:szCs w:val="24"/>
        </w:rPr>
        <w:t>International Journal of Production Economics</w:t>
      </w:r>
      <w:r w:rsidRPr="00C945D1">
        <w:rPr>
          <w:rFonts w:ascii="Arial" w:hAnsi="Arial" w:cs="Arial"/>
          <w:sz w:val="24"/>
          <w:szCs w:val="24"/>
        </w:rPr>
        <w:t>, 176, pp. 98–110.</w:t>
      </w:r>
    </w:p>
    <w:p w14:paraId="76DA47A8" w14:textId="77777777" w:rsidR="00C945D1" w:rsidRPr="00C945D1" w:rsidRDefault="00C945D1" w:rsidP="00C945D1">
      <w:pPr>
        <w:spacing w:line="360" w:lineRule="auto"/>
        <w:rPr>
          <w:rFonts w:ascii="Arial" w:hAnsi="Arial" w:cs="Arial"/>
          <w:sz w:val="24"/>
          <w:szCs w:val="24"/>
        </w:rPr>
      </w:pPr>
    </w:p>
    <w:p w14:paraId="35702BC9" w14:textId="77777777" w:rsidR="00C945D1" w:rsidRPr="00C945D1" w:rsidRDefault="00C945D1" w:rsidP="00C945D1">
      <w:pPr>
        <w:spacing w:line="360" w:lineRule="auto"/>
        <w:ind w:firstLine="720"/>
        <w:rPr>
          <w:rFonts w:ascii="Arial" w:hAnsi="Arial" w:cs="Arial"/>
          <w:sz w:val="24"/>
          <w:szCs w:val="24"/>
        </w:rPr>
      </w:pPr>
    </w:p>
    <w:p w14:paraId="7C19358C" w14:textId="77777777" w:rsidR="00C945D1" w:rsidRPr="00C945D1" w:rsidRDefault="00C945D1" w:rsidP="00C945D1">
      <w:pPr>
        <w:spacing w:line="360" w:lineRule="auto"/>
        <w:ind w:firstLine="720"/>
        <w:rPr>
          <w:rFonts w:ascii="Arial" w:hAnsi="Arial" w:cs="Arial"/>
          <w:sz w:val="24"/>
          <w:szCs w:val="24"/>
        </w:rPr>
      </w:pPr>
    </w:p>
    <w:p w14:paraId="30CC443E" w14:textId="77777777" w:rsidR="00C945D1" w:rsidRPr="00C945D1" w:rsidRDefault="00C945D1" w:rsidP="00C945D1">
      <w:pPr>
        <w:rPr>
          <w:rFonts w:ascii="Arial" w:hAnsi="Arial" w:cs="Arial"/>
          <w:sz w:val="24"/>
          <w:szCs w:val="24"/>
        </w:rPr>
      </w:pPr>
    </w:p>
    <w:p w14:paraId="5BEE87E9" w14:textId="77777777" w:rsidR="00C945D1" w:rsidRPr="00817228" w:rsidRDefault="00C945D1" w:rsidP="00817228">
      <w:pPr>
        <w:spacing w:line="360" w:lineRule="auto"/>
        <w:ind w:firstLine="360"/>
        <w:rPr>
          <w:rFonts w:ascii="Arial" w:hAnsi="Arial" w:cs="Arial"/>
          <w:sz w:val="24"/>
          <w:szCs w:val="24"/>
        </w:rPr>
      </w:pPr>
    </w:p>
    <w:p w14:paraId="6A7BA12B" w14:textId="77777777" w:rsidR="00817228" w:rsidRPr="00817228" w:rsidRDefault="00817228" w:rsidP="00817228">
      <w:pPr>
        <w:spacing w:line="360" w:lineRule="auto"/>
        <w:ind w:firstLine="360"/>
        <w:rPr>
          <w:rFonts w:ascii="Arial" w:hAnsi="Arial" w:cs="Arial"/>
          <w:sz w:val="24"/>
          <w:szCs w:val="24"/>
        </w:rPr>
      </w:pPr>
    </w:p>
    <w:p w14:paraId="7484344A" w14:textId="77777777" w:rsidR="00817228" w:rsidRPr="00817228" w:rsidRDefault="00817228" w:rsidP="00817228">
      <w:pPr>
        <w:spacing w:line="360" w:lineRule="auto"/>
        <w:ind w:left="360"/>
        <w:rPr>
          <w:rFonts w:ascii="Arial" w:hAnsi="Arial" w:cs="Arial"/>
          <w:sz w:val="24"/>
          <w:szCs w:val="24"/>
        </w:rPr>
      </w:pPr>
    </w:p>
    <w:p w14:paraId="67CF37F4" w14:textId="77777777" w:rsidR="00817228" w:rsidRPr="00817228" w:rsidRDefault="00817228" w:rsidP="00817228">
      <w:pPr>
        <w:spacing w:line="360" w:lineRule="auto"/>
        <w:ind w:firstLine="360"/>
        <w:rPr>
          <w:rFonts w:ascii="Arial" w:hAnsi="Arial" w:cs="Arial"/>
          <w:sz w:val="24"/>
          <w:szCs w:val="24"/>
        </w:rPr>
      </w:pPr>
    </w:p>
    <w:p w14:paraId="315917E0" w14:textId="77777777" w:rsidR="00817228" w:rsidRPr="00817228" w:rsidRDefault="00817228" w:rsidP="00817228">
      <w:pPr>
        <w:spacing w:line="360" w:lineRule="auto"/>
        <w:ind w:firstLine="360"/>
        <w:rPr>
          <w:rFonts w:ascii="Arial" w:hAnsi="Arial" w:cs="Arial"/>
          <w:sz w:val="24"/>
          <w:szCs w:val="24"/>
        </w:rPr>
      </w:pPr>
    </w:p>
    <w:p w14:paraId="73A12A4F" w14:textId="77777777" w:rsidR="00817228" w:rsidRPr="00817228" w:rsidRDefault="00817228" w:rsidP="00817228">
      <w:pPr>
        <w:spacing w:line="360" w:lineRule="auto"/>
        <w:rPr>
          <w:rFonts w:ascii="Arial" w:hAnsi="Arial" w:cs="Arial"/>
          <w:b/>
          <w:bCs/>
          <w:sz w:val="24"/>
          <w:szCs w:val="24"/>
        </w:rPr>
      </w:pPr>
    </w:p>
    <w:p w14:paraId="17FF1E04" w14:textId="77777777" w:rsidR="00C92205" w:rsidRPr="00C92205" w:rsidRDefault="00C92205" w:rsidP="00C92205">
      <w:pPr>
        <w:spacing w:line="360" w:lineRule="auto"/>
        <w:ind w:left="360"/>
        <w:rPr>
          <w:rFonts w:ascii="Arial" w:hAnsi="Arial" w:cs="Arial"/>
          <w:b/>
          <w:bCs/>
          <w:sz w:val="24"/>
          <w:szCs w:val="24"/>
        </w:rPr>
      </w:pPr>
    </w:p>
    <w:p w14:paraId="121C4B68" w14:textId="77777777" w:rsidR="00B5318A" w:rsidRPr="00B5318A" w:rsidRDefault="00B5318A" w:rsidP="00B5318A">
      <w:pPr>
        <w:spacing w:line="360" w:lineRule="auto"/>
        <w:rPr>
          <w:rFonts w:ascii="Arial" w:hAnsi="Arial" w:cs="Arial"/>
          <w:sz w:val="24"/>
          <w:szCs w:val="24"/>
        </w:rPr>
      </w:pPr>
    </w:p>
    <w:p w14:paraId="09F4CC2A" w14:textId="77777777" w:rsidR="00C03ADA" w:rsidRPr="00C03ADA" w:rsidRDefault="00C03ADA" w:rsidP="00C03ADA">
      <w:pPr>
        <w:spacing w:line="360" w:lineRule="auto"/>
        <w:rPr>
          <w:rFonts w:ascii="Arial" w:hAnsi="Arial" w:cs="Arial"/>
          <w:sz w:val="24"/>
          <w:szCs w:val="24"/>
        </w:rPr>
      </w:pPr>
    </w:p>
    <w:p w14:paraId="120A66FC" w14:textId="77777777" w:rsidR="00C03ADA" w:rsidRPr="00C03ADA" w:rsidRDefault="00C03ADA" w:rsidP="00C03ADA">
      <w:pPr>
        <w:spacing w:line="360" w:lineRule="auto"/>
        <w:ind w:firstLine="360"/>
        <w:rPr>
          <w:rFonts w:ascii="Arial" w:hAnsi="Arial" w:cs="Arial"/>
          <w:sz w:val="24"/>
          <w:szCs w:val="24"/>
        </w:rPr>
      </w:pPr>
    </w:p>
    <w:p w14:paraId="32FA1014" w14:textId="77777777" w:rsidR="00C03ADA" w:rsidRPr="00462830" w:rsidRDefault="00C03ADA" w:rsidP="00462830">
      <w:pPr>
        <w:spacing w:line="360" w:lineRule="auto"/>
        <w:ind w:firstLine="360"/>
        <w:rPr>
          <w:rFonts w:ascii="Arial" w:hAnsi="Arial" w:cs="Arial"/>
          <w:sz w:val="24"/>
          <w:szCs w:val="24"/>
        </w:rPr>
      </w:pPr>
    </w:p>
    <w:p w14:paraId="3DDE2829" w14:textId="77777777" w:rsidR="00462830" w:rsidRPr="00462830" w:rsidRDefault="00462830" w:rsidP="00462830">
      <w:pPr>
        <w:spacing w:line="360" w:lineRule="auto"/>
        <w:rPr>
          <w:rFonts w:ascii="Arial" w:hAnsi="Arial" w:cs="Arial"/>
          <w:sz w:val="24"/>
          <w:szCs w:val="24"/>
        </w:rPr>
      </w:pPr>
    </w:p>
    <w:p w14:paraId="43D93729" w14:textId="77777777" w:rsidR="00462830" w:rsidRPr="00462830" w:rsidRDefault="00462830" w:rsidP="00462830">
      <w:pPr>
        <w:spacing w:line="360" w:lineRule="auto"/>
        <w:ind w:firstLine="720"/>
        <w:rPr>
          <w:rFonts w:ascii="Arial" w:hAnsi="Arial" w:cs="Arial"/>
          <w:sz w:val="24"/>
          <w:szCs w:val="24"/>
        </w:rPr>
      </w:pPr>
    </w:p>
    <w:p w14:paraId="38DC21CF" w14:textId="77777777" w:rsidR="00E85D59" w:rsidRPr="00F41E63" w:rsidRDefault="00E85D59" w:rsidP="00F41E63">
      <w:pPr>
        <w:spacing w:line="360" w:lineRule="auto"/>
        <w:rPr>
          <w:rFonts w:ascii="Arial" w:hAnsi="Arial" w:cs="Arial"/>
          <w:sz w:val="24"/>
          <w:szCs w:val="24"/>
        </w:rPr>
      </w:pPr>
    </w:p>
    <w:sectPr w:rsidR="00E85D59" w:rsidRPr="00F41E63" w:rsidSect="00F41E6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5E701" w14:textId="77777777" w:rsidR="00710098" w:rsidRDefault="00710098" w:rsidP="00F41E63">
      <w:pPr>
        <w:spacing w:after="0" w:line="240" w:lineRule="auto"/>
      </w:pPr>
      <w:r>
        <w:separator/>
      </w:r>
    </w:p>
  </w:endnote>
  <w:endnote w:type="continuationSeparator" w:id="0">
    <w:p w14:paraId="04DCA077" w14:textId="77777777" w:rsidR="00710098" w:rsidRDefault="00710098" w:rsidP="00F41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3620278"/>
      <w:docPartObj>
        <w:docPartGallery w:val="Page Numbers (Bottom of Page)"/>
        <w:docPartUnique/>
      </w:docPartObj>
    </w:sdtPr>
    <w:sdtEndPr>
      <w:rPr>
        <w:noProof/>
      </w:rPr>
    </w:sdtEndPr>
    <w:sdtContent>
      <w:p w14:paraId="582DC21F" w14:textId="4DA092C5" w:rsidR="00F41E63" w:rsidRDefault="00F41E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57A14" w14:textId="77777777" w:rsidR="00F41E63" w:rsidRDefault="00F41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8E482" w14:textId="77777777" w:rsidR="00710098" w:rsidRDefault="00710098" w:rsidP="00F41E63">
      <w:pPr>
        <w:spacing w:after="0" w:line="240" w:lineRule="auto"/>
      </w:pPr>
      <w:r>
        <w:separator/>
      </w:r>
    </w:p>
  </w:footnote>
  <w:footnote w:type="continuationSeparator" w:id="0">
    <w:p w14:paraId="0A823442" w14:textId="77777777" w:rsidR="00710098" w:rsidRDefault="00710098" w:rsidP="00F41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1pt;height:11.1pt" o:bullet="t">
        <v:imagedata r:id="rId1" o:title="mso4D3B"/>
      </v:shape>
    </w:pict>
  </w:numPicBullet>
  <w:abstractNum w:abstractNumId="0" w15:restartNumberingAfterBreak="0">
    <w:nsid w:val="20102B2C"/>
    <w:multiLevelType w:val="hybridMultilevel"/>
    <w:tmpl w:val="19B814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E13C7"/>
    <w:multiLevelType w:val="hybridMultilevel"/>
    <w:tmpl w:val="720CA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4105F"/>
    <w:multiLevelType w:val="hybridMultilevel"/>
    <w:tmpl w:val="96281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2179A4"/>
    <w:multiLevelType w:val="hybridMultilevel"/>
    <w:tmpl w:val="AE6CE9C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B8A3992"/>
    <w:multiLevelType w:val="hybridMultilevel"/>
    <w:tmpl w:val="9AF40B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6061CF"/>
    <w:multiLevelType w:val="hybridMultilevel"/>
    <w:tmpl w:val="768C7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BE4B86"/>
    <w:multiLevelType w:val="hybridMultilevel"/>
    <w:tmpl w:val="F63A9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B26E69"/>
    <w:multiLevelType w:val="hybridMultilevel"/>
    <w:tmpl w:val="F7148256"/>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58434080">
    <w:abstractNumId w:val="2"/>
  </w:num>
  <w:num w:numId="2" w16cid:durableId="664627229">
    <w:abstractNumId w:val="7"/>
  </w:num>
  <w:num w:numId="3" w16cid:durableId="98991506">
    <w:abstractNumId w:val="0"/>
  </w:num>
  <w:num w:numId="4" w16cid:durableId="452945911">
    <w:abstractNumId w:val="5"/>
  </w:num>
  <w:num w:numId="5" w16cid:durableId="1657225358">
    <w:abstractNumId w:val="1"/>
  </w:num>
  <w:num w:numId="6" w16cid:durableId="292492097">
    <w:abstractNumId w:val="4"/>
  </w:num>
  <w:num w:numId="7" w16cid:durableId="1272738715">
    <w:abstractNumId w:val="3"/>
  </w:num>
  <w:num w:numId="8" w16cid:durableId="18749255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E63"/>
    <w:rsid w:val="00015B59"/>
    <w:rsid w:val="00217593"/>
    <w:rsid w:val="0037032D"/>
    <w:rsid w:val="00462830"/>
    <w:rsid w:val="006944DC"/>
    <w:rsid w:val="006D26F6"/>
    <w:rsid w:val="00710098"/>
    <w:rsid w:val="008070A8"/>
    <w:rsid w:val="00817228"/>
    <w:rsid w:val="009B4705"/>
    <w:rsid w:val="00A7284F"/>
    <w:rsid w:val="00B5318A"/>
    <w:rsid w:val="00BF21EF"/>
    <w:rsid w:val="00C03ADA"/>
    <w:rsid w:val="00C92205"/>
    <w:rsid w:val="00C945D1"/>
    <w:rsid w:val="00D25307"/>
    <w:rsid w:val="00D571A7"/>
    <w:rsid w:val="00E76488"/>
    <w:rsid w:val="00E85D59"/>
    <w:rsid w:val="00F41E63"/>
    <w:rsid w:val="00F46441"/>
    <w:rsid w:val="00F62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62FE5"/>
  <w15:chartTrackingRefBased/>
  <w15:docId w15:val="{54F6671D-24AE-4201-BD75-AC57E5639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E63"/>
  </w:style>
  <w:style w:type="paragraph" w:styleId="Heading1">
    <w:name w:val="heading 1"/>
    <w:basedOn w:val="Normal"/>
    <w:next w:val="Normal"/>
    <w:link w:val="Heading1Char"/>
    <w:uiPriority w:val="9"/>
    <w:qFormat/>
    <w:rsid w:val="00F41E63"/>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41E63"/>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41E6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41E63"/>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F41E63"/>
    <w:pPr>
      <w:spacing w:after="0"/>
      <w:jc w:val="left"/>
      <w:outlineLvl w:val="4"/>
    </w:pPr>
    <w:rPr>
      <w:smallCaps/>
      <w:color w:val="997339" w:themeColor="accent6" w:themeShade="BF"/>
      <w:spacing w:val="10"/>
      <w:sz w:val="22"/>
      <w:szCs w:val="22"/>
    </w:rPr>
  </w:style>
  <w:style w:type="paragraph" w:styleId="Heading6">
    <w:name w:val="heading 6"/>
    <w:basedOn w:val="Normal"/>
    <w:next w:val="Normal"/>
    <w:link w:val="Heading6Char"/>
    <w:uiPriority w:val="9"/>
    <w:semiHidden/>
    <w:unhideWhenUsed/>
    <w:qFormat/>
    <w:rsid w:val="00F41E63"/>
    <w:pPr>
      <w:spacing w:after="0"/>
      <w:jc w:val="left"/>
      <w:outlineLvl w:val="5"/>
    </w:pPr>
    <w:rPr>
      <w:smallCaps/>
      <w:color w:val="C19859" w:themeColor="accent6"/>
      <w:spacing w:val="5"/>
      <w:sz w:val="22"/>
      <w:szCs w:val="22"/>
    </w:rPr>
  </w:style>
  <w:style w:type="paragraph" w:styleId="Heading7">
    <w:name w:val="heading 7"/>
    <w:basedOn w:val="Normal"/>
    <w:next w:val="Normal"/>
    <w:link w:val="Heading7Char"/>
    <w:uiPriority w:val="9"/>
    <w:semiHidden/>
    <w:unhideWhenUsed/>
    <w:qFormat/>
    <w:rsid w:val="00F41E63"/>
    <w:pPr>
      <w:spacing w:after="0"/>
      <w:jc w:val="left"/>
      <w:outlineLvl w:val="6"/>
    </w:pPr>
    <w:rPr>
      <w:b/>
      <w:bCs/>
      <w:smallCaps/>
      <w:color w:val="C19859" w:themeColor="accent6"/>
      <w:spacing w:val="10"/>
    </w:rPr>
  </w:style>
  <w:style w:type="paragraph" w:styleId="Heading8">
    <w:name w:val="heading 8"/>
    <w:basedOn w:val="Normal"/>
    <w:next w:val="Normal"/>
    <w:link w:val="Heading8Char"/>
    <w:uiPriority w:val="9"/>
    <w:semiHidden/>
    <w:unhideWhenUsed/>
    <w:qFormat/>
    <w:rsid w:val="00F41E63"/>
    <w:pPr>
      <w:spacing w:after="0"/>
      <w:jc w:val="left"/>
      <w:outlineLvl w:val="7"/>
    </w:pPr>
    <w:rPr>
      <w:b/>
      <w:bCs/>
      <w:i/>
      <w:iCs/>
      <w:smallCaps/>
      <w:color w:val="997339" w:themeColor="accent6" w:themeShade="BF"/>
    </w:rPr>
  </w:style>
  <w:style w:type="paragraph" w:styleId="Heading9">
    <w:name w:val="heading 9"/>
    <w:basedOn w:val="Normal"/>
    <w:next w:val="Normal"/>
    <w:link w:val="Heading9Char"/>
    <w:uiPriority w:val="9"/>
    <w:semiHidden/>
    <w:unhideWhenUsed/>
    <w:qFormat/>
    <w:rsid w:val="00F41E63"/>
    <w:pPr>
      <w:spacing w:after="0"/>
      <w:jc w:val="left"/>
      <w:outlineLvl w:val="8"/>
    </w:pPr>
    <w:rPr>
      <w:b/>
      <w:bCs/>
      <w:i/>
      <w:iCs/>
      <w:smallCaps/>
      <w:color w:val="664D26"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E63"/>
    <w:rPr>
      <w:smallCaps/>
      <w:spacing w:val="5"/>
      <w:sz w:val="32"/>
      <w:szCs w:val="32"/>
    </w:rPr>
  </w:style>
  <w:style w:type="character" w:customStyle="1" w:styleId="Heading2Char">
    <w:name w:val="Heading 2 Char"/>
    <w:basedOn w:val="DefaultParagraphFont"/>
    <w:link w:val="Heading2"/>
    <w:uiPriority w:val="9"/>
    <w:rsid w:val="00F41E63"/>
    <w:rPr>
      <w:smallCaps/>
      <w:spacing w:val="5"/>
      <w:sz w:val="28"/>
      <w:szCs w:val="28"/>
    </w:rPr>
  </w:style>
  <w:style w:type="character" w:customStyle="1" w:styleId="Heading3Char">
    <w:name w:val="Heading 3 Char"/>
    <w:basedOn w:val="DefaultParagraphFont"/>
    <w:link w:val="Heading3"/>
    <w:uiPriority w:val="9"/>
    <w:semiHidden/>
    <w:rsid w:val="00F41E63"/>
    <w:rPr>
      <w:smallCaps/>
      <w:spacing w:val="5"/>
      <w:sz w:val="24"/>
      <w:szCs w:val="24"/>
    </w:rPr>
  </w:style>
  <w:style w:type="character" w:customStyle="1" w:styleId="Heading4Char">
    <w:name w:val="Heading 4 Char"/>
    <w:basedOn w:val="DefaultParagraphFont"/>
    <w:link w:val="Heading4"/>
    <w:uiPriority w:val="9"/>
    <w:semiHidden/>
    <w:rsid w:val="00F41E63"/>
    <w:rPr>
      <w:i/>
      <w:iCs/>
      <w:smallCaps/>
      <w:spacing w:val="10"/>
      <w:sz w:val="22"/>
      <w:szCs w:val="22"/>
    </w:rPr>
  </w:style>
  <w:style w:type="character" w:customStyle="1" w:styleId="Heading5Char">
    <w:name w:val="Heading 5 Char"/>
    <w:basedOn w:val="DefaultParagraphFont"/>
    <w:link w:val="Heading5"/>
    <w:uiPriority w:val="9"/>
    <w:semiHidden/>
    <w:rsid w:val="00F41E63"/>
    <w:rPr>
      <w:smallCaps/>
      <w:color w:val="997339" w:themeColor="accent6" w:themeShade="BF"/>
      <w:spacing w:val="10"/>
      <w:sz w:val="22"/>
      <w:szCs w:val="22"/>
    </w:rPr>
  </w:style>
  <w:style w:type="character" w:customStyle="1" w:styleId="Heading6Char">
    <w:name w:val="Heading 6 Char"/>
    <w:basedOn w:val="DefaultParagraphFont"/>
    <w:link w:val="Heading6"/>
    <w:uiPriority w:val="9"/>
    <w:semiHidden/>
    <w:rsid w:val="00F41E63"/>
    <w:rPr>
      <w:smallCaps/>
      <w:color w:val="C19859" w:themeColor="accent6"/>
      <w:spacing w:val="5"/>
      <w:sz w:val="22"/>
      <w:szCs w:val="22"/>
    </w:rPr>
  </w:style>
  <w:style w:type="character" w:customStyle="1" w:styleId="Heading7Char">
    <w:name w:val="Heading 7 Char"/>
    <w:basedOn w:val="DefaultParagraphFont"/>
    <w:link w:val="Heading7"/>
    <w:uiPriority w:val="9"/>
    <w:semiHidden/>
    <w:rsid w:val="00F41E63"/>
    <w:rPr>
      <w:b/>
      <w:bCs/>
      <w:smallCaps/>
      <w:color w:val="C19859" w:themeColor="accent6"/>
      <w:spacing w:val="10"/>
    </w:rPr>
  </w:style>
  <w:style w:type="character" w:customStyle="1" w:styleId="Heading8Char">
    <w:name w:val="Heading 8 Char"/>
    <w:basedOn w:val="DefaultParagraphFont"/>
    <w:link w:val="Heading8"/>
    <w:uiPriority w:val="9"/>
    <w:semiHidden/>
    <w:rsid w:val="00F41E63"/>
    <w:rPr>
      <w:b/>
      <w:bCs/>
      <w:i/>
      <w:iCs/>
      <w:smallCaps/>
      <w:color w:val="997339" w:themeColor="accent6" w:themeShade="BF"/>
    </w:rPr>
  </w:style>
  <w:style w:type="character" w:customStyle="1" w:styleId="Heading9Char">
    <w:name w:val="Heading 9 Char"/>
    <w:basedOn w:val="DefaultParagraphFont"/>
    <w:link w:val="Heading9"/>
    <w:uiPriority w:val="9"/>
    <w:semiHidden/>
    <w:rsid w:val="00F41E63"/>
    <w:rPr>
      <w:b/>
      <w:bCs/>
      <w:i/>
      <w:iCs/>
      <w:smallCaps/>
      <w:color w:val="664D26" w:themeColor="accent6" w:themeShade="80"/>
    </w:rPr>
  </w:style>
  <w:style w:type="paragraph" w:styleId="Title">
    <w:name w:val="Title"/>
    <w:basedOn w:val="Normal"/>
    <w:next w:val="Normal"/>
    <w:link w:val="TitleChar"/>
    <w:uiPriority w:val="10"/>
    <w:qFormat/>
    <w:rsid w:val="00F41E63"/>
    <w:pPr>
      <w:pBdr>
        <w:top w:val="single" w:sz="8" w:space="1" w:color="C19859"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F41E63"/>
    <w:rPr>
      <w:smallCaps/>
      <w:color w:val="262626" w:themeColor="text1" w:themeTint="D9"/>
      <w:sz w:val="52"/>
      <w:szCs w:val="52"/>
    </w:rPr>
  </w:style>
  <w:style w:type="paragraph" w:styleId="Subtitle">
    <w:name w:val="Subtitle"/>
    <w:basedOn w:val="Normal"/>
    <w:next w:val="Normal"/>
    <w:link w:val="SubtitleChar"/>
    <w:uiPriority w:val="11"/>
    <w:qFormat/>
    <w:rsid w:val="00F41E63"/>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41E63"/>
    <w:rPr>
      <w:rFonts w:asciiTheme="majorHAnsi" w:eastAsiaTheme="majorEastAsia" w:hAnsiTheme="majorHAnsi" w:cstheme="majorBidi"/>
    </w:rPr>
  </w:style>
  <w:style w:type="paragraph" w:styleId="Quote">
    <w:name w:val="Quote"/>
    <w:basedOn w:val="Normal"/>
    <w:next w:val="Normal"/>
    <w:link w:val="QuoteChar"/>
    <w:uiPriority w:val="29"/>
    <w:qFormat/>
    <w:rsid w:val="00F41E63"/>
    <w:rPr>
      <w:i/>
      <w:iCs/>
    </w:rPr>
  </w:style>
  <w:style w:type="character" w:customStyle="1" w:styleId="QuoteChar">
    <w:name w:val="Quote Char"/>
    <w:basedOn w:val="DefaultParagraphFont"/>
    <w:link w:val="Quote"/>
    <w:uiPriority w:val="29"/>
    <w:rsid w:val="00F41E63"/>
    <w:rPr>
      <w:i/>
      <w:iCs/>
    </w:rPr>
  </w:style>
  <w:style w:type="paragraph" w:styleId="ListParagraph">
    <w:name w:val="List Paragraph"/>
    <w:basedOn w:val="Normal"/>
    <w:uiPriority w:val="34"/>
    <w:qFormat/>
    <w:rsid w:val="00F41E63"/>
    <w:pPr>
      <w:ind w:left="720"/>
      <w:contextualSpacing/>
    </w:pPr>
  </w:style>
  <w:style w:type="character" w:styleId="IntenseEmphasis">
    <w:name w:val="Intense Emphasis"/>
    <w:uiPriority w:val="21"/>
    <w:qFormat/>
    <w:rsid w:val="00F41E63"/>
    <w:rPr>
      <w:b/>
      <w:bCs/>
      <w:i/>
      <w:iCs/>
      <w:color w:val="C19859" w:themeColor="accent6"/>
      <w:spacing w:val="10"/>
    </w:rPr>
  </w:style>
  <w:style w:type="paragraph" w:styleId="IntenseQuote">
    <w:name w:val="Intense Quote"/>
    <w:basedOn w:val="Normal"/>
    <w:next w:val="Normal"/>
    <w:link w:val="IntenseQuoteChar"/>
    <w:uiPriority w:val="30"/>
    <w:qFormat/>
    <w:rsid w:val="00F41E63"/>
    <w:pPr>
      <w:pBdr>
        <w:top w:val="single" w:sz="8" w:space="1" w:color="C19859"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F41E63"/>
    <w:rPr>
      <w:b/>
      <w:bCs/>
      <w:i/>
      <w:iCs/>
    </w:rPr>
  </w:style>
  <w:style w:type="character" w:styleId="IntenseReference">
    <w:name w:val="Intense Reference"/>
    <w:uiPriority w:val="32"/>
    <w:qFormat/>
    <w:rsid w:val="00F41E63"/>
    <w:rPr>
      <w:b/>
      <w:bCs/>
      <w:smallCaps/>
      <w:spacing w:val="5"/>
      <w:sz w:val="22"/>
      <w:szCs w:val="22"/>
      <w:u w:val="single"/>
    </w:rPr>
  </w:style>
  <w:style w:type="paragraph" w:styleId="NoSpacing">
    <w:name w:val="No Spacing"/>
    <w:link w:val="NoSpacingChar"/>
    <w:uiPriority w:val="1"/>
    <w:qFormat/>
    <w:rsid w:val="00F41E63"/>
    <w:pPr>
      <w:spacing w:after="0" w:line="240" w:lineRule="auto"/>
    </w:pPr>
  </w:style>
  <w:style w:type="character" w:customStyle="1" w:styleId="NoSpacingChar">
    <w:name w:val="No Spacing Char"/>
    <w:basedOn w:val="DefaultParagraphFont"/>
    <w:link w:val="NoSpacing"/>
    <w:uiPriority w:val="1"/>
    <w:rsid w:val="00F41E63"/>
  </w:style>
  <w:style w:type="paragraph" w:styleId="Caption">
    <w:name w:val="caption"/>
    <w:basedOn w:val="Normal"/>
    <w:next w:val="Normal"/>
    <w:uiPriority w:val="35"/>
    <w:semiHidden/>
    <w:unhideWhenUsed/>
    <w:qFormat/>
    <w:rsid w:val="00F41E63"/>
    <w:rPr>
      <w:b/>
      <w:bCs/>
      <w:caps/>
      <w:sz w:val="16"/>
      <w:szCs w:val="16"/>
    </w:rPr>
  </w:style>
  <w:style w:type="character" w:styleId="Strong">
    <w:name w:val="Strong"/>
    <w:uiPriority w:val="22"/>
    <w:qFormat/>
    <w:rsid w:val="00F41E63"/>
    <w:rPr>
      <w:b/>
      <w:bCs/>
      <w:color w:val="C19859" w:themeColor="accent6"/>
    </w:rPr>
  </w:style>
  <w:style w:type="character" w:styleId="Emphasis">
    <w:name w:val="Emphasis"/>
    <w:uiPriority w:val="20"/>
    <w:qFormat/>
    <w:rsid w:val="00F41E63"/>
    <w:rPr>
      <w:b/>
      <w:bCs/>
      <w:i/>
      <w:iCs/>
      <w:spacing w:val="10"/>
    </w:rPr>
  </w:style>
  <w:style w:type="character" w:styleId="SubtleEmphasis">
    <w:name w:val="Subtle Emphasis"/>
    <w:uiPriority w:val="19"/>
    <w:qFormat/>
    <w:rsid w:val="00F41E63"/>
    <w:rPr>
      <w:i/>
      <w:iCs/>
    </w:rPr>
  </w:style>
  <w:style w:type="character" w:styleId="SubtleReference">
    <w:name w:val="Subtle Reference"/>
    <w:uiPriority w:val="31"/>
    <w:qFormat/>
    <w:rsid w:val="00F41E63"/>
    <w:rPr>
      <w:b/>
      <w:bCs/>
    </w:rPr>
  </w:style>
  <w:style w:type="character" w:styleId="BookTitle">
    <w:name w:val="Book Title"/>
    <w:uiPriority w:val="33"/>
    <w:qFormat/>
    <w:rsid w:val="00F41E63"/>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F41E63"/>
    <w:pPr>
      <w:outlineLvl w:val="9"/>
    </w:pPr>
  </w:style>
  <w:style w:type="paragraph" w:styleId="Header">
    <w:name w:val="header"/>
    <w:basedOn w:val="Normal"/>
    <w:link w:val="HeaderChar"/>
    <w:uiPriority w:val="99"/>
    <w:unhideWhenUsed/>
    <w:rsid w:val="00F41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E63"/>
  </w:style>
  <w:style w:type="paragraph" w:styleId="Footer">
    <w:name w:val="footer"/>
    <w:basedOn w:val="Normal"/>
    <w:link w:val="FooterChar"/>
    <w:uiPriority w:val="99"/>
    <w:unhideWhenUsed/>
    <w:rsid w:val="00F41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736A9334C7748429941A748ECD7F9FD"/>
        <w:category>
          <w:name w:val="General"/>
          <w:gallery w:val="placeholder"/>
        </w:category>
        <w:types>
          <w:type w:val="bbPlcHdr"/>
        </w:types>
        <w:behaviors>
          <w:behavior w:val="content"/>
        </w:behaviors>
        <w:guid w:val="{F737FF47-1F53-43B5-B381-25EDF23EC464}"/>
      </w:docPartPr>
      <w:docPartBody>
        <w:p w:rsidR="00000000" w:rsidRDefault="00711FE6" w:rsidP="00711FE6">
          <w:pPr>
            <w:pStyle w:val="2736A9334C7748429941A748ECD7F9FD"/>
          </w:pPr>
          <w:r>
            <w:rPr>
              <w:rFonts w:asciiTheme="majorHAnsi" w:eastAsiaTheme="majorEastAsia" w:hAnsiTheme="majorHAnsi" w:cstheme="majorBidi"/>
              <w:caps/>
              <w:color w:val="156082" w:themeColor="accent1"/>
              <w:sz w:val="80"/>
              <w:szCs w:val="80"/>
            </w:rPr>
            <w:t>[Document title]</w:t>
          </w:r>
        </w:p>
      </w:docPartBody>
    </w:docPart>
    <w:docPart>
      <w:docPartPr>
        <w:name w:val="14665D214212409B8613145CD2DAE467"/>
        <w:category>
          <w:name w:val="General"/>
          <w:gallery w:val="placeholder"/>
        </w:category>
        <w:types>
          <w:type w:val="bbPlcHdr"/>
        </w:types>
        <w:behaviors>
          <w:behavior w:val="content"/>
        </w:behaviors>
        <w:guid w:val="{7DE2DB94-FE33-4226-805E-CBEBBF663A5C}"/>
      </w:docPartPr>
      <w:docPartBody>
        <w:p w:rsidR="00000000" w:rsidRDefault="00711FE6" w:rsidP="00711FE6">
          <w:pPr>
            <w:pStyle w:val="14665D214212409B8613145CD2DAE46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FE6"/>
    <w:rsid w:val="00711FE6"/>
    <w:rsid w:val="00766BD0"/>
    <w:rsid w:val="00F62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36A9334C7748429941A748ECD7F9FD">
    <w:name w:val="2736A9334C7748429941A748ECD7F9FD"/>
    <w:rsid w:val="00711FE6"/>
  </w:style>
  <w:style w:type="paragraph" w:customStyle="1" w:styleId="14665D214212409B8613145CD2DAE467">
    <w:name w:val="14665D214212409B8613145CD2DAE467"/>
    <w:rsid w:val="00711F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13</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Global Forces and Their Influence on Unilever’s International Strategy (2024–2025)</dc:title>
  <dc:subject>Global Business Environment -</dc:subject>
  <dc:creator>alex chistol</dc:creator>
  <cp:keywords/>
  <dc:description/>
  <cp:lastModifiedBy>alex chistol</cp:lastModifiedBy>
  <cp:revision>11</cp:revision>
  <dcterms:created xsi:type="dcterms:W3CDTF">2025-11-14T17:25:00Z</dcterms:created>
  <dcterms:modified xsi:type="dcterms:W3CDTF">2025-11-14T20:11:00Z</dcterms:modified>
</cp:coreProperties>
</file>