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03DC9" w14:textId="195863F6" w:rsidR="008042AD" w:rsidRPr="00467EE9" w:rsidRDefault="00EE2FCA" w:rsidP="00467EE9">
      <w:pPr>
        <w:spacing w:before="1600" w:after="400"/>
        <w:jc w:val="center"/>
        <w:rPr>
          <w:rFonts w:cs="Times New Roman"/>
          <w:sz w:val="32"/>
          <w:szCs w:val="32"/>
        </w:rPr>
      </w:pPr>
      <w:r w:rsidRPr="00467EE9">
        <w:rPr>
          <w:rFonts w:cs="Times New Roman"/>
          <w:b/>
          <w:sz w:val="32"/>
          <w:szCs w:val="32"/>
        </w:rPr>
        <w:t>Reviewing Amazon UK Marketplace Strategic Direction:</w:t>
      </w:r>
      <w:r w:rsidRPr="00467EE9">
        <w:rPr>
          <w:rFonts w:cs="Times New Roman"/>
          <w:b/>
          <w:sz w:val="32"/>
          <w:szCs w:val="32"/>
        </w:rPr>
        <w:br/>
        <w:t>Agile Customer Care, Returns and Dispute Resolution</w:t>
      </w:r>
    </w:p>
    <w:p w14:paraId="0C3F1E6A" w14:textId="77777777" w:rsidR="008042AD" w:rsidRPr="00B4777F" w:rsidRDefault="00EE2FCA">
      <w:pPr>
        <w:jc w:val="center"/>
        <w:rPr>
          <w:rFonts w:cs="Times New Roman"/>
          <w:sz w:val="22"/>
        </w:rPr>
      </w:pPr>
      <w:r w:rsidRPr="00B4777F">
        <w:rPr>
          <w:rFonts w:cs="Times New Roman"/>
          <w:b/>
          <w:sz w:val="22"/>
        </w:rPr>
        <w:t>UNIVERSITY OF WALES TRINITY SAINT DAVID</w:t>
      </w:r>
    </w:p>
    <w:p w14:paraId="6C7E8C8A" w14:textId="77777777" w:rsidR="008042AD" w:rsidRPr="00B4777F" w:rsidRDefault="00EE2FCA">
      <w:pPr>
        <w:jc w:val="center"/>
        <w:rPr>
          <w:rFonts w:cs="Times New Roman"/>
          <w:sz w:val="22"/>
        </w:rPr>
      </w:pPr>
      <w:r w:rsidRPr="00B4777F">
        <w:rPr>
          <w:rFonts w:cs="Times New Roman"/>
          <w:sz w:val="22"/>
        </w:rPr>
        <w:t>Module: BMMB7027 and BMMB7027D Strategic and Agile Business Management</w:t>
      </w:r>
    </w:p>
    <w:p w14:paraId="4DE287A3" w14:textId="77777777" w:rsidR="008042AD" w:rsidRPr="00B4777F" w:rsidRDefault="00EE2FCA">
      <w:pPr>
        <w:jc w:val="center"/>
        <w:rPr>
          <w:rFonts w:cs="Times New Roman"/>
          <w:sz w:val="22"/>
        </w:rPr>
      </w:pPr>
      <w:r w:rsidRPr="00B4777F">
        <w:rPr>
          <w:rFonts w:cs="Times New Roman"/>
          <w:sz w:val="22"/>
        </w:rPr>
        <w:t>Lecturer: Daniela Hellyer</w:t>
      </w:r>
    </w:p>
    <w:p w14:paraId="067A5BA6" w14:textId="77777777" w:rsidR="008042AD" w:rsidRPr="00B4777F" w:rsidRDefault="00EE2FCA">
      <w:pPr>
        <w:jc w:val="center"/>
        <w:rPr>
          <w:rFonts w:cs="Times New Roman"/>
          <w:sz w:val="22"/>
        </w:rPr>
      </w:pPr>
      <w:r w:rsidRPr="00B4777F">
        <w:rPr>
          <w:rFonts w:cs="Times New Roman"/>
          <w:sz w:val="22"/>
        </w:rPr>
        <w:t>Student Name: Shahed Rayhan</w:t>
      </w:r>
    </w:p>
    <w:p w14:paraId="1F1AA435" w14:textId="77777777" w:rsidR="008042AD" w:rsidRPr="00B4777F" w:rsidRDefault="00EE2FCA">
      <w:pPr>
        <w:jc w:val="center"/>
        <w:rPr>
          <w:rFonts w:cs="Times New Roman"/>
          <w:sz w:val="22"/>
        </w:rPr>
      </w:pPr>
      <w:r w:rsidRPr="00B4777F">
        <w:rPr>
          <w:rFonts w:cs="Times New Roman"/>
          <w:sz w:val="22"/>
        </w:rPr>
        <w:t>Student ID: 2520888</w:t>
      </w:r>
    </w:p>
    <w:p w14:paraId="5C1A41DF" w14:textId="23041B16" w:rsidR="008042AD" w:rsidRPr="00B4777F" w:rsidRDefault="00EE2FCA">
      <w:pPr>
        <w:jc w:val="center"/>
        <w:rPr>
          <w:rFonts w:cs="Times New Roman"/>
          <w:sz w:val="22"/>
        </w:rPr>
      </w:pPr>
      <w:r w:rsidRPr="00B4777F">
        <w:rPr>
          <w:rFonts w:cs="Times New Roman"/>
          <w:sz w:val="22"/>
        </w:rPr>
        <w:t>Submission D</w:t>
      </w:r>
      <w:r w:rsidR="00D3307F">
        <w:rPr>
          <w:rFonts w:cs="Times New Roman"/>
          <w:sz w:val="22"/>
        </w:rPr>
        <w:t>ate</w:t>
      </w:r>
      <w:r w:rsidRPr="00B4777F">
        <w:rPr>
          <w:rFonts w:cs="Times New Roman"/>
          <w:sz w:val="22"/>
        </w:rPr>
        <w:t xml:space="preserve">: </w:t>
      </w:r>
      <w:r w:rsidR="00D3307F">
        <w:rPr>
          <w:rFonts w:cs="Times New Roman"/>
          <w:sz w:val="22"/>
        </w:rPr>
        <w:t>Thursday</w:t>
      </w:r>
      <w:r w:rsidRPr="00B4777F">
        <w:rPr>
          <w:rFonts w:cs="Times New Roman"/>
          <w:sz w:val="22"/>
        </w:rPr>
        <w:t>,</w:t>
      </w:r>
      <w:r w:rsidR="00D3307F">
        <w:rPr>
          <w:rFonts w:cs="Times New Roman"/>
          <w:sz w:val="22"/>
        </w:rPr>
        <w:t>08-10-</w:t>
      </w:r>
      <w:r w:rsidRPr="00B4777F">
        <w:rPr>
          <w:rFonts w:cs="Times New Roman"/>
          <w:sz w:val="22"/>
        </w:rPr>
        <w:t>2026</w:t>
      </w:r>
    </w:p>
    <w:p w14:paraId="765DDFD3" w14:textId="77777777" w:rsidR="008042AD" w:rsidRPr="00B4777F" w:rsidRDefault="00EE2FCA">
      <w:pPr>
        <w:jc w:val="center"/>
        <w:rPr>
          <w:rFonts w:cs="Times New Roman"/>
          <w:sz w:val="22"/>
        </w:rPr>
      </w:pPr>
      <w:r w:rsidRPr="00B4777F">
        <w:rPr>
          <w:rFonts w:cs="Times New Roman"/>
          <w:sz w:val="22"/>
        </w:rPr>
        <w:t>Scope: Amazon UK Marketplace returns, refunds and seller-dispute resolution</w:t>
      </w:r>
    </w:p>
    <w:p w14:paraId="04195F42" w14:textId="77777777" w:rsidR="008042AD" w:rsidRPr="00B4777F" w:rsidRDefault="00EE2FCA">
      <w:pPr>
        <w:rPr>
          <w:rFonts w:cs="Times New Roman"/>
          <w:sz w:val="22"/>
        </w:rPr>
      </w:pPr>
      <w:r w:rsidRPr="00B4777F">
        <w:rPr>
          <w:rFonts w:cs="Times New Roman"/>
          <w:sz w:val="22"/>
        </w:rPr>
        <w:br w:type="page"/>
      </w:r>
    </w:p>
    <w:p w14:paraId="5C681A9A" w14:textId="77777777" w:rsidR="008042AD" w:rsidRPr="00B4777F" w:rsidRDefault="00EE2FCA">
      <w:pPr>
        <w:pStyle w:val="Heading1"/>
        <w:spacing w:before="160" w:after="40"/>
        <w:rPr>
          <w:rFonts w:ascii="Times New Roman" w:hAnsi="Times New Roman" w:cs="Times New Roman"/>
          <w:color w:val="auto"/>
          <w:sz w:val="22"/>
          <w:szCs w:val="22"/>
        </w:rPr>
      </w:pPr>
      <w:bookmarkStart w:id="0" w:name="_Toc242257089"/>
      <w:r w:rsidRPr="00B4777F">
        <w:rPr>
          <w:rFonts w:ascii="Times New Roman" w:eastAsia="Times New Roman" w:hAnsi="Times New Roman" w:cs="Times New Roman"/>
          <w:color w:val="auto"/>
          <w:sz w:val="22"/>
          <w:szCs w:val="22"/>
        </w:rPr>
        <w:lastRenderedPageBreak/>
        <w:t>Executive Summary</w:t>
      </w:r>
      <w:bookmarkEnd w:id="0"/>
    </w:p>
    <w:p w14:paraId="653C337A" w14:textId="77777777" w:rsidR="00680A9A" w:rsidRPr="00B4777F" w:rsidRDefault="00680A9A" w:rsidP="00680A9A">
      <w:pPr>
        <w:rPr>
          <w:rFonts w:cs="Times New Roman"/>
          <w:sz w:val="22"/>
        </w:rPr>
      </w:pPr>
      <w:r w:rsidRPr="00B4777F">
        <w:rPr>
          <w:rFonts w:cs="Times New Roman"/>
          <w:sz w:val="22"/>
        </w:rPr>
        <w:t>This report discusses a targeted strategic issue: What about high friction returns, refund issues and A-to-z Guarantee returns submitted to Amazon UK Marketplace by third party sellers? Amazon has a lot of platform scalability, transaction data, delivery signals and a public reputation for being obsessed with the customer. However, with the role of responsibility divided among the customer, the seller, the delivery trip and the platform, the trusted recovery is not guaranteed from those resources. For the purposes of this analysis, customer care is not seen as a service usually delivered by a contact centre, but as a strategic service.</w:t>
      </w:r>
    </w:p>
    <w:p w14:paraId="518FABEE" w14:textId="77777777" w:rsidR="00680A9A" w:rsidRPr="00B4777F" w:rsidRDefault="00680A9A" w:rsidP="00680A9A">
      <w:pPr>
        <w:rPr>
          <w:rFonts w:cs="Times New Roman"/>
          <w:sz w:val="22"/>
        </w:rPr>
      </w:pPr>
      <w:r w:rsidRPr="00B4777F">
        <w:rPr>
          <w:rFonts w:cs="Times New Roman"/>
          <w:sz w:val="22"/>
        </w:rPr>
        <w:t>The following 4 strategy tools are used. The most notable opportunities and threats identified from PESTEL are the regulatory enforcement (UK), data-protection obligations, cost pressure and the rising expectations and environmental impact of returns. TOWS turns the results into answers and VRIO evaluates each resource individually and provides for three options to determine if they are appropriate, acceptable, and feasible. The best answer is to have a combination of self-service and automated recovery for lower risk, less detailed contacts, and a human-led recovery for the more complex contacts, and to spell out details of the seller-dispute evidence, explanations and appeals.</w:t>
      </w:r>
    </w:p>
    <w:p w14:paraId="7A6A7F14" w14:textId="0FC3B6C9" w:rsidR="00680A9A" w:rsidRPr="00B4777F" w:rsidRDefault="00680A9A" w:rsidP="00680A9A">
      <w:pPr>
        <w:rPr>
          <w:rFonts w:cs="Times New Roman"/>
          <w:sz w:val="22"/>
        </w:rPr>
      </w:pPr>
      <w:r w:rsidRPr="00B4777F">
        <w:rPr>
          <w:rFonts w:cs="Times New Roman"/>
          <w:sz w:val="22"/>
        </w:rPr>
        <w:t>For the first time in the UK, the report suggests implementing Marketplace Recovery Cells, a privacy-filtered case dashboard, bounded decision authority, auditability process for sellers disputes and a stage-gate scorecard to be used for a period of six months. The scale should reflect the enhancements to First Contact Resolution, reduce the number of repeat contacts, increase customer and seller appeal outcomes, customer satisfaction while recovering, cost per resolved case, and no material data protection failures. The way is more defensible than the automation-first approach, because it adds Amazon's speed and data with a couple of important human touches in areas where trust and fairness is more fragile.</w:t>
      </w:r>
    </w:p>
    <w:p w14:paraId="0C614256" w14:textId="6247F105" w:rsidR="00567F71" w:rsidRPr="00B4777F" w:rsidRDefault="00EE2FCA">
      <w:pPr>
        <w:rPr>
          <w:rFonts w:cs="Times New Roman"/>
          <w:sz w:val="22"/>
        </w:rPr>
      </w:pPr>
      <w:r w:rsidRPr="00B4777F">
        <w:rPr>
          <w:rFonts w:cs="Times New Roman"/>
          <w:sz w:val="22"/>
        </w:rPr>
        <w:br w:type="page"/>
      </w:r>
    </w:p>
    <w:sdt>
      <w:sdtPr>
        <w:rPr>
          <w:rFonts w:ascii="Times New Roman" w:eastAsia="Times New Roman" w:hAnsi="Times New Roman" w:cs="Times New Roman"/>
          <w:b w:val="0"/>
          <w:bCs w:val="0"/>
          <w:color w:val="auto"/>
          <w:sz w:val="22"/>
          <w:szCs w:val="22"/>
        </w:rPr>
        <w:id w:val="-1960100322"/>
        <w:docPartObj>
          <w:docPartGallery w:val="Table of Contents"/>
          <w:docPartUnique/>
        </w:docPartObj>
      </w:sdtPr>
      <w:sdtEndPr>
        <w:rPr>
          <w:noProof/>
        </w:rPr>
      </w:sdtEndPr>
      <w:sdtContent>
        <w:p w14:paraId="0AF93937" w14:textId="3D44E81E" w:rsidR="00225AB4" w:rsidRPr="00B4777F" w:rsidRDefault="009327A8">
          <w:pPr>
            <w:pStyle w:val="TOCHeading"/>
            <w:rPr>
              <w:rFonts w:ascii="Times New Roman" w:hAnsi="Times New Roman" w:cs="Times New Roman"/>
              <w:color w:val="auto"/>
              <w:sz w:val="22"/>
              <w:szCs w:val="22"/>
            </w:rPr>
          </w:pPr>
          <w:r w:rsidRPr="00B4777F">
            <w:rPr>
              <w:rFonts w:ascii="Times New Roman" w:hAnsi="Times New Roman" w:cs="Times New Roman"/>
              <w:color w:val="auto"/>
              <w:sz w:val="22"/>
              <w:szCs w:val="22"/>
            </w:rPr>
            <w:t>Table of Contents</w:t>
          </w:r>
        </w:p>
        <w:p w14:paraId="4A0793C6" w14:textId="59009B77" w:rsidR="00994CAE" w:rsidRPr="00B4777F" w:rsidRDefault="00225AB4">
          <w:pPr>
            <w:pStyle w:val="TOC1"/>
            <w:tabs>
              <w:tab w:val="right" w:leader="dot" w:pos="9062"/>
            </w:tabs>
            <w:rPr>
              <w:rFonts w:eastAsiaTheme="minorEastAsia" w:cs="Times New Roman"/>
              <w:noProof/>
              <w:kern w:val="2"/>
              <w:sz w:val="22"/>
              <w14:ligatures w14:val="standardContextual"/>
            </w:rPr>
          </w:pPr>
          <w:r w:rsidRPr="00B4777F">
            <w:rPr>
              <w:rFonts w:cs="Times New Roman"/>
              <w:sz w:val="22"/>
            </w:rPr>
            <w:fldChar w:fldCharType="begin"/>
          </w:r>
          <w:r w:rsidRPr="00B4777F">
            <w:rPr>
              <w:rFonts w:cs="Times New Roman"/>
              <w:sz w:val="22"/>
            </w:rPr>
            <w:instrText xml:space="preserve"> TOC \o "1-3" \h \z \u </w:instrText>
          </w:r>
          <w:r w:rsidRPr="00B4777F">
            <w:rPr>
              <w:rFonts w:cs="Times New Roman"/>
              <w:sz w:val="22"/>
            </w:rPr>
            <w:fldChar w:fldCharType="separate"/>
          </w:r>
          <w:hyperlink w:anchor="_Toc242257089" w:history="1">
            <w:r w:rsidR="00994CAE" w:rsidRPr="00B4777F">
              <w:rPr>
                <w:rStyle w:val="Hyperlink"/>
                <w:rFonts w:cs="Times New Roman"/>
                <w:noProof/>
                <w:sz w:val="22"/>
              </w:rPr>
              <w:t>Executive Summary</w:t>
            </w:r>
            <w:r w:rsidR="00994CAE" w:rsidRPr="00B4777F">
              <w:rPr>
                <w:rFonts w:cs="Times New Roman"/>
                <w:noProof/>
                <w:webHidden/>
                <w:sz w:val="22"/>
              </w:rPr>
              <w:tab/>
            </w:r>
            <w:r w:rsidR="00994CAE" w:rsidRPr="00B4777F">
              <w:rPr>
                <w:rFonts w:cs="Times New Roman"/>
                <w:noProof/>
                <w:webHidden/>
                <w:sz w:val="22"/>
              </w:rPr>
              <w:fldChar w:fldCharType="begin"/>
            </w:r>
            <w:r w:rsidR="00994CAE" w:rsidRPr="00B4777F">
              <w:rPr>
                <w:rFonts w:cs="Times New Roman"/>
                <w:noProof/>
                <w:webHidden/>
                <w:sz w:val="22"/>
              </w:rPr>
              <w:instrText xml:space="preserve"> PAGEREF _Toc242257089 \h </w:instrText>
            </w:r>
            <w:r w:rsidR="00994CAE" w:rsidRPr="00B4777F">
              <w:rPr>
                <w:rFonts w:cs="Times New Roman"/>
                <w:noProof/>
                <w:webHidden/>
                <w:sz w:val="22"/>
              </w:rPr>
            </w:r>
            <w:r w:rsidR="00994CAE" w:rsidRPr="00B4777F">
              <w:rPr>
                <w:rFonts w:cs="Times New Roman"/>
                <w:noProof/>
                <w:webHidden/>
                <w:sz w:val="22"/>
              </w:rPr>
              <w:fldChar w:fldCharType="separate"/>
            </w:r>
            <w:r w:rsidR="00D57737">
              <w:rPr>
                <w:rFonts w:cs="Times New Roman"/>
                <w:noProof/>
                <w:webHidden/>
                <w:sz w:val="22"/>
              </w:rPr>
              <w:t>2</w:t>
            </w:r>
            <w:r w:rsidR="00994CAE" w:rsidRPr="00B4777F">
              <w:rPr>
                <w:rFonts w:cs="Times New Roman"/>
                <w:noProof/>
                <w:webHidden/>
                <w:sz w:val="22"/>
              </w:rPr>
              <w:fldChar w:fldCharType="end"/>
            </w:r>
          </w:hyperlink>
        </w:p>
        <w:p w14:paraId="1FBCFF81" w14:textId="7D9BD8C0" w:rsidR="00994CAE" w:rsidRPr="00B4777F" w:rsidRDefault="00994CAE">
          <w:pPr>
            <w:pStyle w:val="TOC1"/>
            <w:tabs>
              <w:tab w:val="right" w:leader="dot" w:pos="9062"/>
            </w:tabs>
            <w:rPr>
              <w:rFonts w:eastAsiaTheme="minorEastAsia" w:cs="Times New Roman"/>
              <w:noProof/>
              <w:kern w:val="2"/>
              <w:sz w:val="22"/>
              <w14:ligatures w14:val="standardContextual"/>
            </w:rPr>
          </w:pPr>
          <w:hyperlink w:anchor="_Toc242257090" w:history="1">
            <w:r w:rsidRPr="00B4777F">
              <w:rPr>
                <w:rStyle w:val="Hyperlink"/>
                <w:rFonts w:cs="Times New Roman"/>
                <w:noProof/>
                <w:sz w:val="22"/>
              </w:rPr>
              <w:t>1. Introduction</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_Toc242257090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4</w:t>
            </w:r>
            <w:r w:rsidRPr="00B4777F">
              <w:rPr>
                <w:rFonts w:cs="Times New Roman"/>
                <w:noProof/>
                <w:webHidden/>
                <w:sz w:val="22"/>
              </w:rPr>
              <w:fldChar w:fldCharType="end"/>
            </w:r>
          </w:hyperlink>
        </w:p>
        <w:p w14:paraId="30A2B2E8" w14:textId="7F7C8D52" w:rsidR="00994CAE" w:rsidRPr="00B4777F" w:rsidRDefault="00994CAE">
          <w:pPr>
            <w:pStyle w:val="TOC1"/>
            <w:tabs>
              <w:tab w:val="right" w:leader="dot" w:pos="9062"/>
            </w:tabs>
            <w:rPr>
              <w:rFonts w:eastAsiaTheme="minorEastAsia" w:cs="Times New Roman"/>
              <w:noProof/>
              <w:kern w:val="2"/>
              <w:sz w:val="22"/>
              <w14:ligatures w14:val="standardContextual"/>
            </w:rPr>
          </w:pPr>
          <w:hyperlink w:anchor="_Toc242257091" w:history="1">
            <w:r w:rsidRPr="00B4777F">
              <w:rPr>
                <w:rStyle w:val="Hyperlink"/>
                <w:rFonts w:cs="Times New Roman"/>
                <w:noProof/>
                <w:sz w:val="22"/>
              </w:rPr>
              <w:t>2. Main Findings and Critical Evaluation</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_Toc242257091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5</w:t>
            </w:r>
            <w:r w:rsidRPr="00B4777F">
              <w:rPr>
                <w:rFonts w:cs="Times New Roman"/>
                <w:noProof/>
                <w:webHidden/>
                <w:sz w:val="22"/>
              </w:rPr>
              <w:fldChar w:fldCharType="end"/>
            </w:r>
          </w:hyperlink>
        </w:p>
        <w:p w14:paraId="6CB64D37" w14:textId="757DAC2F" w:rsidR="00994CAE" w:rsidRPr="00B4777F" w:rsidRDefault="00994CAE">
          <w:pPr>
            <w:pStyle w:val="TOC2"/>
            <w:tabs>
              <w:tab w:val="right" w:leader="dot" w:pos="9062"/>
            </w:tabs>
            <w:rPr>
              <w:rFonts w:eastAsiaTheme="minorEastAsia" w:cs="Times New Roman"/>
              <w:noProof/>
              <w:kern w:val="2"/>
              <w:sz w:val="22"/>
              <w14:ligatures w14:val="standardContextual"/>
            </w:rPr>
          </w:pPr>
          <w:hyperlink w:anchor="_Toc242257092" w:history="1">
            <w:r w:rsidRPr="00B4777F">
              <w:rPr>
                <w:rStyle w:val="Hyperlink"/>
                <w:rFonts w:cs="Times New Roman"/>
                <w:noProof/>
                <w:sz w:val="22"/>
              </w:rPr>
              <w:t>2.1 Current strategic position and focused scope</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_Toc242257092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5</w:t>
            </w:r>
            <w:r w:rsidRPr="00B4777F">
              <w:rPr>
                <w:rFonts w:cs="Times New Roman"/>
                <w:noProof/>
                <w:webHidden/>
                <w:sz w:val="22"/>
              </w:rPr>
              <w:fldChar w:fldCharType="end"/>
            </w:r>
          </w:hyperlink>
        </w:p>
        <w:p w14:paraId="28BD1624" w14:textId="4775976F" w:rsidR="00994CAE" w:rsidRPr="00B4777F" w:rsidRDefault="00994CAE">
          <w:pPr>
            <w:pStyle w:val="TOC2"/>
            <w:tabs>
              <w:tab w:val="right" w:leader="dot" w:pos="9062"/>
            </w:tabs>
            <w:rPr>
              <w:rFonts w:eastAsiaTheme="minorEastAsia" w:cs="Times New Roman"/>
              <w:noProof/>
              <w:kern w:val="2"/>
              <w:sz w:val="22"/>
              <w14:ligatures w14:val="standardContextual"/>
            </w:rPr>
          </w:pPr>
          <w:hyperlink w:anchor="_Toc242257093" w:history="1">
            <w:r w:rsidRPr="00B4777F">
              <w:rPr>
                <w:rStyle w:val="Hyperlink"/>
                <w:rFonts w:cs="Times New Roman"/>
                <w:noProof/>
                <w:sz w:val="22"/>
              </w:rPr>
              <w:t>2.2 PESTEL: UK opportunities and threats</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_Toc242257093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6</w:t>
            </w:r>
            <w:r w:rsidRPr="00B4777F">
              <w:rPr>
                <w:rFonts w:cs="Times New Roman"/>
                <w:noProof/>
                <w:webHidden/>
                <w:sz w:val="22"/>
              </w:rPr>
              <w:fldChar w:fldCharType="end"/>
            </w:r>
          </w:hyperlink>
        </w:p>
        <w:p w14:paraId="790730ED" w14:textId="686D4A08" w:rsidR="00994CAE" w:rsidRPr="00B4777F" w:rsidRDefault="00994CAE">
          <w:pPr>
            <w:pStyle w:val="TOC2"/>
            <w:tabs>
              <w:tab w:val="right" w:leader="dot" w:pos="9062"/>
            </w:tabs>
            <w:rPr>
              <w:rFonts w:eastAsiaTheme="minorEastAsia" w:cs="Times New Roman"/>
              <w:noProof/>
              <w:kern w:val="2"/>
              <w:sz w:val="22"/>
              <w14:ligatures w14:val="standardContextual"/>
            </w:rPr>
          </w:pPr>
          <w:hyperlink w:anchor="_Toc242257094" w:history="1">
            <w:r w:rsidRPr="00B4777F">
              <w:rPr>
                <w:rStyle w:val="Hyperlink"/>
                <w:rFonts w:cs="Times New Roman"/>
                <w:noProof/>
                <w:sz w:val="22"/>
              </w:rPr>
              <w:t>2.3 TOWS synthesis</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_Toc242257094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9</w:t>
            </w:r>
            <w:r w:rsidRPr="00B4777F">
              <w:rPr>
                <w:rFonts w:cs="Times New Roman"/>
                <w:noProof/>
                <w:webHidden/>
                <w:sz w:val="22"/>
              </w:rPr>
              <w:fldChar w:fldCharType="end"/>
            </w:r>
          </w:hyperlink>
        </w:p>
        <w:p w14:paraId="23ECE9BD" w14:textId="6E64E308" w:rsidR="00994CAE" w:rsidRPr="00B4777F" w:rsidRDefault="00994CAE">
          <w:pPr>
            <w:pStyle w:val="TOC2"/>
            <w:tabs>
              <w:tab w:val="right" w:leader="dot" w:pos="9062"/>
            </w:tabs>
            <w:rPr>
              <w:rFonts w:eastAsiaTheme="minorEastAsia" w:cs="Times New Roman"/>
              <w:noProof/>
              <w:kern w:val="2"/>
              <w:sz w:val="22"/>
              <w14:ligatures w14:val="standardContextual"/>
            </w:rPr>
          </w:pPr>
          <w:hyperlink w:anchor="_Toc242257095" w:history="1">
            <w:r w:rsidRPr="00B4777F">
              <w:rPr>
                <w:rStyle w:val="Hyperlink"/>
                <w:rFonts w:cs="Times New Roman"/>
                <w:noProof/>
                <w:sz w:val="22"/>
              </w:rPr>
              <w:t>2.4 VRIO capability analysis</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_Toc242257095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10</w:t>
            </w:r>
            <w:r w:rsidRPr="00B4777F">
              <w:rPr>
                <w:rFonts w:cs="Times New Roman"/>
                <w:noProof/>
                <w:webHidden/>
                <w:sz w:val="22"/>
              </w:rPr>
              <w:fldChar w:fldCharType="end"/>
            </w:r>
          </w:hyperlink>
        </w:p>
        <w:p w14:paraId="52CFB207" w14:textId="0DA1E810" w:rsidR="00994CAE" w:rsidRPr="00B4777F" w:rsidRDefault="00994CAE">
          <w:pPr>
            <w:pStyle w:val="TOC2"/>
            <w:tabs>
              <w:tab w:val="right" w:leader="dot" w:pos="9062"/>
            </w:tabs>
            <w:rPr>
              <w:rFonts w:eastAsiaTheme="minorEastAsia" w:cs="Times New Roman"/>
              <w:noProof/>
              <w:kern w:val="2"/>
              <w:sz w:val="22"/>
              <w14:ligatures w14:val="standardContextual"/>
            </w:rPr>
          </w:pPr>
          <w:hyperlink w:anchor="_Toc242257096" w:history="1">
            <w:r w:rsidRPr="00B4777F">
              <w:rPr>
                <w:rStyle w:val="Hyperlink"/>
                <w:rFonts w:cs="Times New Roman"/>
                <w:noProof/>
                <w:sz w:val="22"/>
              </w:rPr>
              <w:t>2.5 Strategic options and SAFe evaluation</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_Toc242257096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12</w:t>
            </w:r>
            <w:r w:rsidRPr="00B4777F">
              <w:rPr>
                <w:rFonts w:cs="Times New Roman"/>
                <w:noProof/>
                <w:webHidden/>
                <w:sz w:val="22"/>
              </w:rPr>
              <w:fldChar w:fldCharType="end"/>
            </w:r>
          </w:hyperlink>
        </w:p>
        <w:p w14:paraId="04EDA37E" w14:textId="04BC2283" w:rsidR="00994CAE" w:rsidRPr="00B4777F" w:rsidRDefault="00994CAE">
          <w:pPr>
            <w:pStyle w:val="TOC1"/>
            <w:tabs>
              <w:tab w:val="right" w:leader="dot" w:pos="9062"/>
            </w:tabs>
            <w:rPr>
              <w:rFonts w:eastAsiaTheme="minorEastAsia" w:cs="Times New Roman"/>
              <w:noProof/>
              <w:kern w:val="2"/>
              <w:sz w:val="22"/>
              <w14:ligatures w14:val="standardContextual"/>
            </w:rPr>
          </w:pPr>
          <w:hyperlink w:anchor="_Toc242257097" w:history="1">
            <w:r w:rsidRPr="00B4777F">
              <w:rPr>
                <w:rStyle w:val="Hyperlink"/>
                <w:rFonts w:cs="Times New Roman"/>
                <w:noProof/>
                <w:sz w:val="22"/>
              </w:rPr>
              <w:t>3. Wider Organisational Implications</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_Toc242257097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14</w:t>
            </w:r>
            <w:r w:rsidRPr="00B4777F">
              <w:rPr>
                <w:rFonts w:cs="Times New Roman"/>
                <w:noProof/>
                <w:webHidden/>
                <w:sz w:val="22"/>
              </w:rPr>
              <w:fldChar w:fldCharType="end"/>
            </w:r>
          </w:hyperlink>
        </w:p>
        <w:p w14:paraId="2BA5D04C" w14:textId="3C87D8FF" w:rsidR="00994CAE" w:rsidRPr="00B4777F" w:rsidRDefault="00994CAE">
          <w:pPr>
            <w:pStyle w:val="TOC1"/>
            <w:tabs>
              <w:tab w:val="right" w:leader="dot" w:pos="9062"/>
            </w:tabs>
            <w:rPr>
              <w:rFonts w:eastAsiaTheme="minorEastAsia" w:cs="Times New Roman"/>
              <w:noProof/>
              <w:kern w:val="2"/>
              <w:sz w:val="22"/>
              <w14:ligatures w14:val="standardContextual"/>
            </w:rPr>
          </w:pPr>
          <w:hyperlink w:anchor="_Toc242257098" w:history="1">
            <w:r w:rsidRPr="00B4777F">
              <w:rPr>
                <w:rStyle w:val="Hyperlink"/>
                <w:rFonts w:cs="Times New Roman"/>
                <w:noProof/>
                <w:sz w:val="22"/>
              </w:rPr>
              <w:t>4. Conclusions</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_Toc242257098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16</w:t>
            </w:r>
            <w:r w:rsidRPr="00B4777F">
              <w:rPr>
                <w:rFonts w:cs="Times New Roman"/>
                <w:noProof/>
                <w:webHidden/>
                <w:sz w:val="22"/>
              </w:rPr>
              <w:fldChar w:fldCharType="end"/>
            </w:r>
          </w:hyperlink>
        </w:p>
        <w:p w14:paraId="1334BDF1" w14:textId="08C53229" w:rsidR="00994CAE" w:rsidRPr="00B4777F" w:rsidRDefault="00994CAE">
          <w:pPr>
            <w:pStyle w:val="TOC1"/>
            <w:tabs>
              <w:tab w:val="right" w:leader="dot" w:pos="9062"/>
            </w:tabs>
            <w:rPr>
              <w:rFonts w:eastAsiaTheme="minorEastAsia" w:cs="Times New Roman"/>
              <w:noProof/>
              <w:kern w:val="2"/>
              <w:sz w:val="22"/>
              <w14:ligatures w14:val="standardContextual"/>
            </w:rPr>
          </w:pPr>
          <w:hyperlink w:anchor="_Toc242257099" w:history="1">
            <w:r w:rsidRPr="00B4777F">
              <w:rPr>
                <w:rStyle w:val="Hyperlink"/>
                <w:rFonts w:cs="Times New Roman"/>
                <w:noProof/>
                <w:sz w:val="22"/>
              </w:rPr>
              <w:t>5. Recommendations</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_Toc242257099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17</w:t>
            </w:r>
            <w:r w:rsidRPr="00B4777F">
              <w:rPr>
                <w:rFonts w:cs="Times New Roman"/>
                <w:noProof/>
                <w:webHidden/>
                <w:sz w:val="22"/>
              </w:rPr>
              <w:fldChar w:fldCharType="end"/>
            </w:r>
          </w:hyperlink>
        </w:p>
        <w:p w14:paraId="69678138" w14:textId="06260CA4" w:rsidR="00994CAE" w:rsidRPr="00B4777F" w:rsidRDefault="00994CAE">
          <w:pPr>
            <w:pStyle w:val="TOC1"/>
            <w:tabs>
              <w:tab w:val="right" w:leader="dot" w:pos="9062"/>
            </w:tabs>
            <w:rPr>
              <w:rFonts w:eastAsiaTheme="minorEastAsia" w:cs="Times New Roman"/>
              <w:noProof/>
              <w:kern w:val="2"/>
              <w:sz w:val="22"/>
              <w14:ligatures w14:val="standardContextual"/>
            </w:rPr>
          </w:pPr>
          <w:hyperlink w:anchor="_Toc242257100" w:history="1">
            <w:r w:rsidRPr="00B4777F">
              <w:rPr>
                <w:rStyle w:val="Hyperlink"/>
                <w:rFonts w:cs="Times New Roman"/>
                <w:noProof/>
                <w:sz w:val="22"/>
              </w:rPr>
              <w:t>References</w:t>
            </w:r>
            <w:r w:rsidRPr="00B4777F">
              <w:rPr>
                <w:rFonts w:cs="Times New Roman"/>
                <w:noProof/>
                <w:webHidden/>
                <w:sz w:val="22"/>
              </w:rPr>
              <w:tab/>
            </w:r>
            <w:r w:rsidRPr="00B4777F">
              <w:rPr>
                <w:rFonts w:cs="Times New Roman"/>
                <w:noProof/>
                <w:webHidden/>
                <w:sz w:val="22"/>
              </w:rPr>
              <w:fldChar w:fldCharType="begin"/>
            </w:r>
            <w:r w:rsidRPr="00B4777F">
              <w:rPr>
                <w:rFonts w:cs="Times New Roman"/>
                <w:noProof/>
                <w:webHidden/>
                <w:sz w:val="22"/>
              </w:rPr>
              <w:instrText xml:space="preserve"> PAGEREF _Toc242257100 \h </w:instrText>
            </w:r>
            <w:r w:rsidRPr="00B4777F">
              <w:rPr>
                <w:rFonts w:cs="Times New Roman"/>
                <w:noProof/>
                <w:webHidden/>
                <w:sz w:val="22"/>
              </w:rPr>
            </w:r>
            <w:r w:rsidRPr="00B4777F">
              <w:rPr>
                <w:rFonts w:cs="Times New Roman"/>
                <w:noProof/>
                <w:webHidden/>
                <w:sz w:val="22"/>
              </w:rPr>
              <w:fldChar w:fldCharType="separate"/>
            </w:r>
            <w:r w:rsidR="00D57737">
              <w:rPr>
                <w:rFonts w:cs="Times New Roman"/>
                <w:noProof/>
                <w:webHidden/>
                <w:sz w:val="22"/>
              </w:rPr>
              <w:t>21</w:t>
            </w:r>
            <w:r w:rsidRPr="00B4777F">
              <w:rPr>
                <w:rFonts w:cs="Times New Roman"/>
                <w:noProof/>
                <w:webHidden/>
                <w:sz w:val="22"/>
              </w:rPr>
              <w:fldChar w:fldCharType="end"/>
            </w:r>
          </w:hyperlink>
        </w:p>
        <w:p w14:paraId="61C9BD0A" w14:textId="42D523CD" w:rsidR="00225AB4" w:rsidRPr="00B4777F" w:rsidRDefault="00225AB4" w:rsidP="00225AB4">
          <w:pPr>
            <w:rPr>
              <w:rFonts w:cs="Times New Roman"/>
              <w:sz w:val="22"/>
            </w:rPr>
          </w:pPr>
          <w:r w:rsidRPr="00B4777F">
            <w:rPr>
              <w:rFonts w:cs="Times New Roman"/>
              <w:b/>
              <w:bCs/>
              <w:noProof/>
              <w:sz w:val="22"/>
            </w:rPr>
            <w:fldChar w:fldCharType="end"/>
          </w:r>
        </w:p>
      </w:sdtContent>
    </w:sdt>
    <w:p w14:paraId="7AFA5177" w14:textId="298EAE84" w:rsidR="008042AD" w:rsidRPr="00B4777F" w:rsidRDefault="00EE2FCA">
      <w:pPr>
        <w:spacing w:before="200"/>
        <w:rPr>
          <w:rFonts w:cs="Times New Roman"/>
          <w:sz w:val="22"/>
        </w:rPr>
      </w:pPr>
      <w:r w:rsidRPr="00B4777F">
        <w:rPr>
          <w:rFonts w:cs="Times New Roman"/>
          <w:b/>
          <w:sz w:val="22"/>
        </w:rPr>
        <w:t>List of Tables</w:t>
      </w:r>
    </w:p>
    <w:p w14:paraId="70144AF9" w14:textId="5F7D3AA5" w:rsidR="008042AD" w:rsidRPr="00B4777F" w:rsidRDefault="00EE2FCA">
      <w:pPr>
        <w:tabs>
          <w:tab w:val="right" w:leader="dot" w:pos="8731"/>
        </w:tabs>
        <w:rPr>
          <w:rFonts w:cs="Times New Roman"/>
          <w:sz w:val="22"/>
        </w:rPr>
      </w:pPr>
      <w:r w:rsidRPr="00B4777F">
        <w:rPr>
          <w:rFonts w:cs="Times New Roman"/>
          <w:sz w:val="22"/>
        </w:rPr>
        <w:t>Table 1. PESTEL analysis of Amazon UK Marketplace customer care</w:t>
      </w:r>
      <w:r w:rsidRPr="00B4777F">
        <w:rPr>
          <w:rFonts w:cs="Times New Roman"/>
          <w:sz w:val="22"/>
        </w:rPr>
        <w:tab/>
      </w:r>
      <w:r w:rsidR="00D57737">
        <w:rPr>
          <w:rFonts w:cs="Times New Roman"/>
          <w:sz w:val="22"/>
        </w:rPr>
        <w:t>6</w:t>
      </w:r>
    </w:p>
    <w:p w14:paraId="558D1F54" w14:textId="254ED797" w:rsidR="008042AD" w:rsidRPr="00B4777F" w:rsidRDefault="00EE2FCA">
      <w:pPr>
        <w:tabs>
          <w:tab w:val="right" w:leader="dot" w:pos="8731"/>
        </w:tabs>
        <w:rPr>
          <w:rFonts w:cs="Times New Roman"/>
          <w:sz w:val="22"/>
        </w:rPr>
      </w:pPr>
      <w:r w:rsidRPr="00B4777F">
        <w:rPr>
          <w:rFonts w:cs="Times New Roman"/>
          <w:sz w:val="22"/>
        </w:rPr>
        <w:t>Table 2. TOWS matrix for the focused strategic issue</w:t>
      </w:r>
      <w:r w:rsidRPr="00B4777F">
        <w:rPr>
          <w:rFonts w:cs="Times New Roman"/>
          <w:sz w:val="22"/>
        </w:rPr>
        <w:tab/>
      </w:r>
      <w:r w:rsidR="00994CAE" w:rsidRPr="00B4777F">
        <w:rPr>
          <w:rFonts w:cs="Times New Roman"/>
          <w:sz w:val="22"/>
        </w:rPr>
        <w:t>9</w:t>
      </w:r>
    </w:p>
    <w:p w14:paraId="21F7B082" w14:textId="1FA10F30" w:rsidR="008042AD" w:rsidRPr="00B4777F" w:rsidRDefault="00EE2FCA">
      <w:pPr>
        <w:tabs>
          <w:tab w:val="right" w:leader="dot" w:pos="8731"/>
        </w:tabs>
        <w:rPr>
          <w:rFonts w:cs="Times New Roman"/>
          <w:sz w:val="22"/>
        </w:rPr>
      </w:pPr>
      <w:r w:rsidRPr="00B4777F">
        <w:rPr>
          <w:rFonts w:cs="Times New Roman"/>
          <w:sz w:val="22"/>
        </w:rPr>
        <w:t>Table 3. VRIO analysis of current Amazon resources and capabilities</w:t>
      </w:r>
      <w:r w:rsidRPr="00B4777F">
        <w:rPr>
          <w:rFonts w:cs="Times New Roman"/>
          <w:sz w:val="22"/>
        </w:rPr>
        <w:tab/>
        <w:t>1</w:t>
      </w:r>
      <w:r w:rsidR="00994CAE" w:rsidRPr="00B4777F">
        <w:rPr>
          <w:rFonts w:cs="Times New Roman"/>
          <w:sz w:val="22"/>
        </w:rPr>
        <w:t>0</w:t>
      </w:r>
    </w:p>
    <w:p w14:paraId="363B40A5" w14:textId="3F4075E6" w:rsidR="008042AD" w:rsidRPr="00B4777F" w:rsidRDefault="00EE2FCA">
      <w:pPr>
        <w:tabs>
          <w:tab w:val="right" w:leader="dot" w:pos="8731"/>
        </w:tabs>
        <w:rPr>
          <w:rFonts w:cs="Times New Roman"/>
          <w:sz w:val="22"/>
        </w:rPr>
      </w:pPr>
      <w:r w:rsidRPr="00B4777F">
        <w:rPr>
          <w:rFonts w:cs="Times New Roman"/>
          <w:sz w:val="22"/>
        </w:rPr>
        <w:t>Table 4. Evidence-to-option strategic gap summary</w:t>
      </w:r>
      <w:r w:rsidRPr="00B4777F">
        <w:rPr>
          <w:rFonts w:cs="Times New Roman"/>
          <w:sz w:val="22"/>
        </w:rPr>
        <w:tab/>
        <w:t>1</w:t>
      </w:r>
      <w:r w:rsidR="00D57737">
        <w:rPr>
          <w:rFonts w:cs="Times New Roman"/>
          <w:sz w:val="22"/>
        </w:rPr>
        <w:t>2</w:t>
      </w:r>
    </w:p>
    <w:p w14:paraId="1A2BD67B" w14:textId="094CE107" w:rsidR="008042AD" w:rsidRPr="00B4777F" w:rsidRDefault="00EE2FCA">
      <w:pPr>
        <w:tabs>
          <w:tab w:val="right" w:leader="dot" w:pos="8731"/>
        </w:tabs>
        <w:rPr>
          <w:rFonts w:cs="Times New Roman"/>
          <w:sz w:val="22"/>
        </w:rPr>
      </w:pPr>
      <w:r w:rsidRPr="00B4777F">
        <w:rPr>
          <w:rFonts w:cs="Times New Roman"/>
          <w:sz w:val="22"/>
        </w:rPr>
        <w:t>Table 5. SAFe evaluation of the three strategic options</w:t>
      </w:r>
      <w:r w:rsidRPr="00B4777F">
        <w:rPr>
          <w:rFonts w:cs="Times New Roman"/>
          <w:sz w:val="22"/>
        </w:rPr>
        <w:tab/>
        <w:t>1</w:t>
      </w:r>
      <w:r w:rsidR="00D57737">
        <w:rPr>
          <w:rFonts w:cs="Times New Roman"/>
          <w:sz w:val="22"/>
        </w:rPr>
        <w:t>3</w:t>
      </w:r>
    </w:p>
    <w:p w14:paraId="29B760F8" w14:textId="66BE493B" w:rsidR="008042AD" w:rsidRPr="00B4777F" w:rsidRDefault="00EE2FCA" w:rsidP="0069543E">
      <w:pPr>
        <w:tabs>
          <w:tab w:val="right" w:leader="dot" w:pos="8731"/>
        </w:tabs>
        <w:rPr>
          <w:rFonts w:cs="Times New Roman"/>
          <w:sz w:val="22"/>
        </w:rPr>
      </w:pPr>
      <w:r w:rsidRPr="00B4777F">
        <w:rPr>
          <w:rFonts w:cs="Times New Roman"/>
          <w:sz w:val="22"/>
        </w:rPr>
        <w:t>Table 6. Implementation recommendations, controls and measures</w:t>
      </w:r>
      <w:r w:rsidRPr="00B4777F">
        <w:rPr>
          <w:rFonts w:cs="Times New Roman"/>
          <w:sz w:val="22"/>
        </w:rPr>
        <w:tab/>
      </w:r>
      <w:r w:rsidR="00994CAE" w:rsidRPr="00B4777F">
        <w:rPr>
          <w:rFonts w:cs="Times New Roman"/>
          <w:sz w:val="22"/>
        </w:rPr>
        <w:t>1</w:t>
      </w:r>
      <w:r w:rsidR="00D57737">
        <w:rPr>
          <w:rFonts w:cs="Times New Roman"/>
          <w:sz w:val="22"/>
        </w:rPr>
        <w:t>7</w:t>
      </w:r>
    </w:p>
    <w:p w14:paraId="7B053290" w14:textId="77777777" w:rsidR="005F05D6" w:rsidRDefault="005F05D6">
      <w:pPr>
        <w:pStyle w:val="Heading1"/>
        <w:spacing w:before="160" w:after="40"/>
        <w:rPr>
          <w:rFonts w:ascii="Times New Roman" w:eastAsia="Times New Roman" w:hAnsi="Times New Roman" w:cs="Times New Roman"/>
          <w:color w:val="auto"/>
          <w:sz w:val="22"/>
          <w:szCs w:val="22"/>
        </w:rPr>
      </w:pPr>
      <w:bookmarkStart w:id="1" w:name="_Toc242257090"/>
    </w:p>
    <w:p w14:paraId="7B0FE5CD" w14:textId="41AF3EB3" w:rsidR="008042AD" w:rsidRPr="00B4777F" w:rsidRDefault="00EE2FCA">
      <w:pPr>
        <w:pStyle w:val="Heading1"/>
        <w:spacing w:before="160" w:after="40"/>
        <w:rPr>
          <w:rFonts w:ascii="Times New Roman" w:hAnsi="Times New Roman" w:cs="Times New Roman"/>
          <w:color w:val="auto"/>
          <w:sz w:val="22"/>
          <w:szCs w:val="22"/>
        </w:rPr>
      </w:pPr>
      <w:r w:rsidRPr="00B4777F">
        <w:rPr>
          <w:rFonts w:ascii="Times New Roman" w:eastAsia="Times New Roman" w:hAnsi="Times New Roman" w:cs="Times New Roman"/>
          <w:color w:val="auto"/>
          <w:sz w:val="22"/>
          <w:szCs w:val="22"/>
        </w:rPr>
        <w:t>1. Introduction</w:t>
      </w:r>
      <w:bookmarkEnd w:id="1"/>
    </w:p>
    <w:p w14:paraId="633CC5A2" w14:textId="6F66CD47" w:rsidR="00956484" w:rsidRPr="00B4777F" w:rsidRDefault="000E7939">
      <w:pPr>
        <w:rPr>
          <w:rFonts w:cs="Times New Roman"/>
          <w:sz w:val="22"/>
        </w:rPr>
      </w:pPr>
      <w:r w:rsidRPr="00B4777F">
        <w:rPr>
          <w:rStyle w:val="cursor-pointer"/>
          <w:rFonts w:cs="Times New Roman"/>
          <w:sz w:val="22"/>
        </w:rPr>
        <w:t>Amazon is a global technology and retail company that operates through a business model, which is a mixture of first party retail, third party marketplace services, logistics, subscriptions, advertising and cloud computing.</w:t>
      </w:r>
      <w:r w:rsidRPr="00B4777F">
        <w:rPr>
          <w:rFonts w:cs="Times New Roman"/>
          <w:sz w:val="22"/>
        </w:rPr>
        <w:t xml:space="preserve"> </w:t>
      </w:r>
      <w:r w:rsidRPr="00B4777F">
        <w:rPr>
          <w:rStyle w:val="cursor-pointer"/>
          <w:rFonts w:cs="Times New Roman"/>
          <w:sz w:val="22"/>
        </w:rPr>
        <w:t>According to its annual report for 2024, International sales increased 9 per cent, partly due to its unit sales from third-party sellers, whilst its business in the UK has over 75,000 permanent staff across over 100 sites (Amazon.com, Inc., 2025; Amazon UK, 2025).</w:t>
      </w:r>
      <w:r w:rsidRPr="00B4777F">
        <w:rPr>
          <w:rFonts w:cs="Times New Roman"/>
          <w:sz w:val="22"/>
        </w:rPr>
        <w:t xml:space="preserve"> </w:t>
      </w:r>
      <w:r w:rsidRPr="00B4777F">
        <w:rPr>
          <w:rStyle w:val="cursor-pointer"/>
          <w:rFonts w:cs="Times New Roman"/>
          <w:sz w:val="22"/>
        </w:rPr>
        <w:t>This scale is relevant because one Amazon journey may be realized for a customer even if the customer is offered the product by a third party seller and a delivery or fulfilment journey by a third party is part of the service.</w:t>
      </w:r>
      <w:r w:rsidRPr="00B4777F">
        <w:rPr>
          <w:rFonts w:cs="Times New Roman"/>
          <w:sz w:val="22"/>
        </w:rPr>
        <w:t xml:space="preserve"> </w:t>
      </w:r>
      <w:r w:rsidRPr="00B4777F">
        <w:rPr>
          <w:rStyle w:val="cursor-pointer"/>
          <w:rFonts w:cs="Times New Roman"/>
          <w:sz w:val="22"/>
        </w:rPr>
        <w:t>Platform research demonstrates that these multi-sided platforms generate value through participation and interfaces, and generate dependency and governance tensions between the platform and complementors (Bonina et al., 2021; Cennamo, 2021; Cutolo and Kenney, 2021; Gawer, 2021; McIntyre et al., 2021).</w:t>
      </w:r>
      <w:r w:rsidRPr="00B4777F">
        <w:rPr>
          <w:rFonts w:cs="Times New Roman"/>
          <w:sz w:val="22"/>
        </w:rPr>
        <w:t xml:space="preserve"> </w:t>
      </w:r>
      <w:r w:rsidRPr="00B4777F">
        <w:rPr>
          <w:rStyle w:val="cursor-pointer"/>
          <w:rFonts w:cs="Times New Roman"/>
          <w:sz w:val="22"/>
        </w:rPr>
        <w:t>This report only includes Amazon UK Marketplace returns, Amazon refunds and seller-dispute resolution.</w:t>
      </w:r>
      <w:r w:rsidRPr="00B4777F">
        <w:rPr>
          <w:rFonts w:cs="Times New Roman"/>
          <w:sz w:val="22"/>
        </w:rPr>
        <w:t xml:space="preserve"> </w:t>
      </w:r>
      <w:r w:rsidRPr="00B4777F">
        <w:rPr>
          <w:rStyle w:val="cursor-pointer"/>
          <w:rFonts w:cs="Times New Roman"/>
          <w:sz w:val="22"/>
        </w:rPr>
        <w:t>It excludes the general logistics strategy arm of Amazon and their international holdings, excluding AWS, entertainment and advertising.</w:t>
      </w:r>
      <w:r w:rsidRPr="00B4777F">
        <w:rPr>
          <w:rFonts w:cs="Times New Roman"/>
          <w:sz w:val="22"/>
        </w:rPr>
        <w:t xml:space="preserve"> </w:t>
      </w:r>
      <w:r w:rsidRPr="00B4777F">
        <w:rPr>
          <w:rStyle w:val="cursor-pointer"/>
          <w:rFonts w:cs="Times New Roman"/>
          <w:sz w:val="22"/>
        </w:rPr>
        <w:t>The strategic challenge is how can Amazon UK maintain the efficiency of an automated customer care service, while offering gradual, understandable and robust recovery in the event of complex Marketplace cases?</w:t>
      </w:r>
      <w:r w:rsidRPr="00B4777F">
        <w:rPr>
          <w:rFonts w:cs="Times New Roman"/>
          <w:sz w:val="22"/>
        </w:rPr>
        <w:t xml:space="preserve"> </w:t>
      </w:r>
      <w:r w:rsidRPr="00B4777F">
        <w:rPr>
          <w:rStyle w:val="cursor-pointer"/>
          <w:rFonts w:cs="Times New Roman"/>
          <w:sz w:val="22"/>
        </w:rPr>
        <w:t>This scope is directly related to the need of a particular country, business area and strategic problem.</w:t>
      </w:r>
      <w:r w:rsidRPr="00B4777F">
        <w:rPr>
          <w:rFonts w:cs="Times New Roman"/>
          <w:sz w:val="22"/>
        </w:rPr>
        <w:t xml:space="preserve"> </w:t>
      </w:r>
      <w:r w:rsidRPr="00B4777F">
        <w:rPr>
          <w:rStyle w:val="cursor-pointer"/>
          <w:rFonts w:cs="Times New Roman"/>
          <w:sz w:val="22"/>
        </w:rPr>
        <w:t>It also demonstrates Amazon's first principle of doing things for the customer, and that there is a need to build seller trust in a marketplace, as Amazon has stated (Amazon.jobs, n.d.; Homburg, Jozić and Kuehnl, 2017).</w:t>
      </w:r>
      <w:r w:rsidRPr="00B4777F">
        <w:rPr>
          <w:rFonts w:cs="Times New Roman"/>
          <w:sz w:val="22"/>
        </w:rPr>
        <w:t xml:space="preserve"> </w:t>
      </w:r>
      <w:r w:rsidRPr="00B4777F">
        <w:rPr>
          <w:rStyle w:val="cursor-pointer"/>
          <w:rFonts w:cs="Times New Roman"/>
          <w:sz w:val="22"/>
        </w:rPr>
        <w:t>It is important to take care of the customers' needs here, since a failure in the service touches the whole relationship, not just one customer.</w:t>
      </w:r>
      <w:r w:rsidRPr="00B4777F">
        <w:rPr>
          <w:rFonts w:cs="Times New Roman"/>
          <w:sz w:val="22"/>
        </w:rPr>
        <w:t xml:space="preserve"> </w:t>
      </w:r>
      <w:r w:rsidRPr="00B4777F">
        <w:rPr>
          <w:rStyle w:val="cursor-pointer"/>
          <w:rFonts w:cs="Times New Roman"/>
          <w:sz w:val="22"/>
        </w:rPr>
        <w:t>Journey research identifies touchpoints that link experiences, and service-recovery research indicates that procedural fairness, interactional treatment and the outcome all have an impact on post-failure trust (Lemon and Verhoef, 2016; Smith, Bolton and Wagner, 1999; Tax, Brown and Chandrashekaran, 1998).</w:t>
      </w:r>
      <w:r w:rsidRPr="00B4777F">
        <w:rPr>
          <w:rFonts w:cs="Times New Roman"/>
          <w:sz w:val="22"/>
        </w:rPr>
        <w:t xml:space="preserve"> </w:t>
      </w:r>
      <w:r w:rsidR="00956484" w:rsidRPr="00B4777F">
        <w:rPr>
          <w:rStyle w:val="cursor-pointer"/>
          <w:rFonts w:cs="Times New Roman"/>
          <w:sz w:val="22"/>
        </w:rPr>
        <w:t xml:space="preserve">The analysis follows four sequences of lecture-based tools sequentially: PESTEL (for the external environment), TOWS (for internal–external synthesis), VRIO (for the internal resources) and SAFe (for the option evaluation) (Johnson et al., 2020; Weihrich, 1982). Public </w:t>
      </w:r>
      <w:r w:rsidR="00956484" w:rsidRPr="00B4777F">
        <w:rPr>
          <w:rStyle w:val="cursor-pointer"/>
          <w:rFonts w:cs="Times New Roman"/>
          <w:sz w:val="22"/>
        </w:rPr>
        <w:lastRenderedPageBreak/>
        <w:t>documents do not provide any information on the case volume, cost or algorithms used by Amazon; targets given in the recommendations are therefore pilot targets to validate internally, not statements about current performance.</w:t>
      </w:r>
    </w:p>
    <w:p w14:paraId="6E5DFFEF" w14:textId="020B95A4" w:rsidR="008042AD" w:rsidRPr="00B4777F" w:rsidRDefault="008042AD">
      <w:pPr>
        <w:rPr>
          <w:rFonts w:cs="Times New Roman"/>
          <w:sz w:val="22"/>
        </w:rPr>
      </w:pPr>
    </w:p>
    <w:p w14:paraId="27305622" w14:textId="77777777" w:rsidR="008042AD" w:rsidRPr="00B4777F" w:rsidRDefault="00EE2FCA">
      <w:pPr>
        <w:pStyle w:val="Heading1"/>
        <w:spacing w:before="160" w:after="40"/>
        <w:rPr>
          <w:rFonts w:ascii="Times New Roman" w:hAnsi="Times New Roman" w:cs="Times New Roman"/>
          <w:color w:val="auto"/>
          <w:sz w:val="22"/>
          <w:szCs w:val="22"/>
        </w:rPr>
      </w:pPr>
      <w:bookmarkStart w:id="2" w:name="_Toc242257091"/>
      <w:r w:rsidRPr="00B4777F">
        <w:rPr>
          <w:rFonts w:ascii="Times New Roman" w:eastAsia="Times New Roman" w:hAnsi="Times New Roman" w:cs="Times New Roman"/>
          <w:color w:val="auto"/>
          <w:sz w:val="22"/>
          <w:szCs w:val="22"/>
        </w:rPr>
        <w:t>2. Main Findings and Critical Evaluation</w:t>
      </w:r>
      <w:bookmarkEnd w:id="2"/>
    </w:p>
    <w:p w14:paraId="046515D2" w14:textId="77777777" w:rsidR="008042AD" w:rsidRPr="00B4777F" w:rsidRDefault="00EE2FCA">
      <w:pPr>
        <w:pStyle w:val="Heading2"/>
        <w:spacing w:before="80" w:after="40"/>
        <w:rPr>
          <w:rFonts w:ascii="Times New Roman" w:hAnsi="Times New Roman" w:cs="Times New Roman"/>
          <w:color w:val="auto"/>
          <w:sz w:val="22"/>
          <w:szCs w:val="22"/>
        </w:rPr>
      </w:pPr>
      <w:bookmarkStart w:id="3" w:name="_Toc242257092"/>
      <w:r w:rsidRPr="00B4777F">
        <w:rPr>
          <w:rFonts w:ascii="Times New Roman" w:eastAsia="Times New Roman" w:hAnsi="Times New Roman" w:cs="Times New Roman"/>
          <w:color w:val="auto"/>
          <w:sz w:val="22"/>
          <w:szCs w:val="22"/>
        </w:rPr>
        <w:t>2.1 Current strategic position and focused scope</w:t>
      </w:r>
      <w:bookmarkEnd w:id="3"/>
    </w:p>
    <w:p w14:paraId="0919F13B" w14:textId="4DEC3D8F" w:rsidR="000E7939" w:rsidRPr="00B4777F" w:rsidRDefault="000E7939">
      <w:pPr>
        <w:rPr>
          <w:rFonts w:cs="Times New Roman"/>
          <w:sz w:val="22"/>
        </w:rPr>
      </w:pPr>
      <w:r w:rsidRPr="00B4777F">
        <w:rPr>
          <w:rStyle w:val="cursor-pointer"/>
          <w:rFonts w:cs="Times New Roman"/>
          <w:sz w:val="22"/>
        </w:rPr>
        <w:t>Amazon has self-service return and refund options, and an A-to-z Guarantee for third-party sellers' purchases.</w:t>
      </w:r>
      <w:r w:rsidRPr="00B4777F">
        <w:rPr>
          <w:rFonts w:cs="Times New Roman"/>
          <w:sz w:val="22"/>
        </w:rPr>
        <w:t xml:space="preserve"> </w:t>
      </w:r>
      <w:r w:rsidRPr="00B4777F">
        <w:rPr>
          <w:rStyle w:val="cursor-pointer"/>
          <w:rFonts w:cs="Times New Roman"/>
          <w:sz w:val="22"/>
        </w:rPr>
        <w:t>Although no specific examples are provided in the Customer guidance, the conditions under which a claim might be requested are outlined, and Seller Central spells out the processes for the Seller to respond and appeal a claim (Amazon.co.uk, n.d.-a; Amazon.co.uk, n.d.-b; Amazon Seller Central, n.d.-a; Amazon Seller Central, n.d.-b).</w:t>
      </w:r>
      <w:r w:rsidRPr="00B4777F">
        <w:rPr>
          <w:rFonts w:cs="Times New Roman"/>
          <w:sz w:val="22"/>
        </w:rPr>
        <w:t xml:space="preserve"> </w:t>
      </w:r>
      <w:r w:rsidRPr="00B4777F">
        <w:rPr>
          <w:rStyle w:val="cursor-pointer"/>
          <w:rFonts w:cs="Times New Roman"/>
          <w:sz w:val="22"/>
        </w:rPr>
        <w:t>These are important arrangements because as soon as transaction risk is reduced, they are a strategic asset.</w:t>
      </w:r>
      <w:r w:rsidRPr="00B4777F">
        <w:rPr>
          <w:rFonts w:cs="Times New Roman"/>
          <w:sz w:val="22"/>
        </w:rPr>
        <w:t xml:space="preserve"> </w:t>
      </w:r>
      <w:r w:rsidRPr="00B4777F">
        <w:rPr>
          <w:rStyle w:val="cursor-pointer"/>
          <w:rFonts w:cs="Times New Roman"/>
          <w:sz w:val="22"/>
        </w:rPr>
        <w:t>However, public rules can't offer any clarity about whether an individual case is likely to be coherent to both parties when delivery scans, return evidence, seller messages and the previous interactions of the parties conflict.</w:t>
      </w:r>
      <w:r w:rsidRPr="00B4777F">
        <w:rPr>
          <w:rFonts w:cs="Times New Roman"/>
          <w:sz w:val="22"/>
        </w:rPr>
        <w:t xml:space="preserve"> </w:t>
      </w:r>
      <w:r w:rsidRPr="00B4777F">
        <w:rPr>
          <w:rStyle w:val="cursor-pointer"/>
          <w:rFonts w:cs="Times New Roman"/>
          <w:sz w:val="22"/>
        </w:rPr>
        <w:t>Current state, however, is not necessarily a lack of policy, it's the selection of joining evidence, explanation and accountable judgement at the challenging end of the journey.</w:t>
      </w:r>
      <w:r w:rsidRPr="00B4777F">
        <w:rPr>
          <w:rFonts w:cs="Times New Roman"/>
          <w:sz w:val="22"/>
        </w:rPr>
        <w:t xml:space="preserve"> </w:t>
      </w:r>
      <w:r w:rsidRPr="00B4777F">
        <w:rPr>
          <w:rStyle w:val="cursor-pointer"/>
          <w:rFonts w:cs="Times New Roman"/>
          <w:sz w:val="22"/>
        </w:rPr>
        <w:t>That judgement is raised in the UK legal context.</w:t>
      </w:r>
      <w:r w:rsidRPr="00B4777F">
        <w:rPr>
          <w:rFonts w:cs="Times New Roman"/>
          <w:sz w:val="22"/>
        </w:rPr>
        <w:t xml:space="preserve"> </w:t>
      </w:r>
      <w:r w:rsidR="003446F8" w:rsidRPr="00B4777F">
        <w:rPr>
          <w:rStyle w:val="cursor-pointer"/>
          <w:rFonts w:cs="Times New Roman"/>
          <w:sz w:val="22"/>
        </w:rPr>
        <w:t>The UK legal context raises the standard for that judgement. Distance-selling rules normally provide a 14-day cancellation period, while the Consumer Rights Act 2015 protects consumers where goods are faulty, not as described or unfit for purpose (Consumer Contracts Regulations, 2013; Consumer Rights Act, 2015). Since April 2025, the Digital Markets, Competition and Consumers Act 2024 has also enabled the Competition and Markets Authority (CMA) to enforce consumer law directly, including remedies and financial penalties (UK Parliament, 2024; Competition and Markets Authority, 2025). These rules do not imply that every refund decision is legally significant under data-protection law; they do mean that process design must support consistency, evidence and challenge</w:t>
      </w:r>
      <w:r w:rsidRPr="00B4777F">
        <w:rPr>
          <w:rStyle w:val="cursor-pointer"/>
          <w:rFonts w:cs="Times New Roman"/>
          <w:sz w:val="22"/>
        </w:rPr>
        <w:t>.</w:t>
      </w:r>
      <w:r w:rsidRPr="00B4777F">
        <w:rPr>
          <w:rFonts w:cs="Times New Roman"/>
          <w:sz w:val="22"/>
        </w:rPr>
        <w:t xml:space="preserve"> </w:t>
      </w:r>
      <w:r w:rsidRPr="00B4777F">
        <w:rPr>
          <w:rStyle w:val="cursor-pointer"/>
          <w:rFonts w:cs="Times New Roman"/>
          <w:sz w:val="22"/>
        </w:rPr>
        <w:t>These rules are not intended to imply that each refund determination is legally binding in terms of the data-protection legislation, but rather that the way the process is designed must be consistent, have evidence and is capable of being challenged.</w:t>
      </w:r>
      <w:r w:rsidRPr="00B4777F">
        <w:rPr>
          <w:rFonts w:cs="Times New Roman"/>
          <w:sz w:val="22"/>
        </w:rPr>
        <w:t xml:space="preserve"> </w:t>
      </w:r>
      <w:r w:rsidRPr="00B4777F">
        <w:rPr>
          <w:rStyle w:val="cursor-pointer"/>
          <w:rFonts w:cs="Times New Roman"/>
          <w:sz w:val="22"/>
        </w:rPr>
        <w:t>The meaning of the CMA's Amazon market place case needs to be interpreted correctly.</w:t>
      </w:r>
      <w:r w:rsidRPr="00B4777F">
        <w:rPr>
          <w:rFonts w:cs="Times New Roman"/>
          <w:sz w:val="22"/>
        </w:rPr>
        <w:t xml:space="preserve"> </w:t>
      </w:r>
      <w:r w:rsidRPr="00B4777F">
        <w:rPr>
          <w:rStyle w:val="cursor-pointer"/>
          <w:rFonts w:cs="Times New Roman"/>
          <w:sz w:val="22"/>
        </w:rPr>
        <w:lastRenderedPageBreak/>
        <w:t>The 2023 commitments related to the way Amazon uses third-party seller data, equal treatment for sellers selected to be the Featured Offer (Buy Box) and Prime sellers' freedom to negotiate delivery rates, but did not involve customers' returns or A-to-z decisions (Competition and Markets Authority, 2024).</w:t>
      </w:r>
      <w:r w:rsidRPr="00B4777F">
        <w:rPr>
          <w:rFonts w:cs="Times New Roman"/>
          <w:sz w:val="22"/>
        </w:rPr>
        <w:t xml:space="preserve"> </w:t>
      </w:r>
      <w:r w:rsidRPr="00B4777F">
        <w:rPr>
          <w:rStyle w:val="cursor-pointer"/>
          <w:rFonts w:cs="Times New Roman"/>
          <w:sz w:val="22"/>
        </w:rPr>
        <w:t>This is therefore indirectly relevant, but no less significant to this report; governance of the marketplace is observable by the regulators; and platform decisions have to be amenable to independent observation.</w:t>
      </w:r>
      <w:r w:rsidRPr="00B4777F">
        <w:rPr>
          <w:rFonts w:cs="Times New Roman"/>
          <w:sz w:val="22"/>
        </w:rPr>
        <w:t xml:space="preserve"> </w:t>
      </w:r>
      <w:r w:rsidRPr="00B4777F">
        <w:rPr>
          <w:rStyle w:val="cursor-pointer"/>
          <w:rFonts w:cs="Times New Roman"/>
          <w:sz w:val="22"/>
        </w:rPr>
        <w:t>As part of the same investigation, the issue of platform power and the risk of self-preferencing re-emphasizes the importance of customer convenience and whether sellers are being treated fairly, as discussed in Etro (2024) and Federal Trade Commission (2023).</w:t>
      </w:r>
      <w:r w:rsidRPr="00B4777F">
        <w:rPr>
          <w:rFonts w:cs="Times New Roman"/>
          <w:sz w:val="22"/>
        </w:rPr>
        <w:t xml:space="preserve"> </w:t>
      </w:r>
      <w:r w:rsidRPr="00B4777F">
        <w:rPr>
          <w:rStyle w:val="cursor-pointer"/>
          <w:rFonts w:cs="Times New Roman"/>
          <w:sz w:val="22"/>
        </w:rPr>
        <w:t>The strategic position is thus quite good, but vulnerable.</w:t>
      </w:r>
      <w:r w:rsidRPr="00B4777F">
        <w:rPr>
          <w:rFonts w:cs="Times New Roman"/>
          <w:sz w:val="22"/>
        </w:rPr>
        <w:t xml:space="preserve"> </w:t>
      </w:r>
      <w:r w:rsidRPr="00B4777F">
        <w:rPr>
          <w:rStyle w:val="cursor-pointer"/>
          <w:rFonts w:cs="Times New Roman"/>
          <w:sz w:val="22"/>
        </w:rPr>
        <w:t>The scale, data and fulfilment integration Amazon has allowed for allows for quick recovery, but over-automation can introduce more effort back to the customer, heighten frustration, or mask the reason behind the decision.</w:t>
      </w:r>
      <w:r w:rsidRPr="00B4777F">
        <w:rPr>
          <w:rFonts w:cs="Times New Roman"/>
          <w:sz w:val="22"/>
        </w:rPr>
        <w:t xml:space="preserve"> </w:t>
      </w:r>
      <w:r w:rsidRPr="00B4777F">
        <w:rPr>
          <w:rStyle w:val="cursor-pointer"/>
          <w:rFonts w:cs="Times New Roman"/>
          <w:sz w:val="22"/>
        </w:rPr>
        <w:t>The research on AI interactions for service finds that poor quality of interactions, lack of choices for users and inability to recover value, destroy the value created (Castillo, Canhoto and Said, 2021; Ferraro et al., 2024; Hsu and Lin, 2023; Puntoni et al., 2021).</w:t>
      </w:r>
      <w:r w:rsidRPr="00B4777F">
        <w:rPr>
          <w:rFonts w:cs="Times New Roman"/>
          <w:sz w:val="22"/>
        </w:rPr>
        <w:t xml:space="preserve"> </w:t>
      </w:r>
      <w:r w:rsidRPr="00B4777F">
        <w:rPr>
          <w:rStyle w:val="cursor-pointer"/>
          <w:rFonts w:cs="Times New Roman"/>
          <w:sz w:val="22"/>
        </w:rPr>
        <w:t>The desired direction is selective automation of processing – if the case is routine and it is easy to do it quickly, and the following steps are taken automatically, but if the evidence is conflicting, the seller argues the result, if the value is high, or if there is a vulnerability, or repeated contacts show that the normal path has failed, processing is done with human intervention and a clearly marked path for such cases.</w:t>
      </w:r>
    </w:p>
    <w:p w14:paraId="641F8F60" w14:textId="77777777" w:rsidR="008042AD" w:rsidRPr="00B4777F" w:rsidRDefault="00EE2FCA">
      <w:pPr>
        <w:pStyle w:val="Heading2"/>
        <w:spacing w:before="80" w:after="40"/>
        <w:rPr>
          <w:rFonts w:ascii="Times New Roman" w:hAnsi="Times New Roman" w:cs="Times New Roman"/>
          <w:color w:val="auto"/>
          <w:sz w:val="22"/>
          <w:szCs w:val="22"/>
        </w:rPr>
      </w:pPr>
      <w:bookmarkStart w:id="4" w:name="_Toc242257093"/>
      <w:r w:rsidRPr="00B4777F">
        <w:rPr>
          <w:rFonts w:ascii="Times New Roman" w:eastAsia="Times New Roman" w:hAnsi="Times New Roman" w:cs="Times New Roman"/>
          <w:color w:val="auto"/>
          <w:sz w:val="22"/>
          <w:szCs w:val="22"/>
        </w:rPr>
        <w:t>2.2 PESTEL: UK opportunities and threats</w:t>
      </w:r>
      <w:bookmarkEnd w:id="4"/>
    </w:p>
    <w:p w14:paraId="7E5493F4" w14:textId="67F77EE9" w:rsidR="000E7939" w:rsidRPr="00B4777F" w:rsidRDefault="000E7939">
      <w:pPr>
        <w:rPr>
          <w:rFonts w:cs="Times New Roman"/>
          <w:sz w:val="22"/>
        </w:rPr>
      </w:pPr>
      <w:r w:rsidRPr="00B4777F">
        <w:rPr>
          <w:rStyle w:val="cursor-pointer"/>
          <w:rFonts w:cs="Times New Roman"/>
          <w:sz w:val="22"/>
        </w:rPr>
        <w:t>The PESTEL framework is used to recognise external influences that may significantly impact Amazon's UK Marketplace recovery.</w:t>
      </w:r>
      <w:r w:rsidRPr="00B4777F">
        <w:rPr>
          <w:rFonts w:cs="Times New Roman"/>
          <w:sz w:val="22"/>
        </w:rPr>
        <w:t xml:space="preserve"> </w:t>
      </w:r>
      <w:r w:rsidRPr="00B4777F">
        <w:rPr>
          <w:rStyle w:val="cursor-pointer"/>
          <w:rFonts w:cs="Times New Roman"/>
          <w:sz w:val="22"/>
        </w:rPr>
        <w:t>Each of the factors is identified as an opportunity, threat or both so that it can flow directly into TOWS and not be a list of factors.</w:t>
      </w:r>
    </w:p>
    <w:p w14:paraId="1A54E563" w14:textId="77777777" w:rsidR="008042AD" w:rsidRPr="00B4777F" w:rsidRDefault="00EE2FCA">
      <w:pPr>
        <w:pStyle w:val="Caption"/>
        <w:keepNext/>
        <w:rPr>
          <w:rFonts w:cs="Times New Roman"/>
          <w:color w:val="auto"/>
          <w:sz w:val="22"/>
          <w:szCs w:val="22"/>
        </w:rPr>
      </w:pPr>
      <w:r w:rsidRPr="00B4777F">
        <w:rPr>
          <w:rFonts w:cs="Times New Roman"/>
          <w:color w:val="auto"/>
          <w:sz w:val="22"/>
          <w:szCs w:val="22"/>
        </w:rPr>
        <w:t>Table 1. PESTEL analysis of Amazon UK Marketplace customer care</w:t>
      </w:r>
    </w:p>
    <w:tbl>
      <w:tblPr>
        <w:tblStyle w:val="TableGrid"/>
        <w:tblW w:w="0" w:type="auto"/>
        <w:tblLayout w:type="fixed"/>
        <w:tblLook w:val="04A0" w:firstRow="1" w:lastRow="0" w:firstColumn="1" w:lastColumn="0" w:noHBand="0" w:noVBand="1"/>
      </w:tblPr>
      <w:tblGrid>
        <w:gridCol w:w="1728"/>
        <w:gridCol w:w="3528"/>
        <w:gridCol w:w="3744"/>
      </w:tblGrid>
      <w:tr w:rsidR="009327A8" w:rsidRPr="00B4777F" w14:paraId="242A4DE9" w14:textId="77777777" w:rsidTr="00003485">
        <w:tc>
          <w:tcPr>
            <w:tcW w:w="1728" w:type="dxa"/>
          </w:tcPr>
          <w:p w14:paraId="45F0C29C" w14:textId="77777777" w:rsidR="008042AD" w:rsidRPr="00B4777F" w:rsidRDefault="00EE2FCA">
            <w:pPr>
              <w:jc w:val="center"/>
              <w:rPr>
                <w:rFonts w:cs="Times New Roman"/>
                <w:sz w:val="22"/>
              </w:rPr>
            </w:pPr>
            <w:r w:rsidRPr="00B4777F">
              <w:rPr>
                <w:rFonts w:cs="Times New Roman"/>
                <w:b/>
                <w:sz w:val="22"/>
              </w:rPr>
              <w:t>Factor</w:t>
            </w:r>
          </w:p>
        </w:tc>
        <w:tc>
          <w:tcPr>
            <w:tcW w:w="3528" w:type="dxa"/>
          </w:tcPr>
          <w:p w14:paraId="4066A4A0" w14:textId="77777777" w:rsidR="008042AD" w:rsidRPr="00B4777F" w:rsidRDefault="00EE2FCA">
            <w:pPr>
              <w:jc w:val="center"/>
              <w:rPr>
                <w:rFonts w:cs="Times New Roman"/>
                <w:sz w:val="22"/>
              </w:rPr>
            </w:pPr>
            <w:r w:rsidRPr="00B4777F">
              <w:rPr>
                <w:rFonts w:cs="Times New Roman"/>
                <w:b/>
                <w:sz w:val="22"/>
              </w:rPr>
              <w:t>Current evidence</w:t>
            </w:r>
          </w:p>
        </w:tc>
        <w:tc>
          <w:tcPr>
            <w:tcW w:w="3744" w:type="dxa"/>
          </w:tcPr>
          <w:p w14:paraId="3CC672AE" w14:textId="77777777" w:rsidR="008042AD" w:rsidRPr="00B4777F" w:rsidRDefault="00EE2FCA">
            <w:pPr>
              <w:jc w:val="center"/>
              <w:rPr>
                <w:rFonts w:cs="Times New Roman"/>
                <w:sz w:val="22"/>
              </w:rPr>
            </w:pPr>
            <w:r w:rsidRPr="00B4777F">
              <w:rPr>
                <w:rFonts w:cs="Times New Roman"/>
                <w:b/>
                <w:sz w:val="22"/>
              </w:rPr>
              <w:t>Strategic opportunity or threat</w:t>
            </w:r>
          </w:p>
        </w:tc>
      </w:tr>
      <w:tr w:rsidR="009327A8" w:rsidRPr="00B4777F" w14:paraId="2764F84C" w14:textId="77777777" w:rsidTr="00003485">
        <w:tc>
          <w:tcPr>
            <w:tcW w:w="1728" w:type="dxa"/>
          </w:tcPr>
          <w:p w14:paraId="05FBAF2D" w14:textId="77777777" w:rsidR="008042AD" w:rsidRPr="00B4777F" w:rsidRDefault="00EE2FCA">
            <w:pPr>
              <w:rPr>
                <w:rFonts w:cs="Times New Roman"/>
                <w:sz w:val="22"/>
              </w:rPr>
            </w:pPr>
            <w:r w:rsidRPr="00B4777F">
              <w:rPr>
                <w:rFonts w:cs="Times New Roman"/>
                <w:sz w:val="22"/>
              </w:rPr>
              <w:t>Political / regulatory</w:t>
            </w:r>
          </w:p>
        </w:tc>
        <w:tc>
          <w:tcPr>
            <w:tcW w:w="3528" w:type="dxa"/>
          </w:tcPr>
          <w:p w14:paraId="237C086C" w14:textId="77777777" w:rsidR="008042AD" w:rsidRPr="00B4777F" w:rsidRDefault="00EE2FCA">
            <w:pPr>
              <w:rPr>
                <w:rFonts w:cs="Times New Roman"/>
                <w:sz w:val="22"/>
              </w:rPr>
            </w:pPr>
            <w:r w:rsidRPr="00B4777F">
              <w:rPr>
                <w:rFonts w:cs="Times New Roman"/>
                <w:sz w:val="22"/>
              </w:rPr>
              <w:t xml:space="preserve">The CMA's Amazon commitments concern seller-data use, Featured Offer selection and Prime delivery </w:t>
            </w:r>
            <w:r w:rsidRPr="00B4777F">
              <w:rPr>
                <w:rFonts w:cs="Times New Roman"/>
                <w:sz w:val="22"/>
              </w:rPr>
              <w:lastRenderedPageBreak/>
              <w:t>negotiations. New direct consumer-enforcement powers have increased the consequences of weak consumer processes (Competition and Markets Authority, 2024; Competition and Markets Authority, 2025).</w:t>
            </w:r>
          </w:p>
        </w:tc>
        <w:tc>
          <w:tcPr>
            <w:tcW w:w="3744" w:type="dxa"/>
          </w:tcPr>
          <w:p w14:paraId="685BDE1D" w14:textId="77777777" w:rsidR="008042AD" w:rsidRPr="00B4777F" w:rsidRDefault="00EE2FCA">
            <w:pPr>
              <w:rPr>
                <w:rFonts w:cs="Times New Roman"/>
                <w:sz w:val="22"/>
              </w:rPr>
            </w:pPr>
            <w:r w:rsidRPr="00B4777F">
              <w:rPr>
                <w:rFonts w:cs="Times New Roman"/>
                <w:sz w:val="22"/>
              </w:rPr>
              <w:lastRenderedPageBreak/>
              <w:t xml:space="preserve">Threat: opaque or inconsistently evidenced decisions may attract complaints and regulatory attention. </w:t>
            </w:r>
            <w:r w:rsidRPr="00B4777F">
              <w:rPr>
                <w:rFonts w:cs="Times New Roman"/>
                <w:sz w:val="22"/>
              </w:rPr>
              <w:lastRenderedPageBreak/>
              <w:t>Opportunity: auditable explanations and balanced appeals can strengthen legitimacy with customers and sellers.</w:t>
            </w:r>
          </w:p>
        </w:tc>
      </w:tr>
      <w:tr w:rsidR="009327A8" w:rsidRPr="00B4777F" w14:paraId="205DF844" w14:textId="77777777" w:rsidTr="00003485">
        <w:tc>
          <w:tcPr>
            <w:tcW w:w="1728" w:type="dxa"/>
          </w:tcPr>
          <w:p w14:paraId="67963574" w14:textId="77777777" w:rsidR="008042AD" w:rsidRPr="00B4777F" w:rsidRDefault="00EE2FCA">
            <w:pPr>
              <w:rPr>
                <w:rFonts w:cs="Times New Roman"/>
                <w:sz w:val="22"/>
              </w:rPr>
            </w:pPr>
            <w:r w:rsidRPr="00B4777F">
              <w:rPr>
                <w:rFonts w:cs="Times New Roman"/>
                <w:sz w:val="22"/>
              </w:rPr>
              <w:lastRenderedPageBreak/>
              <w:t>Economic</w:t>
            </w:r>
          </w:p>
        </w:tc>
        <w:tc>
          <w:tcPr>
            <w:tcW w:w="3528" w:type="dxa"/>
          </w:tcPr>
          <w:p w14:paraId="088D85AD" w14:textId="77777777" w:rsidR="008042AD" w:rsidRPr="00B4777F" w:rsidRDefault="00EE2FCA">
            <w:pPr>
              <w:rPr>
                <w:rFonts w:cs="Times New Roman"/>
                <w:sz w:val="22"/>
              </w:rPr>
            </w:pPr>
            <w:r w:rsidRPr="00B4777F">
              <w:rPr>
                <w:rFonts w:cs="Times New Roman"/>
                <w:sz w:val="22"/>
              </w:rPr>
              <w:t>Amazon continues to invest in UK capacity and employs more than 75,000 people, but customer care must still protect cost-to-serve and marketplace participation (Amazon UK, 2023; Amazon UK, 2025).</w:t>
            </w:r>
          </w:p>
        </w:tc>
        <w:tc>
          <w:tcPr>
            <w:tcW w:w="3744" w:type="dxa"/>
          </w:tcPr>
          <w:p w14:paraId="384DEBDB" w14:textId="77777777" w:rsidR="008042AD" w:rsidRPr="00B4777F" w:rsidRDefault="00EE2FCA">
            <w:pPr>
              <w:rPr>
                <w:rFonts w:cs="Times New Roman"/>
                <w:sz w:val="22"/>
              </w:rPr>
            </w:pPr>
            <w:r w:rsidRPr="00B4777F">
              <w:rPr>
                <w:rFonts w:cs="Times New Roman"/>
                <w:sz w:val="22"/>
              </w:rPr>
              <w:t>Threat: manual handling of every contact would raise cost and delay. Opportunity: triage routine work automatically and concentrate skilled effort where recovery protects retention or prevents repeated contact.</w:t>
            </w:r>
          </w:p>
        </w:tc>
      </w:tr>
      <w:tr w:rsidR="009327A8" w:rsidRPr="00B4777F" w14:paraId="2EFE3EAD" w14:textId="77777777" w:rsidTr="00003485">
        <w:tc>
          <w:tcPr>
            <w:tcW w:w="1728" w:type="dxa"/>
          </w:tcPr>
          <w:p w14:paraId="500A1C06" w14:textId="77777777" w:rsidR="008042AD" w:rsidRPr="00B4777F" w:rsidRDefault="00EE2FCA">
            <w:pPr>
              <w:rPr>
                <w:rFonts w:cs="Times New Roman"/>
                <w:sz w:val="22"/>
              </w:rPr>
            </w:pPr>
            <w:r w:rsidRPr="00B4777F">
              <w:rPr>
                <w:rFonts w:cs="Times New Roman"/>
                <w:sz w:val="22"/>
              </w:rPr>
              <w:t>Social</w:t>
            </w:r>
          </w:p>
        </w:tc>
        <w:tc>
          <w:tcPr>
            <w:tcW w:w="3528" w:type="dxa"/>
          </w:tcPr>
          <w:p w14:paraId="2EE1EB6C" w14:textId="77777777" w:rsidR="008042AD" w:rsidRPr="00B4777F" w:rsidRDefault="00EE2FCA">
            <w:pPr>
              <w:rPr>
                <w:rFonts w:cs="Times New Roman"/>
                <w:sz w:val="22"/>
              </w:rPr>
            </w:pPr>
            <w:r w:rsidRPr="00B4777F">
              <w:rPr>
                <w:rFonts w:cs="Times New Roman"/>
                <w:sz w:val="22"/>
              </w:rPr>
              <w:t>Customers value speed but react negatively when a bot appears insensitive or blocks recovery; warmth, solution quality and trustworthiness affect responses after failure (Choi, Mattila and Bolton, 2021; Crolic et al., 2022; Haupt et al., 2023).</w:t>
            </w:r>
          </w:p>
        </w:tc>
        <w:tc>
          <w:tcPr>
            <w:tcW w:w="3744" w:type="dxa"/>
          </w:tcPr>
          <w:p w14:paraId="2C114E86" w14:textId="020A475E" w:rsidR="008042AD" w:rsidRPr="00B4777F" w:rsidRDefault="0033492E">
            <w:pPr>
              <w:rPr>
                <w:rFonts w:cs="Times New Roman"/>
                <w:sz w:val="22"/>
              </w:rPr>
            </w:pPr>
            <w:r w:rsidRPr="00B4777F">
              <w:rPr>
                <w:rFonts w:cs="Times New Roman"/>
                <w:sz w:val="22"/>
              </w:rPr>
              <w:t>Threat: in an emotional and/or disputed case, anger can be exacerbated by automation. Opportunity: reveal the service route, make appropriate language and/or provide a meaningful human escalation when empathy or judgement is required.</w:t>
            </w:r>
          </w:p>
        </w:tc>
      </w:tr>
      <w:tr w:rsidR="009327A8" w:rsidRPr="00B4777F" w14:paraId="119A2380" w14:textId="77777777" w:rsidTr="00003485">
        <w:tc>
          <w:tcPr>
            <w:tcW w:w="1728" w:type="dxa"/>
          </w:tcPr>
          <w:p w14:paraId="6AB73E13" w14:textId="77777777" w:rsidR="008042AD" w:rsidRPr="00B4777F" w:rsidRDefault="00EE2FCA">
            <w:pPr>
              <w:rPr>
                <w:rFonts w:cs="Times New Roman"/>
                <w:sz w:val="22"/>
              </w:rPr>
            </w:pPr>
            <w:r w:rsidRPr="00B4777F">
              <w:rPr>
                <w:rFonts w:cs="Times New Roman"/>
                <w:sz w:val="22"/>
              </w:rPr>
              <w:t>Technological</w:t>
            </w:r>
          </w:p>
        </w:tc>
        <w:tc>
          <w:tcPr>
            <w:tcW w:w="3528" w:type="dxa"/>
          </w:tcPr>
          <w:p w14:paraId="12D546D5" w14:textId="77777777" w:rsidR="008042AD" w:rsidRPr="00B4777F" w:rsidRDefault="00EE2FCA">
            <w:pPr>
              <w:rPr>
                <w:rFonts w:cs="Times New Roman"/>
                <w:sz w:val="22"/>
              </w:rPr>
            </w:pPr>
            <w:r w:rsidRPr="00B4777F">
              <w:rPr>
                <w:rFonts w:cs="Times New Roman"/>
                <w:sz w:val="22"/>
              </w:rPr>
              <w:t>AI can classify intent and speed routine service, while recovery quality and conversational quality influence satisfaction (Agnihotri and Bhattacharya, 2024; Hsu and Lin, 2023; Huang and Rust, 2021).</w:t>
            </w:r>
          </w:p>
        </w:tc>
        <w:tc>
          <w:tcPr>
            <w:tcW w:w="3744" w:type="dxa"/>
          </w:tcPr>
          <w:p w14:paraId="1B0B0A62" w14:textId="77777777" w:rsidR="008042AD" w:rsidRPr="00B4777F" w:rsidRDefault="00EE2FCA">
            <w:pPr>
              <w:rPr>
                <w:rFonts w:cs="Times New Roman"/>
                <w:sz w:val="22"/>
              </w:rPr>
            </w:pPr>
            <w:r w:rsidRPr="00B4777F">
              <w:rPr>
                <w:rFonts w:cs="Times New Roman"/>
                <w:sz w:val="22"/>
              </w:rPr>
              <w:t>Threat: false positives, missing context and automation bias can scale poor decisions. Opportunity: combine machine triage with a filtered journey view and human confirmation for exceptional cases.</w:t>
            </w:r>
          </w:p>
        </w:tc>
      </w:tr>
      <w:tr w:rsidR="009327A8" w:rsidRPr="00B4777F" w14:paraId="06B30FFE" w14:textId="77777777" w:rsidTr="00003485">
        <w:tc>
          <w:tcPr>
            <w:tcW w:w="1728" w:type="dxa"/>
          </w:tcPr>
          <w:p w14:paraId="6150AD6E" w14:textId="77777777" w:rsidR="008042AD" w:rsidRPr="00B4777F" w:rsidRDefault="00EE2FCA">
            <w:pPr>
              <w:rPr>
                <w:rFonts w:cs="Times New Roman"/>
                <w:sz w:val="22"/>
              </w:rPr>
            </w:pPr>
            <w:r w:rsidRPr="00B4777F">
              <w:rPr>
                <w:rFonts w:cs="Times New Roman"/>
                <w:sz w:val="22"/>
              </w:rPr>
              <w:lastRenderedPageBreak/>
              <w:t>Environmental</w:t>
            </w:r>
          </w:p>
        </w:tc>
        <w:tc>
          <w:tcPr>
            <w:tcW w:w="3528" w:type="dxa"/>
          </w:tcPr>
          <w:p w14:paraId="6F1A3D2F" w14:textId="42300F09" w:rsidR="008042AD" w:rsidRPr="00B4777F" w:rsidRDefault="0033492E">
            <w:pPr>
              <w:rPr>
                <w:rFonts w:cs="Times New Roman"/>
                <w:sz w:val="22"/>
              </w:rPr>
            </w:pPr>
            <w:r w:rsidRPr="00B4777F">
              <w:rPr>
                <w:rFonts w:cs="Times New Roman"/>
                <w:sz w:val="22"/>
              </w:rPr>
              <w:t>Returns result in transportation, handling, and potentially disposal effects, but Amazon states it is still investing in operations and sustainability, and high volumes of returns are a challenge in the industry (Amazon.com, Inc., 2025).</w:t>
            </w:r>
            <w:r w:rsidRPr="00B4777F">
              <w:rPr>
                <w:rFonts w:cs="Times New Roman"/>
                <w:sz w:val="22"/>
              </w:rPr>
              <w:tab/>
            </w:r>
          </w:p>
        </w:tc>
        <w:tc>
          <w:tcPr>
            <w:tcW w:w="3744" w:type="dxa"/>
          </w:tcPr>
          <w:p w14:paraId="5CAA2750" w14:textId="44BA8E64" w:rsidR="008042AD" w:rsidRPr="00B4777F" w:rsidRDefault="00982130">
            <w:pPr>
              <w:rPr>
                <w:rFonts w:cs="Times New Roman"/>
                <w:sz w:val="22"/>
              </w:rPr>
            </w:pPr>
            <w:r w:rsidRPr="00B4777F">
              <w:rPr>
                <w:rFonts w:cs="Times New Roman"/>
                <w:sz w:val="22"/>
              </w:rPr>
              <w:t>Threat: unnecessary return movements cause costs and emissions</w:t>
            </w:r>
            <w:r w:rsidR="0033492E" w:rsidRPr="00B4777F">
              <w:rPr>
                <w:rFonts w:cs="Times New Roman"/>
                <w:sz w:val="22"/>
              </w:rPr>
              <w:t>. Opportunity: where lawful and appropriate, an accurate diagnosis can lead to repair or no-return solutions without compromising consumer rights, when such solutions are avoided unnecessarily.</w:t>
            </w:r>
          </w:p>
        </w:tc>
      </w:tr>
      <w:tr w:rsidR="0075209C" w:rsidRPr="00B4777F" w14:paraId="54BAF6A8" w14:textId="77777777" w:rsidTr="00003485">
        <w:tc>
          <w:tcPr>
            <w:tcW w:w="1728" w:type="dxa"/>
          </w:tcPr>
          <w:p w14:paraId="1E793447" w14:textId="77777777" w:rsidR="008042AD" w:rsidRPr="00B4777F" w:rsidRDefault="00EE2FCA">
            <w:pPr>
              <w:rPr>
                <w:rFonts w:cs="Times New Roman"/>
                <w:sz w:val="22"/>
              </w:rPr>
            </w:pPr>
            <w:r w:rsidRPr="00B4777F">
              <w:rPr>
                <w:rFonts w:cs="Times New Roman"/>
                <w:sz w:val="22"/>
              </w:rPr>
              <w:t>Legal / data protection</w:t>
            </w:r>
          </w:p>
        </w:tc>
        <w:tc>
          <w:tcPr>
            <w:tcW w:w="3528" w:type="dxa"/>
          </w:tcPr>
          <w:p w14:paraId="2AD759B1" w14:textId="69C30909" w:rsidR="008042AD" w:rsidRPr="00B4777F" w:rsidRDefault="0033492E">
            <w:pPr>
              <w:rPr>
                <w:rFonts w:cs="Times New Roman"/>
                <w:sz w:val="22"/>
              </w:rPr>
            </w:pPr>
            <w:r w:rsidRPr="00B4777F">
              <w:rPr>
                <w:rFonts w:cs="Times New Roman"/>
                <w:sz w:val="22"/>
              </w:rPr>
              <w:t>If Article 22 is applicable, there are various forms of protection: meaningful human intervention and rights of appeal (Information Commissioner’s Office, 2023; Information Commissioner’s Office, n.d.).</w:t>
            </w:r>
          </w:p>
        </w:tc>
        <w:tc>
          <w:tcPr>
            <w:tcW w:w="3744" w:type="dxa"/>
          </w:tcPr>
          <w:p w14:paraId="2298A33C" w14:textId="77777777" w:rsidR="008042AD" w:rsidRPr="00B4777F" w:rsidRDefault="00EE2FCA">
            <w:pPr>
              <w:rPr>
                <w:rFonts w:cs="Times New Roman"/>
                <w:sz w:val="22"/>
              </w:rPr>
            </w:pPr>
            <w:r w:rsidRPr="00B4777F">
              <w:rPr>
                <w:rFonts w:cs="Times New Roman"/>
                <w:sz w:val="22"/>
              </w:rPr>
              <w:t>Threat: excessive data access or unreviewable automation creates compliance and trust risk. Opportunity: role-based access, a data-protection impact assessment, audit logs and a contestable human-review route can support responsible personalisation.</w:t>
            </w:r>
          </w:p>
        </w:tc>
      </w:tr>
    </w:tbl>
    <w:p w14:paraId="391A04D8" w14:textId="77777777" w:rsidR="008042AD" w:rsidRPr="00B4777F" w:rsidRDefault="00EE2FCA">
      <w:pPr>
        <w:spacing w:after="120"/>
        <w:rPr>
          <w:rFonts w:cs="Times New Roman"/>
          <w:sz w:val="22"/>
        </w:rPr>
      </w:pPr>
      <w:r w:rsidRPr="00B4777F">
        <w:rPr>
          <w:rFonts w:cs="Times New Roman"/>
          <w:i/>
          <w:sz w:val="22"/>
        </w:rPr>
        <w:t>Source: Author's analysis based on the cited official and academic sources.</w:t>
      </w:r>
    </w:p>
    <w:p w14:paraId="0B32CC18" w14:textId="644E7ED4" w:rsidR="000E7939" w:rsidRPr="00B4777F" w:rsidRDefault="000E7939">
      <w:pPr>
        <w:rPr>
          <w:rFonts w:cs="Times New Roman"/>
          <w:sz w:val="22"/>
        </w:rPr>
      </w:pPr>
      <w:r w:rsidRPr="00B4777F">
        <w:rPr>
          <w:rStyle w:val="cursor-pointer"/>
          <w:rFonts w:cs="Times New Roman"/>
          <w:sz w:val="22"/>
        </w:rPr>
        <w:t>The information comes from official and academic sources cited by the author and is based on his/her analysis.</w:t>
      </w:r>
      <w:r w:rsidRPr="00B4777F">
        <w:rPr>
          <w:rFonts w:cs="Times New Roman"/>
          <w:sz w:val="22"/>
        </w:rPr>
        <w:t xml:space="preserve"> </w:t>
      </w:r>
      <w:r w:rsidRPr="00B4777F">
        <w:rPr>
          <w:rStyle w:val="cursor-pointer"/>
          <w:rFonts w:cs="Times New Roman"/>
          <w:sz w:val="22"/>
        </w:rPr>
        <w:t>Technology is the most significant PESTEL interaction, but it is the interplay of regulatory obligation, customer requirements and economy of scale that is most important.</w:t>
      </w:r>
      <w:r w:rsidRPr="00B4777F">
        <w:rPr>
          <w:rFonts w:cs="Times New Roman"/>
          <w:sz w:val="22"/>
        </w:rPr>
        <w:t xml:space="preserve"> </w:t>
      </w:r>
      <w:r w:rsidRPr="00B4777F">
        <w:rPr>
          <w:rStyle w:val="cursor-pointer"/>
          <w:rFonts w:cs="Times New Roman"/>
          <w:sz w:val="22"/>
        </w:rPr>
        <w:t>While a single automated refund might work in the efficiency of it, a dispute over a large amount of money is going to impact consumers' trust and the perception of fairness for the seller.</w:t>
      </w:r>
      <w:r w:rsidRPr="00B4777F">
        <w:rPr>
          <w:rFonts w:cs="Times New Roman"/>
          <w:sz w:val="22"/>
        </w:rPr>
        <w:t xml:space="preserve"> </w:t>
      </w:r>
      <w:r w:rsidRPr="00B4777F">
        <w:rPr>
          <w:rStyle w:val="cursor-pointer"/>
          <w:rFonts w:cs="Times New Roman"/>
          <w:sz w:val="22"/>
        </w:rPr>
        <w:t>But privacy research also shows that personalisation can only be of value if the information is used proportionately and in a manner that is trusted (Acquisti, Brandimarte and Loewenstein, 2015; Aguirre et al., 2015; Martin and Murphy, 2017; Steinhoff and Martin, 2023).</w:t>
      </w:r>
      <w:r w:rsidRPr="00B4777F">
        <w:rPr>
          <w:rFonts w:cs="Times New Roman"/>
          <w:sz w:val="22"/>
        </w:rPr>
        <w:t xml:space="preserve"> </w:t>
      </w:r>
      <w:r w:rsidRPr="00B4777F">
        <w:rPr>
          <w:rStyle w:val="cursor-pointer"/>
          <w:rFonts w:cs="Times New Roman"/>
          <w:sz w:val="22"/>
        </w:rPr>
        <w:t>The outside opportunity, then, is one that does not include the recovery of the relationship, and the primary threat is a uniform process that is quick and inexplicable.</w:t>
      </w:r>
      <w:r w:rsidRPr="00B4777F">
        <w:rPr>
          <w:rFonts w:cs="Times New Roman"/>
          <w:sz w:val="22"/>
        </w:rPr>
        <w:t xml:space="preserve"> </w:t>
      </w:r>
      <w:r w:rsidRPr="00B4777F">
        <w:rPr>
          <w:rStyle w:val="cursor-pointer"/>
          <w:rFonts w:cs="Times New Roman"/>
          <w:sz w:val="22"/>
        </w:rPr>
        <w:t>With these findings, O1-3 and T1-4 are the components of the TOWS matrix.</w:t>
      </w:r>
    </w:p>
    <w:p w14:paraId="033E93DA" w14:textId="77777777" w:rsidR="008042AD" w:rsidRPr="00B4777F" w:rsidRDefault="00EE2FCA">
      <w:pPr>
        <w:pStyle w:val="Heading2"/>
        <w:spacing w:before="80" w:after="40"/>
        <w:rPr>
          <w:rFonts w:ascii="Times New Roman" w:hAnsi="Times New Roman" w:cs="Times New Roman"/>
          <w:color w:val="auto"/>
          <w:sz w:val="22"/>
          <w:szCs w:val="22"/>
        </w:rPr>
      </w:pPr>
      <w:bookmarkStart w:id="5" w:name="_Toc242257094"/>
      <w:r w:rsidRPr="00B4777F">
        <w:rPr>
          <w:rFonts w:ascii="Times New Roman" w:eastAsia="Times New Roman" w:hAnsi="Times New Roman" w:cs="Times New Roman"/>
          <w:color w:val="auto"/>
          <w:sz w:val="22"/>
          <w:szCs w:val="22"/>
        </w:rPr>
        <w:lastRenderedPageBreak/>
        <w:t>2.3 TOWS synthesis</w:t>
      </w:r>
      <w:bookmarkEnd w:id="5"/>
    </w:p>
    <w:p w14:paraId="3D13114A" w14:textId="4BA931ED" w:rsidR="00A40EB3" w:rsidRPr="00B4777F" w:rsidRDefault="00A40EB3">
      <w:pPr>
        <w:rPr>
          <w:rStyle w:val="cursor-pointer"/>
          <w:rFonts w:cs="Times New Roman"/>
          <w:sz w:val="22"/>
        </w:rPr>
      </w:pPr>
      <w:r w:rsidRPr="00B4777F">
        <w:rPr>
          <w:rStyle w:val="cursor-pointer"/>
          <w:rFonts w:cs="Times New Roman"/>
          <w:sz w:val="22"/>
        </w:rPr>
        <w:t xml:space="preserve">TOWS is the external findings plus the evidence of the internal conditions. </w:t>
      </w:r>
      <w:r w:rsidR="006A0EEE" w:rsidRPr="00B4777F">
        <w:rPr>
          <w:rStyle w:val="cursor-pointer"/>
          <w:rFonts w:cs="Times New Roman"/>
          <w:sz w:val="22"/>
        </w:rPr>
        <w:t>Weaknesses include fragmented case ownership, possible over-reliance on automation, and limited public clarity around complex marketplace dispute resolution.</w:t>
      </w:r>
      <w:r w:rsidRPr="00B4777F">
        <w:rPr>
          <w:rStyle w:val="cursor-pointer"/>
          <w:rFonts w:cs="Times New Roman"/>
          <w:sz w:val="22"/>
        </w:rPr>
        <w:t xml:space="preserve"> Lack of accountability, an increased risk of information not being structured for frontline decision-making and limited public visibility into the process for complex case resolution are identified as weaknesses. Opportunities include the ability to perform responsible triage, explainable recovery, and reduced avoidable return effort; threats include enforcement, privacy failure, frustration through automation, and seller distrust (Weihrich, 1982).</w:t>
      </w:r>
    </w:p>
    <w:p w14:paraId="40BF9FCB" w14:textId="77777777" w:rsidR="00994CAE" w:rsidRPr="00B4777F" w:rsidRDefault="00994CAE">
      <w:pPr>
        <w:rPr>
          <w:rFonts w:cs="Times New Roman"/>
          <w:sz w:val="22"/>
        </w:rPr>
      </w:pPr>
    </w:p>
    <w:p w14:paraId="1FB48663" w14:textId="77777777" w:rsidR="008042AD" w:rsidRPr="00B4777F" w:rsidRDefault="00EE2FCA">
      <w:pPr>
        <w:pStyle w:val="Caption"/>
        <w:keepNext/>
        <w:rPr>
          <w:rFonts w:cs="Times New Roman"/>
          <w:color w:val="auto"/>
          <w:sz w:val="22"/>
          <w:szCs w:val="22"/>
        </w:rPr>
      </w:pPr>
      <w:r w:rsidRPr="00B4777F">
        <w:rPr>
          <w:rFonts w:cs="Times New Roman"/>
          <w:color w:val="auto"/>
          <w:sz w:val="22"/>
          <w:szCs w:val="22"/>
        </w:rPr>
        <w:t>Table 2. TOWS matrix for the focused strategic issue</w:t>
      </w:r>
    </w:p>
    <w:tbl>
      <w:tblPr>
        <w:tblStyle w:val="TableGrid"/>
        <w:tblW w:w="0" w:type="auto"/>
        <w:tblLayout w:type="fixed"/>
        <w:tblLook w:val="04A0" w:firstRow="1" w:lastRow="0" w:firstColumn="1" w:lastColumn="0" w:noHBand="0" w:noVBand="1"/>
      </w:tblPr>
      <w:tblGrid>
        <w:gridCol w:w="1944"/>
        <w:gridCol w:w="3528"/>
        <w:gridCol w:w="3528"/>
      </w:tblGrid>
      <w:tr w:rsidR="009327A8" w:rsidRPr="00B4777F" w14:paraId="6E974280" w14:textId="77777777" w:rsidTr="0075209C">
        <w:tc>
          <w:tcPr>
            <w:tcW w:w="1944" w:type="dxa"/>
          </w:tcPr>
          <w:p w14:paraId="6B9458A2" w14:textId="77777777" w:rsidR="008042AD" w:rsidRPr="00B4777F" w:rsidRDefault="00EE2FCA">
            <w:pPr>
              <w:jc w:val="center"/>
              <w:rPr>
                <w:rFonts w:cs="Times New Roman"/>
                <w:sz w:val="22"/>
              </w:rPr>
            </w:pPr>
            <w:r w:rsidRPr="00B4777F">
              <w:rPr>
                <w:rFonts w:cs="Times New Roman"/>
                <w:b/>
                <w:sz w:val="22"/>
              </w:rPr>
              <w:t>TOWS route</w:t>
            </w:r>
          </w:p>
        </w:tc>
        <w:tc>
          <w:tcPr>
            <w:tcW w:w="3528" w:type="dxa"/>
          </w:tcPr>
          <w:p w14:paraId="3519226F" w14:textId="77777777" w:rsidR="008042AD" w:rsidRPr="00B4777F" w:rsidRDefault="00EE2FCA">
            <w:pPr>
              <w:jc w:val="center"/>
              <w:rPr>
                <w:rFonts w:cs="Times New Roman"/>
                <w:sz w:val="22"/>
              </w:rPr>
            </w:pPr>
            <w:r w:rsidRPr="00B4777F">
              <w:rPr>
                <w:rFonts w:cs="Times New Roman"/>
                <w:b/>
                <w:sz w:val="22"/>
              </w:rPr>
              <w:t>Evidence-led combination</w:t>
            </w:r>
          </w:p>
        </w:tc>
        <w:tc>
          <w:tcPr>
            <w:tcW w:w="3528" w:type="dxa"/>
          </w:tcPr>
          <w:p w14:paraId="204ABF3D" w14:textId="77777777" w:rsidR="008042AD" w:rsidRPr="00B4777F" w:rsidRDefault="00EE2FCA">
            <w:pPr>
              <w:jc w:val="center"/>
              <w:rPr>
                <w:rFonts w:cs="Times New Roman"/>
                <w:sz w:val="22"/>
              </w:rPr>
            </w:pPr>
            <w:r w:rsidRPr="00B4777F">
              <w:rPr>
                <w:rFonts w:cs="Times New Roman"/>
                <w:b/>
                <w:sz w:val="22"/>
              </w:rPr>
              <w:t>Resulting strategic response</w:t>
            </w:r>
          </w:p>
        </w:tc>
      </w:tr>
      <w:tr w:rsidR="009327A8" w:rsidRPr="00B4777F" w14:paraId="5681828E" w14:textId="77777777" w:rsidTr="0075209C">
        <w:tc>
          <w:tcPr>
            <w:tcW w:w="1944" w:type="dxa"/>
          </w:tcPr>
          <w:p w14:paraId="3BDF234F" w14:textId="77777777" w:rsidR="008042AD" w:rsidRPr="00B4777F" w:rsidRDefault="00EE2FCA">
            <w:pPr>
              <w:rPr>
                <w:rFonts w:cs="Times New Roman"/>
                <w:sz w:val="22"/>
              </w:rPr>
            </w:pPr>
            <w:r w:rsidRPr="00B4777F">
              <w:rPr>
                <w:rFonts w:cs="Times New Roman"/>
                <w:sz w:val="22"/>
              </w:rPr>
              <w:t>SO: use strengths to capture opportunities</w:t>
            </w:r>
          </w:p>
        </w:tc>
        <w:tc>
          <w:tcPr>
            <w:tcW w:w="3528" w:type="dxa"/>
          </w:tcPr>
          <w:p w14:paraId="7A5A5C72" w14:textId="77777777" w:rsidR="008042AD" w:rsidRPr="00B4777F" w:rsidRDefault="00EE2FCA">
            <w:pPr>
              <w:rPr>
                <w:rFonts w:cs="Times New Roman"/>
                <w:sz w:val="22"/>
              </w:rPr>
            </w:pPr>
            <w:r w:rsidRPr="00B4777F">
              <w:rPr>
                <w:rFonts w:cs="Times New Roman"/>
                <w:sz w:val="22"/>
              </w:rPr>
              <w:t>S1 transaction and fulfilment signals + S2 established recovery routes + O1 responsible triage.</w:t>
            </w:r>
          </w:p>
        </w:tc>
        <w:tc>
          <w:tcPr>
            <w:tcW w:w="3528" w:type="dxa"/>
          </w:tcPr>
          <w:p w14:paraId="77997DF1" w14:textId="77777777" w:rsidR="008042AD" w:rsidRPr="00B4777F" w:rsidRDefault="00EE2FCA">
            <w:pPr>
              <w:rPr>
                <w:rFonts w:cs="Times New Roman"/>
                <w:sz w:val="22"/>
              </w:rPr>
            </w:pPr>
            <w:r w:rsidRPr="00B4777F">
              <w:rPr>
                <w:rFonts w:cs="Times New Roman"/>
                <w:sz w:val="22"/>
              </w:rPr>
              <w:t>Use automation for routine classification and present authorised agents with only the journey evidence needed to resolve complex cases.</w:t>
            </w:r>
          </w:p>
        </w:tc>
      </w:tr>
      <w:tr w:rsidR="009327A8" w:rsidRPr="00B4777F" w14:paraId="3E082CCE" w14:textId="77777777" w:rsidTr="0075209C">
        <w:tc>
          <w:tcPr>
            <w:tcW w:w="1944" w:type="dxa"/>
          </w:tcPr>
          <w:p w14:paraId="417A731A" w14:textId="77777777" w:rsidR="008042AD" w:rsidRPr="00B4777F" w:rsidRDefault="00EE2FCA">
            <w:pPr>
              <w:rPr>
                <w:rFonts w:cs="Times New Roman"/>
                <w:sz w:val="22"/>
              </w:rPr>
            </w:pPr>
            <w:r w:rsidRPr="00B4777F">
              <w:rPr>
                <w:rFonts w:cs="Times New Roman"/>
                <w:sz w:val="22"/>
              </w:rPr>
              <w:t>ST: use strengths to reduce threats</w:t>
            </w:r>
          </w:p>
        </w:tc>
        <w:tc>
          <w:tcPr>
            <w:tcW w:w="3528" w:type="dxa"/>
          </w:tcPr>
          <w:p w14:paraId="119E8D68" w14:textId="77777777" w:rsidR="008042AD" w:rsidRPr="00B4777F" w:rsidRDefault="00EE2FCA">
            <w:pPr>
              <w:rPr>
                <w:rFonts w:cs="Times New Roman"/>
                <w:sz w:val="22"/>
              </w:rPr>
            </w:pPr>
            <w:r w:rsidRPr="00B4777F">
              <w:rPr>
                <w:rFonts w:cs="Times New Roman"/>
                <w:sz w:val="22"/>
              </w:rPr>
              <w:t>S2 A-to-z processes + S3 customer obsession + T1 stronger enforcement and T2 seller-fairness concerns.</w:t>
            </w:r>
          </w:p>
        </w:tc>
        <w:tc>
          <w:tcPr>
            <w:tcW w:w="3528" w:type="dxa"/>
          </w:tcPr>
          <w:p w14:paraId="0AA383E9" w14:textId="77777777" w:rsidR="008042AD" w:rsidRPr="00B4777F" w:rsidRDefault="00EE2FCA">
            <w:pPr>
              <w:rPr>
                <w:rFonts w:cs="Times New Roman"/>
                <w:sz w:val="22"/>
              </w:rPr>
            </w:pPr>
            <w:r w:rsidRPr="00B4777F">
              <w:rPr>
                <w:rFonts w:cs="Times New Roman"/>
                <w:sz w:val="22"/>
              </w:rPr>
              <w:t>Create auditable reasons, evidence standards and a balanced appeal route for disputed Marketplace decisions.</w:t>
            </w:r>
          </w:p>
        </w:tc>
      </w:tr>
      <w:tr w:rsidR="009327A8" w:rsidRPr="00B4777F" w14:paraId="4E09C40C" w14:textId="77777777" w:rsidTr="0075209C">
        <w:tc>
          <w:tcPr>
            <w:tcW w:w="1944" w:type="dxa"/>
          </w:tcPr>
          <w:p w14:paraId="5AABA64A" w14:textId="77777777" w:rsidR="008042AD" w:rsidRPr="00B4777F" w:rsidRDefault="00EE2FCA">
            <w:pPr>
              <w:rPr>
                <w:rFonts w:cs="Times New Roman"/>
                <w:sz w:val="22"/>
              </w:rPr>
            </w:pPr>
            <w:r w:rsidRPr="00B4777F">
              <w:rPr>
                <w:rFonts w:cs="Times New Roman"/>
                <w:sz w:val="22"/>
              </w:rPr>
              <w:t>WO: use opportunities to address weaknesses</w:t>
            </w:r>
          </w:p>
        </w:tc>
        <w:tc>
          <w:tcPr>
            <w:tcW w:w="3528" w:type="dxa"/>
          </w:tcPr>
          <w:p w14:paraId="06173B5B" w14:textId="77777777" w:rsidR="008042AD" w:rsidRPr="00B4777F" w:rsidRDefault="00EE2FCA">
            <w:pPr>
              <w:rPr>
                <w:rFonts w:cs="Times New Roman"/>
                <w:sz w:val="22"/>
              </w:rPr>
            </w:pPr>
            <w:r w:rsidRPr="00B4777F">
              <w:rPr>
                <w:rFonts w:cs="Times New Roman"/>
                <w:sz w:val="22"/>
              </w:rPr>
              <w:t>W1 fragmented ownership + W2 weak frontline organisation of data + O2 human–AI collaboration.</w:t>
            </w:r>
          </w:p>
        </w:tc>
        <w:tc>
          <w:tcPr>
            <w:tcW w:w="3528" w:type="dxa"/>
          </w:tcPr>
          <w:p w14:paraId="444CB6B3" w14:textId="77777777" w:rsidR="008042AD" w:rsidRPr="00B4777F" w:rsidRDefault="00EE2FCA">
            <w:pPr>
              <w:rPr>
                <w:rFonts w:cs="Times New Roman"/>
                <w:sz w:val="22"/>
              </w:rPr>
            </w:pPr>
            <w:r w:rsidRPr="00B4777F">
              <w:rPr>
                <w:rFonts w:cs="Times New Roman"/>
                <w:sz w:val="22"/>
              </w:rPr>
              <w:t>Pilot cross-functional Marketplace Recovery Cells with bounded authority and a privacy-filtered case view.</w:t>
            </w:r>
          </w:p>
        </w:tc>
      </w:tr>
      <w:tr w:rsidR="009327A8" w:rsidRPr="00B4777F" w14:paraId="0685B15D" w14:textId="77777777" w:rsidTr="0075209C">
        <w:tc>
          <w:tcPr>
            <w:tcW w:w="1944" w:type="dxa"/>
          </w:tcPr>
          <w:p w14:paraId="67B2E416" w14:textId="77777777" w:rsidR="008042AD" w:rsidRPr="00B4777F" w:rsidRDefault="00EE2FCA">
            <w:pPr>
              <w:rPr>
                <w:rFonts w:cs="Times New Roman"/>
                <w:sz w:val="22"/>
              </w:rPr>
            </w:pPr>
            <w:r w:rsidRPr="00B4777F">
              <w:rPr>
                <w:rFonts w:cs="Times New Roman"/>
                <w:sz w:val="22"/>
              </w:rPr>
              <w:t>WT: limit weaknesses exposed by threats</w:t>
            </w:r>
          </w:p>
        </w:tc>
        <w:tc>
          <w:tcPr>
            <w:tcW w:w="3528" w:type="dxa"/>
          </w:tcPr>
          <w:p w14:paraId="54E51721" w14:textId="77777777" w:rsidR="008042AD" w:rsidRPr="00B4777F" w:rsidRDefault="00EE2FCA">
            <w:pPr>
              <w:rPr>
                <w:rFonts w:cs="Times New Roman"/>
                <w:sz w:val="22"/>
              </w:rPr>
            </w:pPr>
            <w:r w:rsidRPr="00B4777F">
              <w:rPr>
                <w:rFonts w:cs="Times New Roman"/>
                <w:sz w:val="22"/>
              </w:rPr>
              <w:t>W3 risk of inconsistent manual discretion + T3 privacy risk and T4 cost escalation.</w:t>
            </w:r>
          </w:p>
        </w:tc>
        <w:tc>
          <w:tcPr>
            <w:tcW w:w="3528" w:type="dxa"/>
          </w:tcPr>
          <w:p w14:paraId="73B51F7B" w14:textId="77777777" w:rsidR="008042AD" w:rsidRPr="00B4777F" w:rsidRDefault="00EE2FCA">
            <w:pPr>
              <w:rPr>
                <w:rFonts w:cs="Times New Roman"/>
                <w:sz w:val="22"/>
              </w:rPr>
            </w:pPr>
            <w:r w:rsidRPr="00B4777F">
              <w:rPr>
                <w:rFonts w:cs="Times New Roman"/>
                <w:sz w:val="22"/>
              </w:rPr>
              <w:t>Use value thresholds, role-based access, quality sampling, calibration reviews and a stage-gate pilot before scaling.</w:t>
            </w:r>
          </w:p>
        </w:tc>
      </w:tr>
    </w:tbl>
    <w:p w14:paraId="51F2040B" w14:textId="77777777" w:rsidR="008042AD" w:rsidRPr="00B4777F" w:rsidRDefault="008042AD">
      <w:pPr>
        <w:rPr>
          <w:rFonts w:cs="Times New Roman"/>
          <w:sz w:val="22"/>
        </w:rPr>
      </w:pPr>
    </w:p>
    <w:p w14:paraId="4C91E9DF" w14:textId="77777777" w:rsidR="008042AD" w:rsidRPr="00B4777F" w:rsidRDefault="00EE2FCA">
      <w:pPr>
        <w:spacing w:after="120"/>
        <w:rPr>
          <w:rFonts w:cs="Times New Roman"/>
          <w:sz w:val="22"/>
        </w:rPr>
      </w:pPr>
      <w:r w:rsidRPr="00B4777F">
        <w:rPr>
          <w:rFonts w:cs="Times New Roman"/>
          <w:i/>
          <w:sz w:val="22"/>
        </w:rPr>
        <w:lastRenderedPageBreak/>
        <w:t>Source: Author's analysis derived from Table 1 and the current-position evidence.</w:t>
      </w:r>
    </w:p>
    <w:p w14:paraId="731F97AC" w14:textId="3BF16589" w:rsidR="00791098" w:rsidRPr="00B4777F" w:rsidRDefault="00791098">
      <w:pPr>
        <w:rPr>
          <w:rFonts w:cs="Times New Roman"/>
          <w:sz w:val="22"/>
        </w:rPr>
      </w:pPr>
      <w:r w:rsidRPr="00B4777F">
        <w:rPr>
          <w:rStyle w:val="cursor-pointer"/>
          <w:rFonts w:cs="Times New Roman"/>
          <w:sz w:val="22"/>
        </w:rPr>
        <w:t>The TOWS outcome is not an "anti-automation" outcome, but a cohesive blended solution.</w:t>
      </w:r>
      <w:r w:rsidRPr="00B4777F">
        <w:rPr>
          <w:rFonts w:cs="Times New Roman"/>
          <w:sz w:val="22"/>
        </w:rPr>
        <w:t xml:space="preserve"> </w:t>
      </w:r>
      <w:r w:rsidRPr="00B4777F">
        <w:rPr>
          <w:rStyle w:val="cursor-pointer"/>
          <w:rFonts w:cs="Times New Roman"/>
          <w:sz w:val="22"/>
        </w:rPr>
        <w:t>The concept of strategic agility is about the delegation of decisions to the point where information and judgement can be synthesized, and about the use of governance and the ability to learn quickly (Wade, Joshi and Teracino, 2021).</w:t>
      </w:r>
      <w:r w:rsidRPr="00B4777F">
        <w:rPr>
          <w:rFonts w:cs="Times New Roman"/>
          <w:sz w:val="22"/>
        </w:rPr>
        <w:t xml:space="preserve"> </w:t>
      </w:r>
      <w:r w:rsidRPr="00B4777F">
        <w:rPr>
          <w:rStyle w:val="cursor-pointer"/>
          <w:rFonts w:cs="Times New Roman"/>
          <w:sz w:val="22"/>
        </w:rPr>
        <w:t>In this instance, the routine lane should still be standardized and the exception lane should clearly identify the case to the owner(s) and enable trained staff to resolve the case in a timely manner without a need to consistently reroute the case.</w:t>
      </w:r>
      <w:r w:rsidRPr="00B4777F">
        <w:rPr>
          <w:rFonts w:cs="Times New Roman"/>
          <w:sz w:val="22"/>
        </w:rPr>
        <w:t xml:space="preserve"> </w:t>
      </w:r>
      <w:r w:rsidRPr="00B4777F">
        <w:rPr>
          <w:rStyle w:val="cursor-pointer"/>
          <w:rFonts w:cs="Times New Roman"/>
          <w:sz w:val="22"/>
        </w:rPr>
        <w:t>This logic has three implications for assessment – automation first expansion, human-led Recovery Cells, and a streamlined seller-dispute and appeal process.</w:t>
      </w:r>
    </w:p>
    <w:p w14:paraId="0586FA71" w14:textId="77777777" w:rsidR="008042AD" w:rsidRPr="00B4777F" w:rsidRDefault="00EE2FCA">
      <w:pPr>
        <w:pStyle w:val="Heading2"/>
        <w:spacing w:before="80" w:after="40"/>
        <w:rPr>
          <w:rFonts w:ascii="Times New Roman" w:hAnsi="Times New Roman" w:cs="Times New Roman"/>
          <w:color w:val="auto"/>
          <w:sz w:val="22"/>
          <w:szCs w:val="22"/>
        </w:rPr>
      </w:pPr>
      <w:bookmarkStart w:id="6" w:name="_Toc242257095"/>
      <w:r w:rsidRPr="00B4777F">
        <w:rPr>
          <w:rFonts w:ascii="Times New Roman" w:eastAsia="Times New Roman" w:hAnsi="Times New Roman" w:cs="Times New Roman"/>
          <w:color w:val="auto"/>
          <w:sz w:val="22"/>
          <w:szCs w:val="22"/>
        </w:rPr>
        <w:t>2.4 VRIO capability analysis</w:t>
      </w:r>
      <w:bookmarkEnd w:id="6"/>
    </w:p>
    <w:p w14:paraId="2614FCA8" w14:textId="4B832945" w:rsidR="00791098" w:rsidRPr="00B4777F" w:rsidRDefault="00791098">
      <w:pPr>
        <w:rPr>
          <w:rFonts w:cs="Times New Roman"/>
          <w:sz w:val="22"/>
        </w:rPr>
      </w:pPr>
      <w:r w:rsidRPr="00B4777F">
        <w:rPr>
          <w:rStyle w:val="cursor-pointer"/>
          <w:rFonts w:cs="Times New Roman"/>
          <w:sz w:val="22"/>
        </w:rPr>
        <w:t>VRIO evaluates each resource individually with four dichotomous questions: Is the resource valuable, rare, hard to imitate and organized to be used?</w:t>
      </w:r>
      <w:r w:rsidRPr="00B4777F">
        <w:rPr>
          <w:rFonts w:cs="Times New Roman"/>
          <w:sz w:val="22"/>
        </w:rPr>
        <w:t xml:space="preserve"> </w:t>
      </w:r>
      <w:r w:rsidRPr="00B4777F">
        <w:rPr>
          <w:rStyle w:val="cursor-pointer"/>
          <w:rFonts w:cs="Times New Roman"/>
          <w:sz w:val="22"/>
        </w:rPr>
        <w:t>There is a competitive implication throughout, which is presented in the usual order of "disadvantage, parity, temporary advantage or sustained advantage (Johnson et al., 2020; Barney, 1991).</w:t>
      </w:r>
      <w:r w:rsidRPr="00B4777F">
        <w:rPr>
          <w:rFonts w:cs="Times New Roman"/>
          <w:sz w:val="22"/>
        </w:rPr>
        <w:t xml:space="preserve"> </w:t>
      </w:r>
      <w:r w:rsidRPr="00B4777F">
        <w:rPr>
          <w:rStyle w:val="cursor-pointer"/>
          <w:rFonts w:cs="Times New Roman"/>
          <w:sz w:val="22"/>
        </w:rPr>
        <w:t>Proposed Recovery Cells and new authority are not considered to be existing resources.</w:t>
      </w:r>
    </w:p>
    <w:p w14:paraId="60C79655" w14:textId="77777777" w:rsidR="008042AD" w:rsidRPr="00B4777F" w:rsidRDefault="00EE2FCA">
      <w:pPr>
        <w:pStyle w:val="Caption"/>
        <w:keepNext/>
        <w:rPr>
          <w:rFonts w:cs="Times New Roman"/>
          <w:color w:val="auto"/>
          <w:sz w:val="22"/>
          <w:szCs w:val="22"/>
        </w:rPr>
      </w:pPr>
      <w:r w:rsidRPr="00B4777F">
        <w:rPr>
          <w:rFonts w:cs="Times New Roman"/>
          <w:color w:val="auto"/>
          <w:sz w:val="22"/>
          <w:szCs w:val="22"/>
        </w:rPr>
        <w:t>Table 3. VRIO analysis of current Amazon resources and capabilities</w:t>
      </w:r>
    </w:p>
    <w:tbl>
      <w:tblPr>
        <w:tblStyle w:val="TableGrid"/>
        <w:tblW w:w="0" w:type="auto"/>
        <w:tblLayout w:type="fixed"/>
        <w:tblLook w:val="04A0" w:firstRow="1" w:lastRow="0" w:firstColumn="1" w:lastColumn="0" w:noHBand="0" w:noVBand="1"/>
      </w:tblPr>
      <w:tblGrid>
        <w:gridCol w:w="2160"/>
        <w:gridCol w:w="648"/>
        <w:gridCol w:w="648"/>
        <w:gridCol w:w="648"/>
        <w:gridCol w:w="648"/>
        <w:gridCol w:w="4248"/>
      </w:tblGrid>
      <w:tr w:rsidR="009327A8" w:rsidRPr="00B4777F" w14:paraId="3E335D5B" w14:textId="77777777" w:rsidTr="0075209C">
        <w:tc>
          <w:tcPr>
            <w:tcW w:w="2160" w:type="dxa"/>
          </w:tcPr>
          <w:p w14:paraId="63DF1790" w14:textId="77777777" w:rsidR="008042AD" w:rsidRPr="00B4777F" w:rsidRDefault="00EE2FCA">
            <w:pPr>
              <w:jc w:val="center"/>
              <w:rPr>
                <w:rFonts w:cs="Times New Roman"/>
                <w:sz w:val="22"/>
              </w:rPr>
            </w:pPr>
            <w:r w:rsidRPr="00B4777F">
              <w:rPr>
                <w:rFonts w:cs="Times New Roman"/>
                <w:b/>
                <w:sz w:val="22"/>
              </w:rPr>
              <w:t>Resource / capability</w:t>
            </w:r>
          </w:p>
        </w:tc>
        <w:tc>
          <w:tcPr>
            <w:tcW w:w="648" w:type="dxa"/>
          </w:tcPr>
          <w:p w14:paraId="0097E39B" w14:textId="77777777" w:rsidR="008042AD" w:rsidRPr="00B4777F" w:rsidRDefault="00EE2FCA">
            <w:pPr>
              <w:jc w:val="center"/>
              <w:rPr>
                <w:rFonts w:cs="Times New Roman"/>
                <w:sz w:val="22"/>
              </w:rPr>
            </w:pPr>
            <w:r w:rsidRPr="00B4777F">
              <w:rPr>
                <w:rFonts w:cs="Times New Roman"/>
                <w:b/>
                <w:sz w:val="22"/>
              </w:rPr>
              <w:t>V</w:t>
            </w:r>
          </w:p>
        </w:tc>
        <w:tc>
          <w:tcPr>
            <w:tcW w:w="648" w:type="dxa"/>
          </w:tcPr>
          <w:p w14:paraId="5E036130" w14:textId="77777777" w:rsidR="008042AD" w:rsidRPr="00B4777F" w:rsidRDefault="00EE2FCA">
            <w:pPr>
              <w:jc w:val="center"/>
              <w:rPr>
                <w:rFonts w:cs="Times New Roman"/>
                <w:sz w:val="22"/>
              </w:rPr>
            </w:pPr>
            <w:r w:rsidRPr="00B4777F">
              <w:rPr>
                <w:rFonts w:cs="Times New Roman"/>
                <w:b/>
                <w:sz w:val="22"/>
              </w:rPr>
              <w:t>R</w:t>
            </w:r>
          </w:p>
        </w:tc>
        <w:tc>
          <w:tcPr>
            <w:tcW w:w="648" w:type="dxa"/>
          </w:tcPr>
          <w:p w14:paraId="42B44AE6" w14:textId="77777777" w:rsidR="008042AD" w:rsidRPr="00B4777F" w:rsidRDefault="00EE2FCA">
            <w:pPr>
              <w:jc w:val="center"/>
              <w:rPr>
                <w:rFonts w:cs="Times New Roman"/>
                <w:sz w:val="22"/>
              </w:rPr>
            </w:pPr>
            <w:r w:rsidRPr="00B4777F">
              <w:rPr>
                <w:rFonts w:cs="Times New Roman"/>
                <w:b/>
                <w:sz w:val="22"/>
              </w:rPr>
              <w:t>I</w:t>
            </w:r>
          </w:p>
        </w:tc>
        <w:tc>
          <w:tcPr>
            <w:tcW w:w="648" w:type="dxa"/>
          </w:tcPr>
          <w:p w14:paraId="19AA4468" w14:textId="77777777" w:rsidR="008042AD" w:rsidRPr="00B4777F" w:rsidRDefault="00EE2FCA">
            <w:pPr>
              <w:jc w:val="center"/>
              <w:rPr>
                <w:rFonts w:cs="Times New Roman"/>
                <w:sz w:val="22"/>
              </w:rPr>
            </w:pPr>
            <w:r w:rsidRPr="00B4777F">
              <w:rPr>
                <w:rFonts w:cs="Times New Roman"/>
                <w:b/>
                <w:sz w:val="22"/>
              </w:rPr>
              <w:t>O</w:t>
            </w:r>
          </w:p>
        </w:tc>
        <w:tc>
          <w:tcPr>
            <w:tcW w:w="4248" w:type="dxa"/>
          </w:tcPr>
          <w:p w14:paraId="340EFE02" w14:textId="77777777" w:rsidR="008042AD" w:rsidRPr="00B4777F" w:rsidRDefault="00EE2FCA">
            <w:pPr>
              <w:jc w:val="center"/>
              <w:rPr>
                <w:rFonts w:cs="Times New Roman"/>
                <w:sz w:val="22"/>
              </w:rPr>
            </w:pPr>
            <w:r w:rsidRPr="00B4777F">
              <w:rPr>
                <w:rFonts w:cs="Times New Roman"/>
                <w:b/>
                <w:sz w:val="22"/>
              </w:rPr>
              <w:t>Competitive implication / evidence</w:t>
            </w:r>
          </w:p>
        </w:tc>
      </w:tr>
      <w:tr w:rsidR="009327A8" w:rsidRPr="00B4777F" w14:paraId="4EBAB4E9" w14:textId="77777777" w:rsidTr="0075209C">
        <w:tc>
          <w:tcPr>
            <w:tcW w:w="2160" w:type="dxa"/>
          </w:tcPr>
          <w:p w14:paraId="5391429A" w14:textId="77777777" w:rsidR="008042AD" w:rsidRPr="00B4777F" w:rsidRDefault="00EE2FCA">
            <w:pPr>
              <w:rPr>
                <w:rFonts w:cs="Times New Roman"/>
                <w:sz w:val="22"/>
              </w:rPr>
            </w:pPr>
            <w:r w:rsidRPr="00B4777F">
              <w:rPr>
                <w:rFonts w:cs="Times New Roman"/>
                <w:sz w:val="22"/>
              </w:rPr>
              <w:t>Marketplace transaction and case data</w:t>
            </w:r>
          </w:p>
        </w:tc>
        <w:tc>
          <w:tcPr>
            <w:tcW w:w="648" w:type="dxa"/>
          </w:tcPr>
          <w:p w14:paraId="06B4DFEC" w14:textId="77777777" w:rsidR="008042AD" w:rsidRPr="00B4777F" w:rsidRDefault="00EE2FCA">
            <w:pPr>
              <w:rPr>
                <w:rFonts w:cs="Times New Roman"/>
                <w:sz w:val="22"/>
              </w:rPr>
            </w:pPr>
            <w:r w:rsidRPr="00B4777F">
              <w:rPr>
                <w:rFonts w:cs="Times New Roman"/>
                <w:sz w:val="22"/>
              </w:rPr>
              <w:t>Yes</w:t>
            </w:r>
          </w:p>
        </w:tc>
        <w:tc>
          <w:tcPr>
            <w:tcW w:w="648" w:type="dxa"/>
          </w:tcPr>
          <w:p w14:paraId="63FF0945" w14:textId="77777777" w:rsidR="008042AD" w:rsidRPr="00B4777F" w:rsidRDefault="00EE2FCA">
            <w:pPr>
              <w:rPr>
                <w:rFonts w:cs="Times New Roman"/>
                <w:sz w:val="22"/>
              </w:rPr>
            </w:pPr>
            <w:r w:rsidRPr="00B4777F">
              <w:rPr>
                <w:rFonts w:cs="Times New Roman"/>
                <w:sz w:val="22"/>
              </w:rPr>
              <w:t>Yes</w:t>
            </w:r>
          </w:p>
        </w:tc>
        <w:tc>
          <w:tcPr>
            <w:tcW w:w="648" w:type="dxa"/>
          </w:tcPr>
          <w:p w14:paraId="4A13802C" w14:textId="77777777" w:rsidR="008042AD" w:rsidRPr="00B4777F" w:rsidRDefault="00EE2FCA">
            <w:pPr>
              <w:rPr>
                <w:rFonts w:cs="Times New Roman"/>
                <w:sz w:val="22"/>
              </w:rPr>
            </w:pPr>
            <w:r w:rsidRPr="00B4777F">
              <w:rPr>
                <w:rFonts w:cs="Times New Roman"/>
                <w:sz w:val="22"/>
              </w:rPr>
              <w:t>Yes</w:t>
            </w:r>
          </w:p>
        </w:tc>
        <w:tc>
          <w:tcPr>
            <w:tcW w:w="648" w:type="dxa"/>
          </w:tcPr>
          <w:p w14:paraId="6928E53C" w14:textId="77777777" w:rsidR="008042AD" w:rsidRPr="00B4777F" w:rsidRDefault="00EE2FCA">
            <w:pPr>
              <w:rPr>
                <w:rFonts w:cs="Times New Roman"/>
                <w:sz w:val="22"/>
              </w:rPr>
            </w:pPr>
            <w:r w:rsidRPr="00B4777F">
              <w:rPr>
                <w:rFonts w:cs="Times New Roman"/>
                <w:sz w:val="22"/>
              </w:rPr>
              <w:t>Yes</w:t>
            </w:r>
          </w:p>
        </w:tc>
        <w:tc>
          <w:tcPr>
            <w:tcW w:w="4248" w:type="dxa"/>
          </w:tcPr>
          <w:p w14:paraId="60EF130D" w14:textId="77777777" w:rsidR="008042AD" w:rsidRPr="00B4777F" w:rsidRDefault="00EE2FCA">
            <w:pPr>
              <w:rPr>
                <w:rFonts w:cs="Times New Roman"/>
                <w:sz w:val="22"/>
              </w:rPr>
            </w:pPr>
            <w:r w:rsidRPr="00B4777F">
              <w:rPr>
                <w:rFonts w:cs="Times New Roman"/>
                <w:sz w:val="22"/>
              </w:rPr>
              <w:t>Sustained advantage. The depth of Amazon-specific order, contact and recovery history is path-dependent, although its use must remain proportionate and privacy governed (Amazon.com, Inc., 2025; Steinhoff and Martin, 2023).</w:t>
            </w:r>
          </w:p>
        </w:tc>
      </w:tr>
      <w:tr w:rsidR="009327A8" w:rsidRPr="00B4777F" w14:paraId="12655835" w14:textId="77777777" w:rsidTr="0075209C">
        <w:tc>
          <w:tcPr>
            <w:tcW w:w="2160" w:type="dxa"/>
          </w:tcPr>
          <w:p w14:paraId="6BBB2AA7" w14:textId="77777777" w:rsidR="008042AD" w:rsidRPr="00B4777F" w:rsidRDefault="00EE2FCA">
            <w:pPr>
              <w:rPr>
                <w:rFonts w:cs="Times New Roman"/>
                <w:sz w:val="22"/>
              </w:rPr>
            </w:pPr>
            <w:r w:rsidRPr="00B4777F">
              <w:rPr>
                <w:rFonts w:cs="Times New Roman"/>
                <w:sz w:val="22"/>
              </w:rPr>
              <w:t>Integrated fulfilment and delivery signals</w:t>
            </w:r>
          </w:p>
        </w:tc>
        <w:tc>
          <w:tcPr>
            <w:tcW w:w="648" w:type="dxa"/>
          </w:tcPr>
          <w:p w14:paraId="06604AF9" w14:textId="77777777" w:rsidR="008042AD" w:rsidRPr="00B4777F" w:rsidRDefault="00EE2FCA">
            <w:pPr>
              <w:rPr>
                <w:rFonts w:cs="Times New Roman"/>
                <w:sz w:val="22"/>
              </w:rPr>
            </w:pPr>
            <w:r w:rsidRPr="00B4777F">
              <w:rPr>
                <w:rFonts w:cs="Times New Roman"/>
                <w:sz w:val="22"/>
              </w:rPr>
              <w:t>Yes</w:t>
            </w:r>
          </w:p>
        </w:tc>
        <w:tc>
          <w:tcPr>
            <w:tcW w:w="648" w:type="dxa"/>
          </w:tcPr>
          <w:p w14:paraId="3728E123" w14:textId="77777777" w:rsidR="008042AD" w:rsidRPr="00B4777F" w:rsidRDefault="00EE2FCA">
            <w:pPr>
              <w:rPr>
                <w:rFonts w:cs="Times New Roman"/>
                <w:sz w:val="22"/>
              </w:rPr>
            </w:pPr>
            <w:r w:rsidRPr="00B4777F">
              <w:rPr>
                <w:rFonts w:cs="Times New Roman"/>
                <w:sz w:val="22"/>
              </w:rPr>
              <w:t>Yes</w:t>
            </w:r>
          </w:p>
        </w:tc>
        <w:tc>
          <w:tcPr>
            <w:tcW w:w="648" w:type="dxa"/>
          </w:tcPr>
          <w:p w14:paraId="3651DBC6" w14:textId="77777777" w:rsidR="008042AD" w:rsidRPr="00B4777F" w:rsidRDefault="00EE2FCA">
            <w:pPr>
              <w:rPr>
                <w:rFonts w:cs="Times New Roman"/>
                <w:sz w:val="22"/>
              </w:rPr>
            </w:pPr>
            <w:r w:rsidRPr="00B4777F">
              <w:rPr>
                <w:rFonts w:cs="Times New Roman"/>
                <w:sz w:val="22"/>
              </w:rPr>
              <w:t>Yes</w:t>
            </w:r>
          </w:p>
        </w:tc>
        <w:tc>
          <w:tcPr>
            <w:tcW w:w="648" w:type="dxa"/>
          </w:tcPr>
          <w:p w14:paraId="7D690F85" w14:textId="77777777" w:rsidR="008042AD" w:rsidRPr="00B4777F" w:rsidRDefault="00EE2FCA">
            <w:pPr>
              <w:rPr>
                <w:rFonts w:cs="Times New Roman"/>
                <w:sz w:val="22"/>
              </w:rPr>
            </w:pPr>
            <w:r w:rsidRPr="00B4777F">
              <w:rPr>
                <w:rFonts w:cs="Times New Roman"/>
                <w:sz w:val="22"/>
              </w:rPr>
              <w:t>Yes</w:t>
            </w:r>
          </w:p>
        </w:tc>
        <w:tc>
          <w:tcPr>
            <w:tcW w:w="4248" w:type="dxa"/>
          </w:tcPr>
          <w:p w14:paraId="4285644B" w14:textId="77777777" w:rsidR="008042AD" w:rsidRPr="00B4777F" w:rsidRDefault="00EE2FCA">
            <w:pPr>
              <w:rPr>
                <w:rFonts w:cs="Times New Roman"/>
                <w:sz w:val="22"/>
              </w:rPr>
            </w:pPr>
            <w:r w:rsidRPr="00B4777F">
              <w:rPr>
                <w:rFonts w:cs="Times New Roman"/>
                <w:sz w:val="22"/>
              </w:rPr>
              <w:t xml:space="preserve">Sustained advantage. Network scale and linked operational signals are costly to </w:t>
            </w:r>
            <w:r w:rsidRPr="00B4777F">
              <w:rPr>
                <w:rFonts w:cs="Times New Roman"/>
                <w:sz w:val="22"/>
              </w:rPr>
              <w:lastRenderedPageBreak/>
              <w:t>replicate and already embedded in Amazon's operating model (Amazon UK, 2025).</w:t>
            </w:r>
          </w:p>
        </w:tc>
      </w:tr>
      <w:tr w:rsidR="009327A8" w:rsidRPr="00B4777F" w14:paraId="4425F1A1" w14:textId="77777777" w:rsidTr="0075209C">
        <w:tc>
          <w:tcPr>
            <w:tcW w:w="2160" w:type="dxa"/>
          </w:tcPr>
          <w:p w14:paraId="54F59D41" w14:textId="77777777" w:rsidR="008042AD" w:rsidRPr="00B4777F" w:rsidRDefault="00EE2FCA">
            <w:pPr>
              <w:rPr>
                <w:rFonts w:cs="Times New Roman"/>
                <w:sz w:val="22"/>
              </w:rPr>
            </w:pPr>
            <w:r w:rsidRPr="00B4777F">
              <w:rPr>
                <w:rFonts w:cs="Times New Roman"/>
                <w:sz w:val="22"/>
              </w:rPr>
              <w:lastRenderedPageBreak/>
              <w:t>A-to-z Guarantee and established claims process</w:t>
            </w:r>
          </w:p>
        </w:tc>
        <w:tc>
          <w:tcPr>
            <w:tcW w:w="648" w:type="dxa"/>
          </w:tcPr>
          <w:p w14:paraId="6D9EA2B3" w14:textId="77777777" w:rsidR="008042AD" w:rsidRPr="00B4777F" w:rsidRDefault="00EE2FCA">
            <w:pPr>
              <w:rPr>
                <w:rFonts w:cs="Times New Roman"/>
                <w:sz w:val="22"/>
              </w:rPr>
            </w:pPr>
            <w:r w:rsidRPr="00B4777F">
              <w:rPr>
                <w:rFonts w:cs="Times New Roman"/>
                <w:sz w:val="22"/>
              </w:rPr>
              <w:t>Yes</w:t>
            </w:r>
          </w:p>
        </w:tc>
        <w:tc>
          <w:tcPr>
            <w:tcW w:w="648" w:type="dxa"/>
          </w:tcPr>
          <w:p w14:paraId="79D48FEE" w14:textId="77777777" w:rsidR="008042AD" w:rsidRPr="00B4777F" w:rsidRDefault="00EE2FCA">
            <w:pPr>
              <w:rPr>
                <w:rFonts w:cs="Times New Roman"/>
                <w:sz w:val="22"/>
              </w:rPr>
            </w:pPr>
            <w:r w:rsidRPr="00B4777F">
              <w:rPr>
                <w:rFonts w:cs="Times New Roman"/>
                <w:sz w:val="22"/>
              </w:rPr>
              <w:t>No</w:t>
            </w:r>
          </w:p>
        </w:tc>
        <w:tc>
          <w:tcPr>
            <w:tcW w:w="648" w:type="dxa"/>
          </w:tcPr>
          <w:p w14:paraId="6AA294AB" w14:textId="77777777" w:rsidR="008042AD" w:rsidRPr="00B4777F" w:rsidRDefault="00EE2FCA">
            <w:pPr>
              <w:rPr>
                <w:rFonts w:cs="Times New Roman"/>
                <w:sz w:val="22"/>
              </w:rPr>
            </w:pPr>
            <w:r w:rsidRPr="00B4777F">
              <w:rPr>
                <w:rFonts w:cs="Times New Roman"/>
                <w:sz w:val="22"/>
              </w:rPr>
              <w:t>No</w:t>
            </w:r>
          </w:p>
        </w:tc>
        <w:tc>
          <w:tcPr>
            <w:tcW w:w="648" w:type="dxa"/>
          </w:tcPr>
          <w:p w14:paraId="7A2E6405" w14:textId="77777777" w:rsidR="008042AD" w:rsidRPr="00B4777F" w:rsidRDefault="00EE2FCA">
            <w:pPr>
              <w:rPr>
                <w:rFonts w:cs="Times New Roman"/>
                <w:sz w:val="22"/>
              </w:rPr>
            </w:pPr>
            <w:r w:rsidRPr="00B4777F">
              <w:rPr>
                <w:rFonts w:cs="Times New Roman"/>
                <w:sz w:val="22"/>
              </w:rPr>
              <w:t>Yes</w:t>
            </w:r>
          </w:p>
        </w:tc>
        <w:tc>
          <w:tcPr>
            <w:tcW w:w="4248" w:type="dxa"/>
          </w:tcPr>
          <w:p w14:paraId="60C01657" w14:textId="77777777" w:rsidR="008042AD" w:rsidRPr="00B4777F" w:rsidRDefault="00EE2FCA">
            <w:pPr>
              <w:rPr>
                <w:rFonts w:cs="Times New Roman"/>
                <w:sz w:val="22"/>
              </w:rPr>
            </w:pPr>
            <w:r w:rsidRPr="00B4777F">
              <w:rPr>
                <w:rFonts w:cs="Times New Roman"/>
                <w:sz w:val="22"/>
              </w:rPr>
              <w:t>Competitive parity. It reduces perceived risk and is organised, but policy-level guarantees and appeals can be imitated (Amazon.co.uk, n.d.-a; Amazon Seller Central, n.d.-a).</w:t>
            </w:r>
          </w:p>
        </w:tc>
      </w:tr>
      <w:tr w:rsidR="009327A8" w:rsidRPr="00B4777F" w14:paraId="787898AA" w14:textId="77777777" w:rsidTr="0075209C">
        <w:tc>
          <w:tcPr>
            <w:tcW w:w="2160" w:type="dxa"/>
          </w:tcPr>
          <w:p w14:paraId="7EB38826" w14:textId="77777777" w:rsidR="008042AD" w:rsidRPr="00B4777F" w:rsidRDefault="00EE2FCA">
            <w:pPr>
              <w:rPr>
                <w:rFonts w:cs="Times New Roman"/>
                <w:sz w:val="22"/>
              </w:rPr>
            </w:pPr>
            <w:r w:rsidRPr="00B4777F">
              <w:rPr>
                <w:rFonts w:cs="Times New Roman"/>
                <w:sz w:val="22"/>
              </w:rPr>
              <w:t>Large UK third-party seller ecosystem</w:t>
            </w:r>
          </w:p>
        </w:tc>
        <w:tc>
          <w:tcPr>
            <w:tcW w:w="648" w:type="dxa"/>
          </w:tcPr>
          <w:p w14:paraId="487B11C4" w14:textId="77777777" w:rsidR="008042AD" w:rsidRPr="00B4777F" w:rsidRDefault="00EE2FCA">
            <w:pPr>
              <w:rPr>
                <w:rFonts w:cs="Times New Roman"/>
                <w:sz w:val="22"/>
              </w:rPr>
            </w:pPr>
            <w:r w:rsidRPr="00B4777F">
              <w:rPr>
                <w:rFonts w:cs="Times New Roman"/>
                <w:sz w:val="22"/>
              </w:rPr>
              <w:t>Yes</w:t>
            </w:r>
          </w:p>
        </w:tc>
        <w:tc>
          <w:tcPr>
            <w:tcW w:w="648" w:type="dxa"/>
          </w:tcPr>
          <w:p w14:paraId="34655EB3" w14:textId="77777777" w:rsidR="008042AD" w:rsidRPr="00B4777F" w:rsidRDefault="00EE2FCA">
            <w:pPr>
              <w:rPr>
                <w:rFonts w:cs="Times New Roman"/>
                <w:sz w:val="22"/>
              </w:rPr>
            </w:pPr>
            <w:r w:rsidRPr="00B4777F">
              <w:rPr>
                <w:rFonts w:cs="Times New Roman"/>
                <w:sz w:val="22"/>
              </w:rPr>
              <w:t>Yes</w:t>
            </w:r>
          </w:p>
        </w:tc>
        <w:tc>
          <w:tcPr>
            <w:tcW w:w="648" w:type="dxa"/>
          </w:tcPr>
          <w:p w14:paraId="2FEED258" w14:textId="77777777" w:rsidR="008042AD" w:rsidRPr="00B4777F" w:rsidRDefault="00EE2FCA">
            <w:pPr>
              <w:rPr>
                <w:rFonts w:cs="Times New Roman"/>
                <w:sz w:val="22"/>
              </w:rPr>
            </w:pPr>
            <w:r w:rsidRPr="00B4777F">
              <w:rPr>
                <w:rFonts w:cs="Times New Roman"/>
                <w:sz w:val="22"/>
              </w:rPr>
              <w:t>No</w:t>
            </w:r>
          </w:p>
        </w:tc>
        <w:tc>
          <w:tcPr>
            <w:tcW w:w="648" w:type="dxa"/>
          </w:tcPr>
          <w:p w14:paraId="78084139" w14:textId="77777777" w:rsidR="008042AD" w:rsidRPr="00B4777F" w:rsidRDefault="00EE2FCA">
            <w:pPr>
              <w:rPr>
                <w:rFonts w:cs="Times New Roman"/>
                <w:sz w:val="22"/>
              </w:rPr>
            </w:pPr>
            <w:r w:rsidRPr="00B4777F">
              <w:rPr>
                <w:rFonts w:cs="Times New Roman"/>
                <w:sz w:val="22"/>
              </w:rPr>
              <w:t>Yes</w:t>
            </w:r>
          </w:p>
        </w:tc>
        <w:tc>
          <w:tcPr>
            <w:tcW w:w="4248" w:type="dxa"/>
          </w:tcPr>
          <w:p w14:paraId="6FBB1DF1" w14:textId="77777777" w:rsidR="008042AD" w:rsidRPr="00B4777F" w:rsidRDefault="00EE2FCA">
            <w:pPr>
              <w:rPr>
                <w:rFonts w:cs="Times New Roman"/>
                <w:sz w:val="22"/>
              </w:rPr>
            </w:pPr>
            <w:r w:rsidRPr="00B4777F">
              <w:rPr>
                <w:rFonts w:cs="Times New Roman"/>
                <w:sz w:val="22"/>
              </w:rPr>
              <w:t>Temporary advantage. Network participation is valuable and relatively rare at scale, but rival platforms can invest, multi-homing is possible and governance affects seller commitment (Cutolo and Kenney, 2021; Gawer, 2021).</w:t>
            </w:r>
          </w:p>
        </w:tc>
      </w:tr>
      <w:tr w:rsidR="0075209C" w:rsidRPr="00B4777F" w14:paraId="5309D9A5" w14:textId="77777777" w:rsidTr="0075209C">
        <w:tc>
          <w:tcPr>
            <w:tcW w:w="2160" w:type="dxa"/>
          </w:tcPr>
          <w:p w14:paraId="4585A42C" w14:textId="77777777" w:rsidR="008042AD" w:rsidRPr="00B4777F" w:rsidRDefault="00EE2FCA">
            <w:pPr>
              <w:rPr>
                <w:rFonts w:cs="Times New Roman"/>
                <w:sz w:val="22"/>
              </w:rPr>
            </w:pPr>
            <w:r w:rsidRPr="00B4777F">
              <w:rPr>
                <w:rFonts w:cs="Times New Roman"/>
                <w:sz w:val="22"/>
              </w:rPr>
              <w:t>Customer-obsession and experimentation routines</w:t>
            </w:r>
          </w:p>
        </w:tc>
        <w:tc>
          <w:tcPr>
            <w:tcW w:w="648" w:type="dxa"/>
          </w:tcPr>
          <w:p w14:paraId="32F813E9" w14:textId="77777777" w:rsidR="008042AD" w:rsidRPr="00B4777F" w:rsidRDefault="00EE2FCA">
            <w:pPr>
              <w:rPr>
                <w:rFonts w:cs="Times New Roman"/>
                <w:sz w:val="22"/>
              </w:rPr>
            </w:pPr>
            <w:r w:rsidRPr="00B4777F">
              <w:rPr>
                <w:rFonts w:cs="Times New Roman"/>
                <w:sz w:val="22"/>
              </w:rPr>
              <w:t>Yes</w:t>
            </w:r>
          </w:p>
        </w:tc>
        <w:tc>
          <w:tcPr>
            <w:tcW w:w="648" w:type="dxa"/>
          </w:tcPr>
          <w:p w14:paraId="7220A902" w14:textId="77777777" w:rsidR="008042AD" w:rsidRPr="00B4777F" w:rsidRDefault="00EE2FCA">
            <w:pPr>
              <w:rPr>
                <w:rFonts w:cs="Times New Roman"/>
                <w:sz w:val="22"/>
              </w:rPr>
            </w:pPr>
            <w:r w:rsidRPr="00B4777F">
              <w:rPr>
                <w:rFonts w:cs="Times New Roman"/>
                <w:sz w:val="22"/>
              </w:rPr>
              <w:t>No</w:t>
            </w:r>
          </w:p>
        </w:tc>
        <w:tc>
          <w:tcPr>
            <w:tcW w:w="648" w:type="dxa"/>
          </w:tcPr>
          <w:p w14:paraId="6A00A9FC" w14:textId="77777777" w:rsidR="008042AD" w:rsidRPr="00B4777F" w:rsidRDefault="00EE2FCA">
            <w:pPr>
              <w:rPr>
                <w:rFonts w:cs="Times New Roman"/>
                <w:sz w:val="22"/>
              </w:rPr>
            </w:pPr>
            <w:r w:rsidRPr="00B4777F">
              <w:rPr>
                <w:rFonts w:cs="Times New Roman"/>
                <w:sz w:val="22"/>
              </w:rPr>
              <w:t>No</w:t>
            </w:r>
          </w:p>
        </w:tc>
        <w:tc>
          <w:tcPr>
            <w:tcW w:w="648" w:type="dxa"/>
          </w:tcPr>
          <w:p w14:paraId="368616EB" w14:textId="77777777" w:rsidR="008042AD" w:rsidRPr="00B4777F" w:rsidRDefault="00EE2FCA">
            <w:pPr>
              <w:rPr>
                <w:rFonts w:cs="Times New Roman"/>
                <w:sz w:val="22"/>
              </w:rPr>
            </w:pPr>
            <w:r w:rsidRPr="00B4777F">
              <w:rPr>
                <w:rFonts w:cs="Times New Roman"/>
                <w:sz w:val="22"/>
              </w:rPr>
              <w:t>Yes</w:t>
            </w:r>
          </w:p>
        </w:tc>
        <w:tc>
          <w:tcPr>
            <w:tcW w:w="4248" w:type="dxa"/>
          </w:tcPr>
          <w:p w14:paraId="5129FE33" w14:textId="77777777" w:rsidR="008042AD" w:rsidRPr="00B4777F" w:rsidRDefault="00EE2FCA">
            <w:pPr>
              <w:rPr>
                <w:rFonts w:cs="Times New Roman"/>
                <w:sz w:val="22"/>
              </w:rPr>
            </w:pPr>
            <w:r w:rsidRPr="00B4777F">
              <w:rPr>
                <w:rFonts w:cs="Times New Roman"/>
                <w:sz w:val="22"/>
              </w:rPr>
              <w:t>Competitive parity. The routines support action, but customer-centred values and experimentation methods are widely understood and can be copied at principle level (Amazon.jobs, n.d.; Wade, Joshi and Teracino, 2021).</w:t>
            </w:r>
          </w:p>
        </w:tc>
      </w:tr>
    </w:tbl>
    <w:p w14:paraId="3BEF7718" w14:textId="77777777" w:rsidR="008042AD" w:rsidRPr="00B4777F" w:rsidRDefault="008042AD">
      <w:pPr>
        <w:rPr>
          <w:rFonts w:cs="Times New Roman"/>
          <w:sz w:val="22"/>
        </w:rPr>
      </w:pPr>
    </w:p>
    <w:p w14:paraId="50F9418F" w14:textId="5D3C48C2" w:rsidR="00791098" w:rsidRPr="00B4777F" w:rsidRDefault="00EE2FCA" w:rsidP="00791098">
      <w:pPr>
        <w:spacing w:after="120"/>
        <w:rPr>
          <w:rFonts w:cs="Times New Roman"/>
          <w:sz w:val="22"/>
        </w:rPr>
      </w:pPr>
      <w:r w:rsidRPr="00B4777F">
        <w:rPr>
          <w:rFonts w:cs="Times New Roman"/>
          <w:i/>
          <w:sz w:val="22"/>
        </w:rPr>
        <w:t>Source: Author's analysis using Barney (1991), Johnson et al. (2020) and the cited Amazon, platform and privacy evidence.</w:t>
      </w:r>
      <w:r w:rsidR="00791098" w:rsidRPr="00B4777F">
        <w:rPr>
          <w:rFonts w:cs="Times New Roman"/>
          <w:sz w:val="22"/>
        </w:rPr>
        <w:br/>
      </w:r>
      <w:r w:rsidR="00791098" w:rsidRPr="00B4777F">
        <w:rPr>
          <w:rStyle w:val="cursor-pointer"/>
          <w:rFonts w:cs="Times New Roman"/>
          <w:sz w:val="22"/>
        </w:rPr>
        <w:t>The bottom line VRIO is more discriminatory than it is to simply say that Amazon's size is an advantage.</w:t>
      </w:r>
      <w:r w:rsidR="00791098" w:rsidRPr="00B4777F">
        <w:rPr>
          <w:rFonts w:cs="Times New Roman"/>
          <w:sz w:val="22"/>
        </w:rPr>
        <w:t xml:space="preserve"> </w:t>
      </w:r>
      <w:r w:rsidR="00791098" w:rsidRPr="00B4777F">
        <w:rPr>
          <w:rStyle w:val="cursor-pointer"/>
          <w:rFonts w:cs="Times New Roman"/>
          <w:sz w:val="22"/>
        </w:rPr>
        <w:t>Data and fulfilment signals can help accelerate and maintain a competitive edge, as they are collected during Amazon's own actions and operations.</w:t>
      </w:r>
      <w:r w:rsidR="00791098" w:rsidRPr="00B4777F">
        <w:rPr>
          <w:rFonts w:cs="Times New Roman"/>
          <w:sz w:val="22"/>
        </w:rPr>
        <w:t xml:space="preserve"> </w:t>
      </w:r>
      <w:r w:rsidR="00791098" w:rsidRPr="00B4777F">
        <w:rPr>
          <w:rStyle w:val="cursor-pointer"/>
          <w:rFonts w:cs="Times New Roman"/>
          <w:sz w:val="22"/>
        </w:rPr>
        <w:t>The A-to-z policy itself creates parity and seller scale can create only a temporary advantage if the sellers think of government as being one-sided.</w:t>
      </w:r>
      <w:r w:rsidR="00791098" w:rsidRPr="00B4777F">
        <w:rPr>
          <w:rFonts w:cs="Times New Roman"/>
          <w:sz w:val="22"/>
        </w:rPr>
        <w:t xml:space="preserve"> </w:t>
      </w:r>
      <w:r w:rsidR="00791098" w:rsidRPr="00B4777F">
        <w:rPr>
          <w:rStyle w:val="cursor-pointer"/>
          <w:rFonts w:cs="Times New Roman"/>
          <w:sz w:val="22"/>
        </w:rPr>
        <w:t>Most important of all, the table clearly shows that this is not a new “frontline discretion capability” that has been developed.</w:t>
      </w:r>
      <w:r w:rsidR="00791098" w:rsidRPr="00B4777F">
        <w:rPr>
          <w:rFonts w:cs="Times New Roman"/>
          <w:sz w:val="22"/>
        </w:rPr>
        <w:t xml:space="preserve"> </w:t>
      </w:r>
      <w:r w:rsidR="00791098" w:rsidRPr="00B4777F">
        <w:rPr>
          <w:rStyle w:val="cursor-pointer"/>
          <w:rFonts w:cs="Times New Roman"/>
          <w:sz w:val="22"/>
        </w:rPr>
        <w:t>The challenge of the strategic task is to redo data, process and operation resources to make them more resilient, more fault-tolerant to the exception handling routine.</w:t>
      </w:r>
      <w:r w:rsidR="00791098" w:rsidRPr="00B4777F">
        <w:rPr>
          <w:rFonts w:cs="Times New Roman"/>
          <w:sz w:val="22"/>
        </w:rPr>
        <w:t xml:space="preserve"> </w:t>
      </w:r>
      <w:r w:rsidR="00791098" w:rsidRPr="00B4777F">
        <w:rPr>
          <w:rStyle w:val="cursor-pointer"/>
          <w:rFonts w:cs="Times New Roman"/>
          <w:sz w:val="22"/>
        </w:rPr>
        <w:t xml:space="preserve">This is a dynamic capability </w:t>
      </w:r>
      <w:r w:rsidR="00791098" w:rsidRPr="00B4777F">
        <w:rPr>
          <w:rStyle w:val="cursor-pointer"/>
          <w:rFonts w:cs="Times New Roman"/>
          <w:sz w:val="22"/>
        </w:rPr>
        <w:lastRenderedPageBreak/>
        <w:t>problem: sensing, seizing (via bounded action) and transforming (via pilot learning) recurring failure patterns (Teece, Pisano and Shuen, 1997).</w:t>
      </w:r>
    </w:p>
    <w:p w14:paraId="3E7E5E3C" w14:textId="77777777" w:rsidR="008042AD" w:rsidRPr="00B4777F" w:rsidRDefault="00EE2FCA">
      <w:pPr>
        <w:pStyle w:val="Heading2"/>
        <w:spacing w:before="80" w:after="40"/>
        <w:rPr>
          <w:rFonts w:ascii="Times New Roman" w:hAnsi="Times New Roman" w:cs="Times New Roman"/>
          <w:color w:val="auto"/>
          <w:sz w:val="22"/>
          <w:szCs w:val="22"/>
        </w:rPr>
      </w:pPr>
      <w:bookmarkStart w:id="7" w:name="_Toc242257096"/>
      <w:r w:rsidRPr="00B4777F">
        <w:rPr>
          <w:rFonts w:ascii="Times New Roman" w:eastAsia="Times New Roman" w:hAnsi="Times New Roman" w:cs="Times New Roman"/>
          <w:color w:val="auto"/>
          <w:sz w:val="22"/>
          <w:szCs w:val="22"/>
        </w:rPr>
        <w:t>2.5 Strategic options and SAFe evaluation</w:t>
      </w:r>
      <w:bookmarkEnd w:id="7"/>
    </w:p>
    <w:p w14:paraId="1F9EBBB0" w14:textId="520C6FB8" w:rsidR="00791098" w:rsidRPr="00B4777F" w:rsidRDefault="00791098">
      <w:pPr>
        <w:rPr>
          <w:rFonts w:cs="Times New Roman"/>
          <w:sz w:val="22"/>
        </w:rPr>
      </w:pPr>
      <w:r w:rsidRPr="00B4777F">
        <w:rPr>
          <w:rStyle w:val="cursor-pointer"/>
          <w:rFonts w:cs="Times New Roman"/>
          <w:sz w:val="22"/>
        </w:rPr>
        <w:t>The choice of option(s) is driven by the evidence.</w:t>
      </w:r>
      <w:r w:rsidRPr="00B4777F">
        <w:rPr>
          <w:rFonts w:cs="Times New Roman"/>
          <w:sz w:val="22"/>
        </w:rPr>
        <w:t xml:space="preserve"> </w:t>
      </w:r>
      <w:r w:rsidRPr="00B4777F">
        <w:rPr>
          <w:rStyle w:val="cursor-pointer"/>
          <w:rFonts w:cs="Times New Roman"/>
          <w:sz w:val="22"/>
        </w:rPr>
        <w:t>Option A further automates and self-serves; Option B launches human-led UK Marketplace Recovery Cells for specific high friction cases; Option C enhances evidence, explanations and appeals provided by sellers when they have disputes.</w:t>
      </w:r>
      <w:r w:rsidRPr="00B4777F">
        <w:rPr>
          <w:rFonts w:cs="Times New Roman"/>
          <w:sz w:val="22"/>
        </w:rPr>
        <w:t xml:space="preserve"> </w:t>
      </w:r>
      <w:r w:rsidRPr="00B4777F">
        <w:rPr>
          <w:rStyle w:val="cursor-pointer"/>
          <w:rFonts w:cs="Times New Roman"/>
          <w:sz w:val="22"/>
        </w:rPr>
        <w:t>Table 4 spells out the traceability before evaluating the options.</w:t>
      </w:r>
    </w:p>
    <w:p w14:paraId="2F2ECCC2" w14:textId="77777777" w:rsidR="008042AD" w:rsidRPr="00B4777F" w:rsidRDefault="00EE2FCA">
      <w:pPr>
        <w:pStyle w:val="Caption"/>
        <w:keepNext/>
        <w:rPr>
          <w:rFonts w:cs="Times New Roman"/>
          <w:color w:val="auto"/>
          <w:sz w:val="22"/>
          <w:szCs w:val="22"/>
        </w:rPr>
      </w:pPr>
      <w:r w:rsidRPr="00B4777F">
        <w:rPr>
          <w:rFonts w:cs="Times New Roman"/>
          <w:color w:val="auto"/>
          <w:sz w:val="22"/>
          <w:szCs w:val="22"/>
        </w:rPr>
        <w:t>Table 4. Evidence-to-option strategic gap summary</w:t>
      </w:r>
    </w:p>
    <w:tbl>
      <w:tblPr>
        <w:tblStyle w:val="TableGrid"/>
        <w:tblW w:w="9270" w:type="dxa"/>
        <w:tblLayout w:type="fixed"/>
        <w:tblLook w:val="04A0" w:firstRow="1" w:lastRow="0" w:firstColumn="1" w:lastColumn="0" w:noHBand="0" w:noVBand="1"/>
      </w:tblPr>
      <w:tblGrid>
        <w:gridCol w:w="2718"/>
        <w:gridCol w:w="3312"/>
        <w:gridCol w:w="3240"/>
      </w:tblGrid>
      <w:tr w:rsidR="009327A8" w:rsidRPr="00B4777F" w14:paraId="6DF184AA" w14:textId="77777777" w:rsidTr="0075209C">
        <w:tc>
          <w:tcPr>
            <w:tcW w:w="2718" w:type="dxa"/>
          </w:tcPr>
          <w:p w14:paraId="3171ED7E" w14:textId="77777777" w:rsidR="008042AD" w:rsidRPr="00B4777F" w:rsidRDefault="00EE2FCA">
            <w:pPr>
              <w:jc w:val="center"/>
              <w:rPr>
                <w:rFonts w:cs="Times New Roman"/>
                <w:sz w:val="22"/>
              </w:rPr>
            </w:pPr>
            <w:r w:rsidRPr="00B4777F">
              <w:rPr>
                <w:rFonts w:cs="Times New Roman"/>
                <w:b/>
                <w:sz w:val="22"/>
              </w:rPr>
              <w:t>Finding</w:t>
            </w:r>
          </w:p>
        </w:tc>
        <w:tc>
          <w:tcPr>
            <w:tcW w:w="3312" w:type="dxa"/>
          </w:tcPr>
          <w:p w14:paraId="7AB0CB65" w14:textId="77777777" w:rsidR="008042AD" w:rsidRPr="00B4777F" w:rsidRDefault="00EE2FCA">
            <w:pPr>
              <w:jc w:val="center"/>
              <w:rPr>
                <w:rFonts w:cs="Times New Roman"/>
                <w:sz w:val="22"/>
              </w:rPr>
            </w:pPr>
            <w:r w:rsidRPr="00B4777F">
              <w:rPr>
                <w:rFonts w:cs="Times New Roman"/>
                <w:b/>
                <w:sz w:val="22"/>
              </w:rPr>
              <w:t>Unresolved strategic gap</w:t>
            </w:r>
          </w:p>
        </w:tc>
        <w:tc>
          <w:tcPr>
            <w:tcW w:w="3240" w:type="dxa"/>
          </w:tcPr>
          <w:p w14:paraId="6B77CC9D" w14:textId="77777777" w:rsidR="008042AD" w:rsidRPr="00B4777F" w:rsidRDefault="00EE2FCA">
            <w:pPr>
              <w:jc w:val="center"/>
              <w:rPr>
                <w:rFonts w:cs="Times New Roman"/>
                <w:sz w:val="22"/>
              </w:rPr>
            </w:pPr>
            <w:r w:rsidRPr="00B4777F">
              <w:rPr>
                <w:rFonts w:cs="Times New Roman"/>
                <w:b/>
                <w:sz w:val="22"/>
              </w:rPr>
              <w:t>Option implication</w:t>
            </w:r>
          </w:p>
        </w:tc>
      </w:tr>
      <w:tr w:rsidR="009327A8" w:rsidRPr="00B4777F" w14:paraId="3AA39A0B" w14:textId="77777777" w:rsidTr="0075209C">
        <w:tc>
          <w:tcPr>
            <w:tcW w:w="2718" w:type="dxa"/>
          </w:tcPr>
          <w:p w14:paraId="657B61AC" w14:textId="77777777" w:rsidR="008042AD" w:rsidRPr="00B4777F" w:rsidRDefault="00EE2FCA">
            <w:pPr>
              <w:rPr>
                <w:rFonts w:cs="Times New Roman"/>
                <w:sz w:val="22"/>
              </w:rPr>
            </w:pPr>
            <w:r w:rsidRPr="00B4777F">
              <w:rPr>
                <w:rFonts w:cs="Times New Roman"/>
                <w:sz w:val="22"/>
              </w:rPr>
              <w:t>PESTEL: speed, enforcement, privacy and fairness pressures interact.</w:t>
            </w:r>
          </w:p>
        </w:tc>
        <w:tc>
          <w:tcPr>
            <w:tcW w:w="3312" w:type="dxa"/>
          </w:tcPr>
          <w:p w14:paraId="495EDD53" w14:textId="77777777" w:rsidR="008042AD" w:rsidRPr="00B4777F" w:rsidRDefault="00EE2FCA">
            <w:pPr>
              <w:rPr>
                <w:rFonts w:cs="Times New Roman"/>
                <w:sz w:val="22"/>
              </w:rPr>
            </w:pPr>
            <w:r w:rsidRPr="00B4777F">
              <w:rPr>
                <w:rFonts w:cs="Times New Roman"/>
                <w:sz w:val="22"/>
              </w:rPr>
              <w:t>One route cannot optimise both routine efficiency and exceptional-case accountability.</w:t>
            </w:r>
          </w:p>
        </w:tc>
        <w:tc>
          <w:tcPr>
            <w:tcW w:w="3240" w:type="dxa"/>
          </w:tcPr>
          <w:p w14:paraId="575D8AD3" w14:textId="77777777" w:rsidR="008042AD" w:rsidRPr="00B4777F" w:rsidRDefault="00EE2FCA">
            <w:pPr>
              <w:rPr>
                <w:rFonts w:cs="Times New Roman"/>
                <w:sz w:val="22"/>
              </w:rPr>
            </w:pPr>
            <w:r w:rsidRPr="00B4777F">
              <w:rPr>
                <w:rFonts w:cs="Times New Roman"/>
                <w:sz w:val="22"/>
              </w:rPr>
              <w:t>Keep automation for routine contacts, but provide meaningful human review for flagged cases.</w:t>
            </w:r>
          </w:p>
        </w:tc>
      </w:tr>
      <w:tr w:rsidR="009327A8" w:rsidRPr="00B4777F" w14:paraId="0A09155B" w14:textId="77777777" w:rsidTr="0075209C">
        <w:tc>
          <w:tcPr>
            <w:tcW w:w="2718" w:type="dxa"/>
          </w:tcPr>
          <w:p w14:paraId="31596639" w14:textId="77777777" w:rsidR="008042AD" w:rsidRPr="00B4777F" w:rsidRDefault="00EE2FCA">
            <w:pPr>
              <w:rPr>
                <w:rFonts w:cs="Times New Roman"/>
                <w:sz w:val="22"/>
              </w:rPr>
            </w:pPr>
            <w:r w:rsidRPr="00B4777F">
              <w:rPr>
                <w:rFonts w:cs="Times New Roman"/>
                <w:sz w:val="22"/>
              </w:rPr>
              <w:t>TOWS: strong data and processes are weakened by fragmented case ownership.</w:t>
            </w:r>
          </w:p>
        </w:tc>
        <w:tc>
          <w:tcPr>
            <w:tcW w:w="3312" w:type="dxa"/>
          </w:tcPr>
          <w:p w14:paraId="4DB36476" w14:textId="77777777" w:rsidR="008042AD" w:rsidRPr="00B4777F" w:rsidRDefault="00EE2FCA">
            <w:pPr>
              <w:rPr>
                <w:rFonts w:cs="Times New Roman"/>
                <w:sz w:val="22"/>
              </w:rPr>
            </w:pPr>
            <w:r w:rsidRPr="00B4777F">
              <w:rPr>
                <w:rFonts w:cs="Times New Roman"/>
                <w:sz w:val="22"/>
              </w:rPr>
              <w:t>Evidence may exist without one authorised owner able to turn it into resolution.</w:t>
            </w:r>
          </w:p>
        </w:tc>
        <w:tc>
          <w:tcPr>
            <w:tcW w:w="3240" w:type="dxa"/>
          </w:tcPr>
          <w:p w14:paraId="7621CED7" w14:textId="77777777" w:rsidR="008042AD" w:rsidRPr="00B4777F" w:rsidRDefault="00EE2FCA">
            <w:pPr>
              <w:rPr>
                <w:rFonts w:cs="Times New Roman"/>
                <w:sz w:val="22"/>
              </w:rPr>
            </w:pPr>
            <w:r w:rsidRPr="00B4777F">
              <w:rPr>
                <w:rFonts w:cs="Times New Roman"/>
                <w:sz w:val="22"/>
              </w:rPr>
              <w:t>Test cross-functional Recovery Cells with a filtered case view and bounded authority.</w:t>
            </w:r>
          </w:p>
        </w:tc>
      </w:tr>
      <w:tr w:rsidR="0075209C" w:rsidRPr="00B4777F" w14:paraId="42362B15" w14:textId="77777777" w:rsidTr="0075209C">
        <w:tc>
          <w:tcPr>
            <w:tcW w:w="2718" w:type="dxa"/>
          </w:tcPr>
          <w:p w14:paraId="1984F24B" w14:textId="77777777" w:rsidR="008042AD" w:rsidRPr="00B4777F" w:rsidRDefault="00EE2FCA">
            <w:pPr>
              <w:rPr>
                <w:rFonts w:cs="Times New Roman"/>
                <w:sz w:val="22"/>
              </w:rPr>
            </w:pPr>
            <w:r w:rsidRPr="00B4777F">
              <w:rPr>
                <w:rFonts w:cs="Times New Roman"/>
                <w:sz w:val="22"/>
              </w:rPr>
              <w:t>VRIO: data and fulfilment signals are stronger resources than the guarantee policy alone.</w:t>
            </w:r>
          </w:p>
        </w:tc>
        <w:tc>
          <w:tcPr>
            <w:tcW w:w="3312" w:type="dxa"/>
          </w:tcPr>
          <w:p w14:paraId="1C4FDD7F" w14:textId="77777777" w:rsidR="008042AD" w:rsidRPr="00B4777F" w:rsidRDefault="00EE2FCA">
            <w:pPr>
              <w:rPr>
                <w:rFonts w:cs="Times New Roman"/>
                <w:sz w:val="22"/>
              </w:rPr>
            </w:pPr>
            <w:r w:rsidRPr="00B4777F">
              <w:rPr>
                <w:rFonts w:cs="Times New Roman"/>
                <w:sz w:val="22"/>
              </w:rPr>
              <w:t>Sustained resources are not consistently translated into explainable recovery.</w:t>
            </w:r>
          </w:p>
        </w:tc>
        <w:tc>
          <w:tcPr>
            <w:tcW w:w="3240" w:type="dxa"/>
          </w:tcPr>
          <w:p w14:paraId="3EF11818" w14:textId="77777777" w:rsidR="008042AD" w:rsidRPr="00B4777F" w:rsidRDefault="00EE2FCA">
            <w:pPr>
              <w:rPr>
                <w:rFonts w:cs="Times New Roman"/>
                <w:sz w:val="22"/>
              </w:rPr>
            </w:pPr>
            <w:r w:rsidRPr="00B4777F">
              <w:rPr>
                <w:rFonts w:cs="Times New Roman"/>
                <w:sz w:val="22"/>
              </w:rPr>
              <w:t>Design the operating model around integrated evidence and documented judgement, not policy expansion alone.</w:t>
            </w:r>
          </w:p>
        </w:tc>
      </w:tr>
    </w:tbl>
    <w:p w14:paraId="331FA0B8" w14:textId="77777777" w:rsidR="008042AD" w:rsidRPr="00B4777F" w:rsidRDefault="008042AD">
      <w:pPr>
        <w:rPr>
          <w:rFonts w:cs="Times New Roman"/>
          <w:sz w:val="22"/>
        </w:rPr>
      </w:pPr>
    </w:p>
    <w:p w14:paraId="5F656F62" w14:textId="77777777" w:rsidR="008042AD" w:rsidRPr="00B4777F" w:rsidRDefault="00EE2FCA">
      <w:pPr>
        <w:spacing w:after="120"/>
        <w:rPr>
          <w:rFonts w:cs="Times New Roman"/>
          <w:sz w:val="22"/>
        </w:rPr>
      </w:pPr>
      <w:r w:rsidRPr="00B4777F">
        <w:rPr>
          <w:rFonts w:cs="Times New Roman"/>
          <w:i/>
          <w:sz w:val="22"/>
        </w:rPr>
        <w:t>Source: Author's synthesis of Tables 1–3.</w:t>
      </w:r>
    </w:p>
    <w:p w14:paraId="5DCD4A8E" w14:textId="56E2E23C" w:rsidR="00791098" w:rsidRPr="00B4777F" w:rsidRDefault="00791098">
      <w:pPr>
        <w:rPr>
          <w:rFonts w:cs="Times New Roman"/>
          <w:sz w:val="22"/>
        </w:rPr>
      </w:pPr>
      <w:r w:rsidRPr="00B4777F">
        <w:rPr>
          <w:rStyle w:val="cursor-pointer"/>
          <w:rFonts w:cs="Times New Roman"/>
          <w:sz w:val="22"/>
        </w:rPr>
        <w:t>SAFe considers the strategic suitability (fit), the returns, risk and stakeholder reactions (acceptability), and resource and practical deliverability (feasibility).</w:t>
      </w:r>
      <w:r w:rsidRPr="00B4777F">
        <w:rPr>
          <w:rFonts w:cs="Times New Roman"/>
          <w:sz w:val="22"/>
        </w:rPr>
        <w:t xml:space="preserve"> </w:t>
      </w:r>
      <w:r w:rsidRPr="00B4777F">
        <w:rPr>
          <w:rStyle w:val="cursor-pointer"/>
          <w:rFonts w:cs="Times New Roman"/>
          <w:sz w:val="22"/>
        </w:rPr>
        <w:t>It is an evaluation, and not a judgement with a score attached that is hiding uncertainty, so each judgement, therefore, states its condition and trade-off (Johnson et al., 2020).</w:t>
      </w:r>
    </w:p>
    <w:p w14:paraId="29727A07" w14:textId="77777777" w:rsidR="008042AD" w:rsidRPr="00B4777F" w:rsidRDefault="00EE2FCA">
      <w:pPr>
        <w:pStyle w:val="Caption"/>
        <w:keepNext/>
        <w:rPr>
          <w:rFonts w:cs="Times New Roman"/>
          <w:color w:val="auto"/>
          <w:sz w:val="22"/>
          <w:szCs w:val="22"/>
        </w:rPr>
      </w:pPr>
      <w:r w:rsidRPr="00B4777F">
        <w:rPr>
          <w:rFonts w:cs="Times New Roman"/>
          <w:color w:val="auto"/>
          <w:sz w:val="22"/>
          <w:szCs w:val="22"/>
        </w:rPr>
        <w:lastRenderedPageBreak/>
        <w:t>Table 5. SAFe evaluation of the three strategic options</w:t>
      </w:r>
    </w:p>
    <w:tbl>
      <w:tblPr>
        <w:tblStyle w:val="TableGrid"/>
        <w:tblW w:w="0" w:type="auto"/>
        <w:tblLayout w:type="fixed"/>
        <w:tblLook w:val="04A0" w:firstRow="1" w:lastRow="0" w:firstColumn="1" w:lastColumn="0" w:noHBand="0" w:noVBand="1"/>
      </w:tblPr>
      <w:tblGrid>
        <w:gridCol w:w="1368"/>
        <w:gridCol w:w="2549"/>
        <w:gridCol w:w="2549"/>
        <w:gridCol w:w="2534"/>
      </w:tblGrid>
      <w:tr w:rsidR="009327A8" w:rsidRPr="00B4777F" w14:paraId="3D3D9BD4" w14:textId="77777777" w:rsidTr="0075209C">
        <w:tc>
          <w:tcPr>
            <w:tcW w:w="1368" w:type="dxa"/>
          </w:tcPr>
          <w:p w14:paraId="27C033BD" w14:textId="77777777" w:rsidR="008042AD" w:rsidRPr="00B4777F" w:rsidRDefault="00EE2FCA">
            <w:pPr>
              <w:jc w:val="center"/>
              <w:rPr>
                <w:rFonts w:cs="Times New Roman"/>
                <w:sz w:val="22"/>
              </w:rPr>
            </w:pPr>
            <w:r w:rsidRPr="00B4777F">
              <w:rPr>
                <w:rFonts w:cs="Times New Roman"/>
                <w:b/>
                <w:sz w:val="22"/>
              </w:rPr>
              <w:t>Criterion</w:t>
            </w:r>
          </w:p>
        </w:tc>
        <w:tc>
          <w:tcPr>
            <w:tcW w:w="2549" w:type="dxa"/>
          </w:tcPr>
          <w:p w14:paraId="138DA14B" w14:textId="77777777" w:rsidR="008042AD" w:rsidRPr="00B4777F" w:rsidRDefault="00EE2FCA">
            <w:pPr>
              <w:jc w:val="center"/>
              <w:rPr>
                <w:rFonts w:cs="Times New Roman"/>
                <w:sz w:val="22"/>
              </w:rPr>
            </w:pPr>
            <w:r w:rsidRPr="00B4777F">
              <w:rPr>
                <w:rFonts w:cs="Times New Roman"/>
                <w:b/>
                <w:sz w:val="22"/>
              </w:rPr>
              <w:t>Option A: automation-first</w:t>
            </w:r>
          </w:p>
        </w:tc>
        <w:tc>
          <w:tcPr>
            <w:tcW w:w="2549" w:type="dxa"/>
          </w:tcPr>
          <w:p w14:paraId="3B718699" w14:textId="77777777" w:rsidR="008042AD" w:rsidRPr="00B4777F" w:rsidRDefault="00EE2FCA">
            <w:pPr>
              <w:jc w:val="center"/>
              <w:rPr>
                <w:rFonts w:cs="Times New Roman"/>
                <w:sz w:val="22"/>
              </w:rPr>
            </w:pPr>
            <w:r w:rsidRPr="00B4777F">
              <w:rPr>
                <w:rFonts w:cs="Times New Roman"/>
                <w:b/>
                <w:sz w:val="22"/>
              </w:rPr>
              <w:t>Option B: Recovery Cells</w:t>
            </w:r>
          </w:p>
        </w:tc>
        <w:tc>
          <w:tcPr>
            <w:tcW w:w="2534" w:type="dxa"/>
          </w:tcPr>
          <w:p w14:paraId="0D4578F2" w14:textId="77777777" w:rsidR="008042AD" w:rsidRPr="00B4777F" w:rsidRDefault="00EE2FCA">
            <w:pPr>
              <w:jc w:val="center"/>
              <w:rPr>
                <w:rFonts w:cs="Times New Roman"/>
                <w:sz w:val="22"/>
              </w:rPr>
            </w:pPr>
            <w:r w:rsidRPr="00B4777F">
              <w:rPr>
                <w:rFonts w:cs="Times New Roman"/>
                <w:b/>
                <w:sz w:val="22"/>
              </w:rPr>
              <w:t>Option C: dispute pathway</w:t>
            </w:r>
          </w:p>
        </w:tc>
      </w:tr>
      <w:tr w:rsidR="009327A8" w:rsidRPr="00B4777F" w14:paraId="7F34F0F0" w14:textId="77777777" w:rsidTr="0075209C">
        <w:tc>
          <w:tcPr>
            <w:tcW w:w="1368" w:type="dxa"/>
          </w:tcPr>
          <w:p w14:paraId="7F8FEB87" w14:textId="77777777" w:rsidR="008042AD" w:rsidRPr="00B4777F" w:rsidRDefault="00EE2FCA">
            <w:pPr>
              <w:rPr>
                <w:rFonts w:cs="Times New Roman"/>
                <w:sz w:val="22"/>
              </w:rPr>
            </w:pPr>
            <w:r w:rsidRPr="00B4777F">
              <w:rPr>
                <w:rFonts w:cs="Times New Roman"/>
                <w:sz w:val="22"/>
              </w:rPr>
              <w:t>Suitability</w:t>
            </w:r>
          </w:p>
        </w:tc>
        <w:tc>
          <w:tcPr>
            <w:tcW w:w="2549" w:type="dxa"/>
          </w:tcPr>
          <w:p w14:paraId="4F4BA03D" w14:textId="77777777" w:rsidR="008042AD" w:rsidRPr="00B4777F" w:rsidRDefault="00EE2FCA">
            <w:pPr>
              <w:rPr>
                <w:rFonts w:cs="Times New Roman"/>
                <w:sz w:val="22"/>
              </w:rPr>
            </w:pPr>
            <w:r w:rsidRPr="00B4777F">
              <w:rPr>
                <w:rFonts w:cs="Times New Roman"/>
                <w:sz w:val="22"/>
              </w:rPr>
              <w:t>Moderate for routine tracking, FAQs and unambiguous refunds because speed and scale matter. Low for conflicting evidence or emotional failures, where bot errors and insensitive responses can intensify blame (Crolic et al., 2022; Xing et al., 2022).</w:t>
            </w:r>
          </w:p>
        </w:tc>
        <w:tc>
          <w:tcPr>
            <w:tcW w:w="2549" w:type="dxa"/>
          </w:tcPr>
          <w:p w14:paraId="234F2A4A" w14:textId="77777777" w:rsidR="008042AD" w:rsidRPr="00B4777F" w:rsidRDefault="00EE2FCA">
            <w:pPr>
              <w:rPr>
                <w:rFonts w:cs="Times New Roman"/>
                <w:sz w:val="22"/>
              </w:rPr>
            </w:pPr>
            <w:r w:rsidRPr="00B4777F">
              <w:rPr>
                <w:rFonts w:cs="Times New Roman"/>
                <w:sz w:val="22"/>
              </w:rPr>
              <w:t>High for repeated contact, disputed returns, high-value cases and vulnerability flags. Human judgement can combine evidence and empathy, but cases must be tightly selected (Choi, Mattila and Bolton, 2021; Haupt et al., 2023).</w:t>
            </w:r>
          </w:p>
        </w:tc>
        <w:tc>
          <w:tcPr>
            <w:tcW w:w="2534" w:type="dxa"/>
          </w:tcPr>
          <w:p w14:paraId="2F162277" w14:textId="77777777" w:rsidR="008042AD" w:rsidRPr="00B4777F" w:rsidRDefault="00EE2FCA">
            <w:pPr>
              <w:rPr>
                <w:rFonts w:cs="Times New Roman"/>
                <w:sz w:val="22"/>
              </w:rPr>
            </w:pPr>
            <w:r w:rsidRPr="00B4777F">
              <w:rPr>
                <w:rFonts w:cs="Times New Roman"/>
                <w:sz w:val="22"/>
              </w:rPr>
              <w:t>High for the marketplace-governance threat. Clear evidence rules and contestability support both customer and seller confidence and respond to the wider regulatory direction (Competition and Markets Authority, 2024; Etro, 2024).</w:t>
            </w:r>
          </w:p>
        </w:tc>
      </w:tr>
      <w:tr w:rsidR="009327A8" w:rsidRPr="00B4777F" w14:paraId="3FBA6ADF" w14:textId="77777777" w:rsidTr="0075209C">
        <w:tc>
          <w:tcPr>
            <w:tcW w:w="1368" w:type="dxa"/>
          </w:tcPr>
          <w:p w14:paraId="2D0C32DB" w14:textId="77777777" w:rsidR="008042AD" w:rsidRPr="00B4777F" w:rsidRDefault="00EE2FCA">
            <w:pPr>
              <w:rPr>
                <w:rFonts w:cs="Times New Roman"/>
                <w:sz w:val="22"/>
              </w:rPr>
            </w:pPr>
            <w:r w:rsidRPr="00B4777F">
              <w:rPr>
                <w:rFonts w:cs="Times New Roman"/>
                <w:sz w:val="22"/>
              </w:rPr>
              <w:t>Acceptability</w:t>
            </w:r>
          </w:p>
        </w:tc>
        <w:tc>
          <w:tcPr>
            <w:tcW w:w="2549" w:type="dxa"/>
          </w:tcPr>
          <w:p w14:paraId="4807C537" w14:textId="77777777" w:rsidR="008042AD" w:rsidRPr="00B4777F" w:rsidRDefault="00EE2FCA">
            <w:pPr>
              <w:rPr>
                <w:rFonts w:cs="Times New Roman"/>
                <w:sz w:val="22"/>
              </w:rPr>
            </w:pPr>
            <w:r w:rsidRPr="00B4777F">
              <w:rPr>
                <w:rFonts w:cs="Times New Roman"/>
                <w:sz w:val="22"/>
              </w:rPr>
              <w:t>Mixed. Lower unit cost may appeal internally, yet customers may reject automation that restricts agency or fails to explain an outcome (Castillo, Canhoto and Said, 2021; Puntoni et al., 2021).</w:t>
            </w:r>
          </w:p>
        </w:tc>
        <w:tc>
          <w:tcPr>
            <w:tcW w:w="2549" w:type="dxa"/>
          </w:tcPr>
          <w:p w14:paraId="6D2597A9" w14:textId="77777777" w:rsidR="008042AD" w:rsidRPr="00B4777F" w:rsidRDefault="00EE2FCA">
            <w:pPr>
              <w:rPr>
                <w:rFonts w:cs="Times New Roman"/>
                <w:sz w:val="22"/>
              </w:rPr>
            </w:pPr>
            <w:r w:rsidRPr="00B4777F">
              <w:rPr>
                <w:rFonts w:cs="Times New Roman"/>
                <w:sz w:val="22"/>
              </w:rPr>
              <w:t>Moderate to high if the pilot has cost caps, consistent quality review and fair employee measures. Customers gain ownership; leaders accept higher handling time only where repeat demand and trust risk justify it.</w:t>
            </w:r>
          </w:p>
        </w:tc>
        <w:tc>
          <w:tcPr>
            <w:tcW w:w="2534" w:type="dxa"/>
          </w:tcPr>
          <w:p w14:paraId="56380F93" w14:textId="77777777" w:rsidR="008042AD" w:rsidRPr="00B4777F" w:rsidRDefault="00EE2FCA">
            <w:pPr>
              <w:rPr>
                <w:rFonts w:cs="Times New Roman"/>
                <w:sz w:val="22"/>
              </w:rPr>
            </w:pPr>
            <w:r w:rsidRPr="00B4777F">
              <w:rPr>
                <w:rFonts w:cs="Times New Roman"/>
                <w:sz w:val="22"/>
              </w:rPr>
              <w:t>High for regulators and well-performing sellers; mixed where greater scrutiny exposes weak seller evidence. Balanced customer-and-seller appeals are essential to prevent a pro-customer bias from becoming seller unfairness.</w:t>
            </w:r>
          </w:p>
        </w:tc>
      </w:tr>
      <w:tr w:rsidR="009327A8" w:rsidRPr="00B4777F" w14:paraId="09C6D20B" w14:textId="77777777" w:rsidTr="0075209C">
        <w:tc>
          <w:tcPr>
            <w:tcW w:w="1368" w:type="dxa"/>
          </w:tcPr>
          <w:p w14:paraId="6DA2B923" w14:textId="77777777" w:rsidR="008042AD" w:rsidRPr="00B4777F" w:rsidRDefault="00EE2FCA">
            <w:pPr>
              <w:rPr>
                <w:rFonts w:cs="Times New Roman"/>
                <w:sz w:val="22"/>
              </w:rPr>
            </w:pPr>
            <w:r w:rsidRPr="00B4777F">
              <w:rPr>
                <w:rFonts w:cs="Times New Roman"/>
                <w:sz w:val="22"/>
              </w:rPr>
              <w:t>Feasibility</w:t>
            </w:r>
          </w:p>
        </w:tc>
        <w:tc>
          <w:tcPr>
            <w:tcW w:w="2549" w:type="dxa"/>
          </w:tcPr>
          <w:p w14:paraId="16A56289" w14:textId="77777777" w:rsidR="008042AD" w:rsidRPr="00B4777F" w:rsidRDefault="00EE2FCA">
            <w:pPr>
              <w:rPr>
                <w:rFonts w:cs="Times New Roman"/>
                <w:sz w:val="22"/>
              </w:rPr>
            </w:pPr>
            <w:r w:rsidRPr="00B4777F">
              <w:rPr>
                <w:rFonts w:cs="Times New Roman"/>
                <w:sz w:val="22"/>
              </w:rPr>
              <w:t xml:space="preserve">High technically because Amazon already uses self-service, data and </w:t>
            </w:r>
            <w:r w:rsidRPr="00B4777F">
              <w:rPr>
                <w:rFonts w:cs="Times New Roman"/>
                <w:sz w:val="22"/>
              </w:rPr>
              <w:lastRenderedPageBreak/>
              <w:t>operational systems. Its weakness is strategic fit, not deliverability (Amazon.com, Inc., 2025; Huang and Rust, 2021).</w:t>
            </w:r>
          </w:p>
        </w:tc>
        <w:tc>
          <w:tcPr>
            <w:tcW w:w="2549" w:type="dxa"/>
          </w:tcPr>
          <w:p w14:paraId="61C1EE1F" w14:textId="77777777" w:rsidR="008042AD" w:rsidRPr="00B4777F" w:rsidRDefault="00EE2FCA">
            <w:pPr>
              <w:rPr>
                <w:rFonts w:cs="Times New Roman"/>
                <w:sz w:val="22"/>
              </w:rPr>
            </w:pPr>
            <w:r w:rsidRPr="00B4777F">
              <w:rPr>
                <w:rFonts w:cs="Times New Roman"/>
                <w:sz w:val="22"/>
              </w:rPr>
              <w:lastRenderedPageBreak/>
              <w:t xml:space="preserve">Moderate. Existing data and staff capabilities reduce the starting burden, </w:t>
            </w:r>
            <w:r w:rsidRPr="00B4777F">
              <w:rPr>
                <w:rFonts w:cs="Times New Roman"/>
                <w:sz w:val="22"/>
              </w:rPr>
              <w:lastRenderedPageBreak/>
              <w:t>but training, role-based access, case-routing rules and calibrated authority require a controlled pilot and leadership support.</w:t>
            </w:r>
          </w:p>
        </w:tc>
        <w:tc>
          <w:tcPr>
            <w:tcW w:w="2534" w:type="dxa"/>
          </w:tcPr>
          <w:p w14:paraId="67D8F89F" w14:textId="77777777" w:rsidR="008042AD" w:rsidRPr="00B4777F" w:rsidRDefault="00EE2FCA">
            <w:pPr>
              <w:rPr>
                <w:rFonts w:cs="Times New Roman"/>
                <w:sz w:val="22"/>
              </w:rPr>
            </w:pPr>
            <w:r w:rsidRPr="00B4777F">
              <w:rPr>
                <w:rFonts w:cs="Times New Roman"/>
                <w:sz w:val="22"/>
              </w:rPr>
              <w:lastRenderedPageBreak/>
              <w:t xml:space="preserve">Moderate to high. Existing A-to-z claims and appeal processes provide a base; </w:t>
            </w:r>
            <w:r w:rsidRPr="00B4777F">
              <w:rPr>
                <w:rFonts w:cs="Times New Roman"/>
                <w:sz w:val="22"/>
              </w:rPr>
              <w:lastRenderedPageBreak/>
              <w:t>implementation requires clearer reason codes, evidence templates, service levels and independent quality sampling (Amazon Seller Central, n.d.-a; Amazon Seller Central, n.d.-b).</w:t>
            </w:r>
          </w:p>
        </w:tc>
      </w:tr>
      <w:tr w:rsidR="009327A8" w:rsidRPr="00B4777F" w14:paraId="3E795F0B" w14:textId="77777777" w:rsidTr="0075209C">
        <w:tc>
          <w:tcPr>
            <w:tcW w:w="1368" w:type="dxa"/>
          </w:tcPr>
          <w:p w14:paraId="2B74A127" w14:textId="77777777" w:rsidR="008042AD" w:rsidRPr="00B4777F" w:rsidRDefault="00EE2FCA">
            <w:pPr>
              <w:rPr>
                <w:rFonts w:cs="Times New Roman"/>
                <w:sz w:val="22"/>
              </w:rPr>
            </w:pPr>
            <w:r w:rsidRPr="00B4777F">
              <w:rPr>
                <w:rFonts w:cs="Times New Roman"/>
                <w:sz w:val="22"/>
              </w:rPr>
              <w:lastRenderedPageBreak/>
              <w:t>Overall judgement</w:t>
            </w:r>
          </w:p>
        </w:tc>
        <w:tc>
          <w:tcPr>
            <w:tcW w:w="2549" w:type="dxa"/>
          </w:tcPr>
          <w:p w14:paraId="34570EA4" w14:textId="77777777" w:rsidR="008042AD" w:rsidRPr="00B4777F" w:rsidRDefault="00EE2FCA">
            <w:pPr>
              <w:rPr>
                <w:rFonts w:cs="Times New Roman"/>
                <w:sz w:val="22"/>
              </w:rPr>
            </w:pPr>
            <w:r w:rsidRPr="00B4777F">
              <w:rPr>
                <w:rFonts w:cs="Times New Roman"/>
                <w:sz w:val="22"/>
              </w:rPr>
              <w:t>Retain as an enabling lane for simple, low-risk cases; do not select it as the stand-alone strategic direction.</w:t>
            </w:r>
          </w:p>
        </w:tc>
        <w:tc>
          <w:tcPr>
            <w:tcW w:w="2549" w:type="dxa"/>
          </w:tcPr>
          <w:p w14:paraId="0AD96945" w14:textId="77777777" w:rsidR="008042AD" w:rsidRPr="00B4777F" w:rsidRDefault="00EE2FCA">
            <w:pPr>
              <w:rPr>
                <w:rFonts w:cs="Times New Roman"/>
                <w:sz w:val="22"/>
              </w:rPr>
            </w:pPr>
            <w:r w:rsidRPr="00B4777F">
              <w:rPr>
                <w:rFonts w:cs="Times New Roman"/>
                <w:sz w:val="22"/>
              </w:rPr>
              <w:t>Select as the operating core for high-friction exceptions, subject to a six-month pilot and stage gates.</w:t>
            </w:r>
          </w:p>
        </w:tc>
        <w:tc>
          <w:tcPr>
            <w:tcW w:w="2534" w:type="dxa"/>
          </w:tcPr>
          <w:p w14:paraId="51A83EAD" w14:textId="77777777" w:rsidR="008042AD" w:rsidRPr="00B4777F" w:rsidRDefault="00EE2FCA">
            <w:pPr>
              <w:rPr>
                <w:rFonts w:cs="Times New Roman"/>
                <w:sz w:val="22"/>
              </w:rPr>
            </w:pPr>
            <w:r w:rsidRPr="00B4777F">
              <w:rPr>
                <w:rFonts w:cs="Times New Roman"/>
                <w:sz w:val="22"/>
              </w:rPr>
              <w:t>Select as a governance layer that operates with Option B, not as a separate communications exercise.</w:t>
            </w:r>
          </w:p>
        </w:tc>
      </w:tr>
    </w:tbl>
    <w:p w14:paraId="51400DEC" w14:textId="77777777" w:rsidR="008042AD" w:rsidRPr="00B4777F" w:rsidRDefault="008042AD">
      <w:pPr>
        <w:rPr>
          <w:rFonts w:cs="Times New Roman"/>
          <w:sz w:val="22"/>
        </w:rPr>
      </w:pPr>
    </w:p>
    <w:p w14:paraId="21630A47" w14:textId="77777777" w:rsidR="008042AD" w:rsidRPr="00B4777F" w:rsidRDefault="00EE2FCA">
      <w:pPr>
        <w:spacing w:after="120"/>
        <w:rPr>
          <w:rFonts w:cs="Times New Roman"/>
          <w:sz w:val="22"/>
        </w:rPr>
      </w:pPr>
      <w:r w:rsidRPr="00B4777F">
        <w:rPr>
          <w:rFonts w:cs="Times New Roman"/>
          <w:i/>
          <w:sz w:val="22"/>
        </w:rPr>
        <w:t>Source: Author's evaluation using the SAFe criteria in Johnson et al. (2020) and the cited service, platform and regulatory evidence.</w:t>
      </w:r>
    </w:p>
    <w:p w14:paraId="00A203F4" w14:textId="2AF7F2EC" w:rsidR="00791098" w:rsidRPr="00B4777F" w:rsidRDefault="00791098">
      <w:pPr>
        <w:rPr>
          <w:rFonts w:cs="Times New Roman"/>
          <w:sz w:val="22"/>
        </w:rPr>
      </w:pPr>
      <w:r w:rsidRPr="00B4777F">
        <w:rPr>
          <w:rStyle w:val="cursor-pointer"/>
          <w:rFonts w:cs="Times New Roman"/>
          <w:sz w:val="22"/>
        </w:rPr>
        <w:t>It is therefore preferred to have the direction as B + C, and A is retained as a routine demand.</w:t>
      </w:r>
      <w:r w:rsidRPr="00B4777F">
        <w:rPr>
          <w:rFonts w:cs="Times New Roman"/>
          <w:sz w:val="22"/>
        </w:rPr>
        <w:t xml:space="preserve"> </w:t>
      </w:r>
      <w:r w:rsidRPr="00B4777F">
        <w:rPr>
          <w:rStyle w:val="cursor-pointer"/>
          <w:rFonts w:cs="Times New Roman"/>
          <w:sz w:val="22"/>
        </w:rPr>
        <w:t>This gets around the seeming contradiction of automation: While Amazon ought to automate simple classification and fulfilment related status work, automation shouldn't be the sole strategy.</w:t>
      </w:r>
      <w:r w:rsidRPr="00B4777F">
        <w:rPr>
          <w:rFonts w:cs="Times New Roman"/>
          <w:sz w:val="22"/>
        </w:rPr>
        <w:t xml:space="preserve"> </w:t>
      </w:r>
      <w:r w:rsidRPr="00B4777F">
        <w:rPr>
          <w:rStyle w:val="cursor-pointer"/>
          <w:rFonts w:cs="Times New Roman"/>
          <w:sz w:val="22"/>
        </w:rPr>
        <w:t>Studies on the service-recovery indicate that empathy and explanation, and the nature of the response, have an impact on forgiveness and satisfaction; technology can help achieve this, but can't be used to achieve "warmth" alone (Agnihotri and Bhattacharya, 2024; Haupt et al., 2023; Lunardo, 2023; Xu and Liu, 2022; Xu, Wen and Liu, 2024; Yang, Zhou and Yang, 2023).</w:t>
      </w:r>
      <w:r w:rsidRPr="00B4777F">
        <w:rPr>
          <w:rFonts w:cs="Times New Roman"/>
          <w:sz w:val="22"/>
        </w:rPr>
        <w:t xml:space="preserve"> </w:t>
      </w:r>
      <w:r w:rsidRPr="00B4777F">
        <w:rPr>
          <w:rStyle w:val="cursor-pointer"/>
          <w:rFonts w:cs="Times New Roman"/>
          <w:sz w:val="22"/>
        </w:rPr>
        <w:t>A Hybrid also supports feasibility because in the few cases where the skills of humans are most needed to prevent repeat contact or escalation, it is there.</w:t>
      </w:r>
    </w:p>
    <w:p w14:paraId="3524D7CA" w14:textId="77777777" w:rsidR="008042AD" w:rsidRPr="00B4777F" w:rsidRDefault="00EE2FCA">
      <w:pPr>
        <w:pStyle w:val="Heading1"/>
        <w:spacing w:before="160" w:after="40"/>
        <w:rPr>
          <w:rFonts w:ascii="Times New Roman" w:hAnsi="Times New Roman" w:cs="Times New Roman"/>
          <w:color w:val="auto"/>
          <w:sz w:val="22"/>
          <w:szCs w:val="22"/>
        </w:rPr>
      </w:pPr>
      <w:bookmarkStart w:id="8" w:name="_Toc242257097"/>
      <w:r w:rsidRPr="00B4777F">
        <w:rPr>
          <w:rFonts w:ascii="Times New Roman" w:eastAsia="Times New Roman" w:hAnsi="Times New Roman" w:cs="Times New Roman"/>
          <w:color w:val="auto"/>
          <w:sz w:val="22"/>
          <w:szCs w:val="22"/>
        </w:rPr>
        <w:t>3. Wider Organisational Implications</w:t>
      </w:r>
      <w:bookmarkEnd w:id="8"/>
    </w:p>
    <w:p w14:paraId="1B865E72" w14:textId="479CC127" w:rsidR="00791098" w:rsidRPr="00B4777F" w:rsidRDefault="00791098">
      <w:pPr>
        <w:rPr>
          <w:rFonts w:cs="Times New Roman"/>
          <w:sz w:val="22"/>
        </w:rPr>
      </w:pPr>
      <w:r w:rsidRPr="00B4777F">
        <w:rPr>
          <w:rStyle w:val="cursor-pointer"/>
          <w:rFonts w:cs="Times New Roman"/>
          <w:sz w:val="22"/>
        </w:rPr>
        <w:t>The suggested model switch is to change operation procedures rather than technology.</w:t>
      </w:r>
      <w:r w:rsidRPr="00B4777F">
        <w:rPr>
          <w:rFonts w:cs="Times New Roman"/>
          <w:sz w:val="22"/>
        </w:rPr>
        <w:t xml:space="preserve"> </w:t>
      </w:r>
      <w:r w:rsidRPr="00B4777F">
        <w:rPr>
          <w:rStyle w:val="cursor-pointer"/>
          <w:rFonts w:cs="Times New Roman"/>
          <w:sz w:val="22"/>
        </w:rPr>
        <w:t xml:space="preserve">From a value statement of 'customer obsession' it needs to become a decision architecture: Routine cases should be </w:t>
      </w:r>
      <w:r w:rsidRPr="00B4777F">
        <w:rPr>
          <w:rStyle w:val="cursor-pointer"/>
          <w:rFonts w:cs="Times New Roman"/>
          <w:sz w:val="22"/>
        </w:rPr>
        <w:lastRenderedPageBreak/>
        <w:t>closed quickly, but high friction cases, the right resolution, good explanation quality and failure to recur is far more important than speed.</w:t>
      </w:r>
      <w:r w:rsidRPr="00B4777F">
        <w:rPr>
          <w:rFonts w:cs="Times New Roman"/>
          <w:sz w:val="22"/>
        </w:rPr>
        <w:t xml:space="preserve"> </w:t>
      </w:r>
      <w:r w:rsidRPr="00B4777F">
        <w:rPr>
          <w:rStyle w:val="cursor-pointer"/>
          <w:rFonts w:cs="Times New Roman"/>
          <w:sz w:val="22"/>
        </w:rPr>
        <w:t>If the agent has a long case with a complex case, this is not a fault of the agent and should not be penalised by the manager.</w:t>
      </w:r>
      <w:r w:rsidRPr="00B4777F">
        <w:rPr>
          <w:rFonts w:cs="Times New Roman"/>
          <w:sz w:val="22"/>
        </w:rPr>
        <w:t xml:space="preserve"> </w:t>
      </w:r>
      <w:r w:rsidRPr="00B4777F">
        <w:rPr>
          <w:rStyle w:val="cursor-pointer"/>
          <w:rFonts w:cs="Times New Roman"/>
          <w:sz w:val="22"/>
        </w:rPr>
        <w:t>If the authority, competence, and support match, empowering leadership can make performance of services better, but if there is no control and there is a lot of discretion, it will lead to inconsistent refunds and a seller's result (Liden et al., 2014).</w:t>
      </w:r>
      <w:r w:rsidRPr="00B4777F">
        <w:rPr>
          <w:rFonts w:cs="Times New Roman"/>
          <w:sz w:val="22"/>
        </w:rPr>
        <w:t xml:space="preserve"> </w:t>
      </w:r>
      <w:r w:rsidRPr="00B4777F">
        <w:rPr>
          <w:rStyle w:val="cursor-pointer"/>
          <w:rFonts w:cs="Times New Roman"/>
          <w:sz w:val="22"/>
        </w:rPr>
        <w:t>The pilot thus needs definite boundaries, reasons for decisions and coaching instead of a blanket statement to be more empathetic.</w:t>
      </w:r>
      <w:r w:rsidRPr="00B4777F">
        <w:rPr>
          <w:rFonts w:cs="Times New Roman"/>
          <w:sz w:val="22"/>
        </w:rPr>
        <w:t xml:space="preserve"> </w:t>
      </w:r>
      <w:r w:rsidRPr="00B4777F">
        <w:rPr>
          <w:rStyle w:val="cursor-pointer"/>
          <w:rFonts w:cs="Times New Roman"/>
          <w:sz w:val="22"/>
        </w:rPr>
        <w:t>In terms of structure, a Recovery Cell should be a virtual cross functional route, rather than a new national bureaucracy.</w:t>
      </w:r>
      <w:r w:rsidRPr="00B4777F">
        <w:rPr>
          <w:rFonts w:cs="Times New Roman"/>
          <w:sz w:val="22"/>
        </w:rPr>
        <w:t xml:space="preserve"> </w:t>
      </w:r>
      <w:r w:rsidRPr="00B4777F">
        <w:rPr>
          <w:rStyle w:val="cursor-pointer"/>
          <w:rFonts w:cs="Times New Roman"/>
          <w:sz w:val="22"/>
        </w:rPr>
        <w:t>Then, the core team would be a blend of customer-service skills and Marketplace claims expertise, the fulfilment liaison, data protection and quality assurance.</w:t>
      </w:r>
      <w:r w:rsidRPr="00B4777F">
        <w:rPr>
          <w:rFonts w:cs="Times New Roman"/>
          <w:sz w:val="22"/>
        </w:rPr>
        <w:t xml:space="preserve"> </w:t>
      </w:r>
      <w:r w:rsidRPr="00B4777F">
        <w:rPr>
          <w:rStyle w:val="cursor-pointer"/>
          <w:rFonts w:cs="Times New Roman"/>
          <w:sz w:val="22"/>
        </w:rPr>
        <w:t>These should be coordinated by one case owner so that the customer and seller aren't required to go over the history each time they communicate.</w:t>
      </w:r>
      <w:r w:rsidRPr="00B4777F">
        <w:rPr>
          <w:rFonts w:cs="Times New Roman"/>
          <w:sz w:val="22"/>
        </w:rPr>
        <w:t xml:space="preserve"> </w:t>
      </w:r>
      <w:r w:rsidRPr="00B4777F">
        <w:rPr>
          <w:rStyle w:val="cursor-pointer"/>
          <w:rFonts w:cs="Times New Roman"/>
          <w:sz w:val="22"/>
        </w:rPr>
        <w:t>A sample of approved, refused and appealed outcomes should be examined weekly when making a calibration.</w:t>
      </w:r>
      <w:r w:rsidRPr="00B4777F">
        <w:rPr>
          <w:rFonts w:cs="Times New Roman"/>
          <w:sz w:val="22"/>
        </w:rPr>
        <w:t xml:space="preserve"> </w:t>
      </w:r>
      <w:r w:rsidRPr="00B4777F">
        <w:rPr>
          <w:rStyle w:val="cursor-pointer"/>
          <w:rFonts w:cs="Times New Roman"/>
          <w:sz w:val="22"/>
        </w:rPr>
        <w:t>Psychological safety is relevant because staff need to be able to signal poor routing if they observe it or an inconsistent policy, or if there is unintended harm without cracking under the stress because it's their own fault; evidence shows that positive team climates, including the staff's sense of psychological safety, are associated with leader openness and team learning (Edmondson and Bransby, 2023).</w:t>
      </w:r>
      <w:r w:rsidRPr="00B4777F">
        <w:rPr>
          <w:rFonts w:cs="Times New Roman"/>
          <w:sz w:val="22"/>
        </w:rPr>
        <w:t xml:space="preserve"> </w:t>
      </w:r>
      <w:r w:rsidRPr="00B4777F">
        <w:rPr>
          <w:rStyle w:val="cursor-pointer"/>
          <w:rFonts w:cs="Times New Roman"/>
          <w:sz w:val="22"/>
        </w:rPr>
        <w:t>Be careful not to have an unlimited customer profile, technology should give you decision support.</w:t>
      </w:r>
      <w:r w:rsidRPr="00B4777F">
        <w:rPr>
          <w:rFonts w:cs="Times New Roman"/>
          <w:sz w:val="22"/>
        </w:rPr>
        <w:t xml:space="preserve"> </w:t>
      </w:r>
      <w:r w:rsidRPr="00B4777F">
        <w:rPr>
          <w:rStyle w:val="cursor-pointer"/>
          <w:rFonts w:cs="Times New Roman"/>
          <w:sz w:val="22"/>
        </w:rPr>
        <w:t>The case view should only display the data that is needed for the case: Order status, return status, pertinent delivery events, claim history, seller communications and past case results.</w:t>
      </w:r>
      <w:r w:rsidRPr="00B4777F">
        <w:rPr>
          <w:rFonts w:cs="Times New Roman"/>
          <w:sz w:val="22"/>
        </w:rPr>
        <w:t xml:space="preserve"> </w:t>
      </w:r>
      <w:r w:rsidRPr="00B4777F">
        <w:rPr>
          <w:rStyle w:val="cursor-pointer"/>
          <w:rFonts w:cs="Times New Roman"/>
          <w:sz w:val="22"/>
        </w:rPr>
        <w:t>Sensitive fields should be masked, access should be restricted to roles, access logs should be kept and access should be retained for an approved period of time.</w:t>
      </w:r>
      <w:r w:rsidRPr="00B4777F">
        <w:rPr>
          <w:rFonts w:cs="Times New Roman"/>
          <w:sz w:val="22"/>
        </w:rPr>
        <w:t xml:space="preserve"> </w:t>
      </w:r>
      <w:r w:rsidRPr="00B4777F">
        <w:rPr>
          <w:rStyle w:val="cursor-pointer"/>
          <w:rFonts w:cs="Times New Roman"/>
          <w:sz w:val="22"/>
        </w:rPr>
        <w:t>The following should be assessed in a data-protection impact assessment: lawful basis, data minimisation, accuracy, bias, security, and automated recommendation vs human decision.</w:t>
      </w:r>
      <w:r w:rsidRPr="00B4777F">
        <w:rPr>
          <w:rFonts w:cs="Times New Roman"/>
          <w:sz w:val="22"/>
        </w:rPr>
        <w:t xml:space="preserve"> </w:t>
      </w:r>
      <w:r w:rsidRPr="00B4777F">
        <w:rPr>
          <w:rStyle w:val="cursor-pointer"/>
          <w:rFonts w:cs="Times New Roman"/>
          <w:sz w:val="22"/>
        </w:rPr>
        <w:t xml:space="preserve">Safeguards for Article 22 include meaningful human intervention and the right to challenge the outcome </w:t>
      </w:r>
      <w:r w:rsidR="0052767F" w:rsidRPr="00B4777F">
        <w:rPr>
          <w:rStyle w:val="cursor-pointer"/>
          <w:rFonts w:cs="Times New Roman"/>
          <w:sz w:val="22"/>
        </w:rPr>
        <w:t>-</w:t>
      </w:r>
      <w:r w:rsidRPr="00B4777F">
        <w:rPr>
          <w:rStyle w:val="cursor-pointer"/>
          <w:rFonts w:cs="Times New Roman"/>
          <w:sz w:val="22"/>
        </w:rPr>
        <w:t xml:space="preserve"> </w:t>
      </w:r>
      <w:r w:rsidR="0052767F" w:rsidRPr="00B4777F">
        <w:rPr>
          <w:rStyle w:val="cursor-pointer"/>
          <w:rFonts w:cs="Times New Roman"/>
          <w:sz w:val="22"/>
        </w:rPr>
        <w:t>This is supported by ICO guidance on AI, data protection and automated decision-making rights (Information Commissioner’s Office, 2023; Information Commissioner’s Office, n.d.).</w:t>
      </w:r>
      <w:r w:rsidRPr="00B4777F">
        <w:rPr>
          <w:rFonts w:cs="Times New Roman"/>
          <w:sz w:val="22"/>
        </w:rPr>
        <w:t xml:space="preserve"> </w:t>
      </w:r>
      <w:r w:rsidRPr="00B4777F">
        <w:rPr>
          <w:rStyle w:val="cursor-pointer"/>
          <w:rFonts w:cs="Times New Roman"/>
          <w:sz w:val="22"/>
        </w:rPr>
        <w:t>Responsible design also helps to alleviate the “personalisation paradox” of designing a better service that may lead to a decrease in trust because of data use becoming too much (Aguirre et al., 2015; Martin and Murphy, 2017).</w:t>
      </w:r>
      <w:r w:rsidRPr="00B4777F">
        <w:rPr>
          <w:rFonts w:cs="Times New Roman"/>
          <w:sz w:val="22"/>
        </w:rPr>
        <w:t xml:space="preserve"> </w:t>
      </w:r>
      <w:r w:rsidR="006B6BA5" w:rsidRPr="00B4777F">
        <w:rPr>
          <w:rStyle w:val="cursor-pointer"/>
          <w:rFonts w:cs="Times New Roman"/>
          <w:sz w:val="22"/>
        </w:rPr>
        <w:t>Cost governance must distinguish contact efficiency from recovery economics.</w:t>
      </w:r>
      <w:r w:rsidRPr="00B4777F">
        <w:rPr>
          <w:rFonts w:cs="Times New Roman"/>
          <w:sz w:val="22"/>
        </w:rPr>
        <w:t xml:space="preserve"> </w:t>
      </w:r>
      <w:r w:rsidRPr="00B4777F">
        <w:rPr>
          <w:rStyle w:val="cursor-pointer"/>
          <w:rFonts w:cs="Times New Roman"/>
          <w:sz w:val="22"/>
        </w:rPr>
        <w:t xml:space="preserve">Some cases will likely have more handling time </w:t>
      </w:r>
      <w:r w:rsidRPr="00B4777F">
        <w:rPr>
          <w:rStyle w:val="cursor-pointer"/>
          <w:rFonts w:cs="Times New Roman"/>
          <w:sz w:val="22"/>
        </w:rPr>
        <w:lastRenderedPageBreak/>
        <w:t>at your end, if they are selected for Option B, so it will be important for management to monitor the total cost per finally resolved case, including repeat contacts, appeals, concessions and unnecessary reverse logistics movements.</w:t>
      </w:r>
      <w:r w:rsidRPr="00B4777F">
        <w:rPr>
          <w:rFonts w:cs="Times New Roman"/>
          <w:sz w:val="22"/>
        </w:rPr>
        <w:t xml:space="preserve"> </w:t>
      </w:r>
      <w:r w:rsidRPr="00B4777F">
        <w:rPr>
          <w:rStyle w:val="cursor-pointer"/>
          <w:rFonts w:cs="Times New Roman"/>
          <w:sz w:val="22"/>
        </w:rPr>
        <w:t xml:space="preserve">The business case can only be valid if there is a cost saving from improved first contact resolution and fewer re-opened cases to cover some of the </w:t>
      </w:r>
      <w:r w:rsidR="00A341E4" w:rsidRPr="00B4777F">
        <w:rPr>
          <w:rStyle w:val="cursor-pointer"/>
          <w:rFonts w:cs="Times New Roman"/>
          <w:sz w:val="22"/>
        </w:rPr>
        <w:t xml:space="preserve">additional </w:t>
      </w:r>
      <w:r w:rsidRPr="00B4777F">
        <w:rPr>
          <w:rStyle w:val="cursor-pointer"/>
          <w:rFonts w:cs="Times New Roman"/>
          <w:sz w:val="22"/>
        </w:rPr>
        <w:t>labor.</w:t>
      </w:r>
      <w:r w:rsidRPr="00B4777F">
        <w:rPr>
          <w:rFonts w:cs="Times New Roman"/>
          <w:sz w:val="22"/>
        </w:rPr>
        <w:t xml:space="preserve"> </w:t>
      </w:r>
      <w:r w:rsidRPr="00B4777F">
        <w:rPr>
          <w:rStyle w:val="cursor-pointer"/>
          <w:rFonts w:cs="Times New Roman"/>
          <w:sz w:val="22"/>
        </w:rPr>
        <w:t>Customer recovery satisfaction should be coupled with the seller appeal outcomes otherwise, an apparent customer-focused intervention can merely cause the unfairness to shift from the customer to the seller side of the platform.</w:t>
      </w:r>
      <w:r w:rsidRPr="00B4777F">
        <w:rPr>
          <w:rFonts w:cs="Times New Roman"/>
          <w:sz w:val="22"/>
        </w:rPr>
        <w:t xml:space="preserve"> </w:t>
      </w:r>
      <w:r w:rsidRPr="00B4777F">
        <w:rPr>
          <w:rStyle w:val="cursor-pointer"/>
          <w:rFonts w:cs="Times New Roman"/>
          <w:sz w:val="22"/>
        </w:rPr>
        <w:t>This balance is vital as it is key to the interdependency between platform participation, quality and trust (</w:t>
      </w:r>
      <w:r w:rsidR="009E227B" w:rsidRPr="00B4777F">
        <w:rPr>
          <w:rStyle w:val="cursor-pointer"/>
          <w:rFonts w:cs="Times New Roman"/>
          <w:sz w:val="22"/>
        </w:rPr>
        <w:t>Bonina et al., 2021; Cutolo and Kenney, 2021</w:t>
      </w:r>
      <w:r w:rsidRPr="00B4777F">
        <w:rPr>
          <w:rStyle w:val="cursor-pointer"/>
          <w:rFonts w:cs="Times New Roman"/>
          <w:sz w:val="22"/>
        </w:rPr>
        <w:t>).</w:t>
      </w:r>
      <w:r w:rsidRPr="00B4777F">
        <w:rPr>
          <w:rFonts w:cs="Times New Roman"/>
          <w:sz w:val="22"/>
        </w:rPr>
        <w:t xml:space="preserve"> </w:t>
      </w:r>
      <w:r w:rsidRPr="00B4777F">
        <w:rPr>
          <w:rStyle w:val="cursor-pointer"/>
          <w:rFonts w:cs="Times New Roman"/>
          <w:sz w:val="22"/>
        </w:rPr>
        <w:t>It should be implemented in an agile fashion without being ungoverned.</w:t>
      </w:r>
      <w:r w:rsidRPr="00B4777F">
        <w:rPr>
          <w:rFonts w:cs="Times New Roman"/>
          <w:sz w:val="22"/>
        </w:rPr>
        <w:t xml:space="preserve"> </w:t>
      </w:r>
      <w:r w:rsidRPr="00B4777F">
        <w:rPr>
          <w:rStyle w:val="cursor-pointer"/>
          <w:rFonts w:cs="Times New Roman"/>
          <w:sz w:val="22"/>
        </w:rPr>
        <w:t>It is recommended that the map of the types of cases, rules of triage and dashboard with synthetic and permissioned data be tested by a small multidisciplinary team prior to actual use.</w:t>
      </w:r>
      <w:r w:rsidRPr="00B4777F">
        <w:rPr>
          <w:rFonts w:cs="Times New Roman"/>
          <w:sz w:val="22"/>
        </w:rPr>
        <w:t xml:space="preserve"> </w:t>
      </w:r>
      <w:r w:rsidRPr="00B4777F">
        <w:rPr>
          <w:rStyle w:val="cursor-pointer"/>
          <w:rFonts w:cs="Times New Roman"/>
          <w:sz w:val="22"/>
        </w:rPr>
        <w:t>Then, you can have two or three UK operating clusters for six months to conduct fortnightly retrospectives and monthly risk reviews.</w:t>
      </w:r>
      <w:r w:rsidRPr="00B4777F">
        <w:rPr>
          <w:rFonts w:cs="Times New Roman"/>
          <w:sz w:val="22"/>
        </w:rPr>
        <w:t xml:space="preserve"> </w:t>
      </w:r>
      <w:r w:rsidRPr="00B4777F">
        <w:rPr>
          <w:rStyle w:val="cursor-pointer"/>
          <w:rFonts w:cs="Times New Roman"/>
          <w:sz w:val="22"/>
        </w:rPr>
        <w:t>The case-selection rules, and thresholds of authorities are allowed to evolve in a short time-frame without committing to a national rollout.</w:t>
      </w:r>
      <w:r w:rsidRPr="00B4777F">
        <w:rPr>
          <w:rFonts w:cs="Times New Roman"/>
          <w:sz w:val="22"/>
        </w:rPr>
        <w:t xml:space="preserve"> </w:t>
      </w:r>
      <w:r w:rsidRPr="00B4777F">
        <w:rPr>
          <w:rStyle w:val="cursor-pointer"/>
          <w:rFonts w:cs="Times New Roman"/>
          <w:sz w:val="22"/>
        </w:rPr>
        <w:t>What strategic agility is not is that it involves constant and uncontrolled change – rather it involves rapid learning that is connected to clear priorities and decision authority (Kotter, Akhtar and Gupta, 2021; Wade, Joshi and Teracino, 2021).</w:t>
      </w:r>
      <w:r w:rsidRPr="00B4777F">
        <w:rPr>
          <w:rFonts w:cs="Times New Roman"/>
          <w:sz w:val="22"/>
        </w:rPr>
        <w:t xml:space="preserve"> </w:t>
      </w:r>
      <w:r w:rsidRPr="00B4777F">
        <w:rPr>
          <w:rStyle w:val="cursor-pointer"/>
          <w:rFonts w:cs="Times New Roman"/>
          <w:sz w:val="22"/>
        </w:rPr>
        <w:t>It is best to have human–AI collaboration that leverages the strengths of AI for scale and pattern recognition but has humans for contextual judgement and accountability (Wilson and Daugherty, 2018).</w:t>
      </w:r>
    </w:p>
    <w:p w14:paraId="7CD2FD86" w14:textId="2D5D2F0F" w:rsidR="008042AD" w:rsidRPr="00B4777F" w:rsidRDefault="008042AD">
      <w:pPr>
        <w:rPr>
          <w:rFonts w:cs="Times New Roman"/>
          <w:sz w:val="22"/>
        </w:rPr>
      </w:pPr>
    </w:p>
    <w:p w14:paraId="45550B85" w14:textId="77777777" w:rsidR="008042AD" w:rsidRPr="00B4777F" w:rsidRDefault="00EE2FCA">
      <w:pPr>
        <w:pStyle w:val="Heading1"/>
        <w:spacing w:before="160" w:after="40"/>
        <w:rPr>
          <w:rFonts w:ascii="Times New Roman" w:hAnsi="Times New Roman" w:cs="Times New Roman"/>
          <w:color w:val="auto"/>
          <w:sz w:val="22"/>
          <w:szCs w:val="22"/>
        </w:rPr>
      </w:pPr>
      <w:bookmarkStart w:id="9" w:name="_Toc242257098"/>
      <w:r w:rsidRPr="00B4777F">
        <w:rPr>
          <w:rFonts w:ascii="Times New Roman" w:eastAsia="Times New Roman" w:hAnsi="Times New Roman" w:cs="Times New Roman"/>
          <w:color w:val="auto"/>
          <w:sz w:val="22"/>
          <w:szCs w:val="22"/>
        </w:rPr>
        <w:t>4. Conclusions</w:t>
      </w:r>
      <w:bookmarkEnd w:id="9"/>
    </w:p>
    <w:p w14:paraId="19697C09" w14:textId="582925AD" w:rsidR="00791098" w:rsidRPr="00B4777F" w:rsidRDefault="00791098">
      <w:pPr>
        <w:rPr>
          <w:rFonts w:cs="Times New Roman"/>
          <w:sz w:val="22"/>
        </w:rPr>
      </w:pPr>
      <w:r w:rsidRPr="00B4777F">
        <w:rPr>
          <w:rStyle w:val="cursor-pointer"/>
          <w:rFonts w:cs="Times New Roman"/>
          <w:sz w:val="22"/>
        </w:rPr>
        <w:t>The problem isn't that Amazon UK Marketplace is lacking in customer-care technology, however.</w:t>
      </w:r>
      <w:r w:rsidRPr="00B4777F">
        <w:rPr>
          <w:rFonts w:cs="Times New Roman"/>
          <w:sz w:val="22"/>
        </w:rPr>
        <w:t xml:space="preserve"> </w:t>
      </w:r>
      <w:r w:rsidRPr="00B4777F">
        <w:rPr>
          <w:rStyle w:val="cursor-pointer"/>
          <w:rFonts w:cs="Times New Roman"/>
          <w:sz w:val="22"/>
        </w:rPr>
        <w:t>It has a more specific strategic concern, the standardised return and A-to-z infrastructure is great, but in the difficult cases, it can be more complex to spread responsibilities between customer, seller, platform and fulfilment route.</w:t>
      </w:r>
      <w:r w:rsidRPr="00B4777F">
        <w:rPr>
          <w:rFonts w:cs="Times New Roman"/>
          <w:sz w:val="22"/>
        </w:rPr>
        <w:t xml:space="preserve"> </w:t>
      </w:r>
      <w:r w:rsidRPr="00B4777F">
        <w:rPr>
          <w:rStyle w:val="cursor-pointer"/>
          <w:rFonts w:cs="Times New Roman"/>
          <w:sz w:val="22"/>
        </w:rPr>
        <w:t>Consumer processes, use of data and contestable decisions are important in the context of the UK environment.</w:t>
      </w:r>
      <w:r w:rsidRPr="00B4777F">
        <w:rPr>
          <w:rFonts w:cs="Times New Roman"/>
          <w:sz w:val="22"/>
        </w:rPr>
        <w:t xml:space="preserve"> </w:t>
      </w:r>
      <w:r w:rsidRPr="00B4777F">
        <w:rPr>
          <w:rStyle w:val="cursor-pointer"/>
          <w:rFonts w:cs="Times New Roman"/>
          <w:sz w:val="22"/>
        </w:rPr>
        <w:t>Simultaneously, the manual treatment of each contact would have a negative impact on cost and speed.</w:t>
      </w:r>
      <w:r w:rsidRPr="00B4777F">
        <w:rPr>
          <w:rFonts w:cs="Times New Roman"/>
          <w:sz w:val="22"/>
        </w:rPr>
        <w:t xml:space="preserve"> </w:t>
      </w:r>
      <w:r w:rsidRPr="00B4777F">
        <w:rPr>
          <w:rStyle w:val="cursor-pointer"/>
          <w:rFonts w:cs="Times New Roman"/>
          <w:sz w:val="22"/>
        </w:rPr>
        <w:t>The four tools back up a single conclusion.</w:t>
      </w:r>
      <w:r w:rsidRPr="00B4777F">
        <w:rPr>
          <w:rFonts w:cs="Times New Roman"/>
          <w:sz w:val="22"/>
        </w:rPr>
        <w:t xml:space="preserve"> </w:t>
      </w:r>
      <w:r w:rsidRPr="00B4777F">
        <w:rPr>
          <w:rStyle w:val="cursor-pointer"/>
          <w:rFonts w:cs="Times New Roman"/>
          <w:sz w:val="22"/>
        </w:rPr>
        <w:t>PESTEL sees the opportunity to have responsible automation with accountable recovery, and the threat of uniform and opaque handling.</w:t>
      </w:r>
      <w:r w:rsidRPr="00B4777F">
        <w:rPr>
          <w:rFonts w:cs="Times New Roman"/>
          <w:sz w:val="22"/>
        </w:rPr>
        <w:t xml:space="preserve"> </w:t>
      </w:r>
      <w:r w:rsidRPr="00B4777F">
        <w:rPr>
          <w:rStyle w:val="cursor-pointer"/>
          <w:rFonts w:cs="Times New Roman"/>
          <w:sz w:val="22"/>
        </w:rPr>
        <w:lastRenderedPageBreak/>
        <w:t>This translates to human – AI triage, Recovery Cells and enhanced dispute governance.</w:t>
      </w:r>
      <w:r w:rsidRPr="00B4777F">
        <w:rPr>
          <w:rFonts w:cs="Times New Roman"/>
          <w:sz w:val="22"/>
        </w:rPr>
        <w:t xml:space="preserve"> </w:t>
      </w:r>
      <w:r w:rsidRPr="00B4777F">
        <w:rPr>
          <w:rStyle w:val="cursor-pointer"/>
          <w:rFonts w:cs="Times New Roman"/>
          <w:sz w:val="22"/>
        </w:rPr>
        <w:t>Using VRIO, we can see that the key assets that Amazon has that are readily defensible are its built-up data, integrated fulfilment signals (not the guarantee policy itself), and these assets need to be reconfigured at the moments of failure in the service.</w:t>
      </w:r>
      <w:r w:rsidRPr="00B4777F">
        <w:rPr>
          <w:rFonts w:cs="Times New Roman"/>
          <w:sz w:val="22"/>
        </w:rPr>
        <w:t xml:space="preserve"> </w:t>
      </w:r>
      <w:r w:rsidRPr="00B4777F">
        <w:rPr>
          <w:rStyle w:val="cursor-pointer"/>
          <w:rFonts w:cs="Times New Roman"/>
          <w:sz w:val="22"/>
        </w:rPr>
        <w:t>Then, SAFe shuns the idea of going into expansion and automation at any cost and embraces a measured approach to automated exceptions and open appeals from the seller.</w:t>
      </w:r>
      <w:r w:rsidRPr="00B4777F">
        <w:rPr>
          <w:rFonts w:cs="Times New Roman"/>
          <w:sz w:val="22"/>
        </w:rPr>
        <w:t xml:space="preserve"> </w:t>
      </w:r>
      <w:r w:rsidRPr="00B4777F">
        <w:rPr>
          <w:rStyle w:val="cursor-pointer"/>
          <w:rFonts w:cs="Times New Roman"/>
          <w:sz w:val="22"/>
        </w:rPr>
        <w:t>The ideal strategic approach is the selective relational-agility model: Routine work is automated for low-risk cases; defined high friction cases are directed to one owner; a privacy-filtered view and bounded authority is provided for this owner; and reasons are recorded for customers as well as sellers and reviewers.</w:t>
      </w:r>
      <w:r w:rsidRPr="00B4777F">
        <w:rPr>
          <w:rFonts w:cs="Times New Roman"/>
          <w:sz w:val="22"/>
        </w:rPr>
        <w:t xml:space="preserve"> </w:t>
      </w:r>
      <w:r w:rsidRPr="00B4777F">
        <w:rPr>
          <w:rStyle w:val="cursor-pointer"/>
          <w:rFonts w:cs="Times New Roman"/>
          <w:sz w:val="22"/>
        </w:rPr>
        <w:t>This model isn't an advantage that can be claimed prior to testing.</w:t>
      </w:r>
      <w:r w:rsidRPr="00B4777F">
        <w:rPr>
          <w:rFonts w:cs="Times New Roman"/>
          <w:sz w:val="22"/>
        </w:rPr>
        <w:t xml:space="preserve"> </w:t>
      </w:r>
      <w:r w:rsidRPr="00B4777F">
        <w:rPr>
          <w:rStyle w:val="cursor-pointer"/>
          <w:rFonts w:cs="Times New Roman"/>
          <w:sz w:val="22"/>
        </w:rPr>
        <w:t>If the measured pilot can prove to be a better final resolution, fair solution, economic return, and an effective privacy control, then it has the potential to turn Amazon's VRIO (Valuable, Rare, Inimitable, and Organized) assets, into a hard to copy recovery procedure.</w:t>
      </w:r>
    </w:p>
    <w:p w14:paraId="03C2EF92" w14:textId="4598D879" w:rsidR="008042AD" w:rsidRPr="00B4777F" w:rsidRDefault="008042AD">
      <w:pPr>
        <w:rPr>
          <w:rFonts w:cs="Times New Roman"/>
          <w:sz w:val="22"/>
        </w:rPr>
      </w:pPr>
    </w:p>
    <w:p w14:paraId="686D5F92" w14:textId="77777777" w:rsidR="008042AD" w:rsidRPr="00B4777F" w:rsidRDefault="00EE2FCA">
      <w:pPr>
        <w:pStyle w:val="Heading1"/>
        <w:spacing w:before="160" w:after="40"/>
        <w:rPr>
          <w:rFonts w:ascii="Times New Roman" w:hAnsi="Times New Roman" w:cs="Times New Roman"/>
          <w:color w:val="auto"/>
          <w:sz w:val="22"/>
          <w:szCs w:val="22"/>
        </w:rPr>
      </w:pPr>
      <w:bookmarkStart w:id="10" w:name="_Toc242257099"/>
      <w:r w:rsidRPr="00B4777F">
        <w:rPr>
          <w:rFonts w:ascii="Times New Roman" w:eastAsia="Times New Roman" w:hAnsi="Times New Roman" w:cs="Times New Roman"/>
          <w:color w:val="auto"/>
          <w:sz w:val="22"/>
          <w:szCs w:val="22"/>
        </w:rPr>
        <w:t>5. Recommendations</w:t>
      </w:r>
      <w:bookmarkEnd w:id="10"/>
    </w:p>
    <w:p w14:paraId="33BAC430" w14:textId="7CAE1437" w:rsidR="009E227B" w:rsidRPr="00B4777F" w:rsidRDefault="009E227B">
      <w:pPr>
        <w:rPr>
          <w:rFonts w:cs="Times New Roman"/>
          <w:sz w:val="22"/>
        </w:rPr>
      </w:pPr>
      <w:r w:rsidRPr="00B4777F">
        <w:rPr>
          <w:rStyle w:val="cursor-pointer"/>
          <w:rFonts w:cs="Times New Roman"/>
          <w:sz w:val="22"/>
        </w:rPr>
        <w:t>The recommendations constitute one stage system. They are intentionally limited to high friction returns, situations involving refunds, and seller dispute cases in the UK Marketplace and do not limit or redesign customers' rights as they now exist on Amazon. The four-week discovery period should be used to determine internal baselines and then numerical thresholds should be approved by the pilot board.</w:t>
      </w:r>
    </w:p>
    <w:p w14:paraId="3F7B6F1B" w14:textId="77777777" w:rsidR="008042AD" w:rsidRPr="00B4777F" w:rsidRDefault="00EE2FCA">
      <w:pPr>
        <w:pStyle w:val="Caption"/>
        <w:keepNext/>
        <w:rPr>
          <w:rFonts w:cs="Times New Roman"/>
          <w:color w:val="auto"/>
          <w:sz w:val="22"/>
          <w:szCs w:val="22"/>
        </w:rPr>
      </w:pPr>
      <w:r w:rsidRPr="00B4777F">
        <w:rPr>
          <w:rFonts w:cs="Times New Roman"/>
          <w:color w:val="auto"/>
          <w:sz w:val="22"/>
          <w:szCs w:val="22"/>
        </w:rPr>
        <w:t>Table 6. Implementation recommendations, controls and measures</w:t>
      </w:r>
    </w:p>
    <w:tbl>
      <w:tblPr>
        <w:tblStyle w:val="TableGrid"/>
        <w:tblW w:w="0" w:type="auto"/>
        <w:tblLayout w:type="fixed"/>
        <w:tblLook w:val="04A0" w:firstRow="1" w:lastRow="0" w:firstColumn="1" w:lastColumn="0" w:noHBand="0" w:noVBand="1"/>
      </w:tblPr>
      <w:tblGrid>
        <w:gridCol w:w="2376"/>
        <w:gridCol w:w="2232"/>
        <w:gridCol w:w="2160"/>
        <w:gridCol w:w="2232"/>
      </w:tblGrid>
      <w:tr w:rsidR="009327A8" w:rsidRPr="00B4777F" w14:paraId="6DA43746" w14:textId="77777777" w:rsidTr="0075209C">
        <w:tc>
          <w:tcPr>
            <w:tcW w:w="2376" w:type="dxa"/>
          </w:tcPr>
          <w:p w14:paraId="7D622BAE" w14:textId="77777777" w:rsidR="008042AD" w:rsidRPr="00B4777F" w:rsidRDefault="00EE2FCA">
            <w:pPr>
              <w:jc w:val="center"/>
              <w:rPr>
                <w:rFonts w:cs="Times New Roman"/>
                <w:sz w:val="22"/>
              </w:rPr>
            </w:pPr>
            <w:r w:rsidRPr="00B4777F">
              <w:rPr>
                <w:rFonts w:cs="Times New Roman"/>
                <w:b/>
                <w:sz w:val="22"/>
              </w:rPr>
              <w:t>Recommendation / timing</w:t>
            </w:r>
          </w:p>
        </w:tc>
        <w:tc>
          <w:tcPr>
            <w:tcW w:w="2232" w:type="dxa"/>
          </w:tcPr>
          <w:p w14:paraId="3A32C05A" w14:textId="77777777" w:rsidR="008042AD" w:rsidRPr="00B4777F" w:rsidRDefault="00EE2FCA">
            <w:pPr>
              <w:jc w:val="center"/>
              <w:rPr>
                <w:rFonts w:cs="Times New Roman"/>
                <w:sz w:val="22"/>
              </w:rPr>
            </w:pPr>
            <w:r w:rsidRPr="00B4777F">
              <w:rPr>
                <w:rFonts w:cs="Times New Roman"/>
                <w:b/>
                <w:sz w:val="22"/>
              </w:rPr>
              <w:t>Evidence link</w:t>
            </w:r>
          </w:p>
        </w:tc>
        <w:tc>
          <w:tcPr>
            <w:tcW w:w="2160" w:type="dxa"/>
          </w:tcPr>
          <w:p w14:paraId="480A0633" w14:textId="77777777" w:rsidR="008042AD" w:rsidRPr="00B4777F" w:rsidRDefault="00EE2FCA">
            <w:pPr>
              <w:jc w:val="center"/>
              <w:rPr>
                <w:rFonts w:cs="Times New Roman"/>
                <w:sz w:val="22"/>
              </w:rPr>
            </w:pPr>
            <w:r w:rsidRPr="00B4777F">
              <w:rPr>
                <w:rFonts w:cs="Times New Roman"/>
                <w:b/>
                <w:sz w:val="22"/>
              </w:rPr>
              <w:t>Owner / control</w:t>
            </w:r>
          </w:p>
        </w:tc>
        <w:tc>
          <w:tcPr>
            <w:tcW w:w="2232" w:type="dxa"/>
          </w:tcPr>
          <w:p w14:paraId="439CB3A2" w14:textId="77777777" w:rsidR="008042AD" w:rsidRPr="00B4777F" w:rsidRDefault="00EE2FCA">
            <w:pPr>
              <w:jc w:val="center"/>
              <w:rPr>
                <w:rFonts w:cs="Times New Roman"/>
                <w:sz w:val="22"/>
              </w:rPr>
            </w:pPr>
            <w:r w:rsidRPr="00B4777F">
              <w:rPr>
                <w:rFonts w:cs="Times New Roman"/>
                <w:b/>
                <w:sz w:val="22"/>
              </w:rPr>
              <w:t>Measure / gate</w:t>
            </w:r>
          </w:p>
        </w:tc>
      </w:tr>
      <w:tr w:rsidR="009327A8" w:rsidRPr="00B4777F" w14:paraId="3077ACD0" w14:textId="77777777" w:rsidTr="0075209C">
        <w:tc>
          <w:tcPr>
            <w:tcW w:w="2376" w:type="dxa"/>
          </w:tcPr>
          <w:p w14:paraId="4FE96812" w14:textId="77777777" w:rsidR="008042AD" w:rsidRPr="00B4777F" w:rsidRDefault="00EE2FCA">
            <w:pPr>
              <w:rPr>
                <w:rFonts w:cs="Times New Roman"/>
                <w:sz w:val="22"/>
              </w:rPr>
            </w:pPr>
            <w:r w:rsidRPr="00B4777F">
              <w:rPr>
                <w:rFonts w:cs="Times New Roman"/>
                <w:sz w:val="22"/>
              </w:rPr>
              <w:t xml:space="preserve">1. Define the exception lane (weeks 1–4). Create unambiguous entry rules for repeated contact, conflicting delivery/return </w:t>
            </w:r>
            <w:r w:rsidRPr="00B4777F">
              <w:rPr>
                <w:rFonts w:cs="Times New Roman"/>
                <w:sz w:val="22"/>
              </w:rPr>
              <w:lastRenderedPageBreak/>
              <w:t>evidence, seller-contested refunds, high-value claims and approved vulnerability indicators.</w:t>
            </w:r>
          </w:p>
        </w:tc>
        <w:tc>
          <w:tcPr>
            <w:tcW w:w="2232" w:type="dxa"/>
          </w:tcPr>
          <w:p w14:paraId="484A6D41" w14:textId="77777777" w:rsidR="008042AD" w:rsidRPr="00B4777F" w:rsidRDefault="00EE2FCA">
            <w:pPr>
              <w:rPr>
                <w:rFonts w:cs="Times New Roman"/>
                <w:sz w:val="22"/>
              </w:rPr>
            </w:pPr>
            <w:r w:rsidRPr="00B4777F">
              <w:rPr>
                <w:rFonts w:cs="Times New Roman"/>
                <w:sz w:val="22"/>
              </w:rPr>
              <w:lastRenderedPageBreak/>
              <w:t>PESTEL and SAFe show that only high-friction cases justify added judgement; routine automation remains suitable.</w:t>
            </w:r>
          </w:p>
        </w:tc>
        <w:tc>
          <w:tcPr>
            <w:tcW w:w="2160" w:type="dxa"/>
          </w:tcPr>
          <w:p w14:paraId="6A4E33F9" w14:textId="77777777" w:rsidR="008042AD" w:rsidRPr="00B4777F" w:rsidRDefault="00EE2FCA">
            <w:pPr>
              <w:rPr>
                <w:rFonts w:cs="Times New Roman"/>
                <w:sz w:val="22"/>
              </w:rPr>
            </w:pPr>
            <w:r w:rsidRPr="00B4777F">
              <w:rPr>
                <w:rFonts w:cs="Times New Roman"/>
                <w:sz w:val="22"/>
              </w:rPr>
              <w:t xml:space="preserve">UK Customer Service lead with Marketplace Policy and Legal. Publish exclusions, value thresholds and a </w:t>
            </w:r>
            <w:r w:rsidRPr="00B4777F">
              <w:rPr>
                <w:rFonts w:cs="Times New Roman"/>
                <w:sz w:val="22"/>
              </w:rPr>
              <w:lastRenderedPageBreak/>
              <w:t>manager-escalation rule.</w:t>
            </w:r>
          </w:p>
        </w:tc>
        <w:tc>
          <w:tcPr>
            <w:tcW w:w="2232" w:type="dxa"/>
          </w:tcPr>
          <w:p w14:paraId="552CBDBC" w14:textId="77777777" w:rsidR="008042AD" w:rsidRPr="00B4777F" w:rsidRDefault="00EE2FCA">
            <w:pPr>
              <w:rPr>
                <w:rFonts w:cs="Times New Roman"/>
                <w:sz w:val="22"/>
              </w:rPr>
            </w:pPr>
            <w:r w:rsidRPr="00B4777F">
              <w:rPr>
                <w:rFonts w:cs="Times New Roman"/>
                <w:sz w:val="22"/>
              </w:rPr>
              <w:lastRenderedPageBreak/>
              <w:t>Routing precision and recall from quality samples; share of cases wrongly escalated; no increase in routine-case cycle time.</w:t>
            </w:r>
          </w:p>
        </w:tc>
      </w:tr>
      <w:tr w:rsidR="009327A8" w:rsidRPr="00B4777F" w14:paraId="25BB8617" w14:textId="77777777" w:rsidTr="0075209C">
        <w:tc>
          <w:tcPr>
            <w:tcW w:w="2376" w:type="dxa"/>
          </w:tcPr>
          <w:p w14:paraId="7A2D8764" w14:textId="77777777" w:rsidR="008042AD" w:rsidRPr="00B4777F" w:rsidRDefault="00EE2FCA">
            <w:pPr>
              <w:rPr>
                <w:rFonts w:cs="Times New Roman"/>
                <w:sz w:val="22"/>
              </w:rPr>
            </w:pPr>
            <w:r w:rsidRPr="00B4777F">
              <w:rPr>
                <w:rFonts w:cs="Times New Roman"/>
                <w:sz w:val="22"/>
              </w:rPr>
              <w:t>2. Pilot Marketplace Recovery Cells (months 2–7). Assign one trained owner to each selected case and provide a documented service-recovery playbook.</w:t>
            </w:r>
          </w:p>
        </w:tc>
        <w:tc>
          <w:tcPr>
            <w:tcW w:w="2232" w:type="dxa"/>
          </w:tcPr>
          <w:p w14:paraId="3FB013BE" w14:textId="77777777" w:rsidR="008042AD" w:rsidRPr="00B4777F" w:rsidRDefault="00EE2FCA">
            <w:pPr>
              <w:rPr>
                <w:rFonts w:cs="Times New Roman"/>
                <w:sz w:val="22"/>
              </w:rPr>
            </w:pPr>
            <w:r w:rsidRPr="00B4777F">
              <w:rPr>
                <w:rFonts w:cs="Times New Roman"/>
                <w:sz w:val="22"/>
              </w:rPr>
              <w:t>TOWS identifies fragmented ownership; service-recovery evidence links fairness and response quality to trust (Smith, Bolton and Wagner, 1999; Tax, Brown and Chandrashekaran, 1998).</w:t>
            </w:r>
          </w:p>
        </w:tc>
        <w:tc>
          <w:tcPr>
            <w:tcW w:w="2160" w:type="dxa"/>
          </w:tcPr>
          <w:p w14:paraId="60F24925" w14:textId="77777777" w:rsidR="008042AD" w:rsidRPr="00B4777F" w:rsidRDefault="00EE2FCA">
            <w:pPr>
              <w:rPr>
                <w:rFonts w:cs="Times New Roman"/>
                <w:sz w:val="22"/>
              </w:rPr>
            </w:pPr>
            <w:r w:rsidRPr="00B4777F">
              <w:rPr>
                <w:rFonts w:cs="Times New Roman"/>
                <w:sz w:val="22"/>
              </w:rPr>
              <w:t>Customer Service Operations. Cap authority by case type and value; require reason codes; review a balanced sample of approvals and refusals weekly.</w:t>
            </w:r>
          </w:p>
        </w:tc>
        <w:tc>
          <w:tcPr>
            <w:tcW w:w="2232" w:type="dxa"/>
          </w:tcPr>
          <w:p w14:paraId="49ED0A93" w14:textId="77777777" w:rsidR="008042AD" w:rsidRPr="00B4777F" w:rsidRDefault="00EE2FCA">
            <w:pPr>
              <w:rPr>
                <w:rFonts w:cs="Times New Roman"/>
                <w:sz w:val="22"/>
              </w:rPr>
            </w:pPr>
            <w:r w:rsidRPr="00B4777F">
              <w:rPr>
                <w:rFonts w:cs="Times New Roman"/>
                <w:sz w:val="22"/>
              </w:rPr>
              <w:t>First-contact resolution; 14-day repeat-contact rate; median time to final resolution; recovery satisfaction; cost per finally resolved case.</w:t>
            </w:r>
          </w:p>
        </w:tc>
      </w:tr>
      <w:tr w:rsidR="009327A8" w:rsidRPr="00B4777F" w14:paraId="31A7EBD9" w14:textId="77777777" w:rsidTr="0075209C">
        <w:tc>
          <w:tcPr>
            <w:tcW w:w="2376" w:type="dxa"/>
          </w:tcPr>
          <w:p w14:paraId="2613EE48" w14:textId="77777777" w:rsidR="008042AD" w:rsidRPr="00B4777F" w:rsidRDefault="00EE2FCA">
            <w:pPr>
              <w:rPr>
                <w:rFonts w:cs="Times New Roman"/>
                <w:sz w:val="22"/>
              </w:rPr>
            </w:pPr>
            <w:r w:rsidRPr="00B4777F">
              <w:rPr>
                <w:rFonts w:cs="Times New Roman"/>
                <w:sz w:val="22"/>
              </w:rPr>
              <w:t>3. Build a minimum-data case view (months 1–3). Surface only relevant order, return, delivery, seller-message and prior-contact evidence.</w:t>
            </w:r>
          </w:p>
        </w:tc>
        <w:tc>
          <w:tcPr>
            <w:tcW w:w="2232" w:type="dxa"/>
          </w:tcPr>
          <w:p w14:paraId="65A91666" w14:textId="77777777" w:rsidR="008042AD" w:rsidRPr="00B4777F" w:rsidRDefault="00EE2FCA">
            <w:pPr>
              <w:rPr>
                <w:rFonts w:cs="Times New Roman"/>
                <w:sz w:val="22"/>
              </w:rPr>
            </w:pPr>
            <w:r w:rsidRPr="00B4777F">
              <w:rPr>
                <w:rFonts w:cs="Times New Roman"/>
                <w:sz w:val="22"/>
              </w:rPr>
              <w:t>VRIO identifies data and fulfilment signals as defensible resources, while PESTEL identifies privacy and automation risk.</w:t>
            </w:r>
          </w:p>
        </w:tc>
        <w:tc>
          <w:tcPr>
            <w:tcW w:w="2160" w:type="dxa"/>
          </w:tcPr>
          <w:p w14:paraId="22CD2385" w14:textId="77777777" w:rsidR="008042AD" w:rsidRPr="00B4777F" w:rsidRDefault="00EE2FCA">
            <w:pPr>
              <w:rPr>
                <w:rFonts w:cs="Times New Roman"/>
                <w:sz w:val="22"/>
              </w:rPr>
            </w:pPr>
            <w:r w:rsidRPr="00B4777F">
              <w:rPr>
                <w:rFonts w:cs="Times New Roman"/>
                <w:sz w:val="22"/>
              </w:rPr>
              <w:t>Product owner with Data Protection Officer and Security. Complete a DPIA; use role-based access, masking, retention limits and immutable audit logs.</w:t>
            </w:r>
          </w:p>
        </w:tc>
        <w:tc>
          <w:tcPr>
            <w:tcW w:w="2232" w:type="dxa"/>
          </w:tcPr>
          <w:p w14:paraId="32D85E57" w14:textId="77777777" w:rsidR="008042AD" w:rsidRPr="00B4777F" w:rsidRDefault="00EE2FCA">
            <w:pPr>
              <w:rPr>
                <w:rFonts w:cs="Times New Roman"/>
                <w:sz w:val="22"/>
              </w:rPr>
            </w:pPr>
            <w:r w:rsidRPr="00B4777F">
              <w:rPr>
                <w:rFonts w:cs="Times New Roman"/>
                <w:sz w:val="22"/>
              </w:rPr>
              <w:t>Time to understand case; unauthorised-access exceptions; data-quality defects; DPIA actions closed; zero material personal-data incidents.</w:t>
            </w:r>
          </w:p>
        </w:tc>
      </w:tr>
      <w:tr w:rsidR="009327A8" w:rsidRPr="00B4777F" w14:paraId="648F3B00" w14:textId="77777777" w:rsidTr="0075209C">
        <w:tc>
          <w:tcPr>
            <w:tcW w:w="2376" w:type="dxa"/>
          </w:tcPr>
          <w:p w14:paraId="120FBF2C" w14:textId="77777777" w:rsidR="008042AD" w:rsidRPr="00B4777F" w:rsidRDefault="00EE2FCA">
            <w:pPr>
              <w:rPr>
                <w:rFonts w:cs="Times New Roman"/>
                <w:sz w:val="22"/>
              </w:rPr>
            </w:pPr>
            <w:r w:rsidRPr="00B4777F">
              <w:rPr>
                <w:rFonts w:cs="Times New Roman"/>
                <w:sz w:val="22"/>
              </w:rPr>
              <w:t>4. Make seller disputes explainable and appealable (months 2–</w:t>
            </w:r>
            <w:r w:rsidRPr="00B4777F">
              <w:rPr>
                <w:rFonts w:cs="Times New Roman"/>
                <w:sz w:val="22"/>
              </w:rPr>
              <w:lastRenderedPageBreak/>
              <w:t>5). Standardise evidence requests, customer and seller reason notices, appeal service levels and independent quality review.</w:t>
            </w:r>
          </w:p>
        </w:tc>
        <w:tc>
          <w:tcPr>
            <w:tcW w:w="2232" w:type="dxa"/>
          </w:tcPr>
          <w:p w14:paraId="0125BE93" w14:textId="77777777" w:rsidR="008042AD" w:rsidRPr="00B4777F" w:rsidRDefault="00EE2FCA">
            <w:pPr>
              <w:rPr>
                <w:rFonts w:cs="Times New Roman"/>
                <w:sz w:val="22"/>
              </w:rPr>
            </w:pPr>
            <w:r w:rsidRPr="00B4777F">
              <w:rPr>
                <w:rFonts w:cs="Times New Roman"/>
                <w:sz w:val="22"/>
              </w:rPr>
              <w:lastRenderedPageBreak/>
              <w:t xml:space="preserve">CMA evidence concerns wider marketplace </w:t>
            </w:r>
            <w:r w:rsidRPr="00B4777F">
              <w:rPr>
                <w:rFonts w:cs="Times New Roman"/>
                <w:sz w:val="22"/>
              </w:rPr>
              <w:lastRenderedPageBreak/>
              <w:t>governance, and Option C scores strongly on suitability and acceptability when both sides receive fair process.</w:t>
            </w:r>
          </w:p>
        </w:tc>
        <w:tc>
          <w:tcPr>
            <w:tcW w:w="2160" w:type="dxa"/>
          </w:tcPr>
          <w:p w14:paraId="200CBABC" w14:textId="77777777" w:rsidR="008042AD" w:rsidRPr="00B4777F" w:rsidRDefault="00EE2FCA">
            <w:pPr>
              <w:rPr>
                <w:rFonts w:cs="Times New Roman"/>
                <w:sz w:val="22"/>
              </w:rPr>
            </w:pPr>
            <w:r w:rsidRPr="00B4777F">
              <w:rPr>
                <w:rFonts w:cs="Times New Roman"/>
                <w:sz w:val="22"/>
              </w:rPr>
              <w:lastRenderedPageBreak/>
              <w:t xml:space="preserve">Marketplace Policy with Seller Services and Compliance. Use </w:t>
            </w:r>
            <w:r w:rsidRPr="00B4777F">
              <w:rPr>
                <w:rFonts w:cs="Times New Roman"/>
                <w:sz w:val="22"/>
              </w:rPr>
              <w:lastRenderedPageBreak/>
              <w:t>neutral reason codes, equivalent evidence windows and conflict-of-interest checks.</w:t>
            </w:r>
          </w:p>
        </w:tc>
        <w:tc>
          <w:tcPr>
            <w:tcW w:w="2232" w:type="dxa"/>
          </w:tcPr>
          <w:p w14:paraId="23649405" w14:textId="77777777" w:rsidR="008042AD" w:rsidRPr="00B4777F" w:rsidRDefault="00EE2FCA">
            <w:pPr>
              <w:rPr>
                <w:rFonts w:cs="Times New Roman"/>
                <w:sz w:val="22"/>
              </w:rPr>
            </w:pPr>
            <w:r w:rsidRPr="00B4777F">
              <w:rPr>
                <w:rFonts w:cs="Times New Roman"/>
                <w:sz w:val="22"/>
              </w:rPr>
              <w:lastRenderedPageBreak/>
              <w:t xml:space="preserve">Customer and seller appeal rates; decision-overturn rate by party </w:t>
            </w:r>
            <w:r w:rsidRPr="00B4777F">
              <w:rPr>
                <w:rFonts w:cs="Times New Roman"/>
                <w:sz w:val="22"/>
              </w:rPr>
              <w:lastRenderedPageBreak/>
              <w:t>and reason; overdue appeals; quality-review agreement; complaint recurrence.</w:t>
            </w:r>
          </w:p>
        </w:tc>
      </w:tr>
      <w:tr w:rsidR="0075209C" w:rsidRPr="00B4777F" w14:paraId="00A70136" w14:textId="77777777" w:rsidTr="0075209C">
        <w:tc>
          <w:tcPr>
            <w:tcW w:w="2376" w:type="dxa"/>
          </w:tcPr>
          <w:p w14:paraId="65D75384" w14:textId="77777777" w:rsidR="008042AD" w:rsidRPr="00B4777F" w:rsidRDefault="00EE2FCA">
            <w:pPr>
              <w:rPr>
                <w:rFonts w:cs="Times New Roman"/>
                <w:sz w:val="22"/>
              </w:rPr>
            </w:pPr>
            <w:r w:rsidRPr="00B4777F">
              <w:rPr>
                <w:rFonts w:cs="Times New Roman"/>
                <w:sz w:val="22"/>
              </w:rPr>
              <w:lastRenderedPageBreak/>
              <w:t>5. Scale only through a formal stage gate (end of month 7). Compare pilot cohorts with matched business-as-usual cases and document trade-offs.</w:t>
            </w:r>
          </w:p>
        </w:tc>
        <w:tc>
          <w:tcPr>
            <w:tcW w:w="2232" w:type="dxa"/>
          </w:tcPr>
          <w:p w14:paraId="10ABCF50" w14:textId="77777777" w:rsidR="008042AD" w:rsidRPr="00B4777F" w:rsidRDefault="00EE2FCA">
            <w:pPr>
              <w:rPr>
                <w:rFonts w:cs="Times New Roman"/>
                <w:sz w:val="22"/>
              </w:rPr>
            </w:pPr>
            <w:r w:rsidRPr="00B4777F">
              <w:rPr>
                <w:rFonts w:cs="Times New Roman"/>
                <w:sz w:val="22"/>
              </w:rPr>
              <w:t>SAFe rates the hybrid as feasible only under controlled cost, quality, privacy and stakeholder conditions.</w:t>
            </w:r>
          </w:p>
        </w:tc>
        <w:tc>
          <w:tcPr>
            <w:tcW w:w="2160" w:type="dxa"/>
          </w:tcPr>
          <w:p w14:paraId="2A3CFA2B" w14:textId="77777777" w:rsidR="008042AD" w:rsidRPr="00B4777F" w:rsidRDefault="00EE2FCA">
            <w:pPr>
              <w:rPr>
                <w:rFonts w:cs="Times New Roman"/>
                <w:sz w:val="22"/>
              </w:rPr>
            </w:pPr>
            <w:r w:rsidRPr="00B4777F">
              <w:rPr>
                <w:rFonts w:cs="Times New Roman"/>
                <w:sz w:val="22"/>
              </w:rPr>
              <w:t>UK pilot board chaired by a senior accountable owner. Include Finance, Legal, Data Protection, Seller Services and Customer Experience; retain a stop or redesign decision.</w:t>
            </w:r>
          </w:p>
        </w:tc>
        <w:tc>
          <w:tcPr>
            <w:tcW w:w="2232" w:type="dxa"/>
          </w:tcPr>
          <w:p w14:paraId="00560FC1" w14:textId="77777777" w:rsidR="008042AD" w:rsidRPr="00B4777F" w:rsidRDefault="00EE2FCA">
            <w:pPr>
              <w:rPr>
                <w:rFonts w:cs="Times New Roman"/>
                <w:sz w:val="22"/>
              </w:rPr>
            </w:pPr>
            <w:r w:rsidRPr="00B4777F">
              <w:rPr>
                <w:rFonts w:cs="Times New Roman"/>
                <w:sz w:val="22"/>
              </w:rPr>
              <w:t>Scale only if resolution and repeat-contact measures improve, seller fairness does not deteriorate, cost remains within the approved envelope and no material compliance issue is open.</w:t>
            </w:r>
          </w:p>
        </w:tc>
      </w:tr>
    </w:tbl>
    <w:p w14:paraId="21E61A89" w14:textId="77777777" w:rsidR="008042AD" w:rsidRPr="00B4777F" w:rsidRDefault="008042AD">
      <w:pPr>
        <w:rPr>
          <w:rFonts w:cs="Times New Roman"/>
          <w:sz w:val="22"/>
        </w:rPr>
      </w:pPr>
    </w:p>
    <w:p w14:paraId="1394B82D" w14:textId="77777777" w:rsidR="008042AD" w:rsidRPr="00B4777F" w:rsidRDefault="00EE2FCA">
      <w:pPr>
        <w:spacing w:after="120"/>
        <w:rPr>
          <w:rFonts w:cs="Times New Roman"/>
          <w:sz w:val="22"/>
        </w:rPr>
      </w:pPr>
      <w:r w:rsidRPr="00B4777F">
        <w:rPr>
          <w:rFonts w:cs="Times New Roman"/>
          <w:i/>
          <w:sz w:val="22"/>
        </w:rPr>
        <w:t>Source: Author's recommendations linked to Tables 1–5. Numerical targets must be set against verified internal baselines before the live pilot.</w:t>
      </w:r>
    </w:p>
    <w:p w14:paraId="0EBF6480" w14:textId="2C695EF6" w:rsidR="003A258E" w:rsidRPr="00B4777F" w:rsidRDefault="003A258E" w:rsidP="003A258E">
      <w:pPr>
        <w:rPr>
          <w:rStyle w:val="cursor-pointer"/>
          <w:rFonts w:cs="Times New Roman"/>
          <w:sz w:val="22"/>
        </w:rPr>
      </w:pPr>
      <w:r w:rsidRPr="00B4777F">
        <w:rPr>
          <w:rStyle w:val="cursor-pointer"/>
          <w:rFonts w:cs="Times New Roman"/>
          <w:sz w:val="22"/>
        </w:rPr>
        <w:t xml:space="preserve">Control of the whole strategy is by Recommendation 1. If case selection is not accurate, then the skilled capacity will be used up by routine demand and the economics won't work. Recommendation 2 establishes a point of accountability instead of another transfer point. The playbook should include minimum evidence, allowed remedies, language requirements and the timing to stop for expert input. Empathy is not something that should be fabricated by the bot or agent; research shows that empathy matching response style and solution to the failure and avoiding poorly judged anthropomorphism is an </w:t>
      </w:r>
      <w:r w:rsidRPr="00B4777F">
        <w:rPr>
          <w:rStyle w:val="cursor-pointer"/>
          <w:rFonts w:cs="Times New Roman"/>
          <w:sz w:val="22"/>
        </w:rPr>
        <w:lastRenderedPageBreak/>
        <w:t>important element of the recovery process, and may lead to customer anger (Crolic et al., 2022; Xing et al., 2022; Xu, Wen and Liu, 2024; Yang, Zhou and Yang, 2023).</w:t>
      </w:r>
    </w:p>
    <w:p w14:paraId="2C80BB06" w14:textId="5F7F2989" w:rsidR="003A258E" w:rsidRPr="00B4777F" w:rsidRDefault="003A258E" w:rsidP="003A258E">
      <w:pPr>
        <w:rPr>
          <w:rFonts w:cs="Times New Roman"/>
          <w:sz w:val="22"/>
        </w:rPr>
      </w:pPr>
      <w:r w:rsidRPr="00B4777F">
        <w:rPr>
          <w:rStyle w:val="cursor-pointer"/>
          <w:rFonts w:cs="Times New Roman"/>
          <w:sz w:val="22"/>
        </w:rPr>
        <w:t>Recommendation 3 and 4: Turn the regulatory and the VRIO findings into operating controls. However, the dashboard makes valuable signals case understanding, and minimisation and logging help keep things convenient, not become surveillance. It provides customers and sellers with a similar option to present evidence and to argue a reasoned decision. Lastly, Recommendation 5 safeguards against early implementation. The model is to be used as a testable strategic hypothesis: Scale only where the evidence, overall, indicates that there is a greater chance for a good end result at a tolerable cost and risk. The disciplined learning process is how an existing resource base can turn into a resilient, embedded recovery capability and not just a temporary service initiative.</w:t>
      </w:r>
    </w:p>
    <w:p w14:paraId="5F965BFE" w14:textId="77777777" w:rsidR="008042AD" w:rsidRPr="00B4777F" w:rsidRDefault="00EE2FCA">
      <w:pPr>
        <w:rPr>
          <w:rFonts w:cs="Times New Roman"/>
          <w:sz w:val="22"/>
        </w:rPr>
      </w:pPr>
      <w:r w:rsidRPr="00B4777F">
        <w:rPr>
          <w:rFonts w:cs="Times New Roman"/>
          <w:sz w:val="22"/>
        </w:rPr>
        <w:br w:type="page"/>
      </w:r>
    </w:p>
    <w:p w14:paraId="265415BD" w14:textId="77777777" w:rsidR="008042AD" w:rsidRPr="00B4777F" w:rsidRDefault="00EE2FCA" w:rsidP="006871CF">
      <w:pPr>
        <w:pStyle w:val="Heading1"/>
        <w:spacing w:before="160" w:after="40"/>
        <w:rPr>
          <w:rFonts w:ascii="Times New Roman" w:hAnsi="Times New Roman" w:cs="Times New Roman"/>
          <w:color w:val="auto"/>
          <w:sz w:val="22"/>
          <w:szCs w:val="22"/>
        </w:rPr>
      </w:pPr>
      <w:bookmarkStart w:id="11" w:name="_Toc242257100"/>
      <w:r w:rsidRPr="00B4777F">
        <w:rPr>
          <w:rFonts w:ascii="Times New Roman" w:eastAsia="Times New Roman" w:hAnsi="Times New Roman" w:cs="Times New Roman"/>
          <w:color w:val="auto"/>
          <w:sz w:val="22"/>
          <w:szCs w:val="22"/>
        </w:rPr>
        <w:lastRenderedPageBreak/>
        <w:t>References</w:t>
      </w:r>
      <w:bookmarkEnd w:id="11"/>
    </w:p>
    <w:p w14:paraId="02D2ADCF" w14:textId="77777777" w:rsidR="008042AD" w:rsidRPr="00B4777F" w:rsidRDefault="00EE2FCA" w:rsidP="006871CF">
      <w:pPr>
        <w:ind w:left="567" w:hanging="567"/>
        <w:rPr>
          <w:rFonts w:cs="Times New Roman"/>
          <w:sz w:val="22"/>
        </w:rPr>
      </w:pPr>
      <w:r w:rsidRPr="00B4777F">
        <w:rPr>
          <w:rFonts w:cs="Times New Roman"/>
          <w:sz w:val="22"/>
        </w:rPr>
        <w:t>Acquisti, A., Brandimarte, L. and Loewenstein, G. (2015) ‘Privacy and human behaviour in the age of information’, Science, 347(6221), pp. 509–514. doi: 10.1126/science.aaa1465.</w:t>
      </w:r>
    </w:p>
    <w:p w14:paraId="67628FE0" w14:textId="77777777" w:rsidR="008042AD" w:rsidRPr="00B4777F" w:rsidRDefault="00EE2FCA" w:rsidP="006871CF">
      <w:pPr>
        <w:ind w:left="567" w:hanging="567"/>
        <w:rPr>
          <w:rFonts w:cs="Times New Roman"/>
          <w:sz w:val="22"/>
        </w:rPr>
      </w:pPr>
      <w:r w:rsidRPr="00B4777F">
        <w:rPr>
          <w:rFonts w:cs="Times New Roman"/>
          <w:sz w:val="22"/>
        </w:rPr>
        <w:t>Agnihotri, A. and Bhattacharya, S. (2024) ‘Chatbots’ effectiveness in service recovery’, International Journal of Information Management, 76, 102679. doi: 10.1016/j.ijinfomgt.2023.102679.</w:t>
      </w:r>
    </w:p>
    <w:p w14:paraId="4B366EA0" w14:textId="77777777" w:rsidR="008042AD" w:rsidRPr="00B4777F" w:rsidRDefault="00EE2FCA" w:rsidP="006871CF">
      <w:pPr>
        <w:ind w:left="567" w:hanging="567"/>
        <w:rPr>
          <w:rFonts w:cs="Times New Roman"/>
          <w:sz w:val="22"/>
        </w:rPr>
      </w:pPr>
      <w:r w:rsidRPr="00B4777F">
        <w:rPr>
          <w:rFonts w:cs="Times New Roman"/>
          <w:sz w:val="22"/>
        </w:rPr>
        <w:t>Aguirre, E., Mahr, D., Grewal, D., de Ruyter, K. and Wetzels, M. (2015) ‘Unravelling the personalisation paradox’, Journal of Retailing, 91(1), pp. 34–49. doi: 10.1016/j.jretai.2014.09.005.</w:t>
      </w:r>
    </w:p>
    <w:p w14:paraId="023ED056" w14:textId="77777777" w:rsidR="008042AD" w:rsidRPr="00B4777F" w:rsidRDefault="00EE2FCA" w:rsidP="006871CF">
      <w:pPr>
        <w:ind w:left="567" w:hanging="567"/>
        <w:rPr>
          <w:rFonts w:cs="Times New Roman"/>
          <w:sz w:val="22"/>
        </w:rPr>
      </w:pPr>
      <w:r w:rsidRPr="00B4777F">
        <w:rPr>
          <w:rFonts w:cs="Times New Roman"/>
          <w:sz w:val="22"/>
        </w:rPr>
        <w:t>Amazon.com, Inc. (2025) Amazon 2024 Annual Report. Available at: https://s2.q4cdn.com/299287126/files/doc_financials/2025/ar/Amazon-2024-Annual-Report.pdf (Accessed: 15 August 2026).</w:t>
      </w:r>
    </w:p>
    <w:p w14:paraId="3ECB2F69" w14:textId="77777777" w:rsidR="008042AD" w:rsidRPr="00B4777F" w:rsidRDefault="00EE2FCA" w:rsidP="006871CF">
      <w:pPr>
        <w:ind w:left="567" w:hanging="567"/>
        <w:rPr>
          <w:rFonts w:cs="Times New Roman"/>
          <w:sz w:val="22"/>
        </w:rPr>
      </w:pPr>
      <w:r w:rsidRPr="00B4777F">
        <w:rPr>
          <w:rFonts w:cs="Times New Roman"/>
          <w:sz w:val="22"/>
        </w:rPr>
        <w:t>Amazon.co.uk (n.d.-a) What is the A-to-z Guarantee? Available at: https://www.amazon.co.uk/gp/help/customer/display.html?nodeId=GQ37ZCNECJKTFYQV (Accessed: 15 August 2026).</w:t>
      </w:r>
    </w:p>
    <w:p w14:paraId="13E6A385" w14:textId="77777777" w:rsidR="008042AD" w:rsidRPr="00B4777F" w:rsidRDefault="00EE2FCA" w:rsidP="006871CF">
      <w:pPr>
        <w:ind w:left="567" w:hanging="567"/>
        <w:rPr>
          <w:rFonts w:cs="Times New Roman"/>
          <w:sz w:val="22"/>
        </w:rPr>
      </w:pPr>
      <w:r w:rsidRPr="00B4777F">
        <w:rPr>
          <w:rFonts w:cs="Times New Roman"/>
          <w:sz w:val="22"/>
        </w:rPr>
        <w:t>Amazon.co.uk (n.d.-b) Returns and refunds. Available at: https://www.amazon.co.uk/gp/help/customer/display.html?nodeId=GNW5VKFXMF72FFMR (Accessed: 15 August 2026).</w:t>
      </w:r>
    </w:p>
    <w:p w14:paraId="121BDDAA" w14:textId="77777777" w:rsidR="008042AD" w:rsidRPr="00B4777F" w:rsidRDefault="00EE2FCA" w:rsidP="006871CF">
      <w:pPr>
        <w:ind w:left="567" w:hanging="567"/>
        <w:rPr>
          <w:rFonts w:cs="Times New Roman"/>
          <w:sz w:val="22"/>
        </w:rPr>
      </w:pPr>
      <w:r w:rsidRPr="00B4777F">
        <w:rPr>
          <w:rFonts w:cs="Times New Roman"/>
          <w:sz w:val="22"/>
        </w:rPr>
        <w:t>Amazon.jobs (n.d.) Leadership Principles. Available at: https://www.amazon.jobs/content/en/our-workplace/leadership-principles (Accessed: 15 August 2026).</w:t>
      </w:r>
    </w:p>
    <w:p w14:paraId="52138D03" w14:textId="77777777" w:rsidR="008042AD" w:rsidRPr="00B4777F" w:rsidRDefault="00EE2FCA" w:rsidP="006871CF">
      <w:pPr>
        <w:ind w:left="567" w:hanging="567"/>
        <w:rPr>
          <w:rFonts w:cs="Times New Roman"/>
          <w:sz w:val="22"/>
        </w:rPr>
      </w:pPr>
      <w:r w:rsidRPr="00B4777F">
        <w:rPr>
          <w:rFonts w:cs="Times New Roman"/>
          <w:sz w:val="22"/>
        </w:rPr>
        <w:t>Amazon Seller Central (n.d.-a) About A-to-z Guarantee claims. Available at: https://sellercentral.amazon.co.uk/gp/help/external/G27951 (Accessed: 15 August 2026).</w:t>
      </w:r>
    </w:p>
    <w:p w14:paraId="53158627" w14:textId="77777777" w:rsidR="008042AD" w:rsidRPr="00B4777F" w:rsidRDefault="00EE2FCA" w:rsidP="006871CF">
      <w:pPr>
        <w:ind w:left="567" w:hanging="567"/>
        <w:rPr>
          <w:rFonts w:cs="Times New Roman"/>
          <w:sz w:val="22"/>
        </w:rPr>
      </w:pPr>
      <w:r w:rsidRPr="00B4777F">
        <w:rPr>
          <w:rFonts w:cs="Times New Roman"/>
          <w:sz w:val="22"/>
        </w:rPr>
        <w:t>Amazon Seller Central (n.d.-b) Appeal an A-to-z Guarantee claim. Available at: https://sellercentral.amazon.co.uk/gp/help/external/G202041210 (Accessed: 15 August 2026).</w:t>
      </w:r>
    </w:p>
    <w:p w14:paraId="7BC86CBE" w14:textId="77777777" w:rsidR="008042AD" w:rsidRPr="00B4777F" w:rsidRDefault="00EE2FCA" w:rsidP="006871CF">
      <w:pPr>
        <w:ind w:left="567" w:hanging="567"/>
        <w:rPr>
          <w:rFonts w:cs="Times New Roman"/>
          <w:sz w:val="22"/>
        </w:rPr>
      </w:pPr>
      <w:r w:rsidRPr="00B4777F">
        <w:rPr>
          <w:rFonts w:cs="Times New Roman"/>
          <w:sz w:val="22"/>
        </w:rPr>
        <w:t>Amazon UK (2023) 2022: Amazon’s economic impact in the UK. Available at: https://www.aboutamazon.co.uk/news/company-news/2022-amazons-economic-impact-in-the-uk (Accessed: 15 August 2026).</w:t>
      </w:r>
    </w:p>
    <w:p w14:paraId="5300A86A" w14:textId="77777777" w:rsidR="008042AD" w:rsidRPr="00B4777F" w:rsidRDefault="00EE2FCA" w:rsidP="006871CF">
      <w:pPr>
        <w:ind w:left="567" w:hanging="567"/>
        <w:rPr>
          <w:rFonts w:cs="Times New Roman"/>
          <w:sz w:val="22"/>
        </w:rPr>
      </w:pPr>
      <w:r w:rsidRPr="00B4777F">
        <w:rPr>
          <w:rFonts w:cs="Times New Roman"/>
          <w:sz w:val="22"/>
        </w:rPr>
        <w:lastRenderedPageBreak/>
        <w:t>Amazon UK (2025) Amazon announces plans to invest £40 billion in the UK. Available at: https://www.aboutamazon.co.uk/news/job-creation-and-investment/amazon-40-billion-uk-investment (Accessed: 15 August 2026).</w:t>
      </w:r>
    </w:p>
    <w:p w14:paraId="5B49B9DB" w14:textId="77777777" w:rsidR="008042AD" w:rsidRPr="00B4777F" w:rsidRDefault="00EE2FCA" w:rsidP="006871CF">
      <w:pPr>
        <w:ind w:left="567" w:hanging="567"/>
        <w:rPr>
          <w:rFonts w:cs="Times New Roman"/>
          <w:sz w:val="22"/>
        </w:rPr>
      </w:pPr>
      <w:r w:rsidRPr="00B4777F">
        <w:rPr>
          <w:rFonts w:cs="Times New Roman"/>
          <w:sz w:val="22"/>
        </w:rPr>
        <w:t>Barney, J. (1991) ‘Firm resources and sustained competitive advantage’, Journal of Management, 17(1), pp. 99–120. doi: 10.1177/014920639101700108.</w:t>
      </w:r>
    </w:p>
    <w:p w14:paraId="366BEE1C" w14:textId="77777777" w:rsidR="008042AD" w:rsidRPr="00B4777F" w:rsidRDefault="00EE2FCA" w:rsidP="006871CF">
      <w:pPr>
        <w:ind w:left="567" w:hanging="567"/>
        <w:rPr>
          <w:rFonts w:cs="Times New Roman"/>
          <w:sz w:val="22"/>
        </w:rPr>
      </w:pPr>
      <w:r w:rsidRPr="00B4777F">
        <w:rPr>
          <w:rFonts w:cs="Times New Roman"/>
          <w:sz w:val="22"/>
        </w:rPr>
        <w:t>Bonina, C., Koskinen, K., Eaton, B. and Gawer, A. (2021) ‘Digital platforms for development: Foundations and research agenda’, Information Systems Journal, 31(6), pp. 869–902. doi: 10.1111/isj.12326.</w:t>
      </w:r>
    </w:p>
    <w:p w14:paraId="659A830F" w14:textId="77777777" w:rsidR="008042AD" w:rsidRPr="00B4777F" w:rsidRDefault="00EE2FCA" w:rsidP="006871CF">
      <w:pPr>
        <w:ind w:left="567" w:hanging="567"/>
        <w:rPr>
          <w:rFonts w:cs="Times New Roman"/>
          <w:sz w:val="22"/>
        </w:rPr>
      </w:pPr>
      <w:r w:rsidRPr="00B4777F">
        <w:rPr>
          <w:rFonts w:cs="Times New Roman"/>
          <w:sz w:val="22"/>
        </w:rPr>
        <w:t>Castillo, D., Canhoto, A.I. and Said, E. (2021) ‘The dark side of AI-powered service interactions: Exploring the process of co-destruction from the customer perspective’, The Service Industries Journal, 41(13–14), pp. 900–925. doi: 10.1080/02642069.2020.1787993.</w:t>
      </w:r>
    </w:p>
    <w:p w14:paraId="73A2BCF3" w14:textId="77777777" w:rsidR="008042AD" w:rsidRPr="00B4777F" w:rsidRDefault="00EE2FCA" w:rsidP="006871CF">
      <w:pPr>
        <w:ind w:left="567" w:hanging="567"/>
        <w:rPr>
          <w:rFonts w:cs="Times New Roman"/>
          <w:sz w:val="22"/>
        </w:rPr>
      </w:pPr>
      <w:r w:rsidRPr="00B4777F">
        <w:rPr>
          <w:rFonts w:cs="Times New Roman"/>
          <w:sz w:val="22"/>
        </w:rPr>
        <w:t>Cennamo, C. (2021) ‘Competing in digital markets: A platform-based perspective’, Academy of Management Perspectives, 35(2), pp. 265–291. doi: 10.5465/amp.2016.0048.</w:t>
      </w:r>
    </w:p>
    <w:p w14:paraId="4537A2B3" w14:textId="77777777" w:rsidR="008042AD" w:rsidRPr="00B4777F" w:rsidRDefault="00EE2FCA" w:rsidP="006871CF">
      <w:pPr>
        <w:ind w:left="567" w:hanging="567"/>
        <w:rPr>
          <w:rFonts w:cs="Times New Roman"/>
          <w:sz w:val="22"/>
        </w:rPr>
      </w:pPr>
      <w:r w:rsidRPr="00B4777F">
        <w:rPr>
          <w:rFonts w:cs="Times New Roman"/>
          <w:sz w:val="22"/>
        </w:rPr>
        <w:t>Choi, S., Mattila, A.S. and Bolton, L.E. (2021) ‘To err is human(-oid): How do consumers react to robot service failure and recovery?’, Journal of Service Research, 24(3), pp. 354–371. doi: 10.1177/1094670520978798.</w:t>
      </w:r>
    </w:p>
    <w:p w14:paraId="02698094" w14:textId="77777777" w:rsidR="008042AD" w:rsidRPr="00B4777F" w:rsidRDefault="00EE2FCA" w:rsidP="006871CF">
      <w:pPr>
        <w:ind w:left="567" w:hanging="567"/>
        <w:rPr>
          <w:rFonts w:cs="Times New Roman"/>
          <w:sz w:val="22"/>
        </w:rPr>
      </w:pPr>
      <w:r w:rsidRPr="00B4777F">
        <w:rPr>
          <w:rFonts w:cs="Times New Roman"/>
          <w:sz w:val="22"/>
        </w:rPr>
        <w:t>Competition and Markets Authority (2024) Investigation into Amazon’s Marketplace. Available at: https://www.gov.uk/cma-cases/investigation-into-amazons-marketplace (Accessed: 15 August 2026).</w:t>
      </w:r>
    </w:p>
    <w:p w14:paraId="24764F30" w14:textId="77777777" w:rsidR="008042AD" w:rsidRPr="00B4777F" w:rsidRDefault="00EE2FCA" w:rsidP="006871CF">
      <w:pPr>
        <w:ind w:left="567" w:hanging="567"/>
        <w:rPr>
          <w:rFonts w:cs="Times New Roman"/>
          <w:sz w:val="22"/>
        </w:rPr>
      </w:pPr>
      <w:r w:rsidRPr="00B4777F">
        <w:rPr>
          <w:rFonts w:cs="Times New Roman"/>
          <w:sz w:val="22"/>
        </w:rPr>
        <w:t>Competition and Markets Authority (2025) CMA to boost consumer and business confidence as new consumer protection regime comes into force. Available at: https://www.gov.uk/government/news/cma-to-boost-consumer-and-business-confidence-as-new-consumer-protection-regime-comes-into-force (Accessed: 15 August 2026).</w:t>
      </w:r>
    </w:p>
    <w:p w14:paraId="69C8985D" w14:textId="77777777" w:rsidR="008042AD" w:rsidRPr="00B4777F" w:rsidRDefault="00EE2FCA" w:rsidP="006871CF">
      <w:pPr>
        <w:ind w:left="567" w:hanging="567"/>
        <w:rPr>
          <w:rFonts w:cs="Times New Roman"/>
          <w:sz w:val="22"/>
        </w:rPr>
      </w:pPr>
      <w:r w:rsidRPr="00B4777F">
        <w:rPr>
          <w:rFonts w:cs="Times New Roman"/>
          <w:sz w:val="22"/>
        </w:rPr>
        <w:t>Consumer Contracts (Information, Cancellation and Additional Charges) Regulations 2013, SI 2013/3134. Available at: https://www.legislation.gov.uk/uksi/2013/3134/contents (Accessed: 15 August 2026).</w:t>
      </w:r>
    </w:p>
    <w:p w14:paraId="4F8A13E8" w14:textId="77777777" w:rsidR="008042AD" w:rsidRPr="00B4777F" w:rsidRDefault="00EE2FCA" w:rsidP="006871CF">
      <w:pPr>
        <w:ind w:left="567" w:hanging="567"/>
        <w:rPr>
          <w:rFonts w:cs="Times New Roman"/>
          <w:sz w:val="22"/>
        </w:rPr>
      </w:pPr>
      <w:r w:rsidRPr="00B4777F">
        <w:rPr>
          <w:rFonts w:cs="Times New Roman"/>
          <w:sz w:val="22"/>
        </w:rPr>
        <w:t>Consumer Rights Act 2015, c.15. Available at: https://www.legislation.gov.uk/ukpga/2015/15/contents (Accessed: 15 August 2026).</w:t>
      </w:r>
    </w:p>
    <w:p w14:paraId="7F2A893D" w14:textId="77777777" w:rsidR="008042AD" w:rsidRPr="00B4777F" w:rsidRDefault="00EE2FCA" w:rsidP="006871CF">
      <w:pPr>
        <w:ind w:left="567" w:hanging="567"/>
        <w:rPr>
          <w:rFonts w:cs="Times New Roman"/>
          <w:sz w:val="22"/>
        </w:rPr>
      </w:pPr>
      <w:r w:rsidRPr="00B4777F">
        <w:rPr>
          <w:rFonts w:cs="Times New Roman"/>
          <w:sz w:val="22"/>
        </w:rPr>
        <w:lastRenderedPageBreak/>
        <w:t>Crolic, C., Thomaz, F., Hadi, R. and Stephen, A.T. (2022) ‘Blame the bot: Anthropomorphism and anger in customer–chatbot interactions’, Journal of Marketing, 86(1), pp. 132–148. doi: 10.1177/00222429211045687.</w:t>
      </w:r>
    </w:p>
    <w:p w14:paraId="1DDFE0D3" w14:textId="77777777" w:rsidR="008042AD" w:rsidRPr="00B4777F" w:rsidRDefault="00EE2FCA" w:rsidP="006871CF">
      <w:pPr>
        <w:ind w:left="567" w:hanging="567"/>
        <w:rPr>
          <w:rFonts w:cs="Times New Roman"/>
          <w:sz w:val="22"/>
        </w:rPr>
      </w:pPr>
      <w:r w:rsidRPr="00B4777F">
        <w:rPr>
          <w:rFonts w:cs="Times New Roman"/>
          <w:sz w:val="22"/>
        </w:rPr>
        <w:t>Cutolo, D. and Kenney, M. (2021) ‘Platform-dependent entrepreneurs: Power asymmetries, risks, and strategies in the platform economy’, Academy of Management Perspectives, 35(4), pp. 584–605. doi: 10.5465/amp.2019.0103.</w:t>
      </w:r>
    </w:p>
    <w:p w14:paraId="30C0B547" w14:textId="77777777" w:rsidR="008042AD" w:rsidRPr="00B4777F" w:rsidRDefault="00EE2FCA" w:rsidP="006871CF">
      <w:pPr>
        <w:ind w:left="567" w:hanging="567"/>
        <w:rPr>
          <w:rFonts w:cs="Times New Roman"/>
          <w:sz w:val="22"/>
        </w:rPr>
      </w:pPr>
      <w:r w:rsidRPr="00B4777F">
        <w:rPr>
          <w:rFonts w:cs="Times New Roman"/>
          <w:sz w:val="22"/>
        </w:rPr>
        <w:t>Edmondson, A.C. and Bransby, D.P. (2023) ‘Psychological safety comes of age: Observed themes in an established literature’, Annual Review of Organizational Psychology and Organizational Behavior, 10, pp. 55–78. doi: 10.1146/annurev-orgpsych-120920-055217.</w:t>
      </w:r>
    </w:p>
    <w:p w14:paraId="6BF7283A" w14:textId="77777777" w:rsidR="008042AD" w:rsidRPr="00B4777F" w:rsidRDefault="00EE2FCA" w:rsidP="006871CF">
      <w:pPr>
        <w:ind w:left="567" w:hanging="567"/>
        <w:rPr>
          <w:rFonts w:cs="Times New Roman"/>
          <w:sz w:val="22"/>
        </w:rPr>
      </w:pPr>
      <w:r w:rsidRPr="00B4777F">
        <w:rPr>
          <w:rFonts w:cs="Times New Roman"/>
          <w:sz w:val="22"/>
        </w:rPr>
        <w:t>Etro, F. (2024) ‘e-Commerce platforms and self-preferencing’, Journal of Economic Surveys, 38(4), pp. 1516–1543. doi: 10.1111/joes.12594.</w:t>
      </w:r>
    </w:p>
    <w:p w14:paraId="03CF2532" w14:textId="77777777" w:rsidR="008042AD" w:rsidRPr="00B4777F" w:rsidRDefault="00EE2FCA" w:rsidP="006871CF">
      <w:pPr>
        <w:ind w:left="567" w:hanging="567"/>
        <w:rPr>
          <w:rFonts w:cs="Times New Roman"/>
          <w:sz w:val="22"/>
        </w:rPr>
      </w:pPr>
      <w:r w:rsidRPr="00B4777F">
        <w:rPr>
          <w:rFonts w:cs="Times New Roman"/>
          <w:sz w:val="22"/>
        </w:rPr>
        <w:t>Federal Trade Commission (2023) FTC sues Amazon for illegally maintaining monopoly power. Available at: https://www.ftc.gov/news-events/news/press-releases/2023/09/ftc-sues-amazon-illegally-maintaining-monopoly-power (Accessed: 15 August 2026).</w:t>
      </w:r>
    </w:p>
    <w:p w14:paraId="3CD2A6D6" w14:textId="77777777" w:rsidR="008042AD" w:rsidRPr="00B4777F" w:rsidRDefault="00EE2FCA" w:rsidP="006871CF">
      <w:pPr>
        <w:ind w:left="567" w:hanging="567"/>
        <w:rPr>
          <w:rFonts w:cs="Times New Roman"/>
          <w:sz w:val="22"/>
        </w:rPr>
      </w:pPr>
      <w:r w:rsidRPr="00B4777F">
        <w:rPr>
          <w:rFonts w:cs="Times New Roman"/>
          <w:sz w:val="22"/>
        </w:rPr>
        <w:t>Ferraro, C., Sands, S., Campbell, C. and Tsao, H.-Y. (2024) ‘The paradoxes of generative AI-enabled customer service’, Business Horizons, 67(5), pp. 549–559. doi: 10.1016/j.bushor.2024.04.013.</w:t>
      </w:r>
    </w:p>
    <w:p w14:paraId="78573801" w14:textId="77777777" w:rsidR="008042AD" w:rsidRPr="00B4777F" w:rsidRDefault="00EE2FCA" w:rsidP="006871CF">
      <w:pPr>
        <w:ind w:left="567" w:hanging="567"/>
        <w:rPr>
          <w:rFonts w:cs="Times New Roman"/>
          <w:sz w:val="22"/>
        </w:rPr>
      </w:pPr>
      <w:r w:rsidRPr="00B4777F">
        <w:rPr>
          <w:rFonts w:cs="Times New Roman"/>
          <w:sz w:val="22"/>
        </w:rPr>
        <w:t>Gawer, A. (2021) ‘Digital platforms’ boundaries: The interplay of firm scope, platform sides, and digital interfaces’, Long Range Planning, 54(5), 102045. doi: 10.1016/j.lrp.2020.102045.</w:t>
      </w:r>
    </w:p>
    <w:p w14:paraId="450C7D84" w14:textId="77777777" w:rsidR="008042AD" w:rsidRPr="00B4777F" w:rsidRDefault="00EE2FCA" w:rsidP="006871CF">
      <w:pPr>
        <w:ind w:left="567" w:hanging="567"/>
        <w:rPr>
          <w:rFonts w:cs="Times New Roman"/>
          <w:sz w:val="22"/>
        </w:rPr>
      </w:pPr>
      <w:r w:rsidRPr="00B4777F">
        <w:rPr>
          <w:rFonts w:cs="Times New Roman"/>
          <w:sz w:val="22"/>
        </w:rPr>
        <w:t>Haupt, M., Rozumowski, A., Freidank, J. and Haas, A. (2023) ‘Seeking empathy or suggesting a solution? Effects of chatbot messages on service failure recovery’, Electronic Markets, 33, 56. doi: 10.1007/s12525-023-00673-0.</w:t>
      </w:r>
    </w:p>
    <w:p w14:paraId="0B38143D" w14:textId="77777777" w:rsidR="008042AD" w:rsidRPr="00B4777F" w:rsidRDefault="00EE2FCA" w:rsidP="006871CF">
      <w:pPr>
        <w:ind w:left="567" w:hanging="567"/>
        <w:rPr>
          <w:rFonts w:cs="Times New Roman"/>
          <w:sz w:val="22"/>
        </w:rPr>
      </w:pPr>
      <w:r w:rsidRPr="00B4777F">
        <w:rPr>
          <w:rFonts w:cs="Times New Roman"/>
          <w:sz w:val="22"/>
        </w:rPr>
        <w:t>Homburg, C., Jozić, D. and Kuehnl, C. (2017) ‘Customer experience management’, Journal of the Academy of Marketing Science, 45(3), pp. 377–401. doi: 10.1007/s11747-015-0460-7.</w:t>
      </w:r>
    </w:p>
    <w:p w14:paraId="016D0F21" w14:textId="77777777" w:rsidR="008042AD" w:rsidRPr="00B4777F" w:rsidRDefault="00EE2FCA" w:rsidP="006871CF">
      <w:pPr>
        <w:ind w:left="567" w:hanging="567"/>
        <w:rPr>
          <w:rFonts w:cs="Times New Roman"/>
          <w:sz w:val="22"/>
        </w:rPr>
      </w:pPr>
      <w:r w:rsidRPr="00B4777F">
        <w:rPr>
          <w:rFonts w:cs="Times New Roman"/>
          <w:sz w:val="22"/>
        </w:rPr>
        <w:t>Hsu, C.-L. and Lin, J.C.-C. (2023) ‘Understanding the user satisfaction and loyalty of customer service chatbots’, Journal of Retailing and Consumer Services, 71, 103211. doi: 10.1016/j.jretconser.2022.103211.</w:t>
      </w:r>
    </w:p>
    <w:p w14:paraId="4FEA037C" w14:textId="77777777" w:rsidR="008042AD" w:rsidRPr="00B4777F" w:rsidRDefault="00EE2FCA" w:rsidP="006871CF">
      <w:pPr>
        <w:ind w:left="567" w:hanging="567"/>
        <w:rPr>
          <w:rFonts w:cs="Times New Roman"/>
          <w:sz w:val="22"/>
        </w:rPr>
      </w:pPr>
      <w:r w:rsidRPr="00B4777F">
        <w:rPr>
          <w:rFonts w:cs="Times New Roman"/>
          <w:sz w:val="22"/>
        </w:rPr>
        <w:t>Huang, M.-H. and Rust, R.T. (2021) ‘Engaged to a robot? The role of AI in service’, Journal of Service Research, 24(1), pp. 30–41. doi: 10.1177/1094670520902266.</w:t>
      </w:r>
    </w:p>
    <w:p w14:paraId="5F94831D" w14:textId="77777777" w:rsidR="008042AD" w:rsidRPr="00B4777F" w:rsidRDefault="00EE2FCA" w:rsidP="006871CF">
      <w:pPr>
        <w:ind w:left="567" w:hanging="567"/>
        <w:rPr>
          <w:rFonts w:cs="Times New Roman"/>
          <w:sz w:val="22"/>
        </w:rPr>
      </w:pPr>
      <w:r w:rsidRPr="00B4777F">
        <w:rPr>
          <w:rFonts w:cs="Times New Roman"/>
          <w:sz w:val="22"/>
        </w:rPr>
        <w:lastRenderedPageBreak/>
        <w:t>Information Commissioner’s Office (2023) Guidance on AI and data protection. Available at: https://ico.org.uk/for-organisations/uk-gdpr-guidance-and-resources/artificial-intelligence/guidance-on-ai-and-data-protection/ (Accessed: 15 August 2026).</w:t>
      </w:r>
    </w:p>
    <w:p w14:paraId="5F76D762" w14:textId="77777777" w:rsidR="008042AD" w:rsidRPr="00B4777F" w:rsidRDefault="00EE2FCA" w:rsidP="006871CF">
      <w:pPr>
        <w:ind w:left="567" w:hanging="567"/>
        <w:rPr>
          <w:rFonts w:cs="Times New Roman"/>
          <w:sz w:val="22"/>
        </w:rPr>
      </w:pPr>
      <w:r w:rsidRPr="00B4777F">
        <w:rPr>
          <w:rFonts w:cs="Times New Roman"/>
          <w:sz w:val="22"/>
        </w:rPr>
        <w:t>Information Commissioner’s Office (n.d.) Rights related to automated decision-making including profiling. Available at: https://ico.org.uk/for-organisations/uk-gdpr-guidance-and-resources/individual-rights/individual-rights/rights-related-to-automated-decision-making-including-profiling/ (Accessed: 15 August 2026).</w:t>
      </w:r>
    </w:p>
    <w:p w14:paraId="6D31C15C" w14:textId="77777777" w:rsidR="008042AD" w:rsidRPr="00B4777F" w:rsidRDefault="00EE2FCA" w:rsidP="006871CF">
      <w:pPr>
        <w:ind w:left="567" w:hanging="567"/>
        <w:rPr>
          <w:rFonts w:cs="Times New Roman"/>
          <w:sz w:val="22"/>
        </w:rPr>
      </w:pPr>
      <w:r w:rsidRPr="00B4777F">
        <w:rPr>
          <w:rFonts w:cs="Times New Roman"/>
          <w:sz w:val="22"/>
        </w:rPr>
        <w:t>Johnson, G., Whittington, R., Regnér, P., Angwin, D. and Scholes, K. (2020) Exploring Strategy: Text and Cases. 12th edn. Harlow: Pearson.</w:t>
      </w:r>
    </w:p>
    <w:p w14:paraId="28D3E2CE" w14:textId="77777777" w:rsidR="008042AD" w:rsidRPr="00B4777F" w:rsidRDefault="00EE2FCA" w:rsidP="006871CF">
      <w:pPr>
        <w:ind w:left="567" w:hanging="567"/>
        <w:rPr>
          <w:rFonts w:cs="Times New Roman"/>
          <w:sz w:val="22"/>
        </w:rPr>
      </w:pPr>
      <w:r w:rsidRPr="00B4777F">
        <w:rPr>
          <w:rFonts w:cs="Times New Roman"/>
          <w:sz w:val="22"/>
        </w:rPr>
        <w:t>Kotter, J.P., Akhtar, V. and Gupta, G. (2021) Is your organisation surviving change—or thriving in it? Available at: https://hbr.org/2021/08/is-your-organization-surviving-change-or-thriving-in-it (Accessed: 15 August 2026).</w:t>
      </w:r>
    </w:p>
    <w:p w14:paraId="63B0C064" w14:textId="77777777" w:rsidR="008042AD" w:rsidRPr="00B4777F" w:rsidRDefault="00EE2FCA" w:rsidP="006871CF">
      <w:pPr>
        <w:ind w:left="567" w:hanging="567"/>
        <w:rPr>
          <w:rFonts w:cs="Times New Roman"/>
          <w:sz w:val="22"/>
        </w:rPr>
      </w:pPr>
      <w:r w:rsidRPr="00B4777F">
        <w:rPr>
          <w:rFonts w:cs="Times New Roman"/>
          <w:sz w:val="22"/>
        </w:rPr>
        <w:t>Lemon, K.N. and Verhoef, P.C. (2016) ‘Understanding customer experience throughout the customer journey’, Journal of Marketing, 80(6), pp. 69–96. doi: 10.1509/jm.15.0420.</w:t>
      </w:r>
    </w:p>
    <w:p w14:paraId="0ED1A814" w14:textId="77777777" w:rsidR="008042AD" w:rsidRPr="00B4777F" w:rsidRDefault="00EE2FCA" w:rsidP="006871CF">
      <w:pPr>
        <w:ind w:left="567" w:hanging="567"/>
        <w:rPr>
          <w:rFonts w:cs="Times New Roman"/>
          <w:sz w:val="22"/>
        </w:rPr>
      </w:pPr>
      <w:r w:rsidRPr="00B4777F">
        <w:rPr>
          <w:rFonts w:cs="Times New Roman"/>
          <w:sz w:val="22"/>
        </w:rPr>
        <w:t>Liden, R.C., Wayne, S.J., Liao, C. and Meuser, J.D. (2014) ‘Servant leadership and serving culture’, Academy of Management Journal, 57(5), pp. 1434–1452. doi: 10.5465/amj.2013.0034.</w:t>
      </w:r>
    </w:p>
    <w:p w14:paraId="1C29C263" w14:textId="77777777" w:rsidR="008042AD" w:rsidRPr="00B4777F" w:rsidRDefault="00EE2FCA" w:rsidP="006871CF">
      <w:pPr>
        <w:ind w:left="567" w:hanging="567"/>
        <w:rPr>
          <w:rFonts w:cs="Times New Roman"/>
          <w:sz w:val="22"/>
        </w:rPr>
      </w:pPr>
      <w:r w:rsidRPr="00B4777F">
        <w:rPr>
          <w:rFonts w:cs="Times New Roman"/>
          <w:sz w:val="22"/>
        </w:rPr>
        <w:t>Lunardo, R. (2023) ‘A time(ly) perspective of the service recovery paradox’, Journal of Business Research, 164, 113964. doi: 10.1016/j.jbusres.2023.113964.</w:t>
      </w:r>
    </w:p>
    <w:p w14:paraId="09130F82" w14:textId="77777777" w:rsidR="008042AD" w:rsidRPr="00B4777F" w:rsidRDefault="00EE2FCA" w:rsidP="006871CF">
      <w:pPr>
        <w:ind w:left="567" w:hanging="567"/>
        <w:rPr>
          <w:rFonts w:cs="Times New Roman"/>
          <w:sz w:val="22"/>
        </w:rPr>
      </w:pPr>
      <w:r w:rsidRPr="00B4777F">
        <w:rPr>
          <w:rFonts w:cs="Times New Roman"/>
          <w:sz w:val="22"/>
        </w:rPr>
        <w:t>Martin, K.D. and Murphy, P.E. (2017) ‘The role of data privacy in marketing’, Journal of the Academy of Marketing Science, 45(2), pp. 135–155. doi: 10.1007/s11747-016-0495-4.</w:t>
      </w:r>
    </w:p>
    <w:p w14:paraId="3B46A2E7" w14:textId="77777777" w:rsidR="008042AD" w:rsidRPr="00B4777F" w:rsidRDefault="00EE2FCA" w:rsidP="006871CF">
      <w:pPr>
        <w:ind w:left="567" w:hanging="567"/>
        <w:rPr>
          <w:rFonts w:cs="Times New Roman"/>
          <w:sz w:val="22"/>
        </w:rPr>
      </w:pPr>
      <w:r w:rsidRPr="00B4777F">
        <w:rPr>
          <w:rFonts w:cs="Times New Roman"/>
          <w:sz w:val="22"/>
        </w:rPr>
        <w:t>McIntyre, D., Srinivasan, A., Afuah, A., Gawer, A. and Kretschmer, T. (2021) ‘Multisided platforms as new organizational forms’, Academy of Management Perspectives, 35(4), pp. 566–583. doi: 10.5465/amp.2018.0018.</w:t>
      </w:r>
    </w:p>
    <w:p w14:paraId="1FE445FF" w14:textId="77777777" w:rsidR="008042AD" w:rsidRPr="00B4777F" w:rsidRDefault="00EE2FCA" w:rsidP="006871CF">
      <w:pPr>
        <w:ind w:left="567" w:hanging="567"/>
        <w:rPr>
          <w:rFonts w:cs="Times New Roman"/>
          <w:sz w:val="22"/>
        </w:rPr>
      </w:pPr>
      <w:r w:rsidRPr="00B4777F">
        <w:rPr>
          <w:rFonts w:cs="Times New Roman"/>
          <w:sz w:val="22"/>
        </w:rPr>
        <w:t>Puntoni, S., Reczek, R.W., Giesler, M. and Botti, S. (2021) ‘Consumers and artificial intelligence’, Journal of Marketing, 85(1), pp. 131–151. doi: 10.1177/0022242920953847.</w:t>
      </w:r>
    </w:p>
    <w:p w14:paraId="135E0575" w14:textId="77777777" w:rsidR="008042AD" w:rsidRPr="00B4777F" w:rsidRDefault="00EE2FCA" w:rsidP="006871CF">
      <w:pPr>
        <w:ind w:left="567" w:hanging="567"/>
        <w:rPr>
          <w:rFonts w:cs="Times New Roman"/>
          <w:sz w:val="22"/>
        </w:rPr>
      </w:pPr>
      <w:r w:rsidRPr="00B4777F">
        <w:rPr>
          <w:rFonts w:cs="Times New Roman"/>
          <w:sz w:val="22"/>
        </w:rPr>
        <w:t>Smith, A.K., Bolton, R.N. and Wagner, J. (1999) ‘A model of customer satisfaction with service encounters involving failure and recovery’, Journal of Marketing Research, 36(3), pp. 356–372. doi: 10.1177/002224379903600305.</w:t>
      </w:r>
    </w:p>
    <w:p w14:paraId="1904075D" w14:textId="77777777" w:rsidR="008042AD" w:rsidRPr="00B4777F" w:rsidRDefault="00EE2FCA" w:rsidP="006871CF">
      <w:pPr>
        <w:ind w:left="567" w:hanging="567"/>
        <w:rPr>
          <w:rFonts w:cs="Times New Roman"/>
          <w:sz w:val="22"/>
        </w:rPr>
      </w:pPr>
      <w:r w:rsidRPr="00B4777F">
        <w:rPr>
          <w:rFonts w:cs="Times New Roman"/>
          <w:sz w:val="22"/>
        </w:rPr>
        <w:lastRenderedPageBreak/>
        <w:t>Steinhoff, L. and Martin, K.D. (2023) ‘Putting data privacy regulation into action’, Journal of Service Research, 26(3), pp. 330–350. doi: 10.1177/10946705221141925.</w:t>
      </w:r>
    </w:p>
    <w:p w14:paraId="4A9B348E" w14:textId="77777777" w:rsidR="008042AD" w:rsidRPr="00B4777F" w:rsidRDefault="00EE2FCA" w:rsidP="006871CF">
      <w:pPr>
        <w:ind w:left="567" w:hanging="567"/>
        <w:rPr>
          <w:rFonts w:cs="Times New Roman"/>
          <w:sz w:val="22"/>
        </w:rPr>
      </w:pPr>
      <w:r w:rsidRPr="00B4777F">
        <w:rPr>
          <w:rFonts w:cs="Times New Roman"/>
          <w:sz w:val="22"/>
        </w:rPr>
        <w:t>Tax, S.S., Brown, S.W. and Chandrashekaran, M. (1998) ‘Customer evaluations of service complaint experiences’, Journal of Marketing, 62(2), pp. 60–76. doi: 10.1177/002224299806200205.</w:t>
      </w:r>
    </w:p>
    <w:p w14:paraId="3F3C0726" w14:textId="77777777" w:rsidR="008042AD" w:rsidRPr="00B4777F" w:rsidRDefault="00EE2FCA" w:rsidP="006871CF">
      <w:pPr>
        <w:ind w:left="567" w:hanging="567"/>
        <w:rPr>
          <w:rFonts w:cs="Times New Roman"/>
          <w:sz w:val="22"/>
        </w:rPr>
      </w:pPr>
      <w:r w:rsidRPr="00B4777F">
        <w:rPr>
          <w:rFonts w:cs="Times New Roman"/>
          <w:sz w:val="22"/>
        </w:rPr>
        <w:t>Teece, D.J., Pisano, G. and Shuen, A. (1997) ‘Dynamic capabilities and strategic management’, Strategic Management Journal, 18(7), pp. 509–533. doi: 10.1002/(SICI)1097-0266(199708)18:7&lt;509::AID-SMJ882&gt;3.0.CO;2-Z.</w:t>
      </w:r>
    </w:p>
    <w:p w14:paraId="7CEB154B" w14:textId="77777777" w:rsidR="008042AD" w:rsidRPr="00B4777F" w:rsidRDefault="00EE2FCA" w:rsidP="006871CF">
      <w:pPr>
        <w:ind w:left="567" w:hanging="567"/>
        <w:rPr>
          <w:rFonts w:cs="Times New Roman"/>
          <w:sz w:val="22"/>
        </w:rPr>
      </w:pPr>
      <w:r w:rsidRPr="00B4777F">
        <w:rPr>
          <w:rFonts w:cs="Times New Roman"/>
          <w:sz w:val="22"/>
        </w:rPr>
        <w:t>UK Parliament (2024) Digital Markets, Competition and Consumers Act 2024, c.13. Available at: https://www.legislation.gov.uk/ukpga/2024/13/contents (Accessed: 15 August 2026).</w:t>
      </w:r>
    </w:p>
    <w:p w14:paraId="619CCBF0" w14:textId="77777777" w:rsidR="008042AD" w:rsidRPr="00B4777F" w:rsidRDefault="00EE2FCA" w:rsidP="006871CF">
      <w:pPr>
        <w:ind w:left="567" w:hanging="567"/>
        <w:rPr>
          <w:rFonts w:cs="Times New Roman"/>
          <w:sz w:val="22"/>
        </w:rPr>
      </w:pPr>
      <w:r w:rsidRPr="00B4777F">
        <w:rPr>
          <w:rFonts w:cs="Times New Roman"/>
          <w:sz w:val="22"/>
        </w:rPr>
        <w:t>Wade, M., Joshi, A. and Teracino, E.A. (2021) 6 principles to build your company’s strategic agility. Available at: https://hbr.org/2021/09/6-principles-to-build-your-companys-strategic-agility (Accessed: 15 August 2026).</w:t>
      </w:r>
    </w:p>
    <w:p w14:paraId="5748B364" w14:textId="77777777" w:rsidR="008042AD" w:rsidRPr="00B4777F" w:rsidRDefault="00EE2FCA" w:rsidP="006871CF">
      <w:pPr>
        <w:ind w:left="567" w:hanging="567"/>
        <w:rPr>
          <w:rFonts w:cs="Times New Roman"/>
          <w:sz w:val="22"/>
        </w:rPr>
      </w:pPr>
      <w:r w:rsidRPr="00B4777F">
        <w:rPr>
          <w:rFonts w:cs="Times New Roman"/>
          <w:sz w:val="22"/>
        </w:rPr>
        <w:t>Weihrich, H. (1982) ‘The TOWS matrix: A tool for situational analysis’, Long Range Planning, 15(2), pp. 54–66. doi: 10.1016/0024-6301(82)90120-0.</w:t>
      </w:r>
    </w:p>
    <w:p w14:paraId="1B16F12D" w14:textId="77777777" w:rsidR="008042AD" w:rsidRPr="00B4777F" w:rsidRDefault="00EE2FCA" w:rsidP="006871CF">
      <w:pPr>
        <w:ind w:left="567" w:hanging="567"/>
        <w:rPr>
          <w:rFonts w:cs="Times New Roman"/>
          <w:sz w:val="22"/>
        </w:rPr>
      </w:pPr>
      <w:r w:rsidRPr="00B4777F">
        <w:rPr>
          <w:rFonts w:cs="Times New Roman"/>
          <w:sz w:val="22"/>
        </w:rPr>
        <w:t>Wilson, H.J. and Daugherty, P.R. (2018) ‘Collaborative intelligence: Humans and AI are joining forces’, Harvard Business Review, July–August. Available at: https://hbr.org/2018/07/collaborative-intelligence-humans-and-ai-are-joining-forces (Accessed: 15 August 2026).</w:t>
      </w:r>
    </w:p>
    <w:p w14:paraId="5A2F09C3" w14:textId="77777777" w:rsidR="008042AD" w:rsidRPr="00B4777F" w:rsidRDefault="00EE2FCA" w:rsidP="006871CF">
      <w:pPr>
        <w:ind w:left="567" w:hanging="567"/>
        <w:rPr>
          <w:rFonts w:cs="Times New Roman"/>
          <w:sz w:val="22"/>
        </w:rPr>
      </w:pPr>
      <w:r w:rsidRPr="00B4777F">
        <w:rPr>
          <w:rFonts w:cs="Times New Roman"/>
          <w:sz w:val="22"/>
        </w:rPr>
        <w:t>Xing, X., Song, M., Duan, Y. and Mou, J. (2022) ‘Effects of different service failure types and recovery strategies on the consumer response mechanism of chatbots’, Technology in Society, 70, 102049. doi: 10.1016/j.techsoc.2022.102049.</w:t>
      </w:r>
    </w:p>
    <w:p w14:paraId="59966371" w14:textId="77777777" w:rsidR="008042AD" w:rsidRPr="00B4777F" w:rsidRDefault="00EE2FCA" w:rsidP="006871CF">
      <w:pPr>
        <w:ind w:left="567" w:hanging="567"/>
        <w:rPr>
          <w:rFonts w:cs="Times New Roman"/>
          <w:sz w:val="22"/>
        </w:rPr>
      </w:pPr>
      <w:r w:rsidRPr="00B4777F">
        <w:rPr>
          <w:rFonts w:cs="Times New Roman"/>
          <w:sz w:val="22"/>
        </w:rPr>
        <w:t>Xu, X. and Liu, J. (2022) ‘Artificial intelligence humour in service recovery’, Annals of Tourism Research, 95, 103439. doi: 10.1016/j.annals.2022.103439.</w:t>
      </w:r>
    </w:p>
    <w:p w14:paraId="7971CB93" w14:textId="77777777" w:rsidR="008042AD" w:rsidRPr="00B4777F" w:rsidRDefault="00EE2FCA" w:rsidP="006871CF">
      <w:pPr>
        <w:ind w:left="567" w:hanging="567"/>
        <w:rPr>
          <w:rFonts w:cs="Times New Roman"/>
          <w:sz w:val="22"/>
        </w:rPr>
      </w:pPr>
      <w:r w:rsidRPr="00B4777F">
        <w:rPr>
          <w:rFonts w:cs="Times New Roman"/>
          <w:sz w:val="22"/>
        </w:rPr>
        <w:t>Xu, X., Wen, N. and Liu, J. (2024) ‘Empathic accuracy in artificial intelligence service recovery’, Tourism Review, 79(5), pp. 1058–1075. doi: 10.1108/TR-06-2023-0394.</w:t>
      </w:r>
    </w:p>
    <w:p w14:paraId="1D9BCB54" w14:textId="77777777" w:rsidR="008042AD" w:rsidRPr="00B4777F" w:rsidRDefault="00EE2FCA" w:rsidP="006871CF">
      <w:pPr>
        <w:ind w:left="567" w:hanging="567"/>
        <w:rPr>
          <w:rFonts w:cs="Times New Roman"/>
          <w:sz w:val="22"/>
        </w:rPr>
      </w:pPr>
      <w:r w:rsidRPr="00B4777F">
        <w:rPr>
          <w:rFonts w:cs="Times New Roman"/>
          <w:sz w:val="22"/>
        </w:rPr>
        <w:t>Yang, Z., Zhou, J. and Yang, H. (2023) ‘The impact of AI’s response method on service recovery satisfaction in the context of service failure’, Sustainability, 15(4), 3294. doi: 10.3390/su15043294.</w:t>
      </w:r>
    </w:p>
    <w:sectPr w:rsidR="008042AD" w:rsidRPr="00B4777F" w:rsidSect="00034616">
      <w:footerReference w:type="default" r:id="rId8"/>
      <w:pgSz w:w="11906" w:h="16838"/>
      <w:pgMar w:top="1417" w:right="1417" w:bottom="1417" w:left="1417"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A3115" w14:textId="77777777" w:rsidR="00C73772" w:rsidRDefault="00C73772">
      <w:pPr>
        <w:spacing w:line="240" w:lineRule="auto"/>
      </w:pPr>
      <w:r>
        <w:separator/>
      </w:r>
    </w:p>
  </w:endnote>
  <w:endnote w:type="continuationSeparator" w:id="0">
    <w:p w14:paraId="717732E4" w14:textId="77777777" w:rsidR="00C73772" w:rsidRDefault="00C737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43732" w14:textId="77777777" w:rsidR="008042AD" w:rsidRDefault="00EE2FCA">
    <w:pPr>
      <w:pStyle w:val="Footer"/>
      <w:jc w:val="center"/>
    </w:pPr>
    <w:r>
      <w:rPr>
        <w:sz w:val="20"/>
      </w:rPr>
      <w:t xml:space="preserve">Page </w:t>
    </w:r>
    <w:r>
      <w:fldChar w:fldCharType="begin"/>
    </w:r>
    <w:r>
      <w:instrText>PAGE</w:instrText>
    </w:r>
    <w:r>
      <w:fldChar w:fldCharType="separate"/>
    </w:r>
    <w:r w:rsidR="00836D41">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CA887" w14:textId="77777777" w:rsidR="00C73772" w:rsidRDefault="00C73772">
      <w:pPr>
        <w:spacing w:line="240" w:lineRule="auto"/>
      </w:pPr>
      <w:r>
        <w:separator/>
      </w:r>
    </w:p>
  </w:footnote>
  <w:footnote w:type="continuationSeparator" w:id="0">
    <w:p w14:paraId="143AB88B" w14:textId="77777777" w:rsidR="00C73772" w:rsidRDefault="00C737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96910246">
    <w:abstractNumId w:val="8"/>
  </w:num>
  <w:num w:numId="2" w16cid:durableId="349569247">
    <w:abstractNumId w:val="6"/>
  </w:num>
  <w:num w:numId="3" w16cid:durableId="464009015">
    <w:abstractNumId w:val="5"/>
  </w:num>
  <w:num w:numId="4" w16cid:durableId="766313977">
    <w:abstractNumId w:val="4"/>
  </w:num>
  <w:num w:numId="5" w16cid:durableId="1657152717">
    <w:abstractNumId w:val="7"/>
  </w:num>
  <w:num w:numId="6" w16cid:durableId="659163320">
    <w:abstractNumId w:val="3"/>
  </w:num>
  <w:num w:numId="7" w16cid:durableId="224991957">
    <w:abstractNumId w:val="2"/>
  </w:num>
  <w:num w:numId="8" w16cid:durableId="1539270194">
    <w:abstractNumId w:val="1"/>
  </w:num>
  <w:num w:numId="9" w16cid:durableId="1497385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485"/>
    <w:rsid w:val="00034616"/>
    <w:rsid w:val="0006063C"/>
    <w:rsid w:val="000C7FB7"/>
    <w:rsid w:val="000E7939"/>
    <w:rsid w:val="0015074B"/>
    <w:rsid w:val="00225AB4"/>
    <w:rsid w:val="00276581"/>
    <w:rsid w:val="0029639D"/>
    <w:rsid w:val="002B1EE5"/>
    <w:rsid w:val="002F03D4"/>
    <w:rsid w:val="00326F90"/>
    <w:rsid w:val="0033492E"/>
    <w:rsid w:val="003446F8"/>
    <w:rsid w:val="003A258E"/>
    <w:rsid w:val="004275B9"/>
    <w:rsid w:val="00432580"/>
    <w:rsid w:val="00467EE9"/>
    <w:rsid w:val="004A7AF2"/>
    <w:rsid w:val="0052767F"/>
    <w:rsid w:val="00567F71"/>
    <w:rsid w:val="005F05D6"/>
    <w:rsid w:val="005F41DF"/>
    <w:rsid w:val="00680A9A"/>
    <w:rsid w:val="006871CF"/>
    <w:rsid w:val="0069543E"/>
    <w:rsid w:val="006A0EEE"/>
    <w:rsid w:val="006B6BA5"/>
    <w:rsid w:val="007502D9"/>
    <w:rsid w:val="0075209C"/>
    <w:rsid w:val="00791098"/>
    <w:rsid w:val="008042AD"/>
    <w:rsid w:val="00817A11"/>
    <w:rsid w:val="00836D41"/>
    <w:rsid w:val="008C09FB"/>
    <w:rsid w:val="009327A8"/>
    <w:rsid w:val="00956484"/>
    <w:rsid w:val="00965774"/>
    <w:rsid w:val="00982130"/>
    <w:rsid w:val="00994CAE"/>
    <w:rsid w:val="009E227B"/>
    <w:rsid w:val="00A341E4"/>
    <w:rsid w:val="00A35514"/>
    <w:rsid w:val="00A40356"/>
    <w:rsid w:val="00A40EB3"/>
    <w:rsid w:val="00A562E5"/>
    <w:rsid w:val="00AA1D8D"/>
    <w:rsid w:val="00B451A3"/>
    <w:rsid w:val="00B47730"/>
    <w:rsid w:val="00B4777F"/>
    <w:rsid w:val="00B85FFF"/>
    <w:rsid w:val="00BB0E35"/>
    <w:rsid w:val="00BD3794"/>
    <w:rsid w:val="00C33F7F"/>
    <w:rsid w:val="00C73772"/>
    <w:rsid w:val="00CB0664"/>
    <w:rsid w:val="00CD3C09"/>
    <w:rsid w:val="00D3307F"/>
    <w:rsid w:val="00D57737"/>
    <w:rsid w:val="00D60FA2"/>
    <w:rsid w:val="00DC6F8A"/>
    <w:rsid w:val="00E667DD"/>
    <w:rsid w:val="00EE2FCA"/>
    <w:rsid w:val="00F04F9D"/>
    <w:rsid w:val="00FC0DF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ACFA24"/>
  <w14:defaultImageDpi w14:val="300"/>
  <w15:docId w15:val="{2F28E8F2-1BC9-48D8-BB75-6DEEBDD5B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17365D"/>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17365D"/>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17365D"/>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cursor-pointer">
    <w:name w:val="cursor-pointer"/>
    <w:basedOn w:val="DefaultParagraphFont"/>
    <w:rsid w:val="000E7939"/>
  </w:style>
  <w:style w:type="paragraph" w:styleId="TOC1">
    <w:name w:val="toc 1"/>
    <w:basedOn w:val="Normal"/>
    <w:next w:val="Normal"/>
    <w:autoRedefine/>
    <w:uiPriority w:val="39"/>
    <w:unhideWhenUsed/>
    <w:rsid w:val="00225AB4"/>
    <w:pPr>
      <w:spacing w:after="100"/>
    </w:pPr>
  </w:style>
  <w:style w:type="paragraph" w:styleId="TOC2">
    <w:name w:val="toc 2"/>
    <w:basedOn w:val="Normal"/>
    <w:next w:val="Normal"/>
    <w:autoRedefine/>
    <w:uiPriority w:val="39"/>
    <w:unhideWhenUsed/>
    <w:rsid w:val="00225AB4"/>
    <w:pPr>
      <w:spacing w:after="100"/>
      <w:ind w:left="240"/>
    </w:pPr>
  </w:style>
  <w:style w:type="character" w:styleId="Hyperlink">
    <w:name w:val="Hyperlink"/>
    <w:basedOn w:val="DefaultParagraphFont"/>
    <w:uiPriority w:val="99"/>
    <w:unhideWhenUsed/>
    <w:rsid w:val="00225A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7176</Words>
  <Characters>40904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Reviewing Amazon UK Marketplace Strategic Direction</vt:lpstr>
    </vt:vector>
  </TitlesOfParts>
  <Manager/>
  <Company/>
  <LinksUpToDate>false</LinksUpToDate>
  <CharactersWithSpaces>47985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Reviewing Amazon UK Marketplace Strategic Direction</dc:title>
  <dc:subject>BMMB7027 Strategic and Agile Business Management resubmission</dc:subject>
  <dc:creator>Shahed Rayhan</dc:creator>
  <cp:keywords>Amazon UK Marketplace, customer care, PESTEL, TOWS, VRIO, SAFe</cp:keywords>
  <dc:description/>
  <cp:lastModifiedBy>Shahed Rayhan</cp:lastModifiedBy>
  <cp:revision>12</cp:revision>
  <dcterms:created xsi:type="dcterms:W3CDTF">2026-08-19T07:22:00Z</dcterms:created>
  <dcterms:modified xsi:type="dcterms:W3CDTF">2026-10-08T07:45:00Z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d159ac534869102a4409adea57e33fc0af8ed7d85a3538e0ce6cb682100f0111</vt:lpwstr>
  </property>
</Properties>
</file>