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C92F4"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052DCA2A"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58EFB16C"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01562F1"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5726CCD9"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7B93F691"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6DECED91"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945090F"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1374F7BC" w14:textId="3562C5A5" w:rsidR="00180AC1" w:rsidRPr="00180AC1" w:rsidRDefault="00180AC1"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color w:val="000000"/>
          <w:bdr w:val="none" w:sz="0" w:space="0" w:color="auto"/>
          <w14:ligatures w14:val="standardContextual"/>
        </w:rPr>
      </w:pPr>
      <w:r w:rsidRPr="00180AC1">
        <w:rPr>
          <w:rFonts w:asciiTheme="minorHAnsi" w:eastAsiaTheme="minorHAnsi" w:hAnsiTheme="minorHAnsi" w:cstheme="minorHAnsi"/>
          <w:b/>
          <w:bCs/>
          <w:color w:val="000000"/>
          <w:bdr w:val="none" w:sz="0" w:space="0" w:color="auto"/>
          <w14:ligatures w14:val="standardContextual"/>
        </w:rPr>
        <w:t>Title</w:t>
      </w:r>
    </w:p>
    <w:p w14:paraId="77EC1CF5" w14:textId="4C1C8773" w:rsidR="00180AC1" w:rsidRDefault="00180AC1"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7D852EC6" w14:textId="796066A0" w:rsidR="00901BFE"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024DFC58" w14:textId="04D664F5" w:rsidR="00901BFE"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FEBCC32" w14:textId="040565B0" w:rsidR="00901BFE"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1BE5B24E" w14:textId="77777777" w:rsidR="00901BFE" w:rsidRPr="00180AC1"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color w:val="000000"/>
          <w:bdr w:val="none" w:sz="0" w:space="0" w:color="auto"/>
          <w14:ligatures w14:val="standardContextual"/>
        </w:rPr>
      </w:pPr>
    </w:p>
    <w:p w14:paraId="381FE96D" w14:textId="55F62749" w:rsidR="00180AC1" w:rsidRPr="00901BFE" w:rsidRDefault="00180AC1"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33"/>
        <w:jc w:val="center"/>
        <w:rPr>
          <w:rFonts w:asciiTheme="minorHAnsi" w:eastAsiaTheme="minorHAnsi" w:hAnsiTheme="minorHAnsi" w:cstheme="minorHAnsi"/>
          <w:color w:val="000000"/>
          <w:bdr w:val="none" w:sz="0" w:space="0" w:color="auto"/>
          <w14:ligatures w14:val="standardContextual"/>
        </w:rPr>
      </w:pPr>
      <w:r w:rsidRPr="00901BFE">
        <w:rPr>
          <w:rFonts w:asciiTheme="minorHAnsi" w:eastAsiaTheme="minorHAnsi" w:hAnsiTheme="minorHAnsi" w:cstheme="minorHAnsi"/>
          <w:color w:val="000000"/>
          <w:bdr w:val="none" w:sz="0" w:space="0" w:color="auto"/>
          <w14:ligatures w14:val="standardContextual"/>
        </w:rPr>
        <w:t xml:space="preserve">To what extent, if at all, is the person and work of Christ as explained in Anselm’s </w:t>
      </w:r>
      <w:r w:rsidRPr="00901BFE">
        <w:rPr>
          <w:rFonts w:asciiTheme="minorHAnsi" w:eastAsiaTheme="minorHAnsi" w:hAnsiTheme="minorHAnsi" w:cstheme="minorHAnsi"/>
          <w:i/>
          <w:iCs/>
          <w:color w:val="000000"/>
          <w:bdr w:val="none" w:sz="0" w:space="0" w:color="auto"/>
          <w14:ligatures w14:val="standardContextual"/>
        </w:rPr>
        <w:t>Cur Deus Homo</w:t>
      </w:r>
      <w:r w:rsidRPr="00901BFE">
        <w:rPr>
          <w:rFonts w:asciiTheme="minorHAnsi" w:eastAsiaTheme="minorHAnsi" w:hAnsiTheme="minorHAnsi" w:cstheme="minorHAnsi"/>
          <w:color w:val="000000"/>
          <w:bdr w:val="none" w:sz="0" w:space="0" w:color="auto"/>
          <w14:ligatures w14:val="standardContextual"/>
        </w:rPr>
        <w:t xml:space="preserve"> (as found in the extracts provided) a contribution to our understanding of the Doctrine of the Trinity?</w:t>
      </w:r>
    </w:p>
    <w:p w14:paraId="03E12777" w14:textId="77777777" w:rsidR="00D543D0" w:rsidRDefault="00D543D0"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p w14:paraId="5924F967" w14:textId="3C87BB6A" w:rsidR="00D543D0" w:rsidRDefault="00D543D0">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color w:val="000000"/>
          <w:bdr w:val="none" w:sz="0" w:space="0" w:color="auto"/>
          <w14:ligatures w14:val="standardContextual"/>
        </w:rPr>
      </w:pPr>
      <w:r>
        <w:rPr>
          <w:rFonts w:asciiTheme="minorHAnsi" w:eastAsiaTheme="minorHAnsi" w:hAnsiTheme="minorHAnsi" w:cstheme="minorHAnsi"/>
          <w:color w:val="000000"/>
          <w:bdr w:val="none" w:sz="0" w:space="0" w:color="auto"/>
          <w14:ligatures w14:val="standardContextual"/>
        </w:rPr>
        <w:br w:type="page"/>
      </w:r>
    </w:p>
    <w:p w14:paraId="3E2DAA60" w14:textId="77777777" w:rsidR="00D543D0" w:rsidRDefault="00D543D0"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sdt>
      <w:sdtPr>
        <w:rPr>
          <w:rFonts w:ascii="Times New Roman" w:eastAsia="Arial Unicode MS" w:hAnsi="Times New Roman" w:cs="Times New Roman"/>
          <w:b w:val="0"/>
          <w:bCs w:val="0"/>
          <w:color w:val="auto"/>
          <w:sz w:val="24"/>
          <w:szCs w:val="24"/>
          <w:bdr w:val="nil"/>
          <w:lang w:val="en-GB"/>
        </w:rPr>
        <w:id w:val="1804278864"/>
        <w:docPartObj>
          <w:docPartGallery w:val="Table of Contents"/>
          <w:docPartUnique/>
        </w:docPartObj>
      </w:sdtPr>
      <w:sdtEndPr>
        <w:rPr>
          <w:noProof/>
        </w:rPr>
      </w:sdtEndPr>
      <w:sdtContent>
        <w:p w14:paraId="4C2D3F08" w14:textId="0703BF14" w:rsidR="004E603C" w:rsidRPr="00916E4F" w:rsidRDefault="004E603C">
          <w:pPr>
            <w:pStyle w:val="TOCHeading"/>
            <w:rPr>
              <w:b w:val="0"/>
              <w:bCs w:val="0"/>
              <w:color w:val="auto"/>
            </w:rPr>
          </w:pPr>
          <w:r w:rsidRPr="00916E4F">
            <w:rPr>
              <w:b w:val="0"/>
              <w:bCs w:val="0"/>
              <w:color w:val="auto"/>
            </w:rPr>
            <w:t>Table of Contents</w:t>
          </w:r>
        </w:p>
        <w:p w14:paraId="3923EEF5" w14:textId="0C3572A0" w:rsidR="004E603C" w:rsidRPr="00916E4F" w:rsidRDefault="004E603C">
          <w:pPr>
            <w:pStyle w:val="TOC1"/>
            <w:tabs>
              <w:tab w:val="right" w:leader="dot" w:pos="9010"/>
            </w:tabs>
            <w:rPr>
              <w:rFonts w:eastAsiaTheme="minorEastAsia" w:cstheme="minorBidi"/>
              <w:bCs w:val="0"/>
              <w:noProof/>
              <w:sz w:val="24"/>
              <w:szCs w:val="24"/>
              <w:bdr w:val="none" w:sz="0" w:space="0" w:color="auto"/>
              <w:lang w:eastAsia="en-GB"/>
            </w:rPr>
          </w:pPr>
          <w:r w:rsidRPr="00916E4F">
            <w:rPr>
              <w:bCs w:val="0"/>
            </w:rPr>
            <w:fldChar w:fldCharType="begin"/>
          </w:r>
          <w:r w:rsidRPr="00916E4F">
            <w:rPr>
              <w:bCs w:val="0"/>
            </w:rPr>
            <w:instrText xml:space="preserve"> TOC \o "1-1" \h \z \u </w:instrText>
          </w:r>
          <w:r w:rsidRPr="00916E4F">
            <w:rPr>
              <w:bCs w:val="0"/>
            </w:rPr>
            <w:fldChar w:fldCharType="separate"/>
          </w:r>
          <w:hyperlink w:anchor="_Toc132210838" w:history="1">
            <w:r w:rsidRPr="00916E4F">
              <w:rPr>
                <w:rStyle w:val="Hyperlink"/>
                <w:rFonts w:eastAsiaTheme="minorHAnsi"/>
                <w:bCs w:val="0"/>
                <w:noProof/>
                <w:color w:val="auto"/>
              </w:rPr>
              <w:t>Introduction</w:t>
            </w:r>
            <w:r w:rsidRPr="00916E4F">
              <w:rPr>
                <w:bCs w:val="0"/>
                <w:noProof/>
                <w:webHidden/>
              </w:rPr>
              <w:tab/>
            </w:r>
            <w:r w:rsidRPr="00916E4F">
              <w:rPr>
                <w:bCs w:val="0"/>
                <w:noProof/>
                <w:webHidden/>
              </w:rPr>
              <w:fldChar w:fldCharType="begin"/>
            </w:r>
            <w:r w:rsidRPr="00916E4F">
              <w:rPr>
                <w:bCs w:val="0"/>
                <w:noProof/>
                <w:webHidden/>
              </w:rPr>
              <w:instrText xml:space="preserve"> PAGEREF _Toc132210838 \h </w:instrText>
            </w:r>
            <w:r w:rsidRPr="00916E4F">
              <w:rPr>
                <w:bCs w:val="0"/>
                <w:noProof/>
                <w:webHidden/>
              </w:rPr>
            </w:r>
            <w:r w:rsidRPr="00916E4F">
              <w:rPr>
                <w:bCs w:val="0"/>
                <w:noProof/>
                <w:webHidden/>
              </w:rPr>
              <w:fldChar w:fldCharType="separate"/>
            </w:r>
            <w:r w:rsidRPr="00916E4F">
              <w:rPr>
                <w:bCs w:val="0"/>
                <w:noProof/>
                <w:webHidden/>
              </w:rPr>
              <w:t>3</w:t>
            </w:r>
            <w:r w:rsidRPr="00916E4F">
              <w:rPr>
                <w:bCs w:val="0"/>
                <w:noProof/>
                <w:webHidden/>
              </w:rPr>
              <w:fldChar w:fldCharType="end"/>
            </w:r>
          </w:hyperlink>
        </w:p>
        <w:p w14:paraId="3292F3F6" w14:textId="4BB17C7F" w:rsidR="004E603C" w:rsidRPr="00916E4F" w:rsidRDefault="00000000">
          <w:pPr>
            <w:pStyle w:val="TOC1"/>
            <w:tabs>
              <w:tab w:val="right" w:leader="dot" w:pos="9010"/>
            </w:tabs>
            <w:rPr>
              <w:rFonts w:eastAsiaTheme="minorEastAsia" w:cstheme="minorBidi"/>
              <w:bCs w:val="0"/>
              <w:noProof/>
              <w:sz w:val="24"/>
              <w:szCs w:val="24"/>
              <w:bdr w:val="none" w:sz="0" w:space="0" w:color="auto"/>
              <w:lang w:eastAsia="en-GB"/>
            </w:rPr>
          </w:pPr>
          <w:hyperlink w:anchor="_Toc132210839" w:history="1">
            <w:r w:rsidR="004E603C" w:rsidRPr="00916E4F">
              <w:rPr>
                <w:rStyle w:val="Hyperlink"/>
                <w:rFonts w:eastAsiaTheme="minorHAnsi"/>
                <w:bCs w:val="0"/>
                <w:noProof/>
                <w:color w:val="auto"/>
              </w:rPr>
              <w:t xml:space="preserve">Anselm and </w:t>
            </w:r>
            <w:r w:rsidR="004E603C" w:rsidRPr="00916E4F">
              <w:rPr>
                <w:rStyle w:val="Hyperlink"/>
                <w:rFonts w:eastAsiaTheme="minorHAnsi"/>
                <w:bCs w:val="0"/>
                <w:i/>
                <w:iCs/>
                <w:noProof/>
                <w:color w:val="auto"/>
              </w:rPr>
              <w:t>Cur Deus Homo</w:t>
            </w:r>
            <w:r w:rsidR="004E603C" w:rsidRPr="00916E4F">
              <w:rPr>
                <w:bCs w:val="0"/>
                <w:noProof/>
                <w:webHidden/>
              </w:rPr>
              <w:tab/>
            </w:r>
            <w:r w:rsidR="004E603C" w:rsidRPr="00916E4F">
              <w:rPr>
                <w:bCs w:val="0"/>
                <w:noProof/>
                <w:webHidden/>
              </w:rPr>
              <w:fldChar w:fldCharType="begin"/>
            </w:r>
            <w:r w:rsidR="004E603C" w:rsidRPr="00916E4F">
              <w:rPr>
                <w:bCs w:val="0"/>
                <w:noProof/>
                <w:webHidden/>
              </w:rPr>
              <w:instrText xml:space="preserve"> PAGEREF _Toc132210839 \h </w:instrText>
            </w:r>
            <w:r w:rsidR="004E603C" w:rsidRPr="00916E4F">
              <w:rPr>
                <w:bCs w:val="0"/>
                <w:noProof/>
                <w:webHidden/>
              </w:rPr>
            </w:r>
            <w:r w:rsidR="004E603C" w:rsidRPr="00916E4F">
              <w:rPr>
                <w:bCs w:val="0"/>
                <w:noProof/>
                <w:webHidden/>
              </w:rPr>
              <w:fldChar w:fldCharType="separate"/>
            </w:r>
            <w:r w:rsidR="004E603C" w:rsidRPr="00916E4F">
              <w:rPr>
                <w:bCs w:val="0"/>
                <w:noProof/>
                <w:webHidden/>
              </w:rPr>
              <w:t>3</w:t>
            </w:r>
            <w:r w:rsidR="004E603C" w:rsidRPr="00916E4F">
              <w:rPr>
                <w:bCs w:val="0"/>
                <w:noProof/>
                <w:webHidden/>
              </w:rPr>
              <w:fldChar w:fldCharType="end"/>
            </w:r>
          </w:hyperlink>
        </w:p>
        <w:p w14:paraId="4AA5FEBB" w14:textId="5519EAF2" w:rsidR="004E603C" w:rsidRPr="00916E4F" w:rsidRDefault="00000000">
          <w:pPr>
            <w:pStyle w:val="TOC1"/>
            <w:tabs>
              <w:tab w:val="right" w:leader="dot" w:pos="9010"/>
            </w:tabs>
            <w:rPr>
              <w:rFonts w:eastAsiaTheme="minorEastAsia" w:cstheme="minorBidi"/>
              <w:bCs w:val="0"/>
              <w:noProof/>
              <w:sz w:val="24"/>
              <w:szCs w:val="24"/>
              <w:bdr w:val="none" w:sz="0" w:space="0" w:color="auto"/>
              <w:lang w:eastAsia="en-GB"/>
            </w:rPr>
          </w:pPr>
          <w:hyperlink w:anchor="_Toc132210840" w:history="1">
            <w:r w:rsidR="004E603C" w:rsidRPr="00916E4F">
              <w:rPr>
                <w:rStyle w:val="Hyperlink"/>
                <w:rFonts w:eastAsiaTheme="minorHAnsi"/>
                <w:bCs w:val="0"/>
                <w:noProof/>
                <w:color w:val="auto"/>
              </w:rPr>
              <w:t>Feudalism and Anselm’s reasoning</w:t>
            </w:r>
            <w:r w:rsidR="004E603C" w:rsidRPr="00916E4F">
              <w:rPr>
                <w:bCs w:val="0"/>
                <w:noProof/>
                <w:webHidden/>
              </w:rPr>
              <w:tab/>
            </w:r>
            <w:r w:rsidR="004E603C" w:rsidRPr="00916E4F">
              <w:rPr>
                <w:bCs w:val="0"/>
                <w:noProof/>
                <w:webHidden/>
              </w:rPr>
              <w:fldChar w:fldCharType="begin"/>
            </w:r>
            <w:r w:rsidR="004E603C" w:rsidRPr="00916E4F">
              <w:rPr>
                <w:bCs w:val="0"/>
                <w:noProof/>
                <w:webHidden/>
              </w:rPr>
              <w:instrText xml:space="preserve"> PAGEREF _Toc132210840 \h </w:instrText>
            </w:r>
            <w:r w:rsidR="004E603C" w:rsidRPr="00916E4F">
              <w:rPr>
                <w:bCs w:val="0"/>
                <w:noProof/>
                <w:webHidden/>
              </w:rPr>
            </w:r>
            <w:r w:rsidR="004E603C" w:rsidRPr="00916E4F">
              <w:rPr>
                <w:bCs w:val="0"/>
                <w:noProof/>
                <w:webHidden/>
              </w:rPr>
              <w:fldChar w:fldCharType="separate"/>
            </w:r>
            <w:r w:rsidR="004E603C" w:rsidRPr="00916E4F">
              <w:rPr>
                <w:bCs w:val="0"/>
                <w:noProof/>
                <w:webHidden/>
              </w:rPr>
              <w:t>4</w:t>
            </w:r>
            <w:r w:rsidR="004E603C" w:rsidRPr="00916E4F">
              <w:rPr>
                <w:bCs w:val="0"/>
                <w:noProof/>
                <w:webHidden/>
              </w:rPr>
              <w:fldChar w:fldCharType="end"/>
            </w:r>
          </w:hyperlink>
        </w:p>
        <w:p w14:paraId="5D2A2805" w14:textId="30CC1584" w:rsidR="004E603C" w:rsidRPr="00916E4F" w:rsidRDefault="00000000">
          <w:pPr>
            <w:pStyle w:val="TOC1"/>
            <w:tabs>
              <w:tab w:val="right" w:leader="dot" w:pos="9010"/>
            </w:tabs>
            <w:rPr>
              <w:rFonts w:eastAsiaTheme="minorEastAsia" w:cstheme="minorBidi"/>
              <w:bCs w:val="0"/>
              <w:noProof/>
              <w:sz w:val="24"/>
              <w:szCs w:val="24"/>
              <w:bdr w:val="none" w:sz="0" w:space="0" w:color="auto"/>
              <w:lang w:eastAsia="en-GB"/>
            </w:rPr>
          </w:pPr>
          <w:hyperlink w:anchor="_Toc132210841" w:history="1">
            <w:r w:rsidR="004E603C" w:rsidRPr="00916E4F">
              <w:rPr>
                <w:rStyle w:val="Hyperlink"/>
                <w:rFonts w:eastAsiaTheme="minorHAnsi"/>
                <w:bCs w:val="0"/>
                <w:noProof/>
                <w:color w:val="auto"/>
              </w:rPr>
              <w:t>Calvin, Anselm and modern trinitarian theology</w:t>
            </w:r>
            <w:r w:rsidR="004E603C" w:rsidRPr="00916E4F">
              <w:rPr>
                <w:bCs w:val="0"/>
                <w:noProof/>
                <w:webHidden/>
              </w:rPr>
              <w:tab/>
            </w:r>
            <w:r w:rsidR="004E603C" w:rsidRPr="00916E4F">
              <w:rPr>
                <w:bCs w:val="0"/>
                <w:noProof/>
                <w:webHidden/>
              </w:rPr>
              <w:fldChar w:fldCharType="begin"/>
            </w:r>
            <w:r w:rsidR="004E603C" w:rsidRPr="00916E4F">
              <w:rPr>
                <w:bCs w:val="0"/>
                <w:noProof/>
                <w:webHidden/>
              </w:rPr>
              <w:instrText xml:space="preserve"> PAGEREF _Toc132210841 \h </w:instrText>
            </w:r>
            <w:r w:rsidR="004E603C" w:rsidRPr="00916E4F">
              <w:rPr>
                <w:bCs w:val="0"/>
                <w:noProof/>
                <w:webHidden/>
              </w:rPr>
            </w:r>
            <w:r w:rsidR="004E603C" w:rsidRPr="00916E4F">
              <w:rPr>
                <w:bCs w:val="0"/>
                <w:noProof/>
                <w:webHidden/>
              </w:rPr>
              <w:fldChar w:fldCharType="separate"/>
            </w:r>
            <w:r w:rsidR="004E603C" w:rsidRPr="00916E4F">
              <w:rPr>
                <w:bCs w:val="0"/>
                <w:noProof/>
                <w:webHidden/>
              </w:rPr>
              <w:t>5</w:t>
            </w:r>
            <w:r w:rsidR="004E603C" w:rsidRPr="00916E4F">
              <w:rPr>
                <w:bCs w:val="0"/>
                <w:noProof/>
                <w:webHidden/>
              </w:rPr>
              <w:fldChar w:fldCharType="end"/>
            </w:r>
          </w:hyperlink>
        </w:p>
        <w:p w14:paraId="354E2AB9" w14:textId="638D19C3" w:rsidR="004E603C" w:rsidRPr="00916E4F" w:rsidRDefault="00000000">
          <w:pPr>
            <w:pStyle w:val="TOC1"/>
            <w:tabs>
              <w:tab w:val="right" w:leader="dot" w:pos="9010"/>
            </w:tabs>
            <w:rPr>
              <w:rFonts w:eastAsiaTheme="minorEastAsia" w:cstheme="minorBidi"/>
              <w:bCs w:val="0"/>
              <w:noProof/>
              <w:sz w:val="24"/>
              <w:szCs w:val="24"/>
              <w:bdr w:val="none" w:sz="0" w:space="0" w:color="auto"/>
              <w:lang w:eastAsia="en-GB"/>
            </w:rPr>
          </w:pPr>
          <w:hyperlink w:anchor="_Toc132210842" w:history="1">
            <w:r w:rsidR="004E603C" w:rsidRPr="00916E4F">
              <w:rPr>
                <w:rStyle w:val="Hyperlink"/>
                <w:rFonts w:eastAsiaTheme="minorHAnsi"/>
                <w:bCs w:val="0"/>
                <w:noProof/>
                <w:color w:val="auto"/>
              </w:rPr>
              <w:t>John Polkinghorne’s science-theology</w:t>
            </w:r>
            <w:r w:rsidR="004E603C" w:rsidRPr="00916E4F">
              <w:rPr>
                <w:bCs w:val="0"/>
                <w:noProof/>
                <w:webHidden/>
              </w:rPr>
              <w:tab/>
            </w:r>
            <w:r w:rsidR="004E603C" w:rsidRPr="00916E4F">
              <w:rPr>
                <w:bCs w:val="0"/>
                <w:noProof/>
                <w:webHidden/>
              </w:rPr>
              <w:fldChar w:fldCharType="begin"/>
            </w:r>
            <w:r w:rsidR="004E603C" w:rsidRPr="00916E4F">
              <w:rPr>
                <w:bCs w:val="0"/>
                <w:noProof/>
                <w:webHidden/>
              </w:rPr>
              <w:instrText xml:space="preserve"> PAGEREF _Toc132210842 \h </w:instrText>
            </w:r>
            <w:r w:rsidR="004E603C" w:rsidRPr="00916E4F">
              <w:rPr>
                <w:bCs w:val="0"/>
                <w:noProof/>
                <w:webHidden/>
              </w:rPr>
            </w:r>
            <w:r w:rsidR="004E603C" w:rsidRPr="00916E4F">
              <w:rPr>
                <w:bCs w:val="0"/>
                <w:noProof/>
                <w:webHidden/>
              </w:rPr>
              <w:fldChar w:fldCharType="separate"/>
            </w:r>
            <w:r w:rsidR="004E603C" w:rsidRPr="00916E4F">
              <w:rPr>
                <w:bCs w:val="0"/>
                <w:noProof/>
                <w:webHidden/>
              </w:rPr>
              <w:t>6</w:t>
            </w:r>
            <w:r w:rsidR="004E603C" w:rsidRPr="00916E4F">
              <w:rPr>
                <w:bCs w:val="0"/>
                <w:noProof/>
                <w:webHidden/>
              </w:rPr>
              <w:fldChar w:fldCharType="end"/>
            </w:r>
          </w:hyperlink>
        </w:p>
        <w:p w14:paraId="12C9CC0F" w14:textId="6D69A5D5" w:rsidR="004E603C" w:rsidRPr="00916E4F" w:rsidRDefault="00000000">
          <w:pPr>
            <w:pStyle w:val="TOC1"/>
            <w:tabs>
              <w:tab w:val="right" w:leader="dot" w:pos="9010"/>
            </w:tabs>
            <w:rPr>
              <w:rFonts w:eastAsiaTheme="minorEastAsia" w:cstheme="minorBidi"/>
              <w:bCs w:val="0"/>
              <w:noProof/>
              <w:sz w:val="24"/>
              <w:szCs w:val="24"/>
              <w:bdr w:val="none" w:sz="0" w:space="0" w:color="auto"/>
              <w:lang w:eastAsia="en-GB"/>
            </w:rPr>
          </w:pPr>
          <w:hyperlink w:anchor="_Toc132210843" w:history="1">
            <w:r w:rsidR="004E603C" w:rsidRPr="00916E4F">
              <w:rPr>
                <w:rStyle w:val="Hyperlink"/>
                <w:rFonts w:eastAsiaTheme="minorHAnsi"/>
                <w:bCs w:val="0"/>
                <w:noProof/>
                <w:color w:val="auto"/>
              </w:rPr>
              <w:t>Closing remarks</w:t>
            </w:r>
            <w:r w:rsidR="004E603C" w:rsidRPr="00916E4F">
              <w:rPr>
                <w:bCs w:val="0"/>
                <w:noProof/>
                <w:webHidden/>
              </w:rPr>
              <w:tab/>
            </w:r>
            <w:r w:rsidR="004E603C" w:rsidRPr="00916E4F">
              <w:rPr>
                <w:bCs w:val="0"/>
                <w:noProof/>
                <w:webHidden/>
              </w:rPr>
              <w:fldChar w:fldCharType="begin"/>
            </w:r>
            <w:r w:rsidR="004E603C" w:rsidRPr="00916E4F">
              <w:rPr>
                <w:bCs w:val="0"/>
                <w:noProof/>
                <w:webHidden/>
              </w:rPr>
              <w:instrText xml:space="preserve"> PAGEREF _Toc132210843 \h </w:instrText>
            </w:r>
            <w:r w:rsidR="004E603C" w:rsidRPr="00916E4F">
              <w:rPr>
                <w:bCs w:val="0"/>
                <w:noProof/>
                <w:webHidden/>
              </w:rPr>
            </w:r>
            <w:r w:rsidR="004E603C" w:rsidRPr="00916E4F">
              <w:rPr>
                <w:bCs w:val="0"/>
                <w:noProof/>
                <w:webHidden/>
              </w:rPr>
              <w:fldChar w:fldCharType="separate"/>
            </w:r>
            <w:r w:rsidR="004E603C" w:rsidRPr="00916E4F">
              <w:rPr>
                <w:bCs w:val="0"/>
                <w:noProof/>
                <w:webHidden/>
              </w:rPr>
              <w:t>8</w:t>
            </w:r>
            <w:r w:rsidR="004E603C" w:rsidRPr="00916E4F">
              <w:rPr>
                <w:bCs w:val="0"/>
                <w:noProof/>
                <w:webHidden/>
              </w:rPr>
              <w:fldChar w:fldCharType="end"/>
            </w:r>
          </w:hyperlink>
        </w:p>
        <w:p w14:paraId="62A60E8C" w14:textId="55CDCA45" w:rsidR="004E603C" w:rsidRPr="00916E4F" w:rsidRDefault="00000000">
          <w:pPr>
            <w:pStyle w:val="TOC1"/>
            <w:tabs>
              <w:tab w:val="right" w:leader="dot" w:pos="9010"/>
            </w:tabs>
            <w:rPr>
              <w:rFonts w:eastAsiaTheme="minorEastAsia" w:cstheme="minorBidi"/>
              <w:bCs w:val="0"/>
              <w:noProof/>
              <w:sz w:val="24"/>
              <w:szCs w:val="24"/>
              <w:bdr w:val="none" w:sz="0" w:space="0" w:color="auto"/>
              <w:lang w:eastAsia="en-GB"/>
            </w:rPr>
          </w:pPr>
          <w:hyperlink w:anchor="_Toc132210844" w:history="1">
            <w:r w:rsidR="004E603C" w:rsidRPr="00916E4F">
              <w:rPr>
                <w:rStyle w:val="Hyperlink"/>
                <w:rFonts w:eastAsiaTheme="minorHAnsi"/>
                <w:bCs w:val="0"/>
                <w:noProof/>
                <w:color w:val="auto"/>
              </w:rPr>
              <w:t>Bibliography</w:t>
            </w:r>
            <w:r w:rsidR="004E603C" w:rsidRPr="00916E4F">
              <w:rPr>
                <w:bCs w:val="0"/>
                <w:noProof/>
                <w:webHidden/>
              </w:rPr>
              <w:tab/>
            </w:r>
            <w:r w:rsidR="004E603C" w:rsidRPr="00916E4F">
              <w:rPr>
                <w:bCs w:val="0"/>
                <w:noProof/>
                <w:webHidden/>
              </w:rPr>
              <w:fldChar w:fldCharType="begin"/>
            </w:r>
            <w:r w:rsidR="004E603C" w:rsidRPr="00916E4F">
              <w:rPr>
                <w:bCs w:val="0"/>
                <w:noProof/>
                <w:webHidden/>
              </w:rPr>
              <w:instrText xml:space="preserve"> PAGEREF _Toc132210844 \h </w:instrText>
            </w:r>
            <w:r w:rsidR="004E603C" w:rsidRPr="00916E4F">
              <w:rPr>
                <w:bCs w:val="0"/>
                <w:noProof/>
                <w:webHidden/>
              </w:rPr>
            </w:r>
            <w:r w:rsidR="004E603C" w:rsidRPr="00916E4F">
              <w:rPr>
                <w:bCs w:val="0"/>
                <w:noProof/>
                <w:webHidden/>
              </w:rPr>
              <w:fldChar w:fldCharType="separate"/>
            </w:r>
            <w:r w:rsidR="004E603C" w:rsidRPr="00916E4F">
              <w:rPr>
                <w:bCs w:val="0"/>
                <w:noProof/>
                <w:webHidden/>
              </w:rPr>
              <w:t>9</w:t>
            </w:r>
            <w:r w:rsidR="004E603C" w:rsidRPr="00916E4F">
              <w:rPr>
                <w:bCs w:val="0"/>
                <w:noProof/>
                <w:webHidden/>
              </w:rPr>
              <w:fldChar w:fldCharType="end"/>
            </w:r>
          </w:hyperlink>
        </w:p>
        <w:p w14:paraId="17890C6B" w14:textId="68ED9A60" w:rsidR="004E603C" w:rsidRPr="00916E4F" w:rsidRDefault="00000000">
          <w:pPr>
            <w:pStyle w:val="TOC1"/>
            <w:tabs>
              <w:tab w:val="right" w:leader="dot" w:pos="9010"/>
            </w:tabs>
            <w:rPr>
              <w:rFonts w:eastAsiaTheme="minorEastAsia" w:cstheme="minorBidi"/>
              <w:bCs w:val="0"/>
              <w:noProof/>
              <w:sz w:val="24"/>
              <w:szCs w:val="24"/>
              <w:bdr w:val="none" w:sz="0" w:space="0" w:color="auto"/>
              <w:lang w:eastAsia="en-GB"/>
            </w:rPr>
          </w:pPr>
          <w:hyperlink w:anchor="_Toc132210845" w:history="1">
            <w:r w:rsidR="004E603C" w:rsidRPr="00916E4F">
              <w:rPr>
                <w:rStyle w:val="Hyperlink"/>
                <w:rFonts w:eastAsiaTheme="minorHAnsi"/>
                <w:bCs w:val="0"/>
                <w:noProof/>
                <w:color w:val="auto"/>
              </w:rPr>
              <w:t>Other Resources Consulted</w:t>
            </w:r>
            <w:r w:rsidR="004E603C" w:rsidRPr="00916E4F">
              <w:rPr>
                <w:bCs w:val="0"/>
                <w:noProof/>
                <w:webHidden/>
              </w:rPr>
              <w:tab/>
            </w:r>
            <w:r w:rsidR="004E603C" w:rsidRPr="00916E4F">
              <w:rPr>
                <w:bCs w:val="0"/>
                <w:noProof/>
                <w:webHidden/>
              </w:rPr>
              <w:fldChar w:fldCharType="begin"/>
            </w:r>
            <w:r w:rsidR="004E603C" w:rsidRPr="00916E4F">
              <w:rPr>
                <w:bCs w:val="0"/>
                <w:noProof/>
                <w:webHidden/>
              </w:rPr>
              <w:instrText xml:space="preserve"> PAGEREF _Toc132210845 \h </w:instrText>
            </w:r>
            <w:r w:rsidR="004E603C" w:rsidRPr="00916E4F">
              <w:rPr>
                <w:bCs w:val="0"/>
                <w:noProof/>
                <w:webHidden/>
              </w:rPr>
            </w:r>
            <w:r w:rsidR="004E603C" w:rsidRPr="00916E4F">
              <w:rPr>
                <w:bCs w:val="0"/>
                <w:noProof/>
                <w:webHidden/>
              </w:rPr>
              <w:fldChar w:fldCharType="separate"/>
            </w:r>
            <w:r w:rsidR="004E603C" w:rsidRPr="00916E4F">
              <w:rPr>
                <w:bCs w:val="0"/>
                <w:noProof/>
                <w:webHidden/>
              </w:rPr>
              <w:t>9</w:t>
            </w:r>
            <w:r w:rsidR="004E603C" w:rsidRPr="00916E4F">
              <w:rPr>
                <w:bCs w:val="0"/>
                <w:noProof/>
                <w:webHidden/>
              </w:rPr>
              <w:fldChar w:fldCharType="end"/>
            </w:r>
          </w:hyperlink>
        </w:p>
        <w:p w14:paraId="7ED802C6" w14:textId="7FAE2C80" w:rsidR="004E603C" w:rsidRDefault="004E603C">
          <w:r w:rsidRPr="00916E4F">
            <w:rPr>
              <w:rFonts w:asciiTheme="minorHAnsi" w:hAnsiTheme="minorHAnsi" w:cstheme="minorHAnsi"/>
              <w:sz w:val="20"/>
              <w:szCs w:val="20"/>
            </w:rPr>
            <w:fldChar w:fldCharType="end"/>
          </w:r>
        </w:p>
      </w:sdtContent>
    </w:sdt>
    <w:p w14:paraId="3A43224D" w14:textId="77777777" w:rsidR="00D543D0" w:rsidRDefault="00D543D0"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p w14:paraId="0C970485"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CF01016"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47A2C755"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7413115"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5213AA0A"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6CA593FF" w14:textId="0B04CC06" w:rsidR="00180AC1" w:rsidRPr="00180AC1" w:rsidRDefault="00180AC1"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color w:val="000000"/>
          <w:bdr w:val="none" w:sz="0" w:space="0" w:color="auto"/>
          <w14:ligatures w14:val="standardContextual"/>
        </w:rPr>
      </w:pPr>
      <w:r w:rsidRPr="00180AC1">
        <w:rPr>
          <w:rFonts w:asciiTheme="minorHAnsi" w:eastAsiaTheme="minorHAnsi" w:hAnsiTheme="minorHAnsi" w:cstheme="minorHAnsi"/>
          <w:b/>
          <w:bCs/>
          <w:color w:val="000000"/>
          <w:bdr w:val="none" w:sz="0" w:space="0" w:color="auto"/>
          <w14:ligatures w14:val="standardContextual"/>
        </w:rPr>
        <w:t>Abbreviations</w:t>
      </w:r>
    </w:p>
    <w:p w14:paraId="602118BA" w14:textId="561FCEA9" w:rsidR="00901BFE" w:rsidRPr="00901BFE"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388853D2" w14:textId="1831C63C" w:rsidR="00F81DB6" w:rsidRDefault="00F81DB6"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i/>
          <w:iCs/>
          <w:color w:val="000000"/>
          <w:bdr w:val="none" w:sz="0" w:space="0" w:color="auto"/>
          <w14:ligatures w14:val="standardContextual"/>
        </w:rPr>
      </w:pPr>
      <w:r w:rsidRPr="00180AC1">
        <w:rPr>
          <w:rFonts w:asciiTheme="minorHAnsi" w:eastAsiaTheme="minorHAnsi" w:hAnsiTheme="minorHAnsi" w:cstheme="minorHAnsi"/>
          <w:color w:val="000000"/>
          <w:bdr w:val="none" w:sz="0" w:space="0" w:color="auto"/>
          <w14:ligatures w14:val="standardContextual"/>
        </w:rPr>
        <w:t>CDH</w:t>
      </w:r>
      <w:r w:rsidRPr="00180AC1">
        <w:rPr>
          <w:rFonts w:asciiTheme="minorHAnsi" w:eastAsiaTheme="minorHAnsi" w:hAnsiTheme="minorHAnsi" w:cstheme="minorHAnsi"/>
          <w:bdr w:val="none" w:sz="0" w:space="0" w:color="auto"/>
          <w14:ligatures w14:val="standardContextual"/>
        </w:rPr>
        <w:tab/>
      </w:r>
      <w:r w:rsidRPr="00180AC1">
        <w:rPr>
          <w:rFonts w:asciiTheme="minorHAnsi" w:eastAsiaTheme="minorHAnsi" w:hAnsiTheme="minorHAnsi" w:cstheme="minorHAnsi"/>
          <w:i/>
          <w:iCs/>
          <w:color w:val="000000"/>
          <w:bdr w:val="none" w:sz="0" w:space="0" w:color="auto"/>
          <w14:ligatures w14:val="standardContextual"/>
        </w:rPr>
        <w:t>Cur Deu</w:t>
      </w:r>
      <w:r w:rsidR="00DA40A9">
        <w:rPr>
          <w:rFonts w:asciiTheme="minorHAnsi" w:eastAsiaTheme="minorHAnsi" w:hAnsiTheme="minorHAnsi" w:cstheme="minorHAnsi"/>
          <w:i/>
          <w:iCs/>
          <w:color w:val="000000"/>
          <w:bdr w:val="none" w:sz="0" w:space="0" w:color="auto"/>
          <w14:ligatures w14:val="standardContextual"/>
        </w:rPr>
        <w:t>s</w:t>
      </w:r>
      <w:r w:rsidRPr="00180AC1">
        <w:rPr>
          <w:rFonts w:asciiTheme="minorHAnsi" w:eastAsiaTheme="minorHAnsi" w:hAnsiTheme="minorHAnsi" w:cstheme="minorHAnsi"/>
          <w:i/>
          <w:iCs/>
          <w:color w:val="000000"/>
          <w:bdr w:val="none" w:sz="0" w:space="0" w:color="auto"/>
          <w14:ligatures w14:val="standardContextual"/>
        </w:rPr>
        <w:t xml:space="preserve"> Homo</w:t>
      </w:r>
    </w:p>
    <w:p w14:paraId="488E9F7F" w14:textId="4C70C883" w:rsidR="002C5B51" w:rsidRDefault="002C5B51"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bdr w:val="none" w:sz="0" w:space="0" w:color="auto"/>
          <w14:ligatures w14:val="standardContextual"/>
        </w:rPr>
      </w:pPr>
    </w:p>
    <w:p w14:paraId="1DC93809" w14:textId="77777777" w:rsidR="009751C2" w:rsidRDefault="009751C2"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bdr w:val="none" w:sz="0" w:space="0" w:color="auto"/>
          <w14:ligatures w14:val="standardContextual"/>
        </w:rPr>
      </w:pPr>
    </w:p>
    <w:p w14:paraId="17738682" w14:textId="70092A9F" w:rsidR="002C5B51" w:rsidRDefault="002C5B51"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bdr w:val="none" w:sz="0" w:space="0" w:color="auto"/>
          <w14:ligatures w14:val="standardContextual"/>
        </w:rPr>
      </w:pPr>
      <w:r>
        <w:rPr>
          <w:rFonts w:asciiTheme="minorHAnsi" w:eastAsiaTheme="minorHAnsi" w:hAnsiTheme="minorHAnsi" w:cstheme="minorHAnsi"/>
          <w:bdr w:val="none" w:sz="0" w:space="0" w:color="auto"/>
          <w14:ligatures w14:val="standardContextual"/>
        </w:rPr>
        <w:t xml:space="preserve">Unless otherwise stated, </w:t>
      </w:r>
      <w:r w:rsidR="00100952">
        <w:rPr>
          <w:rFonts w:asciiTheme="minorHAnsi" w:eastAsiaTheme="minorHAnsi" w:hAnsiTheme="minorHAnsi" w:cstheme="minorHAnsi"/>
          <w:bdr w:val="none" w:sz="0" w:space="0" w:color="auto"/>
          <w14:ligatures w14:val="standardContextual"/>
        </w:rPr>
        <w:t xml:space="preserve">quotations from </w:t>
      </w:r>
      <w:r w:rsidR="00100952">
        <w:rPr>
          <w:rFonts w:asciiTheme="minorHAnsi" w:eastAsiaTheme="minorHAnsi" w:hAnsiTheme="minorHAnsi" w:cstheme="minorHAnsi"/>
          <w:i/>
          <w:iCs/>
          <w:bdr w:val="none" w:sz="0" w:space="0" w:color="auto"/>
          <w14:ligatures w14:val="standardContextual"/>
        </w:rPr>
        <w:t>Cur Deus Homo</w:t>
      </w:r>
      <w:r w:rsidR="00100952">
        <w:rPr>
          <w:rFonts w:asciiTheme="minorHAnsi" w:eastAsiaTheme="minorHAnsi" w:hAnsiTheme="minorHAnsi" w:cstheme="minorHAnsi"/>
          <w:bdr w:val="none" w:sz="0" w:space="0" w:color="auto"/>
          <w14:ligatures w14:val="standardContextual"/>
        </w:rPr>
        <w:t xml:space="preserve"> are from the following translation:</w:t>
      </w:r>
    </w:p>
    <w:p w14:paraId="11D52DF2" w14:textId="77777777" w:rsidR="00100952" w:rsidRDefault="00100952"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bdr w:val="none" w:sz="0" w:space="0" w:color="auto"/>
          <w14:ligatures w14:val="standardContextual"/>
        </w:rPr>
      </w:pPr>
    </w:p>
    <w:p w14:paraId="32377E89" w14:textId="5F1D8A8E" w:rsidR="00100952" w:rsidRPr="00100952" w:rsidRDefault="00100952" w:rsidP="00100952">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jc w:val="center"/>
        <w:rPr>
          <w:rFonts w:asciiTheme="minorHAnsi" w:eastAsiaTheme="minorHAnsi" w:hAnsiTheme="minorHAnsi" w:cstheme="minorHAnsi"/>
          <w:sz w:val="32"/>
          <w:szCs w:val="32"/>
          <w:bdr w:val="none" w:sz="0" w:space="0" w:color="auto"/>
          <w14:ligatures w14:val="standardContextual"/>
        </w:rPr>
      </w:pPr>
      <w:r w:rsidRPr="00100952">
        <w:rPr>
          <w:sz w:val="32"/>
          <w:szCs w:val="32"/>
        </w:rPr>
        <w:fldChar w:fldCharType="begin"/>
      </w:r>
      <w:r w:rsidR="006C3AB4">
        <w:rPr>
          <w:sz w:val="32"/>
          <w:szCs w:val="32"/>
        </w:rPr>
        <w:instrText xml:space="preserve"> ADDIN ZOTERO_ITEM CSL_CITATION {"citationID":"Bv2GXXbn","properties":{"formattedCitation":"Saint Anselm, \\uc0\\u8216{}Cur Deus Homo\\uc0\\u8217{}, Wikisource.","plainCitation":"Saint Anselm, ‘Cur Deus Homo’, Wikisource.","noteIndex":0},"citationItems":[{"id":2384,"uris":["http://zotero.org/users/7540819/items/K4ZLPA73"],"itemData":{"id":2384,"type":"manuscript","archive":"Wikisource","license":"Text is available under the Creative Commons Attribution-ShareAlike License; additional terms may apply.  By using this site, you agree to the Terms of Use and Privacy Policy.","source":"Wikisource","title":"Cur Deus Homo","author":[{"family":"Anselm","given":"Saint"}]}}],"schema":"https://github.com/citation-style-language/schema/raw/master/csl-citation.json"} </w:instrText>
      </w:r>
      <w:r w:rsidRPr="00100952">
        <w:rPr>
          <w:sz w:val="32"/>
          <w:szCs w:val="32"/>
        </w:rPr>
        <w:fldChar w:fldCharType="separate"/>
      </w:r>
      <w:r w:rsidRPr="00100952">
        <w:rPr>
          <w:rFonts w:ascii="Calibri" w:hAnsi="Calibri" w:cs="Calibri"/>
          <w:color w:val="000000"/>
          <w:sz w:val="22"/>
          <w:szCs w:val="32"/>
        </w:rPr>
        <w:t>Saint Anselm, ‘Cur Deus Homo’, Wikisource.</w:t>
      </w:r>
      <w:r w:rsidRPr="00100952">
        <w:rPr>
          <w:sz w:val="32"/>
          <w:szCs w:val="32"/>
        </w:rPr>
        <w:fldChar w:fldCharType="end"/>
      </w:r>
    </w:p>
    <w:p w14:paraId="36A5F842" w14:textId="18B00BEE" w:rsidR="002C5B51" w:rsidRDefault="002C5B51"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960" w:hanging="960"/>
        <w:jc w:val="center"/>
        <w:rPr>
          <w:rFonts w:asciiTheme="minorHAnsi" w:eastAsiaTheme="minorHAnsi" w:hAnsiTheme="minorHAnsi" w:cstheme="minorHAnsi"/>
          <w:bdr w:val="none" w:sz="0" w:space="0" w:color="auto"/>
          <w14:ligatures w14:val="standardContextual"/>
        </w:rPr>
      </w:pPr>
    </w:p>
    <w:p w14:paraId="34C6767D" w14:textId="77777777" w:rsidR="00100952" w:rsidRDefault="00100952"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960" w:hanging="960"/>
        <w:jc w:val="center"/>
        <w:rPr>
          <w:rFonts w:asciiTheme="minorHAnsi" w:eastAsiaTheme="minorHAnsi" w:hAnsiTheme="minorHAnsi" w:cstheme="minorHAnsi"/>
          <w:bdr w:val="none" w:sz="0" w:space="0" w:color="auto"/>
          <w14:ligatures w14:val="standardContextual"/>
        </w:rPr>
      </w:pPr>
    </w:p>
    <w:p w14:paraId="1C6EEE12" w14:textId="0DB3AA6C" w:rsidR="00180AC1" w:rsidRPr="00180AC1" w:rsidRDefault="00180AC1"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p w14:paraId="66AFF0B1" w14:textId="77777777" w:rsidR="00180AC1" w:rsidRPr="00180AC1" w:rsidRDefault="00180AC1"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right"/>
        <w:rPr>
          <w:rFonts w:asciiTheme="minorHAnsi" w:eastAsiaTheme="minorHAnsi" w:hAnsiTheme="minorHAnsi" w:cstheme="minorHAnsi"/>
          <w:color w:val="000000"/>
          <w:bdr w:val="none" w:sz="0" w:space="0" w:color="auto"/>
          <w14:ligatures w14:val="standardContextual"/>
        </w:rPr>
      </w:pPr>
      <w:r w:rsidRPr="00180AC1">
        <w:rPr>
          <w:rFonts w:asciiTheme="minorHAnsi" w:eastAsiaTheme="minorHAnsi" w:hAnsiTheme="minorHAnsi" w:cstheme="minorHAnsi"/>
          <w:color w:val="000000"/>
          <w:bdr w:val="none" w:sz="0" w:space="0" w:color="auto"/>
          <w14:ligatures w14:val="standardContextual"/>
        </w:rPr>
        <w:t xml:space="preserve">  </w:t>
      </w:r>
    </w:p>
    <w:p w14:paraId="06B1B36F" w14:textId="646FA286" w:rsidR="00180AC1" w:rsidRPr="00180AC1" w:rsidRDefault="00DD18FA"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right"/>
        <w:rPr>
          <w:rFonts w:asciiTheme="minorHAnsi" w:eastAsiaTheme="minorHAnsi" w:hAnsiTheme="minorHAnsi" w:cstheme="minorHAnsi"/>
          <w:color w:val="000000"/>
          <w:bdr w:val="none" w:sz="0" w:space="0" w:color="auto"/>
          <w14:ligatures w14:val="standardContextual"/>
        </w:rPr>
      </w:pPr>
      <w:r>
        <w:rPr>
          <w:rFonts w:asciiTheme="minorHAnsi" w:eastAsiaTheme="minorHAnsi" w:hAnsiTheme="minorHAnsi" w:cstheme="minorHAnsi"/>
          <w:b/>
          <w:bCs/>
          <w:color w:val="000000"/>
          <w:bdr w:val="none" w:sz="0" w:space="0" w:color="auto"/>
          <w14:ligatures w14:val="standardContextual"/>
        </w:rPr>
        <w:fldChar w:fldCharType="begin"/>
      </w:r>
      <w:r>
        <w:rPr>
          <w:rFonts w:asciiTheme="minorHAnsi" w:eastAsiaTheme="minorHAnsi" w:hAnsiTheme="minorHAnsi" w:cstheme="minorHAnsi"/>
          <w:b/>
          <w:bCs/>
          <w:color w:val="000000"/>
          <w:bdr w:val="none" w:sz="0" w:space="0" w:color="auto"/>
          <w14:ligatures w14:val="standardContextual"/>
        </w:rPr>
        <w:instrText xml:space="preserve"> DATE \@ "d MMM. yy" </w:instrText>
      </w:r>
      <w:r>
        <w:rPr>
          <w:rFonts w:asciiTheme="minorHAnsi" w:eastAsiaTheme="minorHAnsi" w:hAnsiTheme="minorHAnsi" w:cstheme="minorHAnsi"/>
          <w:b/>
          <w:bCs/>
          <w:color w:val="000000"/>
          <w:bdr w:val="none" w:sz="0" w:space="0" w:color="auto"/>
          <w14:ligatures w14:val="standardContextual"/>
        </w:rPr>
        <w:fldChar w:fldCharType="separate"/>
      </w:r>
      <w:r w:rsidR="003C056C">
        <w:rPr>
          <w:rFonts w:asciiTheme="minorHAnsi" w:eastAsiaTheme="minorHAnsi" w:hAnsiTheme="minorHAnsi" w:cstheme="minorHAnsi"/>
          <w:b/>
          <w:bCs/>
          <w:noProof/>
          <w:color w:val="000000"/>
          <w:bdr w:val="none" w:sz="0" w:space="0" w:color="auto"/>
          <w14:ligatures w14:val="standardContextual"/>
        </w:rPr>
        <w:t>12 Apr. 23</w:t>
      </w:r>
      <w:r>
        <w:rPr>
          <w:rFonts w:asciiTheme="minorHAnsi" w:eastAsiaTheme="minorHAnsi" w:hAnsiTheme="minorHAnsi" w:cstheme="minorHAnsi"/>
          <w:b/>
          <w:bCs/>
          <w:color w:val="000000"/>
          <w:bdr w:val="none" w:sz="0" w:space="0" w:color="auto"/>
          <w14:ligatures w14:val="standardContextual"/>
        </w:rPr>
        <w:fldChar w:fldCharType="end"/>
      </w:r>
      <w:r w:rsidR="00163D9C">
        <w:rPr>
          <w:rFonts w:asciiTheme="minorHAnsi" w:eastAsiaTheme="minorHAnsi" w:hAnsiTheme="minorHAnsi" w:cstheme="minorHAnsi"/>
          <w:b/>
          <w:bCs/>
          <w:color w:val="000000"/>
          <w:bdr w:val="none" w:sz="0" w:space="0" w:color="auto"/>
          <w14:ligatures w14:val="standardContextual"/>
        </w:rPr>
        <w:t>C</w:t>
      </w:r>
    </w:p>
    <w:p w14:paraId="1EC21FCB" w14:textId="77777777" w:rsidR="000C1DA9" w:rsidRPr="00180AC1" w:rsidRDefault="000C1DA9"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p w14:paraId="3F53507C" w14:textId="77777777" w:rsidR="004B6EE5" w:rsidRDefault="004B6EE5">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b/>
          <w:bCs/>
          <w:color w:val="000000"/>
          <w:bdr w:val="none" w:sz="0" w:space="0" w:color="auto"/>
          <w14:ligatures w14:val="standardContextual"/>
        </w:rPr>
      </w:pPr>
      <w:r>
        <w:rPr>
          <w:rFonts w:asciiTheme="minorHAnsi" w:eastAsiaTheme="minorHAnsi" w:hAnsiTheme="minorHAnsi" w:cstheme="minorHAnsi"/>
          <w:b/>
          <w:bCs/>
          <w:color w:val="000000"/>
          <w:bdr w:val="none" w:sz="0" w:space="0" w:color="auto"/>
          <w14:ligatures w14:val="standardContextual"/>
        </w:rPr>
        <w:br w:type="page"/>
      </w:r>
    </w:p>
    <w:p w14:paraId="2F3C258B" w14:textId="41CA7AF7" w:rsidR="00180AC1" w:rsidRPr="006C3AB4" w:rsidRDefault="00180AC1" w:rsidP="00651297">
      <w:pPr>
        <w:pStyle w:val="Heading1"/>
        <w:spacing w:before="0" w:line="360" w:lineRule="auto"/>
        <w:rPr>
          <w:rFonts w:asciiTheme="minorHAnsi" w:eastAsiaTheme="minorHAnsi" w:hAnsiTheme="minorHAnsi" w:cstheme="minorHAnsi"/>
          <w:b/>
          <w:bCs/>
          <w:color w:val="auto"/>
          <w:sz w:val="24"/>
          <w:szCs w:val="24"/>
          <w:bdr w:val="none" w:sz="0" w:space="0" w:color="auto"/>
        </w:rPr>
      </w:pPr>
      <w:bookmarkStart w:id="0" w:name="_Toc132210838"/>
      <w:r w:rsidRPr="006C3AB4">
        <w:rPr>
          <w:rFonts w:asciiTheme="minorHAnsi" w:eastAsiaTheme="minorHAnsi" w:hAnsiTheme="minorHAnsi" w:cstheme="minorHAnsi"/>
          <w:b/>
          <w:bCs/>
          <w:color w:val="auto"/>
          <w:sz w:val="24"/>
          <w:szCs w:val="24"/>
          <w:bdr w:val="none" w:sz="0" w:space="0" w:color="auto"/>
        </w:rPr>
        <w:lastRenderedPageBreak/>
        <w:t>Introduction</w:t>
      </w:r>
      <w:bookmarkEnd w:id="0"/>
    </w:p>
    <w:p w14:paraId="31790FD4" w14:textId="466A7380" w:rsid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bdr w:val="none" w:sz="0" w:space="0" w:color="auto"/>
          <w14:ligatures w14:val="standardContextual"/>
        </w:rPr>
        <w:t xml:space="preserve">Anselm’s </w:t>
      </w:r>
      <w:r w:rsidRPr="00180AC1">
        <w:rPr>
          <w:rFonts w:asciiTheme="minorHAnsi" w:eastAsiaTheme="minorHAnsi" w:hAnsiTheme="minorHAnsi" w:cstheme="minorHAnsi"/>
          <w:i/>
          <w:iCs/>
          <w:color w:val="000000"/>
          <w:bdr w:val="none" w:sz="0" w:space="0" w:color="auto"/>
          <w14:ligatures w14:val="standardContextual"/>
        </w:rPr>
        <w:t>Cur Deus Homo</w:t>
      </w:r>
      <w:r w:rsidRPr="00180AC1">
        <w:rPr>
          <w:rFonts w:asciiTheme="minorHAnsi" w:eastAsiaTheme="minorHAnsi" w:hAnsiTheme="minorHAnsi" w:cstheme="minorHAnsi"/>
          <w:color w:val="000000"/>
          <w:bdr w:val="none" w:sz="0" w:space="0" w:color="auto"/>
          <w14:ligatures w14:val="standardContextual"/>
        </w:rPr>
        <w:t xml:space="preserve"> (CDH) is a Christological and soteriological apologetic, a didactic to educate believers and non-believers</w:t>
      </w:r>
      <w:r w:rsidR="00F81DB6">
        <w:rPr>
          <w:rStyle w:val="FootnoteReference"/>
          <w:rFonts w:asciiTheme="minorHAnsi" w:eastAsiaTheme="minorHAnsi" w:hAnsiTheme="minorHAnsi" w:cstheme="minorHAnsi"/>
          <w:color w:val="000000"/>
          <w:bdr w:val="none" w:sz="0" w:space="0" w:color="auto"/>
          <w14:ligatures w14:val="standardContextual"/>
        </w:rPr>
        <w:footnoteReference w:id="1"/>
      </w:r>
      <w:r w:rsidR="00F81DB6">
        <w:rPr>
          <w:rFonts w:asciiTheme="minorHAnsi" w:eastAsiaTheme="minorHAnsi" w:hAnsiTheme="minorHAnsi" w:cstheme="minorHAnsi"/>
          <w:color w:val="000000"/>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concerning the need and appropriateness of the </w:t>
      </w:r>
      <w:r w:rsidR="00670657">
        <w:rPr>
          <w:rFonts w:asciiTheme="minorHAnsi" w:eastAsiaTheme="minorHAnsi" w:hAnsiTheme="minorHAnsi" w:cstheme="minorHAnsi"/>
          <w:color w:val="000000"/>
          <w:u w:color="0000E9"/>
          <w:bdr w:val="none" w:sz="0" w:space="0" w:color="auto"/>
          <w14:ligatures w14:val="standardContextual"/>
        </w:rPr>
        <w:t>I</w:t>
      </w:r>
      <w:r w:rsidR="005271E4">
        <w:rPr>
          <w:rFonts w:asciiTheme="minorHAnsi" w:eastAsiaTheme="minorHAnsi" w:hAnsiTheme="minorHAnsi" w:cstheme="minorHAnsi"/>
          <w:color w:val="000000"/>
          <w:u w:color="0000E9"/>
          <w:bdr w:val="none" w:sz="0" w:space="0" w:color="auto"/>
          <w14:ligatures w14:val="standardContextual"/>
        </w:rPr>
        <w:t>ncarnation</w:t>
      </w:r>
      <w:r w:rsidRPr="00180AC1">
        <w:rPr>
          <w:rFonts w:asciiTheme="minorHAnsi" w:eastAsiaTheme="minorHAnsi" w:hAnsiTheme="minorHAnsi" w:cstheme="minorHAnsi"/>
          <w:color w:val="000000"/>
          <w:u w:color="0000E9"/>
          <w:bdr w:val="none" w:sz="0" w:space="0" w:color="auto"/>
          <w14:ligatures w14:val="standardContextual"/>
        </w:rPr>
        <w:t xml:space="preserve"> and the atonement. In so doing, he pays keen attention to God’s imputed reasoning. </w:t>
      </w:r>
      <w:proofErr w:type="spellStart"/>
      <w:r w:rsidRPr="00180AC1">
        <w:rPr>
          <w:rFonts w:asciiTheme="minorHAnsi" w:eastAsiaTheme="minorHAnsi" w:hAnsiTheme="minorHAnsi" w:cstheme="minorHAnsi"/>
          <w:color w:val="000000"/>
          <w:u w:color="0000E9"/>
          <w:bdr w:val="none" w:sz="0" w:space="0" w:color="auto"/>
          <w14:ligatures w14:val="standardContextual"/>
        </w:rPr>
        <w:t>Boso</w:t>
      </w:r>
      <w:proofErr w:type="spellEnd"/>
      <w:r w:rsidRPr="00180AC1">
        <w:rPr>
          <w:rFonts w:asciiTheme="minorHAnsi" w:eastAsiaTheme="minorHAnsi" w:hAnsiTheme="minorHAnsi" w:cstheme="minorHAnsi"/>
          <w:color w:val="000000"/>
          <w:u w:color="0000E9"/>
          <w:bdr w:val="none" w:sz="0" w:space="0" w:color="auto"/>
          <w14:ligatures w14:val="standardContextual"/>
        </w:rPr>
        <w:t xml:space="preserve">, Anselm’s debating partner, concludes that Anselm “convinces both Jews and Pagans </w:t>
      </w:r>
      <w:r w:rsidRPr="00180AC1">
        <w:rPr>
          <w:rFonts w:asciiTheme="minorHAnsi" w:eastAsiaTheme="minorHAnsi" w:hAnsiTheme="minorHAnsi" w:cstheme="minorHAnsi"/>
          <w:i/>
          <w:iCs/>
          <w:color w:val="000000"/>
          <w:u w:color="0000E9"/>
          <w:bdr w:val="none" w:sz="0" w:space="0" w:color="auto"/>
          <w14:ligatures w14:val="standardContextual"/>
        </w:rPr>
        <w:t>by the mere force of reason”</w:t>
      </w:r>
      <w:r w:rsidRPr="00180AC1">
        <w:rPr>
          <w:rFonts w:asciiTheme="minorHAnsi" w:eastAsiaTheme="minorHAnsi" w:hAnsiTheme="minorHAnsi" w:cstheme="minorHAnsi"/>
          <w:color w:val="000000"/>
          <w:u w:color="0000E9"/>
          <w:bdr w:val="none" w:sz="0" w:space="0" w:color="auto"/>
          <w:vertAlign w:val="superscript"/>
          <w14:ligatures w14:val="standardContextual"/>
        </w:rPr>
        <w:t xml:space="preserve"> </w:t>
      </w:r>
      <w:r w:rsidR="00F81DB6">
        <w:rPr>
          <w:rStyle w:val="FootnoteReference"/>
          <w:rFonts w:asciiTheme="minorHAnsi" w:eastAsiaTheme="minorHAnsi" w:hAnsiTheme="minorHAnsi" w:cstheme="minorHAnsi"/>
          <w:color w:val="000000"/>
          <w:u w:color="0000E9"/>
          <w:bdr w:val="none" w:sz="0" w:space="0" w:color="auto"/>
          <w14:ligatures w14:val="standardContextual"/>
        </w:rPr>
        <w:footnoteReference w:id="2"/>
      </w:r>
      <w:r w:rsidR="00050293">
        <w:rPr>
          <w:rFonts w:asciiTheme="minorHAnsi" w:eastAsiaTheme="minorHAnsi" w:hAnsiTheme="minorHAnsi" w:cstheme="minorHAnsi"/>
          <w:color w:val="000000"/>
          <w:u w:color="0000E9"/>
          <w:bdr w:val="none" w:sz="0" w:space="0" w:color="auto"/>
          <w:vertAlign w:val="superscript"/>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rather than employing mainly scriptural arguments. </w:t>
      </w:r>
      <w:r w:rsidRPr="007E6CB6">
        <w:rPr>
          <w:rFonts w:asciiTheme="minorHAnsi" w:eastAsiaTheme="minorHAnsi" w:hAnsiTheme="minorHAnsi" w:cstheme="minorHAnsi"/>
          <w:color w:val="000000"/>
          <w:u w:color="0000E9"/>
          <w:bdr w:val="none" w:sz="0" w:space="0" w:color="auto"/>
          <w14:ligatures w14:val="standardContextual"/>
        </w:rPr>
        <w:t xml:space="preserve">This essay draws on Anselm’s reasoning in CDH concerning the </w:t>
      </w:r>
      <w:r w:rsidR="00670657">
        <w:rPr>
          <w:rFonts w:asciiTheme="minorHAnsi" w:eastAsiaTheme="minorHAnsi" w:hAnsiTheme="minorHAnsi" w:cstheme="minorHAnsi"/>
          <w:color w:val="000000"/>
          <w:u w:color="0000E9"/>
          <w:bdr w:val="none" w:sz="0" w:space="0" w:color="auto"/>
          <w14:ligatures w14:val="standardContextual"/>
        </w:rPr>
        <w:t>I</w:t>
      </w:r>
      <w:r w:rsidR="005271E4">
        <w:rPr>
          <w:rFonts w:asciiTheme="minorHAnsi" w:eastAsiaTheme="minorHAnsi" w:hAnsiTheme="minorHAnsi" w:cstheme="minorHAnsi"/>
          <w:color w:val="000000"/>
          <w:u w:color="0000E9"/>
          <w:bdr w:val="none" w:sz="0" w:space="0" w:color="auto"/>
          <w14:ligatures w14:val="standardContextual"/>
        </w:rPr>
        <w:t>ncarnation</w:t>
      </w:r>
      <w:r w:rsidRPr="007E6CB6">
        <w:rPr>
          <w:rFonts w:asciiTheme="minorHAnsi" w:eastAsiaTheme="minorHAnsi" w:hAnsiTheme="minorHAnsi" w:cstheme="minorHAnsi"/>
          <w:color w:val="000000"/>
          <w:u w:color="0000E9"/>
          <w:bdr w:val="none" w:sz="0" w:space="0" w:color="auto"/>
          <w14:ligatures w14:val="standardContextual"/>
        </w:rPr>
        <w:t xml:space="preserve"> and atonement to elicit his understanding of the nature and person of God. </w:t>
      </w:r>
      <w:r w:rsidR="00B72262">
        <w:rPr>
          <w:rFonts w:asciiTheme="minorHAnsi" w:eastAsiaTheme="minorHAnsi" w:hAnsiTheme="minorHAnsi" w:cstheme="minorHAnsi"/>
          <w:color w:val="000000"/>
          <w:u w:color="0000E9"/>
          <w:bdr w:val="none" w:sz="0" w:space="0" w:color="auto"/>
          <w14:ligatures w14:val="standardContextual"/>
        </w:rPr>
        <w:t xml:space="preserve">Both Anselm’s trinitarian views and </w:t>
      </w:r>
      <w:r w:rsidR="008F6438" w:rsidRPr="007E6CB6">
        <w:rPr>
          <w:rFonts w:asciiTheme="minorHAnsi" w:eastAsiaTheme="minorHAnsi" w:hAnsiTheme="minorHAnsi" w:cstheme="minorHAnsi"/>
          <w:color w:val="000000"/>
          <w:u w:color="0000E9"/>
          <w:bdr w:val="none" w:sz="0" w:space="0" w:color="auto"/>
          <w14:ligatures w14:val="standardContextual"/>
        </w:rPr>
        <w:t xml:space="preserve">John Calvin’s response </w:t>
      </w:r>
      <w:r w:rsidR="00B72262">
        <w:rPr>
          <w:rFonts w:asciiTheme="minorHAnsi" w:eastAsiaTheme="minorHAnsi" w:hAnsiTheme="minorHAnsi" w:cstheme="minorHAnsi"/>
          <w:color w:val="000000"/>
          <w:u w:color="0000E9"/>
          <w:bdr w:val="none" w:sz="0" w:space="0" w:color="auto"/>
          <w14:ligatures w14:val="standardContextual"/>
        </w:rPr>
        <w:t>are shown as</w:t>
      </w:r>
      <w:r w:rsidR="008F6438" w:rsidRPr="007E6CB6">
        <w:rPr>
          <w:rFonts w:asciiTheme="minorHAnsi" w:eastAsiaTheme="minorHAnsi" w:hAnsiTheme="minorHAnsi" w:cstheme="minorHAnsi"/>
          <w:color w:val="000000"/>
          <w:u w:color="0000E9"/>
          <w:bdr w:val="none" w:sz="0" w:space="0" w:color="auto"/>
          <w14:ligatures w14:val="standardContextual"/>
        </w:rPr>
        <w:t xml:space="preserve"> relevant in today’s world. </w:t>
      </w:r>
      <w:r w:rsidR="007E6CB6" w:rsidRPr="007E6CB6">
        <w:rPr>
          <w:rFonts w:asciiTheme="minorHAnsi" w:eastAsiaTheme="minorHAnsi" w:hAnsiTheme="minorHAnsi" w:cstheme="minorHAnsi"/>
          <w:color w:val="000000"/>
          <w:u w:color="0000E9"/>
          <w:bdr w:val="none" w:sz="0" w:space="0" w:color="auto"/>
          <w14:ligatures w14:val="standardContextual"/>
        </w:rPr>
        <w:t>Finally, John Polkinghorne presents some ideas in the science-theology debate which restores the Anselmian systematic approach to the Trinity, with a potential avenue for future thinking.</w:t>
      </w:r>
    </w:p>
    <w:p w14:paraId="7CDDCFEF" w14:textId="77777777" w:rsidR="002A0389" w:rsidRPr="00180AC1" w:rsidRDefault="002A038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2EA51F5B" w14:textId="4D3633BD" w:rsidR="007C566E" w:rsidRPr="00D543D0" w:rsidRDefault="007C566E"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1" w:name="_Toc132210839"/>
      <w:r w:rsidRPr="00D543D0">
        <w:rPr>
          <w:rFonts w:asciiTheme="minorHAnsi" w:eastAsiaTheme="minorHAnsi" w:hAnsiTheme="minorHAnsi" w:cstheme="minorHAnsi"/>
          <w:b/>
          <w:bCs/>
          <w:color w:val="auto"/>
          <w:sz w:val="24"/>
          <w:szCs w:val="24"/>
          <w:u w:color="0000E9"/>
          <w:bdr w:val="none" w:sz="0" w:space="0" w:color="auto"/>
        </w:rPr>
        <w:t xml:space="preserve">Anselm and </w:t>
      </w:r>
      <w:r w:rsidRPr="002A0389">
        <w:rPr>
          <w:rFonts w:asciiTheme="minorHAnsi" w:eastAsiaTheme="minorHAnsi" w:hAnsiTheme="minorHAnsi" w:cstheme="minorHAnsi"/>
          <w:b/>
          <w:bCs/>
          <w:i/>
          <w:iCs/>
          <w:color w:val="auto"/>
          <w:sz w:val="24"/>
          <w:szCs w:val="24"/>
          <w:u w:color="0000E9"/>
          <w:bdr w:val="none" w:sz="0" w:space="0" w:color="auto"/>
        </w:rPr>
        <w:t>Cur Deus Homo</w:t>
      </w:r>
      <w:bookmarkEnd w:id="1"/>
    </w:p>
    <w:p w14:paraId="0984589B" w14:textId="40C74911" w:rsidR="00180AC1" w:rsidRDefault="007C566E"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A</w:t>
      </w:r>
      <w:r w:rsidR="00180AC1" w:rsidRPr="00180AC1">
        <w:rPr>
          <w:rFonts w:asciiTheme="minorHAnsi" w:eastAsiaTheme="minorHAnsi" w:hAnsiTheme="minorHAnsi" w:cstheme="minorHAnsi"/>
          <w:color w:val="000000"/>
          <w:u w:color="0000E9"/>
          <w:bdr w:val="none" w:sz="0" w:space="0" w:color="auto"/>
          <w14:ligatures w14:val="standardContextual"/>
        </w:rPr>
        <w:t>nselm has been called the second Augustine, a fervent, highly independent investigator and philosopher</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3"/>
      </w:r>
      <w:r w:rsidR="00050293">
        <w:rPr>
          <w:rFonts w:asciiTheme="minorHAnsi" w:eastAsiaTheme="minorHAnsi" w:hAnsiTheme="minorHAnsi" w:cstheme="minorHAnsi"/>
          <w:color w:val="000000"/>
          <w:u w:color="0000E9"/>
          <w:bdr w:val="none" w:sz="0" w:space="0" w:color="auto"/>
          <w14:ligatures w14:val="standardContextual"/>
        </w:rPr>
        <w:t xml:space="preserve">, </w:t>
      </w:r>
      <w:r w:rsidR="00180AC1" w:rsidRPr="00180AC1">
        <w:rPr>
          <w:rFonts w:asciiTheme="minorHAnsi" w:eastAsiaTheme="minorHAnsi" w:hAnsiTheme="minorHAnsi" w:cstheme="minorHAnsi"/>
          <w:color w:val="000000"/>
          <w:u w:color="0000E9"/>
          <w:bdr w:val="none" w:sz="0" w:space="0" w:color="auto"/>
          <w14:ligatures w14:val="standardContextual"/>
        </w:rPr>
        <w:t>indeed, the “the last of the Fathers, and the first of the Scholastics</w:t>
      </w:r>
      <w:r w:rsidR="00050293">
        <w:rPr>
          <w:rFonts w:asciiTheme="minorHAnsi" w:eastAsiaTheme="minorHAnsi" w:hAnsiTheme="minorHAnsi" w:cstheme="minorHAnsi"/>
          <w:color w:val="000000"/>
          <w:u w:color="0000E9"/>
          <w:bdr w:val="none" w:sz="0" w:space="0" w:color="auto"/>
          <w14:ligatures w14:val="standardContextual"/>
        </w:rPr>
        <w:t>”</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4"/>
      </w:r>
      <w:r w:rsidR="00050293">
        <w:rPr>
          <w:rFonts w:asciiTheme="minorHAnsi" w:eastAsiaTheme="minorHAnsi" w:hAnsiTheme="minorHAnsi" w:cstheme="minorHAnsi"/>
          <w:color w:val="000000"/>
          <w:u w:color="0000E9"/>
          <w:bdr w:val="none" w:sz="0" w:space="0" w:color="auto"/>
          <w14:ligatures w14:val="standardContextual"/>
        </w:rPr>
        <w:t xml:space="preserve">, </w:t>
      </w:r>
      <w:r w:rsidR="00180AC1" w:rsidRPr="00180AC1">
        <w:rPr>
          <w:rFonts w:asciiTheme="minorHAnsi" w:eastAsiaTheme="minorHAnsi" w:hAnsiTheme="minorHAnsi" w:cstheme="minorHAnsi"/>
          <w:color w:val="000000"/>
          <w:u w:color="0000E9"/>
          <w:bdr w:val="none" w:sz="0" w:space="0" w:color="auto"/>
          <w14:ligatures w14:val="standardContextual"/>
        </w:rPr>
        <w:t>recognising the shift in the intellectual history of church and state during his lifetime.</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5"/>
      </w:r>
      <w:r w:rsidR="00180AC1" w:rsidRPr="00180AC1">
        <w:rPr>
          <w:rFonts w:asciiTheme="minorHAnsi" w:eastAsiaTheme="minorHAnsi" w:hAnsiTheme="minorHAnsi" w:cstheme="minorHAnsi"/>
          <w:color w:val="000000"/>
          <w:u w:color="0000E9"/>
          <w:bdr w:val="none" w:sz="0" w:space="0" w:color="auto"/>
          <w14:ligatures w14:val="standardContextual"/>
        </w:rPr>
        <w:t xml:space="preserve"> CDH’s specific focus is God’s need for the </w:t>
      </w:r>
      <w:r w:rsidR="005271E4">
        <w:rPr>
          <w:rFonts w:asciiTheme="minorHAnsi" w:eastAsiaTheme="minorHAnsi" w:hAnsiTheme="minorHAnsi" w:cstheme="minorHAnsi"/>
          <w:color w:val="000000"/>
          <w:u w:color="0000E9"/>
          <w:bdr w:val="none" w:sz="0" w:space="0" w:color="auto"/>
          <w14:ligatures w14:val="standardContextual"/>
        </w:rPr>
        <w:t>Incarnation</w:t>
      </w:r>
      <w:r w:rsidR="00180AC1" w:rsidRPr="00180AC1">
        <w:rPr>
          <w:rFonts w:asciiTheme="minorHAnsi" w:eastAsiaTheme="minorHAnsi" w:hAnsiTheme="minorHAnsi" w:cstheme="minorHAnsi"/>
          <w:color w:val="000000"/>
          <w:u w:color="0000E9"/>
          <w:bdr w:val="none" w:sz="0" w:space="0" w:color="auto"/>
          <w14:ligatures w14:val="standardContextual"/>
        </w:rPr>
        <w:t xml:space="preserve"> to destroy the lethal effect of </w:t>
      </w:r>
      <w:r w:rsidR="005271E4">
        <w:rPr>
          <w:rFonts w:asciiTheme="minorHAnsi" w:eastAsiaTheme="minorHAnsi" w:hAnsiTheme="minorHAnsi" w:cstheme="minorHAnsi"/>
          <w:color w:val="000000"/>
          <w:u w:color="0000E9"/>
          <w:bdr w:val="none" w:sz="0" w:space="0" w:color="auto"/>
          <w14:ligatures w14:val="standardContextual"/>
        </w:rPr>
        <w:t>mankind</w:t>
      </w:r>
      <w:r w:rsidR="00180AC1" w:rsidRPr="00180AC1">
        <w:rPr>
          <w:rFonts w:asciiTheme="minorHAnsi" w:eastAsiaTheme="minorHAnsi" w:hAnsiTheme="minorHAnsi" w:cstheme="minorHAnsi"/>
          <w:color w:val="000000"/>
          <w:u w:color="0000E9"/>
          <w:bdr w:val="none" w:sz="0" w:space="0" w:color="auto"/>
          <w14:ligatures w14:val="standardContextual"/>
        </w:rPr>
        <w:t>’s fall into sin</w:t>
      </w:r>
      <w:r w:rsidR="00EB7F41">
        <w:rPr>
          <w:rFonts w:asciiTheme="minorHAnsi" w:eastAsiaTheme="minorHAnsi" w:hAnsiTheme="minorHAnsi" w:cstheme="minorHAnsi"/>
          <w:color w:val="000000"/>
          <w:u w:color="0000E9"/>
          <w:bdr w:val="none" w:sz="0" w:space="0" w:color="auto"/>
          <w14:ligatures w14:val="standardContextual"/>
        </w:rPr>
        <w:t xml:space="preserve">. It adheres to the trinitarian doctrinal statements of </w:t>
      </w:r>
      <w:r w:rsidR="00180AC1" w:rsidRPr="00180AC1">
        <w:rPr>
          <w:rFonts w:asciiTheme="minorHAnsi" w:eastAsiaTheme="minorHAnsi" w:hAnsiTheme="minorHAnsi" w:cstheme="minorHAnsi"/>
          <w:color w:val="000000"/>
          <w:u w:color="0000E9"/>
          <w:bdr w:val="none" w:sz="0" w:space="0" w:color="auto"/>
          <w14:ligatures w14:val="standardContextual"/>
        </w:rPr>
        <w:t>the</w:t>
      </w:r>
      <w:r w:rsidR="00EB7F41" w:rsidRPr="00180AC1">
        <w:rPr>
          <w:rFonts w:asciiTheme="minorHAnsi" w:eastAsiaTheme="minorHAnsi" w:hAnsiTheme="minorHAnsi" w:cstheme="minorHAnsi"/>
          <w:color w:val="000000"/>
          <w:u w:color="0000E9"/>
          <w:bdr w:val="none" w:sz="0" w:space="0" w:color="auto"/>
          <w14:ligatures w14:val="standardContextual"/>
        </w:rPr>
        <w:t xml:space="preserve"> Chalcedonian and </w:t>
      </w:r>
      <w:proofErr w:type="spellStart"/>
      <w:r w:rsidR="00EB7F41" w:rsidRPr="00180AC1">
        <w:rPr>
          <w:rFonts w:asciiTheme="minorHAnsi" w:eastAsiaTheme="minorHAnsi" w:hAnsiTheme="minorHAnsi" w:cstheme="minorHAnsi"/>
          <w:color w:val="000000"/>
          <w:u w:color="0000E9"/>
          <w:bdr w:val="none" w:sz="0" w:space="0" w:color="auto"/>
          <w14:ligatures w14:val="standardContextual"/>
        </w:rPr>
        <w:t>PseudoAthanasian</w:t>
      </w:r>
      <w:proofErr w:type="spellEnd"/>
      <w:r w:rsidR="00EB7F41" w:rsidRPr="00180AC1">
        <w:rPr>
          <w:rFonts w:asciiTheme="minorHAnsi" w:eastAsiaTheme="minorHAnsi" w:hAnsiTheme="minorHAnsi" w:cstheme="minorHAnsi"/>
          <w:color w:val="000000"/>
          <w:u w:color="0000E9"/>
          <w:bdr w:val="none" w:sz="0" w:space="0" w:color="auto"/>
          <w14:ligatures w14:val="standardContextual"/>
        </w:rPr>
        <w:t xml:space="preserve"> Creeds</w:t>
      </w:r>
      <w:r w:rsidR="00D0497B">
        <w:rPr>
          <w:rFonts w:asciiTheme="minorHAnsi" w:eastAsiaTheme="minorHAnsi" w:hAnsiTheme="minorHAnsi" w:cstheme="minorHAnsi"/>
          <w:color w:val="000000"/>
          <w:u w:color="0000E9"/>
          <w:bdr w:val="none" w:sz="0" w:space="0" w:color="auto"/>
          <w14:ligatures w14:val="standardContextual"/>
        </w:rPr>
        <w:t>. T</w:t>
      </w:r>
      <w:r w:rsidR="00EB7F41">
        <w:rPr>
          <w:rFonts w:asciiTheme="minorHAnsi" w:eastAsiaTheme="minorHAnsi" w:hAnsiTheme="minorHAnsi" w:cstheme="minorHAnsi"/>
          <w:color w:val="000000"/>
          <w:u w:color="0000E9"/>
          <w:bdr w:val="none" w:sz="0" w:space="0" w:color="auto"/>
          <w14:ligatures w14:val="standardContextual"/>
        </w:rPr>
        <w:t xml:space="preserve">hese </w:t>
      </w:r>
      <w:r w:rsidR="00180AC1" w:rsidRPr="00180AC1">
        <w:rPr>
          <w:rFonts w:asciiTheme="minorHAnsi" w:eastAsiaTheme="minorHAnsi" w:hAnsiTheme="minorHAnsi" w:cstheme="minorHAnsi"/>
          <w:color w:val="000000"/>
          <w:u w:color="0000E9"/>
          <w:bdr w:val="none" w:sz="0" w:space="0" w:color="auto"/>
          <w14:ligatures w14:val="standardContextual"/>
        </w:rPr>
        <w:t xml:space="preserve">influence his arguments for </w:t>
      </w:r>
      <w:r w:rsidR="005271E4">
        <w:rPr>
          <w:rFonts w:asciiTheme="minorHAnsi" w:eastAsiaTheme="minorHAnsi" w:hAnsiTheme="minorHAnsi" w:cstheme="minorHAnsi"/>
          <w:color w:val="000000"/>
          <w:u w:color="0000E9"/>
          <w:bdr w:val="none" w:sz="0" w:space="0" w:color="auto"/>
          <w14:ligatures w14:val="standardContextual"/>
        </w:rPr>
        <w:t>Incarnation</w:t>
      </w:r>
      <w:r w:rsidR="00180AC1" w:rsidRPr="00180AC1">
        <w:rPr>
          <w:rFonts w:asciiTheme="minorHAnsi" w:eastAsiaTheme="minorHAnsi" w:hAnsiTheme="minorHAnsi" w:cstheme="minorHAnsi"/>
          <w:color w:val="000000"/>
          <w:u w:color="0000E9"/>
          <w:bdr w:val="none" w:sz="0" w:space="0" w:color="auto"/>
          <w14:ligatures w14:val="standardContextual"/>
        </w:rPr>
        <w:t>, remission of sins and atonement.</w:t>
      </w:r>
    </w:p>
    <w:p w14:paraId="566FC06C" w14:textId="77777777" w:rsidR="000C1DA9" w:rsidRPr="00180AC1" w:rsidRDefault="000C1DA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3547E5DC" w14:textId="647F0D3E" w:rsid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CDH reveals a God who </w:t>
      </w:r>
      <w:r w:rsidRPr="00180AC1">
        <w:rPr>
          <w:rFonts w:asciiTheme="minorHAnsi" w:eastAsiaTheme="minorHAnsi" w:hAnsiTheme="minorHAnsi" w:cstheme="minorHAnsi"/>
          <w:i/>
          <w:iCs/>
          <w:color w:val="000000"/>
          <w:u w:color="0000E9"/>
          <w:bdr w:val="none" w:sz="0" w:space="0" w:color="auto"/>
          <w14:ligatures w14:val="standardContextual"/>
        </w:rPr>
        <w:t>‘is’</w:t>
      </w:r>
      <w:r w:rsidRPr="00180AC1">
        <w:rPr>
          <w:rFonts w:asciiTheme="minorHAnsi" w:eastAsiaTheme="minorHAnsi" w:hAnsiTheme="minorHAnsi" w:cstheme="minorHAnsi"/>
          <w:color w:val="000000"/>
          <w:u w:color="0000E9"/>
          <w:bdr w:val="none" w:sz="0" w:space="0" w:color="auto"/>
          <w14:ligatures w14:val="standardContextual"/>
        </w:rPr>
        <w:t xml:space="preserve">, a God who </w:t>
      </w:r>
      <w:r w:rsidRPr="00180AC1">
        <w:rPr>
          <w:rFonts w:asciiTheme="minorHAnsi" w:eastAsiaTheme="minorHAnsi" w:hAnsiTheme="minorHAnsi" w:cstheme="minorHAnsi"/>
          <w:i/>
          <w:iCs/>
          <w:color w:val="000000"/>
          <w:u w:color="0000E9"/>
          <w:bdr w:val="none" w:sz="0" w:space="0" w:color="auto"/>
          <w14:ligatures w14:val="standardContextual"/>
        </w:rPr>
        <w:t>‘acts’, creates, speaks.</w:t>
      </w:r>
      <w:r w:rsidRPr="00180AC1">
        <w:rPr>
          <w:rFonts w:asciiTheme="minorHAnsi" w:eastAsiaTheme="minorHAnsi" w:hAnsiTheme="minorHAnsi" w:cstheme="minorHAnsi"/>
          <w:color w:val="000000"/>
          <w:u w:color="0000E9"/>
          <w:bdr w:val="none" w:sz="0" w:space="0" w:color="auto"/>
          <w14:ligatures w14:val="standardContextual"/>
        </w:rPr>
        <w:t xml:space="preserve"> CDH reveals God </w:t>
      </w:r>
      <w:r w:rsidRPr="00180AC1">
        <w:rPr>
          <w:rFonts w:asciiTheme="minorHAnsi" w:eastAsiaTheme="minorHAnsi" w:hAnsiTheme="minorHAnsi" w:cstheme="minorHAnsi"/>
          <w:i/>
          <w:iCs/>
          <w:color w:val="000000"/>
          <w:u w:color="0000E9"/>
          <w:bdr w:val="none" w:sz="0" w:space="0" w:color="auto"/>
          <w14:ligatures w14:val="standardContextual"/>
        </w:rPr>
        <w:t>dialoguing</w:t>
      </w:r>
      <w:r w:rsidRPr="00180AC1">
        <w:rPr>
          <w:rFonts w:asciiTheme="minorHAnsi" w:eastAsiaTheme="minorHAnsi" w:hAnsiTheme="minorHAnsi" w:cstheme="minorHAnsi"/>
          <w:color w:val="000000"/>
          <w:u w:color="0000E9"/>
          <w:bdr w:val="none" w:sz="0" w:space="0" w:color="auto"/>
          <w14:ligatures w14:val="standardContextual"/>
        </w:rPr>
        <w:t xml:space="preserve"> with his Creation. The Trinity is revealed through God’s nature and activity: </w:t>
      </w:r>
      <w:r w:rsidR="008A7B39">
        <w:rPr>
          <w:rFonts w:asciiTheme="minorHAnsi" w:eastAsiaTheme="minorHAnsi" w:hAnsiTheme="minorHAnsi" w:cstheme="minorHAnsi"/>
          <w:color w:val="000000"/>
          <w:u w:color="0000E9"/>
          <w:bdr w:val="none" w:sz="0" w:space="0" w:color="auto"/>
          <w14:ligatures w14:val="standardContextual"/>
        </w:rPr>
        <w:t xml:space="preserve">the </w:t>
      </w:r>
      <w:r w:rsidRPr="00180AC1">
        <w:rPr>
          <w:rFonts w:asciiTheme="minorHAnsi" w:eastAsiaTheme="minorHAnsi" w:hAnsiTheme="minorHAnsi" w:cstheme="minorHAnsi"/>
          <w:color w:val="000000"/>
          <w:u w:color="0000E9"/>
          <w:bdr w:val="none" w:sz="0" w:space="0" w:color="auto"/>
          <w14:ligatures w14:val="standardContextual"/>
        </w:rPr>
        <w:t>God</w:t>
      </w:r>
      <w:r w:rsidR="008A7B39">
        <w:rPr>
          <w:rFonts w:asciiTheme="minorHAnsi" w:eastAsiaTheme="minorHAnsi" w:hAnsiTheme="minorHAnsi" w:cstheme="minorHAnsi"/>
          <w:color w:val="000000"/>
          <w:u w:color="0000E9"/>
          <w:bdr w:val="none" w:sz="0" w:space="0" w:color="auto"/>
          <w14:ligatures w14:val="standardContextual"/>
        </w:rPr>
        <w:t>head</w:t>
      </w:r>
      <w:r w:rsidRPr="00180AC1">
        <w:rPr>
          <w:rFonts w:asciiTheme="minorHAnsi" w:eastAsiaTheme="minorHAnsi" w:hAnsiTheme="minorHAnsi" w:cstheme="minorHAnsi"/>
          <w:color w:val="000000"/>
          <w:u w:color="0000E9"/>
          <w:bdr w:val="none" w:sz="0" w:space="0" w:color="auto"/>
          <w14:ligatures w14:val="standardContextual"/>
        </w:rPr>
        <w:t xml:space="preserve"> is both pre-existent being and agent, both</w:t>
      </w:r>
      <w:r w:rsidR="008A7B39">
        <w:rPr>
          <w:rFonts w:asciiTheme="minorHAnsi" w:eastAsiaTheme="minorHAnsi" w:hAnsiTheme="minorHAnsi" w:cstheme="minorHAnsi"/>
          <w:color w:val="000000"/>
          <w:u w:color="0000E9"/>
          <w:bdr w:val="none" w:sz="0" w:space="0" w:color="auto"/>
          <w14:ligatures w14:val="standardContextual"/>
        </w:rPr>
        <w:t xml:space="preserve"> an</w:t>
      </w:r>
      <w:r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i/>
          <w:iCs/>
          <w:color w:val="000000"/>
          <w:u w:color="0000E9"/>
          <w:bdr w:val="none" w:sz="0" w:space="0" w:color="auto"/>
          <w14:ligatures w14:val="standardContextual"/>
        </w:rPr>
        <w:t>‘immanent/ontological’</w:t>
      </w:r>
      <w:r w:rsidRPr="00180AC1">
        <w:rPr>
          <w:rFonts w:asciiTheme="minorHAnsi" w:eastAsiaTheme="minorHAnsi" w:hAnsiTheme="minorHAnsi" w:cstheme="minorHAnsi"/>
          <w:color w:val="000000"/>
          <w:u w:color="0000E9"/>
          <w:bdr w:val="none" w:sz="0" w:space="0" w:color="auto"/>
          <w14:ligatures w14:val="standardContextual"/>
        </w:rPr>
        <w:t xml:space="preserve"> and </w:t>
      </w:r>
      <w:r w:rsidRPr="00180AC1">
        <w:rPr>
          <w:rFonts w:asciiTheme="minorHAnsi" w:eastAsiaTheme="minorHAnsi" w:hAnsiTheme="minorHAnsi" w:cstheme="minorHAnsi"/>
          <w:i/>
          <w:iCs/>
          <w:color w:val="000000"/>
          <w:u w:color="0000E9"/>
          <w:bdr w:val="none" w:sz="0" w:space="0" w:color="auto"/>
          <w14:ligatures w14:val="standardContextual"/>
        </w:rPr>
        <w:t>‘economic’</w:t>
      </w:r>
      <w:r w:rsidRPr="00180AC1">
        <w:rPr>
          <w:rFonts w:asciiTheme="minorHAnsi" w:eastAsiaTheme="minorHAnsi" w:hAnsiTheme="minorHAnsi" w:cstheme="minorHAnsi"/>
          <w:color w:val="000000"/>
          <w:u w:color="0000E9"/>
          <w:bdr w:val="none" w:sz="0" w:space="0" w:color="auto"/>
          <w14:ligatures w14:val="standardContextual"/>
        </w:rPr>
        <w:t xml:space="preserve"> Trinity. God created mankind as holy in order to enjoy eternal blessedness</w:t>
      </w:r>
      <w:r w:rsidR="008A7B39">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r w:rsidR="008A7B39">
        <w:rPr>
          <w:rFonts w:asciiTheme="minorHAnsi" w:eastAsiaTheme="minorHAnsi" w:hAnsiTheme="minorHAnsi" w:cstheme="minorHAnsi"/>
          <w:color w:val="000000"/>
          <w:u w:color="0000E9"/>
          <w:bdr w:val="none" w:sz="0" w:space="0" w:color="auto"/>
          <w14:ligatures w14:val="standardContextual"/>
        </w:rPr>
        <w:t>H</w:t>
      </w:r>
      <w:r w:rsidRPr="00180AC1">
        <w:rPr>
          <w:rFonts w:asciiTheme="minorHAnsi" w:eastAsiaTheme="minorHAnsi" w:hAnsiTheme="minorHAnsi" w:cstheme="minorHAnsi"/>
          <w:color w:val="000000"/>
          <w:u w:color="0000E9"/>
          <w:bdr w:val="none" w:sz="0" w:space="0" w:color="auto"/>
          <w14:ligatures w14:val="standardContextual"/>
        </w:rPr>
        <w:t xml:space="preserve">ad </w:t>
      </w:r>
      <w:r w:rsidR="005271E4">
        <w:rPr>
          <w:rFonts w:asciiTheme="minorHAnsi" w:eastAsiaTheme="minorHAnsi" w:hAnsiTheme="minorHAnsi" w:cstheme="minorHAnsi"/>
          <w:color w:val="000000"/>
          <w:u w:color="0000E9"/>
          <w:bdr w:val="none" w:sz="0" w:space="0" w:color="auto"/>
          <w14:ligatures w14:val="standardContextual"/>
        </w:rPr>
        <w:t>mankind</w:t>
      </w:r>
      <w:r w:rsidRPr="00180AC1">
        <w:rPr>
          <w:rFonts w:asciiTheme="minorHAnsi" w:eastAsiaTheme="minorHAnsi" w:hAnsiTheme="minorHAnsi" w:cstheme="minorHAnsi"/>
          <w:color w:val="000000"/>
          <w:u w:color="0000E9"/>
          <w:bdr w:val="none" w:sz="0" w:space="0" w:color="auto"/>
          <w14:ligatures w14:val="standardContextual"/>
        </w:rPr>
        <w:t xml:space="preserve"> never sinned he would not have died</w:t>
      </w:r>
      <w:r w:rsidR="008A7B39">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r w:rsidR="008A7B39">
        <w:rPr>
          <w:rFonts w:asciiTheme="minorHAnsi" w:eastAsiaTheme="minorHAnsi" w:hAnsiTheme="minorHAnsi" w:cstheme="minorHAnsi"/>
          <w:color w:val="000000"/>
          <w:u w:color="0000E9"/>
          <w:bdr w:val="none" w:sz="0" w:space="0" w:color="auto"/>
          <w14:ligatures w14:val="standardContextual"/>
        </w:rPr>
        <w:t>T</w:t>
      </w:r>
      <w:r w:rsidRPr="00180AC1">
        <w:rPr>
          <w:rFonts w:asciiTheme="minorHAnsi" w:eastAsiaTheme="minorHAnsi" w:hAnsiTheme="minorHAnsi" w:cstheme="minorHAnsi"/>
          <w:color w:val="000000"/>
          <w:u w:color="0000E9"/>
          <w:bdr w:val="none" w:sz="0" w:space="0" w:color="auto"/>
          <w14:ligatures w14:val="standardContextual"/>
        </w:rPr>
        <w:t xml:space="preserve">his would have been inconsistent with God’s justice and </w:t>
      </w:r>
      <w:r w:rsidRPr="00180AC1">
        <w:rPr>
          <w:rFonts w:asciiTheme="minorHAnsi" w:eastAsiaTheme="minorHAnsi" w:hAnsiTheme="minorHAnsi" w:cstheme="minorHAnsi"/>
          <w:color w:val="000000"/>
          <w:u w:color="0000E9"/>
          <w:bdr w:val="none" w:sz="0" w:space="0" w:color="auto"/>
          <w14:ligatures w14:val="standardContextual"/>
        </w:rPr>
        <w:lastRenderedPageBreak/>
        <w:t>wisdom.</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6"/>
      </w:r>
      <w:r w:rsidRPr="00180AC1">
        <w:rPr>
          <w:rFonts w:asciiTheme="minorHAnsi" w:eastAsiaTheme="minorHAnsi" w:hAnsiTheme="minorHAnsi" w:cstheme="minorHAnsi"/>
          <w:color w:val="000000"/>
          <w:u w:color="0000E9"/>
          <w:bdr w:val="none" w:sz="0" w:space="0" w:color="auto"/>
          <w14:ligatures w14:val="standardContextual"/>
        </w:rPr>
        <w:t xml:space="preserve">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xml:space="preserve"> and atonement are </w:t>
      </w:r>
      <w:r w:rsidR="008A7B39">
        <w:rPr>
          <w:rFonts w:asciiTheme="minorHAnsi" w:eastAsiaTheme="minorHAnsi" w:hAnsiTheme="minorHAnsi" w:cstheme="minorHAnsi"/>
          <w:color w:val="000000"/>
          <w:u w:color="0000E9"/>
          <w:bdr w:val="none" w:sz="0" w:space="0" w:color="auto"/>
          <w14:ligatures w14:val="standardContextual"/>
        </w:rPr>
        <w:t xml:space="preserve">thus </w:t>
      </w:r>
      <w:r w:rsidRPr="00180AC1">
        <w:rPr>
          <w:rFonts w:asciiTheme="minorHAnsi" w:eastAsiaTheme="minorHAnsi" w:hAnsiTheme="minorHAnsi" w:cstheme="minorHAnsi"/>
          <w:color w:val="000000"/>
          <w:u w:color="0000E9"/>
          <w:bdr w:val="none" w:sz="0" w:space="0" w:color="auto"/>
          <w14:ligatures w14:val="standardContextual"/>
        </w:rPr>
        <w:t>intimately linked.</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7"/>
      </w:r>
      <w:r w:rsidRPr="00180AC1">
        <w:rPr>
          <w:rFonts w:asciiTheme="minorHAnsi" w:eastAsiaTheme="minorHAnsi" w:hAnsiTheme="minorHAnsi" w:cstheme="minorHAnsi"/>
          <w:color w:val="000000"/>
          <w:u w:color="0000E9"/>
          <w:bdr w:val="none" w:sz="0" w:space="0" w:color="auto"/>
          <w14:ligatures w14:val="standardContextual"/>
        </w:rPr>
        <w:t xml:space="preserve"> Atonement is impossible without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8"/>
      </w:r>
      <w:r w:rsidR="00050293">
        <w:rPr>
          <w:rFonts w:asciiTheme="minorHAnsi" w:eastAsiaTheme="minorHAnsi" w:hAnsiTheme="minorHAnsi" w:cstheme="minorHAnsi"/>
          <w:color w:val="000000"/>
          <w:u w:color="0000E9"/>
          <w:bdr w:val="none" w:sz="0" w:space="0" w:color="auto"/>
          <w14:ligatures w14:val="standardContextual"/>
        </w:rPr>
        <w:t xml:space="preserve"> </w:t>
      </w:r>
    </w:p>
    <w:p w14:paraId="792BE274" w14:textId="77777777" w:rsidR="002A0389" w:rsidRPr="00180AC1" w:rsidRDefault="002A038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67B61EBA" w14:textId="3D3449DB" w:rsidR="007C566E" w:rsidRPr="00D543D0" w:rsidRDefault="007C566E"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2" w:name="_Toc132210840"/>
      <w:r w:rsidRPr="00D543D0">
        <w:rPr>
          <w:rFonts w:asciiTheme="minorHAnsi" w:eastAsiaTheme="minorHAnsi" w:hAnsiTheme="minorHAnsi" w:cstheme="minorHAnsi"/>
          <w:b/>
          <w:bCs/>
          <w:color w:val="auto"/>
          <w:sz w:val="24"/>
          <w:szCs w:val="24"/>
          <w:u w:color="0000E9"/>
          <w:bdr w:val="none" w:sz="0" w:space="0" w:color="auto"/>
        </w:rPr>
        <w:t>Feudal</w:t>
      </w:r>
      <w:r w:rsidR="008A7B39">
        <w:rPr>
          <w:rFonts w:asciiTheme="minorHAnsi" w:eastAsiaTheme="minorHAnsi" w:hAnsiTheme="minorHAnsi" w:cstheme="minorHAnsi"/>
          <w:b/>
          <w:bCs/>
          <w:color w:val="auto"/>
          <w:sz w:val="24"/>
          <w:szCs w:val="24"/>
          <w:u w:color="0000E9"/>
          <w:bdr w:val="none" w:sz="0" w:space="0" w:color="auto"/>
        </w:rPr>
        <w:t>ism and</w:t>
      </w:r>
      <w:r w:rsidRPr="00D543D0">
        <w:rPr>
          <w:rFonts w:asciiTheme="minorHAnsi" w:eastAsiaTheme="minorHAnsi" w:hAnsiTheme="minorHAnsi" w:cstheme="minorHAnsi"/>
          <w:b/>
          <w:bCs/>
          <w:color w:val="auto"/>
          <w:sz w:val="24"/>
          <w:szCs w:val="24"/>
          <w:u w:color="0000E9"/>
          <w:bdr w:val="none" w:sz="0" w:space="0" w:color="auto"/>
        </w:rPr>
        <w:t xml:space="preserve"> Anselm’s </w:t>
      </w:r>
      <w:r w:rsidR="004E603C">
        <w:rPr>
          <w:rFonts w:asciiTheme="minorHAnsi" w:eastAsiaTheme="minorHAnsi" w:hAnsiTheme="minorHAnsi" w:cstheme="minorHAnsi"/>
          <w:b/>
          <w:bCs/>
          <w:color w:val="auto"/>
          <w:sz w:val="24"/>
          <w:szCs w:val="24"/>
          <w:u w:color="0000E9"/>
          <w:bdr w:val="none" w:sz="0" w:space="0" w:color="auto"/>
        </w:rPr>
        <w:t>reasoning</w:t>
      </w:r>
      <w:bookmarkEnd w:id="2"/>
    </w:p>
    <w:p w14:paraId="09BB9E2B" w14:textId="6751580A" w:rsid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Theology can never be static. </w:t>
      </w:r>
      <w:r w:rsidR="00EB7F41">
        <w:rPr>
          <w:rFonts w:asciiTheme="minorHAnsi" w:eastAsiaTheme="minorHAnsi" w:hAnsiTheme="minorHAnsi" w:cstheme="minorHAnsi"/>
          <w:color w:val="000000"/>
          <w:u w:color="0000E9"/>
          <w:bdr w:val="none" w:sz="0" w:space="0" w:color="auto"/>
          <w14:ligatures w14:val="standardContextual"/>
        </w:rPr>
        <w:t>As</w:t>
      </w:r>
      <w:r w:rsidRPr="00180AC1">
        <w:rPr>
          <w:rFonts w:asciiTheme="minorHAnsi" w:eastAsiaTheme="minorHAnsi" w:hAnsiTheme="minorHAnsi" w:cstheme="minorHAnsi"/>
          <w:color w:val="000000"/>
          <w:u w:color="0000E9"/>
          <w:bdr w:val="none" w:sz="0" w:space="0" w:color="auto"/>
          <w14:ligatures w14:val="standardContextual"/>
        </w:rPr>
        <w:t xml:space="preserve"> a human construct, it is always open to contemporary contextual re-examination</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9"/>
      </w:r>
      <w:r w:rsidR="00050293">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rather like Laurie Greene’s spiral of theological reflection</w:t>
      </w:r>
      <w:r w:rsidR="008A7B39">
        <w:rPr>
          <w:rFonts w:asciiTheme="minorHAnsi" w:eastAsiaTheme="minorHAnsi" w:hAnsiTheme="minorHAnsi" w:cstheme="minorHAnsi"/>
          <w:color w:val="000000"/>
          <w:u w:color="0000E9"/>
          <w:bdr w:val="none" w:sz="0" w:space="0" w:color="auto"/>
          <w14:ligatures w14:val="standardContextual"/>
        </w:rPr>
        <w:t>.</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10"/>
      </w:r>
      <w:r w:rsidR="00050293">
        <w:rPr>
          <w:rFonts w:asciiTheme="minorHAnsi" w:eastAsiaTheme="minorHAnsi" w:hAnsiTheme="minorHAnsi" w:cstheme="minorHAnsi"/>
          <w:color w:val="000000"/>
          <w:u w:color="0000E9"/>
          <w:bdr w:val="none" w:sz="0" w:space="0" w:color="auto"/>
          <w14:ligatures w14:val="standardContextual"/>
        </w:rPr>
        <w:t xml:space="preserve"> </w:t>
      </w:r>
      <w:r w:rsidR="00EB7F41" w:rsidRPr="00180AC1">
        <w:rPr>
          <w:rFonts w:asciiTheme="minorHAnsi" w:eastAsiaTheme="minorHAnsi" w:hAnsiTheme="minorHAnsi" w:cstheme="minorHAnsi"/>
          <w:color w:val="000000"/>
          <w:u w:color="0000E9"/>
          <w:bdr w:val="none" w:sz="0" w:space="0" w:color="auto"/>
          <w14:ligatures w14:val="standardContextual"/>
        </w:rPr>
        <w:t xml:space="preserve">Each dogmatic statement responds </w:t>
      </w:r>
      <w:r w:rsidR="008A7B39">
        <w:rPr>
          <w:rFonts w:asciiTheme="minorHAnsi" w:eastAsiaTheme="minorHAnsi" w:hAnsiTheme="minorHAnsi" w:cstheme="minorHAnsi"/>
          <w:color w:val="000000"/>
          <w:u w:color="0000E9"/>
          <w:bdr w:val="none" w:sz="0" w:space="0" w:color="auto"/>
          <w14:ligatures w14:val="standardContextual"/>
        </w:rPr>
        <w:t>with</w:t>
      </w:r>
      <w:r w:rsidR="00EB7F41" w:rsidRPr="00180AC1">
        <w:rPr>
          <w:rFonts w:asciiTheme="minorHAnsi" w:eastAsiaTheme="minorHAnsi" w:hAnsiTheme="minorHAnsi" w:cstheme="minorHAnsi"/>
          <w:color w:val="000000"/>
          <w:u w:color="0000E9"/>
          <w:bdr w:val="none" w:sz="0" w:space="0" w:color="auto"/>
          <w14:ligatures w14:val="standardContextual"/>
        </w:rPr>
        <w:t xml:space="preserve"> the fresh eyes </w:t>
      </w:r>
      <w:r w:rsidR="008A7B39" w:rsidRPr="00180AC1">
        <w:rPr>
          <w:rFonts w:asciiTheme="minorHAnsi" w:eastAsiaTheme="minorHAnsi" w:hAnsiTheme="minorHAnsi" w:cstheme="minorHAnsi"/>
          <w:color w:val="000000"/>
          <w:u w:color="0000E9"/>
          <w:bdr w:val="none" w:sz="0" w:space="0" w:color="auto"/>
          <w14:ligatures w14:val="standardContextual"/>
        </w:rPr>
        <w:t>“open to the future”</w:t>
      </w:r>
      <w:r w:rsidR="008A7B39">
        <w:rPr>
          <w:rStyle w:val="FootnoteReference"/>
          <w:rFonts w:asciiTheme="minorHAnsi" w:eastAsiaTheme="minorHAnsi" w:hAnsiTheme="minorHAnsi" w:cstheme="minorHAnsi"/>
          <w:color w:val="000000"/>
          <w:u w:color="0000E9"/>
          <w:bdr w:val="none" w:sz="0" w:space="0" w:color="auto"/>
          <w14:ligatures w14:val="standardContextual"/>
        </w:rPr>
        <w:footnoteReference w:id="11"/>
      </w:r>
      <w:r w:rsidR="008A7B39">
        <w:rPr>
          <w:rFonts w:asciiTheme="minorHAnsi" w:eastAsiaTheme="minorHAnsi" w:hAnsiTheme="minorHAnsi" w:cstheme="minorHAnsi"/>
          <w:color w:val="000000"/>
          <w:u w:color="0000E9"/>
          <w:bdr w:val="none" w:sz="0" w:space="0" w:color="auto"/>
          <w14:ligatures w14:val="standardContextual"/>
        </w:rPr>
        <w:t xml:space="preserve"> </w:t>
      </w:r>
      <w:r w:rsidR="00EB7F41" w:rsidRPr="00180AC1">
        <w:rPr>
          <w:rFonts w:asciiTheme="minorHAnsi" w:eastAsiaTheme="minorHAnsi" w:hAnsiTheme="minorHAnsi" w:cstheme="minorHAnsi"/>
          <w:color w:val="000000"/>
          <w:u w:color="0000E9"/>
          <w:bdr w:val="none" w:sz="0" w:space="0" w:color="auto"/>
          <w14:ligatures w14:val="standardContextual"/>
        </w:rPr>
        <w:t>of the contemporary context</w:t>
      </w:r>
      <w:r w:rsidR="00EB7F41">
        <w:rPr>
          <w:rFonts w:asciiTheme="minorHAnsi" w:eastAsiaTheme="minorHAnsi" w:hAnsiTheme="minorHAnsi" w:cstheme="minorHAnsi"/>
          <w:color w:val="000000"/>
          <w:u w:color="0000E9"/>
          <w:bdr w:val="none" w:sz="0" w:space="0" w:color="auto"/>
          <w14:ligatures w14:val="standardContextual"/>
        </w:rPr>
        <w:t>.</w:t>
      </w:r>
      <w:r w:rsidR="009C0EA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Anselm’s Trinity therefore bears the stamp of his feudal cultural environment, his own theology influenced greatly by that of Augustine. Feudalistic culture places covenantal responsibilities and codes of honour on all parties. Honour given and honour owed are the backbone of a stable society. Lord/Master is bound in mutually covenantal relationship with servant/serf/subject. Both are free to act within its constraints</w:t>
      </w:r>
      <w:r w:rsidR="008A7B39">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r w:rsidR="008A7B39">
        <w:rPr>
          <w:rFonts w:asciiTheme="minorHAnsi" w:eastAsiaTheme="minorHAnsi" w:hAnsiTheme="minorHAnsi" w:cstheme="minorHAnsi"/>
          <w:color w:val="000000"/>
          <w:u w:color="0000E9"/>
          <w:bdr w:val="none" w:sz="0" w:space="0" w:color="auto"/>
          <w14:ligatures w14:val="standardContextual"/>
        </w:rPr>
        <w:t>A</w:t>
      </w:r>
      <w:r w:rsidRPr="00180AC1">
        <w:rPr>
          <w:rFonts w:asciiTheme="minorHAnsi" w:eastAsiaTheme="minorHAnsi" w:hAnsiTheme="minorHAnsi" w:cstheme="minorHAnsi"/>
          <w:color w:val="000000"/>
          <w:u w:color="0000E9"/>
          <w:bdr w:val="none" w:sz="0" w:space="0" w:color="auto"/>
          <w14:ligatures w14:val="standardContextual"/>
        </w:rPr>
        <w:t>ny offence which impugns honour requires satisfaction. Anselm reasons that, whilst pre-existent</w:t>
      </w:r>
      <w:r w:rsidR="009C0EA1">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God has freedom to act as he wills</w:t>
      </w:r>
      <w:r w:rsidR="009C0EA1">
        <w:rPr>
          <w:rFonts w:asciiTheme="minorHAnsi" w:eastAsiaTheme="minorHAnsi" w:hAnsiTheme="minorHAnsi" w:cstheme="minorHAnsi"/>
          <w:color w:val="000000"/>
          <w:u w:color="0000E9"/>
          <w:bdr w:val="none" w:sz="0" w:space="0" w:color="auto"/>
          <w14:ligatures w14:val="standardContextual"/>
        </w:rPr>
        <w:t>. H</w:t>
      </w:r>
      <w:r w:rsidRPr="00180AC1">
        <w:rPr>
          <w:rFonts w:asciiTheme="minorHAnsi" w:eastAsiaTheme="minorHAnsi" w:hAnsiTheme="minorHAnsi" w:cstheme="minorHAnsi"/>
          <w:color w:val="000000"/>
          <w:u w:color="0000E9"/>
          <w:bdr w:val="none" w:sz="0" w:space="0" w:color="auto"/>
          <w14:ligatures w14:val="standardContextual"/>
        </w:rPr>
        <w:t>e graciously and willingly seeks humanity’s salvation to satisfy the debt owed to God for mankind’s impugning of his honour, but also for mankind’s good.</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2"/>
      </w:r>
      <w:r w:rsidRPr="00180AC1">
        <w:rPr>
          <w:rFonts w:asciiTheme="minorHAnsi" w:eastAsiaTheme="minorHAnsi" w:hAnsiTheme="minorHAnsi" w:cstheme="minorHAnsi"/>
          <w:color w:val="000000"/>
          <w:u w:color="0000E9"/>
          <w:bdr w:val="none" w:sz="0" w:space="0" w:color="auto"/>
          <w14:ligatures w14:val="standardContextual"/>
        </w:rPr>
        <w:t xml:space="preserve"> Only the sacrificial death of an infinite being can redeem/satisfy God’s offended honour</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3"/>
      </w:r>
      <w:r w:rsidR="009C0EA1">
        <w:rPr>
          <w:rFonts w:asciiTheme="minorHAnsi" w:eastAsiaTheme="minorHAnsi" w:hAnsiTheme="minorHAnsi" w:cstheme="minorHAnsi"/>
          <w:color w:val="000000"/>
          <w:u w:color="0000E9"/>
          <w:bdr w:val="none" w:sz="0" w:space="0" w:color="auto"/>
          <w14:ligatures w14:val="standardContextual"/>
        </w:rPr>
        <w:t>,</w:t>
      </w:r>
      <w:r w:rsidR="00795C4A">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only God himself.</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4"/>
      </w:r>
      <w:r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i/>
          <w:iCs/>
          <w:color w:val="000000"/>
          <w:u w:color="0000E9"/>
          <w:bdr w:val="none" w:sz="0" w:space="0" w:color="auto"/>
          <w14:ligatures w14:val="standardContextual"/>
        </w:rPr>
        <w:t xml:space="preserve">Satisfaction </w:t>
      </w:r>
      <w:r w:rsidRPr="00180AC1">
        <w:rPr>
          <w:rFonts w:asciiTheme="minorHAnsi" w:eastAsiaTheme="minorHAnsi" w:hAnsiTheme="minorHAnsi" w:cstheme="minorHAnsi"/>
          <w:color w:val="000000"/>
          <w:u w:color="0000E9"/>
          <w:bdr w:val="none" w:sz="0" w:space="0" w:color="auto"/>
          <w14:ligatures w14:val="standardContextual"/>
        </w:rPr>
        <w:t>is thus a commercial transaction. It is only realisable through someone of equal divine-human standing, Jesus Christ,</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5"/>
      </w:r>
      <w:r w:rsidRPr="00180AC1">
        <w:rPr>
          <w:rFonts w:asciiTheme="minorHAnsi" w:eastAsiaTheme="minorHAnsi" w:hAnsiTheme="minorHAnsi" w:cstheme="minorHAnsi"/>
          <w:color w:val="000000"/>
          <w:u w:color="0000E9"/>
          <w:bdr w:val="none" w:sz="0" w:space="0" w:color="auto"/>
          <w14:ligatures w14:val="standardContextual"/>
        </w:rPr>
        <w:t xml:space="preserve"> and in willing obedience to his Father</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6"/>
      </w:r>
      <w:r w:rsidR="00795C4A">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for “as one person of the Trinity, he must have had whatever he possessed of his own right, so as to be complete in himself”</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7"/>
      </w:r>
      <w:r w:rsidR="00795C4A">
        <w:rPr>
          <w:rFonts w:asciiTheme="minorHAnsi" w:eastAsiaTheme="minorHAnsi" w:hAnsiTheme="minorHAnsi" w:cstheme="minorHAnsi"/>
          <w:color w:val="000000"/>
          <w:u w:color="0000E9"/>
          <w:bdr w:val="none" w:sz="0" w:space="0" w:color="auto"/>
          <w14:ligatures w14:val="standardContextual"/>
        </w:rPr>
        <w:t>.</w:t>
      </w:r>
    </w:p>
    <w:p w14:paraId="563CAF6D" w14:textId="77777777" w:rsidR="000C1DA9" w:rsidRPr="00180AC1" w:rsidRDefault="000C1DA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7DAF8EFD" w14:textId="5B01F8BA"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lastRenderedPageBreak/>
        <w:t xml:space="preserve">In other words, Christ’s death for God’s impugned honour is </w:t>
      </w:r>
      <w:r w:rsidRPr="00180AC1">
        <w:rPr>
          <w:rFonts w:asciiTheme="minorHAnsi" w:eastAsiaTheme="minorHAnsi" w:hAnsiTheme="minorHAnsi" w:cstheme="minorHAnsi"/>
          <w:i/>
          <w:iCs/>
          <w:color w:val="000000"/>
          <w:u w:color="0000E9"/>
          <w:bdr w:val="none" w:sz="0" w:space="0" w:color="auto"/>
          <w14:ligatures w14:val="standardContextual"/>
        </w:rPr>
        <w:t>substitutionary</w:t>
      </w:r>
      <w:r w:rsidRPr="00180AC1">
        <w:rPr>
          <w:rFonts w:asciiTheme="minorHAnsi" w:eastAsiaTheme="minorHAnsi" w:hAnsiTheme="minorHAnsi" w:cstheme="minorHAnsi"/>
          <w:color w:val="000000"/>
          <w:u w:color="0000E9"/>
          <w:bdr w:val="none" w:sz="0" w:space="0" w:color="auto"/>
          <w14:ligatures w14:val="standardContextual"/>
        </w:rPr>
        <w:t>, named by some</w:t>
      </w:r>
      <w:r w:rsidR="009C0EA1">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Anselm’s “ransom theory of atonement”</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8"/>
      </w:r>
      <w:r w:rsidR="00795C4A">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Anselm illustrates Christ’s obedient sacrificial and atoning death, citing Abraham’s obedience to sacrifice his son Isaac and Jesus’ own words about taking</w:t>
      </w:r>
      <w:r w:rsidR="00100952">
        <w:rPr>
          <w:rFonts w:asciiTheme="minorHAnsi" w:eastAsiaTheme="minorHAnsi" w:hAnsiTheme="minorHAnsi" w:cstheme="minorHAnsi"/>
          <w:color w:val="000000"/>
          <w:u w:color="0000E9"/>
          <w:bdr w:val="none" w:sz="0" w:space="0" w:color="auto"/>
          <w14:ligatures w14:val="standardContextual"/>
        </w:rPr>
        <w:t xml:space="preserve"> up</w:t>
      </w:r>
      <w:r w:rsidRPr="00180AC1">
        <w:rPr>
          <w:rFonts w:asciiTheme="minorHAnsi" w:eastAsiaTheme="minorHAnsi" w:hAnsiTheme="minorHAnsi" w:cstheme="minorHAnsi"/>
          <w:color w:val="000000"/>
          <w:u w:color="0000E9"/>
          <w:bdr w:val="none" w:sz="0" w:space="0" w:color="auto"/>
          <w14:ligatures w14:val="standardContextual"/>
        </w:rPr>
        <w:t xml:space="preserve"> his yoke</w:t>
      </w:r>
      <w:r w:rsidR="00795C4A">
        <w:rPr>
          <w:rFonts w:asciiTheme="minorHAnsi" w:eastAsiaTheme="minorHAnsi" w:hAnsiTheme="minorHAnsi" w:cstheme="minorHAnsi"/>
          <w:color w:val="000000"/>
          <w:u w:color="0000E9"/>
          <w:bdr w:val="none" w:sz="0" w:space="0" w:color="auto"/>
          <w14:ligatures w14:val="standardContextual"/>
        </w:rPr>
        <w:t>.</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9"/>
      </w:r>
      <w:r w:rsidRPr="00180AC1">
        <w:rPr>
          <w:rFonts w:asciiTheme="minorHAnsi" w:eastAsiaTheme="minorHAnsi" w:hAnsiTheme="minorHAnsi" w:cstheme="minorHAnsi"/>
          <w:color w:val="000000"/>
          <w:u w:color="0000E9"/>
          <w:bdr w:val="none" w:sz="0" w:space="0" w:color="auto"/>
          <w14:ligatures w14:val="standardContextual"/>
        </w:rPr>
        <w:t xml:space="preserve"> </w:t>
      </w:r>
      <w:r w:rsidR="008D56DA">
        <w:rPr>
          <w:rFonts w:asciiTheme="minorHAnsi" w:eastAsiaTheme="minorHAnsi" w:hAnsiTheme="minorHAnsi" w:cstheme="minorHAnsi"/>
          <w:color w:val="000000"/>
          <w:u w:color="0000E9"/>
          <w:bdr w:val="none" w:sz="0" w:space="0" w:color="auto"/>
          <w14:ligatures w14:val="standardContextual"/>
        </w:rPr>
        <w:t xml:space="preserve">The power of </w:t>
      </w:r>
      <w:r w:rsidR="00D04F28">
        <w:rPr>
          <w:rFonts w:asciiTheme="minorHAnsi" w:eastAsiaTheme="minorHAnsi" w:hAnsiTheme="minorHAnsi" w:cstheme="minorHAnsi"/>
          <w:color w:val="000000"/>
          <w:u w:color="0000E9"/>
          <w:bdr w:val="none" w:sz="0" w:space="0" w:color="auto"/>
          <w14:ligatures w14:val="standardContextual"/>
        </w:rPr>
        <w:t>Christ’s atoning death completes the heavenly state</w:t>
      </w:r>
      <w:r w:rsidR="008D56DA">
        <w:rPr>
          <w:rFonts w:asciiTheme="minorHAnsi" w:eastAsiaTheme="minorHAnsi" w:hAnsiTheme="minorHAnsi" w:cstheme="minorHAnsi"/>
          <w:color w:val="000000"/>
          <w:u w:color="0000E9"/>
          <w:bdr w:val="none" w:sz="0" w:space="0" w:color="auto"/>
          <w14:ligatures w14:val="standardContextual"/>
        </w:rPr>
        <w:t xml:space="preserve"> and extends “even to those far remote in place and time”</w:t>
      </w:r>
      <w:r w:rsidR="008D56DA" w:rsidRPr="008D56DA">
        <w:rPr>
          <w:rStyle w:val="FootnoteReference"/>
          <w:rFonts w:asciiTheme="minorHAnsi" w:eastAsiaTheme="minorHAnsi" w:hAnsiTheme="minorHAnsi" w:cstheme="minorHAnsi"/>
          <w:color w:val="000000"/>
          <w:u w:color="0000E9"/>
          <w:bdr w:val="none" w:sz="0" w:space="0" w:color="auto"/>
          <w14:ligatures w14:val="standardContextual"/>
        </w:rPr>
        <w:t xml:space="preserve"> </w:t>
      </w:r>
      <w:r w:rsidR="008D56DA">
        <w:rPr>
          <w:rStyle w:val="FootnoteReference"/>
          <w:rFonts w:asciiTheme="minorHAnsi" w:eastAsiaTheme="minorHAnsi" w:hAnsiTheme="minorHAnsi" w:cstheme="minorHAnsi"/>
          <w:color w:val="000000"/>
          <w:u w:color="0000E9"/>
          <w:bdr w:val="none" w:sz="0" w:space="0" w:color="auto"/>
          <w14:ligatures w14:val="standardContextual"/>
        </w:rPr>
        <w:footnoteReference w:id="20"/>
      </w:r>
      <w:r w:rsidR="008D56DA">
        <w:rPr>
          <w:rFonts w:asciiTheme="minorHAnsi" w:eastAsiaTheme="minorHAnsi" w:hAnsiTheme="minorHAnsi" w:cstheme="minorHAnsi"/>
          <w:color w:val="000000"/>
          <w:u w:color="0000E9"/>
          <w:bdr w:val="none" w:sz="0" w:space="0" w:color="auto"/>
          <w14:ligatures w14:val="standardContextual"/>
        </w:rPr>
        <w:t xml:space="preserve">, </w:t>
      </w:r>
      <w:r w:rsidR="00D04F28">
        <w:rPr>
          <w:rFonts w:asciiTheme="minorHAnsi" w:eastAsiaTheme="minorHAnsi" w:hAnsiTheme="minorHAnsi" w:cstheme="minorHAnsi"/>
          <w:color w:val="000000"/>
          <w:u w:color="0000E9"/>
          <w:bdr w:val="none" w:sz="0" w:space="0" w:color="auto"/>
          <w14:ligatures w14:val="standardContextual"/>
        </w:rPr>
        <w:t>benefitting</w:t>
      </w:r>
      <w:r w:rsidR="008D56DA">
        <w:rPr>
          <w:rFonts w:asciiTheme="minorHAnsi" w:eastAsiaTheme="minorHAnsi" w:hAnsiTheme="minorHAnsi" w:cstheme="minorHAnsi"/>
          <w:color w:val="000000"/>
          <w:u w:color="0000E9"/>
          <w:bdr w:val="none" w:sz="0" w:space="0" w:color="auto"/>
          <w14:ligatures w14:val="standardContextual"/>
        </w:rPr>
        <w:t xml:space="preserve"> </w:t>
      </w:r>
      <w:r w:rsidR="00D04F28">
        <w:rPr>
          <w:rFonts w:asciiTheme="minorHAnsi" w:eastAsiaTheme="minorHAnsi" w:hAnsiTheme="minorHAnsi" w:cstheme="minorHAnsi"/>
          <w:color w:val="000000"/>
          <w:u w:color="0000E9"/>
          <w:bdr w:val="none" w:sz="0" w:space="0" w:color="auto"/>
          <w14:ligatures w14:val="standardContextual"/>
        </w:rPr>
        <w:t>th</w:t>
      </w:r>
      <w:r w:rsidR="008D56DA">
        <w:rPr>
          <w:rFonts w:asciiTheme="minorHAnsi" w:eastAsiaTheme="minorHAnsi" w:hAnsiTheme="minorHAnsi" w:cstheme="minorHAnsi"/>
          <w:color w:val="000000"/>
          <w:u w:color="0000E9"/>
          <w:bdr w:val="none" w:sz="0" w:space="0" w:color="auto"/>
          <w14:ligatures w14:val="standardContextual"/>
        </w:rPr>
        <w:t>ose</w:t>
      </w:r>
      <w:r w:rsidR="00D04F28">
        <w:rPr>
          <w:rFonts w:asciiTheme="minorHAnsi" w:eastAsiaTheme="minorHAnsi" w:hAnsiTheme="minorHAnsi" w:cstheme="minorHAnsi"/>
          <w:color w:val="000000"/>
          <w:u w:color="0000E9"/>
          <w:bdr w:val="none" w:sz="0" w:space="0" w:color="auto"/>
          <w14:ligatures w14:val="standardContextual"/>
        </w:rPr>
        <w:t xml:space="preserve"> living</w:t>
      </w:r>
      <w:r w:rsidR="008D56DA">
        <w:rPr>
          <w:rFonts w:asciiTheme="minorHAnsi" w:eastAsiaTheme="minorHAnsi" w:hAnsiTheme="minorHAnsi" w:cstheme="minorHAnsi"/>
          <w:color w:val="000000"/>
          <w:u w:color="0000E9"/>
          <w:bdr w:val="none" w:sz="0" w:space="0" w:color="auto"/>
          <w14:ligatures w14:val="standardContextual"/>
        </w:rPr>
        <w:t xml:space="preserve"> then</w:t>
      </w:r>
      <w:r w:rsidR="00D04F28">
        <w:rPr>
          <w:rFonts w:asciiTheme="minorHAnsi" w:eastAsiaTheme="minorHAnsi" w:hAnsiTheme="minorHAnsi" w:cstheme="minorHAnsi"/>
          <w:color w:val="000000"/>
          <w:u w:color="0000E9"/>
          <w:bdr w:val="none" w:sz="0" w:space="0" w:color="auto"/>
          <w14:ligatures w14:val="standardContextual"/>
        </w:rPr>
        <w:t xml:space="preserve">, but </w:t>
      </w:r>
      <w:r w:rsidR="008D56DA">
        <w:rPr>
          <w:rFonts w:asciiTheme="minorHAnsi" w:eastAsiaTheme="minorHAnsi" w:hAnsiTheme="minorHAnsi" w:cstheme="minorHAnsi"/>
          <w:color w:val="000000"/>
          <w:u w:color="0000E9"/>
          <w:bdr w:val="none" w:sz="0" w:space="0" w:color="auto"/>
          <w14:ligatures w14:val="standardContextual"/>
        </w:rPr>
        <w:t xml:space="preserve">also the dead and the </w:t>
      </w:r>
      <w:r w:rsidR="00D04F28">
        <w:rPr>
          <w:rFonts w:asciiTheme="minorHAnsi" w:eastAsiaTheme="minorHAnsi" w:hAnsiTheme="minorHAnsi" w:cstheme="minorHAnsi"/>
          <w:color w:val="000000"/>
          <w:u w:color="0000E9"/>
          <w:bdr w:val="none" w:sz="0" w:space="0" w:color="auto"/>
          <w14:ligatures w14:val="standardContextual"/>
        </w:rPr>
        <w:t xml:space="preserve">yet </w:t>
      </w:r>
      <w:r w:rsidR="008D56DA">
        <w:rPr>
          <w:rFonts w:asciiTheme="minorHAnsi" w:eastAsiaTheme="minorHAnsi" w:hAnsiTheme="minorHAnsi" w:cstheme="minorHAnsi"/>
          <w:color w:val="000000"/>
          <w:u w:color="0000E9"/>
          <w:bdr w:val="none" w:sz="0" w:space="0" w:color="auto"/>
          <w14:ligatures w14:val="standardContextual"/>
        </w:rPr>
        <w:t>un</w:t>
      </w:r>
      <w:r w:rsidR="00D04F28">
        <w:rPr>
          <w:rFonts w:asciiTheme="minorHAnsi" w:eastAsiaTheme="minorHAnsi" w:hAnsiTheme="minorHAnsi" w:cstheme="minorHAnsi"/>
          <w:color w:val="000000"/>
          <w:u w:color="0000E9"/>
          <w:bdr w:val="none" w:sz="0" w:space="0" w:color="auto"/>
          <w14:ligatures w14:val="standardContextual"/>
        </w:rPr>
        <w:t>born</w:t>
      </w:r>
      <w:r w:rsidRPr="00180AC1">
        <w:rPr>
          <w:rFonts w:asciiTheme="minorHAnsi" w:eastAsiaTheme="minorHAnsi" w:hAnsiTheme="minorHAnsi" w:cstheme="minorHAnsi"/>
          <w:color w:val="000000"/>
          <w:u w:color="0000E9"/>
          <w:bdr w:val="none" w:sz="0" w:space="0" w:color="auto"/>
          <w14:ligatures w14:val="standardContextual"/>
        </w:rPr>
        <w:t xml:space="preserve">. </w:t>
      </w:r>
    </w:p>
    <w:p w14:paraId="13BBE858" w14:textId="77777777" w:rsidR="000C1DA9" w:rsidRPr="00180AC1" w:rsidRDefault="000C1DA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6C67855F" w14:textId="129E140F"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In modern theological reasoning on the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emphasis is often placed on the Father</w:t>
      </w:r>
      <w:r w:rsidR="00D44D63">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incarnated Son relationship. Anselm categorically affirm</w:t>
      </w:r>
      <w:r w:rsidR="008A7B39">
        <w:rPr>
          <w:rFonts w:asciiTheme="minorHAnsi" w:eastAsiaTheme="minorHAnsi" w:hAnsiTheme="minorHAnsi" w:cstheme="minorHAnsi"/>
          <w:color w:val="000000"/>
          <w:u w:color="0000E9"/>
          <w:bdr w:val="none" w:sz="0" w:space="0" w:color="auto"/>
          <w14:ligatures w14:val="standardContextual"/>
        </w:rPr>
        <w:t>s</w:t>
      </w:r>
      <w:r w:rsidRPr="00180AC1">
        <w:rPr>
          <w:rFonts w:asciiTheme="minorHAnsi" w:eastAsiaTheme="minorHAnsi" w:hAnsiTheme="minorHAnsi" w:cstheme="minorHAnsi"/>
          <w:color w:val="000000"/>
          <w:u w:color="0000E9"/>
          <w:bdr w:val="none" w:sz="0" w:space="0" w:color="auto"/>
          <w14:ligatures w14:val="standardContextual"/>
        </w:rPr>
        <w:t xml:space="preserve"> this relationship</w:t>
      </w:r>
      <w:r w:rsidR="00A4696D">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p>
    <w:p w14:paraId="5A748013" w14:textId="39744BA0"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960"/>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“the Lord Jesus Christ is very God and very man, one person in two natures, and two natures in one person … both Divine and human. In the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xml:space="preserve"> of God there is no lowering of the Deity.”</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21"/>
      </w:r>
      <w:r w:rsidRPr="00180AC1">
        <w:rPr>
          <w:rFonts w:asciiTheme="minorHAnsi" w:eastAsiaTheme="minorHAnsi" w:hAnsiTheme="minorHAnsi" w:cstheme="minorHAnsi"/>
          <w:color w:val="000000"/>
          <w:u w:color="0000E9"/>
          <w:bdr w:val="none" w:sz="0" w:space="0" w:color="auto"/>
          <w14:ligatures w14:val="standardContextual"/>
        </w:rPr>
        <w:t xml:space="preserve"> </w:t>
      </w:r>
    </w:p>
    <w:p w14:paraId="42624EC4" w14:textId="59E612AC" w:rsidR="00180AC1" w:rsidRPr="00180AC1" w:rsidRDefault="009C0EA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His</w:t>
      </w:r>
      <w:r w:rsidR="00180AC1" w:rsidRPr="00180AC1">
        <w:rPr>
          <w:rFonts w:asciiTheme="minorHAnsi" w:eastAsiaTheme="minorHAnsi" w:hAnsiTheme="minorHAnsi" w:cstheme="minorHAnsi"/>
          <w:color w:val="000000"/>
          <w:u w:color="0000E9"/>
          <w:bdr w:val="none" w:sz="0" w:space="0" w:color="auto"/>
          <w14:ligatures w14:val="standardContextual"/>
        </w:rPr>
        <w:t xml:space="preserve"> views on the Trinity and the </w:t>
      </w:r>
      <w:r w:rsidR="005271E4">
        <w:rPr>
          <w:rFonts w:asciiTheme="minorHAnsi" w:eastAsiaTheme="minorHAnsi" w:hAnsiTheme="minorHAnsi" w:cstheme="minorHAnsi"/>
          <w:color w:val="000000"/>
          <w:u w:color="0000E9"/>
          <w:bdr w:val="none" w:sz="0" w:space="0" w:color="auto"/>
          <w14:ligatures w14:val="standardContextual"/>
        </w:rPr>
        <w:t>Incarnation</w:t>
      </w:r>
      <w:r w:rsidR="00180AC1" w:rsidRPr="00180AC1">
        <w:rPr>
          <w:rFonts w:asciiTheme="minorHAnsi" w:eastAsiaTheme="minorHAnsi" w:hAnsiTheme="minorHAnsi" w:cstheme="minorHAnsi"/>
          <w:color w:val="000000"/>
          <w:u w:color="0000E9"/>
          <w:bdr w:val="none" w:sz="0" w:space="0" w:color="auto"/>
          <w14:ligatures w14:val="standardContextual"/>
        </w:rPr>
        <w:t xml:space="preserve"> are orthodox</w:t>
      </w:r>
      <w:r w:rsidR="00FF6E9A">
        <w:rPr>
          <w:rFonts w:asciiTheme="minorHAnsi" w:eastAsiaTheme="minorHAnsi" w:hAnsiTheme="minorHAnsi" w:cstheme="minorHAnsi"/>
          <w:color w:val="000000"/>
          <w:u w:color="0000E9"/>
          <w:bdr w:val="none" w:sz="0" w:space="0" w:color="auto"/>
          <w14:ligatures w14:val="standardContextual"/>
        </w:rPr>
        <w:t>:</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22"/>
      </w:r>
      <w:r w:rsidR="00795C4A">
        <w:rPr>
          <w:rFonts w:asciiTheme="minorHAnsi" w:eastAsiaTheme="minorHAnsi" w:hAnsiTheme="minorHAnsi" w:cstheme="minorHAnsi"/>
          <w:color w:val="000000"/>
          <w:u w:color="0000E9"/>
          <w:bdr w:val="none" w:sz="0" w:space="0" w:color="auto"/>
          <w14:ligatures w14:val="standardContextual"/>
        </w:rPr>
        <w:t xml:space="preserve"> </w:t>
      </w:r>
    </w:p>
    <w:p w14:paraId="50748454" w14:textId="1A750BF7"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960"/>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“Christ, therefore, came not to do his own will, but that of the Father; for his holy will was not derived from his humanity, but from his divinity.”</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23"/>
      </w:r>
    </w:p>
    <w:p w14:paraId="21055D2A" w14:textId="28EB43F3" w:rsid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If, interpreting Karl </w:t>
      </w:r>
      <w:proofErr w:type="spellStart"/>
      <w:r w:rsidRPr="00180AC1">
        <w:rPr>
          <w:rFonts w:asciiTheme="minorHAnsi" w:eastAsiaTheme="minorHAnsi" w:hAnsiTheme="minorHAnsi" w:cstheme="minorHAnsi"/>
          <w:color w:val="000000"/>
          <w:u w:color="0000E9"/>
          <w:bdr w:val="none" w:sz="0" w:space="0" w:color="auto"/>
          <w14:ligatures w14:val="standardContextual"/>
        </w:rPr>
        <w:t>Rahner</w:t>
      </w:r>
      <w:r w:rsidR="008C47F4">
        <w:rPr>
          <w:rFonts w:asciiTheme="minorHAnsi" w:eastAsiaTheme="minorHAnsi" w:hAnsiTheme="minorHAnsi" w:cstheme="minorHAnsi"/>
          <w:color w:val="000000"/>
          <w:u w:color="0000E9"/>
          <w:bdr w:val="none" w:sz="0" w:space="0" w:color="auto"/>
          <w14:ligatures w14:val="standardContextual"/>
        </w:rPr>
        <w:t>’s</w:t>
      </w:r>
      <w:proofErr w:type="spellEnd"/>
      <w:r w:rsidRPr="00180AC1">
        <w:rPr>
          <w:rFonts w:asciiTheme="minorHAnsi" w:eastAsiaTheme="minorHAnsi" w:hAnsiTheme="minorHAnsi" w:cstheme="minorHAnsi"/>
          <w:color w:val="000000"/>
          <w:u w:color="0000E9"/>
          <w:bdr w:val="none" w:sz="0" w:space="0" w:color="auto"/>
          <w14:ligatures w14:val="standardContextual"/>
        </w:rPr>
        <w:t xml:space="preserve"> challenging </w:t>
      </w:r>
      <w:r w:rsidR="00D44D63" w:rsidRPr="00180AC1">
        <w:rPr>
          <w:rFonts w:asciiTheme="minorHAnsi" w:eastAsiaTheme="minorHAnsi" w:hAnsiTheme="minorHAnsi" w:cstheme="minorHAnsi"/>
          <w:color w:val="000000"/>
          <w:u w:color="0000E9"/>
          <w:bdr w:val="none" w:sz="0" w:space="0" w:color="auto"/>
          <w14:ligatures w14:val="standardContextual"/>
        </w:rPr>
        <w:t>discussion</w:t>
      </w:r>
      <w:r w:rsidR="00500ADC">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around the</w:t>
      </w:r>
      <w:r w:rsidR="00D44D63">
        <w:rPr>
          <w:rFonts w:asciiTheme="minorHAnsi" w:eastAsiaTheme="minorHAnsi" w:hAnsiTheme="minorHAnsi" w:cstheme="minorHAnsi"/>
          <w:color w:val="000000"/>
          <w:u w:color="0000E9"/>
          <w:bdr w:val="none" w:sz="0" w:space="0" w:color="auto"/>
          <w14:ligatures w14:val="standardContextual"/>
        </w:rPr>
        <w:t xml:space="preserve"> incarnated</w:t>
      </w:r>
      <w:r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i/>
          <w:iCs/>
          <w:color w:val="000000"/>
          <w:u w:color="0000E9"/>
          <w:bdr w:val="none" w:sz="0" w:space="0" w:color="auto"/>
          <w14:ligatures w14:val="standardContextual"/>
        </w:rPr>
        <w:t>Logos</w:t>
      </w:r>
      <w:r w:rsidRPr="00180AC1">
        <w:rPr>
          <w:rFonts w:asciiTheme="minorHAnsi" w:eastAsiaTheme="minorHAnsi" w:hAnsiTheme="minorHAnsi" w:cstheme="minorHAnsi"/>
          <w:color w:val="000000"/>
          <w:u w:color="0000E9"/>
          <w:bdr w:val="none" w:sz="0" w:space="0" w:color="auto"/>
          <w14:ligatures w14:val="standardContextual"/>
        </w:rPr>
        <w:t xml:space="preserve"> becoming </w:t>
      </w:r>
      <w:r w:rsidR="005271E4">
        <w:rPr>
          <w:rFonts w:asciiTheme="minorHAnsi" w:eastAsiaTheme="minorHAnsi" w:hAnsiTheme="minorHAnsi" w:cstheme="minorHAnsi"/>
          <w:color w:val="000000"/>
          <w:u w:color="0000E9"/>
          <w:bdr w:val="none" w:sz="0" w:space="0" w:color="auto"/>
          <w14:ligatures w14:val="standardContextual"/>
        </w:rPr>
        <w:t>mankind</w:t>
      </w:r>
      <w:r w:rsidRPr="00180AC1">
        <w:rPr>
          <w:rFonts w:asciiTheme="minorHAnsi" w:eastAsiaTheme="minorHAnsi" w:hAnsiTheme="minorHAnsi" w:cstheme="minorHAnsi"/>
          <w:color w:val="000000"/>
          <w:u w:color="0000E9"/>
          <w:bdr w:val="none" w:sz="0" w:space="0" w:color="auto"/>
          <w14:ligatures w14:val="standardContextual"/>
        </w:rPr>
        <w:t>, rather than ‘God’</w:t>
      </w:r>
      <w:r w:rsidR="00D44D63">
        <w:rPr>
          <w:rStyle w:val="FootnoteReference"/>
          <w:rFonts w:asciiTheme="minorHAnsi" w:eastAsiaTheme="minorHAnsi" w:hAnsiTheme="minorHAnsi" w:cstheme="minorHAnsi"/>
          <w:color w:val="000000"/>
          <w:u w:color="0000E9"/>
          <w:bdr w:val="none" w:sz="0" w:space="0" w:color="auto"/>
          <w14:ligatures w14:val="standardContextual"/>
        </w:rPr>
        <w:footnoteReference w:id="24"/>
      </w:r>
      <w:r w:rsidRPr="00180AC1">
        <w:rPr>
          <w:rFonts w:asciiTheme="minorHAnsi" w:eastAsiaTheme="minorHAnsi" w:hAnsiTheme="minorHAnsi" w:cstheme="minorHAnsi"/>
          <w:color w:val="000000"/>
          <w:u w:color="0000E9"/>
          <w:bdr w:val="none" w:sz="0" w:space="0" w:color="auto"/>
          <w14:ligatures w14:val="standardContextual"/>
        </w:rPr>
        <w:t xml:space="preserve">, the </w:t>
      </w:r>
      <w:r w:rsidR="00E21AB2">
        <w:rPr>
          <w:rFonts w:asciiTheme="minorHAnsi" w:eastAsiaTheme="minorHAnsi" w:hAnsiTheme="minorHAnsi" w:cstheme="minorHAnsi"/>
          <w:color w:val="000000"/>
          <w:u w:color="0000E9"/>
          <w:bdr w:val="none" w:sz="0" w:space="0" w:color="auto"/>
          <w14:ligatures w14:val="standardContextual"/>
        </w:rPr>
        <w:t xml:space="preserve">complete </w:t>
      </w:r>
      <w:r w:rsidRPr="00180AC1">
        <w:rPr>
          <w:rFonts w:asciiTheme="minorHAnsi" w:eastAsiaTheme="minorHAnsi" w:hAnsiTheme="minorHAnsi" w:cstheme="minorHAnsi"/>
          <w:color w:val="000000"/>
          <w:u w:color="0000E9"/>
          <w:bdr w:val="none" w:sz="0" w:space="0" w:color="auto"/>
          <w14:ligatures w14:val="standardContextual"/>
        </w:rPr>
        <w:t xml:space="preserve">triune presence </w:t>
      </w:r>
      <w:r w:rsidR="00E21AB2" w:rsidRPr="00E21AB2">
        <w:rPr>
          <w:rFonts w:asciiTheme="minorHAnsi" w:eastAsiaTheme="minorHAnsi" w:hAnsiTheme="minorHAnsi" w:cstheme="minorHAnsi"/>
          <w:color w:val="000000"/>
          <w:u w:color="0000E9"/>
          <w:bdr w:val="none" w:sz="0" w:space="0" w:color="auto"/>
          <w14:ligatures w14:val="standardContextual"/>
        </w:rPr>
        <w:t xml:space="preserve">in its </w:t>
      </w:r>
      <w:r w:rsidR="00D44D63">
        <w:rPr>
          <w:rFonts w:asciiTheme="minorHAnsi" w:eastAsiaTheme="minorHAnsi" w:hAnsiTheme="minorHAnsi" w:cstheme="minorHAnsi"/>
          <w:color w:val="000000"/>
          <w:u w:color="0000E9"/>
          <w:bdr w:val="none" w:sz="0" w:space="0" w:color="auto"/>
          <w14:ligatures w14:val="standardContextual"/>
        </w:rPr>
        <w:t>‘</w:t>
      </w:r>
      <w:r w:rsidR="00E21AB2" w:rsidRPr="00E21AB2">
        <w:rPr>
          <w:rFonts w:asciiTheme="minorHAnsi" w:eastAsiaTheme="minorHAnsi" w:hAnsiTheme="minorHAnsi" w:cstheme="minorHAnsi"/>
          <w:color w:val="000000"/>
          <w:u w:color="0000E9"/>
          <w:bdr w:val="none" w:sz="0" w:space="0" w:color="auto"/>
          <w14:ligatures w14:val="standardContextual"/>
        </w:rPr>
        <w:t>three persons</w:t>
      </w:r>
      <w:r w:rsidR="00D44D63">
        <w:rPr>
          <w:rFonts w:asciiTheme="minorHAnsi" w:eastAsiaTheme="minorHAnsi" w:hAnsiTheme="minorHAnsi" w:cstheme="minorHAnsi"/>
          <w:color w:val="000000"/>
          <w:u w:color="0000E9"/>
          <w:bdr w:val="none" w:sz="0" w:space="0" w:color="auto"/>
          <w14:ligatures w14:val="standardContextual"/>
        </w:rPr>
        <w:t>/one substance</w:t>
      </w:r>
      <w:r w:rsidR="00E21AB2" w:rsidRPr="00E21AB2">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is involved in the redemption of mankind. </w:t>
      </w:r>
      <w:r w:rsidR="00E21AB2">
        <w:rPr>
          <w:rFonts w:asciiTheme="minorHAnsi" w:eastAsiaTheme="minorHAnsi" w:hAnsiTheme="minorHAnsi" w:cstheme="minorHAnsi"/>
          <w:color w:val="000000"/>
          <w:u w:color="0000E9"/>
          <w:bdr w:val="none" w:sz="0" w:space="0" w:color="auto"/>
          <w14:ligatures w14:val="standardContextual"/>
        </w:rPr>
        <w:t>T</w:t>
      </w:r>
      <w:r w:rsidRPr="00180AC1">
        <w:rPr>
          <w:rFonts w:asciiTheme="minorHAnsi" w:eastAsiaTheme="minorHAnsi" w:hAnsiTheme="minorHAnsi" w:cstheme="minorHAnsi"/>
          <w:color w:val="000000"/>
          <w:u w:color="0000E9"/>
          <w:bdr w:val="none" w:sz="0" w:space="0" w:color="auto"/>
          <w14:ligatures w14:val="standardContextual"/>
        </w:rPr>
        <w:t xml:space="preserve">he </w:t>
      </w:r>
      <w:r w:rsidR="00E21AB2">
        <w:rPr>
          <w:rFonts w:asciiTheme="minorHAnsi" w:eastAsiaTheme="minorHAnsi" w:hAnsiTheme="minorHAnsi" w:cstheme="minorHAnsi"/>
          <w:color w:val="000000"/>
          <w:u w:color="0000E9"/>
          <w:bdr w:val="none" w:sz="0" w:space="0" w:color="auto"/>
          <w14:ligatures w14:val="standardContextual"/>
        </w:rPr>
        <w:t xml:space="preserve">entire </w:t>
      </w:r>
      <w:r w:rsidRPr="00180AC1">
        <w:rPr>
          <w:rFonts w:asciiTheme="minorHAnsi" w:eastAsiaTheme="minorHAnsi" w:hAnsiTheme="minorHAnsi" w:cstheme="minorHAnsi"/>
          <w:color w:val="000000"/>
          <w:u w:color="0000E9"/>
          <w:bdr w:val="none" w:sz="0" w:space="0" w:color="auto"/>
          <w14:ligatures w14:val="standardContextual"/>
        </w:rPr>
        <w:t xml:space="preserve">Trinity </w:t>
      </w:r>
      <w:r w:rsidR="004A7D65">
        <w:rPr>
          <w:rFonts w:asciiTheme="minorHAnsi" w:eastAsiaTheme="minorHAnsi" w:hAnsiTheme="minorHAnsi" w:cstheme="minorHAnsi"/>
          <w:color w:val="000000"/>
          <w:u w:color="0000E9"/>
          <w:bdr w:val="none" w:sz="0" w:space="0" w:color="auto"/>
          <w14:ligatures w14:val="standardContextual"/>
        </w:rPr>
        <w:t xml:space="preserve">thus </w:t>
      </w:r>
      <w:r w:rsidRPr="00180AC1">
        <w:rPr>
          <w:rFonts w:asciiTheme="minorHAnsi" w:eastAsiaTheme="minorHAnsi" w:hAnsiTheme="minorHAnsi" w:cstheme="minorHAnsi"/>
          <w:color w:val="000000"/>
          <w:u w:color="0000E9"/>
          <w:bdr w:val="none" w:sz="0" w:space="0" w:color="auto"/>
          <w14:ligatures w14:val="standardContextual"/>
        </w:rPr>
        <w:t>underlie</w:t>
      </w:r>
      <w:r w:rsidR="00500ADC">
        <w:rPr>
          <w:rFonts w:asciiTheme="minorHAnsi" w:eastAsiaTheme="minorHAnsi" w:hAnsiTheme="minorHAnsi" w:cstheme="minorHAnsi"/>
          <w:color w:val="000000"/>
          <w:u w:color="0000E9"/>
          <w:bdr w:val="none" w:sz="0" w:space="0" w:color="auto"/>
          <w14:ligatures w14:val="standardContextual"/>
        </w:rPr>
        <w:t>s</w:t>
      </w:r>
      <w:r w:rsidRPr="00180AC1">
        <w:rPr>
          <w:rFonts w:asciiTheme="minorHAnsi" w:eastAsiaTheme="minorHAnsi" w:hAnsiTheme="minorHAnsi" w:cstheme="minorHAnsi"/>
          <w:color w:val="000000"/>
          <w:u w:color="0000E9"/>
          <w:bdr w:val="none" w:sz="0" w:space="0" w:color="auto"/>
          <w14:ligatures w14:val="standardContextual"/>
        </w:rPr>
        <w:t xml:space="preserve"> all Anselm’s </w:t>
      </w:r>
      <w:r w:rsidR="004A7D65">
        <w:rPr>
          <w:rFonts w:asciiTheme="minorHAnsi" w:eastAsiaTheme="minorHAnsi" w:hAnsiTheme="minorHAnsi" w:cstheme="minorHAnsi"/>
          <w:color w:val="000000"/>
          <w:u w:color="0000E9"/>
          <w:bdr w:val="none" w:sz="0" w:space="0" w:color="auto"/>
          <w14:ligatures w14:val="standardContextual"/>
        </w:rPr>
        <w:t>reasoning</w:t>
      </w:r>
      <w:r w:rsidR="00E21AB2">
        <w:rPr>
          <w:rFonts w:asciiTheme="minorHAnsi" w:eastAsiaTheme="minorHAnsi" w:hAnsiTheme="minorHAnsi" w:cstheme="minorHAnsi"/>
          <w:color w:val="000000"/>
          <w:u w:color="0000E9"/>
          <w:bdr w:val="none" w:sz="0" w:space="0" w:color="auto"/>
          <w14:ligatures w14:val="standardContextual"/>
        </w:rPr>
        <w:t xml:space="preserve"> in </w:t>
      </w:r>
      <w:r w:rsidRPr="00180AC1">
        <w:rPr>
          <w:rFonts w:asciiTheme="minorHAnsi" w:eastAsiaTheme="minorHAnsi" w:hAnsiTheme="minorHAnsi" w:cstheme="minorHAnsi"/>
          <w:color w:val="000000"/>
          <w:u w:color="0000E9"/>
          <w:bdr w:val="none" w:sz="0" w:space="0" w:color="auto"/>
          <w14:ligatures w14:val="standardContextual"/>
        </w:rPr>
        <w:t xml:space="preserve">response to </w:t>
      </w:r>
      <w:proofErr w:type="spellStart"/>
      <w:r w:rsidRPr="00180AC1">
        <w:rPr>
          <w:rFonts w:asciiTheme="minorHAnsi" w:eastAsiaTheme="minorHAnsi" w:hAnsiTheme="minorHAnsi" w:cstheme="minorHAnsi"/>
          <w:color w:val="000000"/>
          <w:u w:color="0000E9"/>
          <w:bdr w:val="none" w:sz="0" w:space="0" w:color="auto"/>
          <w14:ligatures w14:val="standardContextual"/>
        </w:rPr>
        <w:t>Boso’s</w:t>
      </w:r>
      <w:proofErr w:type="spellEnd"/>
      <w:r w:rsidRPr="00180AC1">
        <w:rPr>
          <w:rFonts w:asciiTheme="minorHAnsi" w:eastAsiaTheme="minorHAnsi" w:hAnsiTheme="minorHAnsi" w:cstheme="minorHAnsi"/>
          <w:color w:val="000000"/>
          <w:u w:color="0000E9"/>
          <w:bdr w:val="none" w:sz="0" w:space="0" w:color="auto"/>
          <w14:ligatures w14:val="standardContextual"/>
        </w:rPr>
        <w:t xml:space="preserve"> questioning about the person of the Son being incarnated, rather than that of the Father or Holy Spirit.</w:t>
      </w:r>
      <w:r w:rsidR="00797A37">
        <w:rPr>
          <w:rStyle w:val="FootnoteReference"/>
          <w:rFonts w:asciiTheme="minorHAnsi" w:eastAsiaTheme="minorHAnsi" w:hAnsiTheme="minorHAnsi" w:cstheme="minorHAnsi"/>
          <w:color w:val="000000"/>
          <w:u w:color="0000E9"/>
          <w:bdr w:val="none" w:sz="0" w:space="0" w:color="auto"/>
          <w14:ligatures w14:val="standardContextual"/>
        </w:rPr>
        <w:footnoteReference w:id="25"/>
      </w:r>
    </w:p>
    <w:p w14:paraId="649A7B7F" w14:textId="77777777" w:rsidR="002A0389" w:rsidRPr="00180AC1" w:rsidRDefault="002A038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7BE3174F" w14:textId="44781CE8" w:rsidR="00083D7F" w:rsidRPr="00D543D0" w:rsidRDefault="00083D7F"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3" w:name="_Toc132210841"/>
      <w:r w:rsidRPr="00D543D0">
        <w:rPr>
          <w:rFonts w:asciiTheme="minorHAnsi" w:eastAsiaTheme="minorHAnsi" w:hAnsiTheme="minorHAnsi" w:cstheme="minorHAnsi"/>
          <w:b/>
          <w:bCs/>
          <w:color w:val="auto"/>
          <w:sz w:val="24"/>
          <w:szCs w:val="24"/>
          <w:u w:color="0000E9"/>
          <w:bdr w:val="none" w:sz="0" w:space="0" w:color="auto"/>
        </w:rPr>
        <w:t>Calvin, Anselm and modern trinitarian theology</w:t>
      </w:r>
      <w:bookmarkEnd w:id="3"/>
    </w:p>
    <w:p w14:paraId="0F8D9A50" w14:textId="3FC5F69D"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From a Western </w:t>
      </w:r>
      <w:r w:rsidR="0056732F">
        <w:rPr>
          <w:rFonts w:asciiTheme="minorHAnsi" w:eastAsiaTheme="minorHAnsi" w:hAnsiTheme="minorHAnsi" w:cstheme="minorHAnsi"/>
          <w:color w:val="000000"/>
          <w:u w:color="0000E9"/>
          <w:bdr w:val="none" w:sz="0" w:space="0" w:color="auto"/>
          <w14:ligatures w14:val="standardContextual"/>
        </w:rPr>
        <w:t xml:space="preserve">protestant </w:t>
      </w:r>
      <w:r w:rsidRPr="00180AC1">
        <w:rPr>
          <w:rFonts w:asciiTheme="minorHAnsi" w:eastAsiaTheme="minorHAnsi" w:hAnsiTheme="minorHAnsi" w:cstheme="minorHAnsi"/>
          <w:color w:val="000000"/>
          <w:u w:color="0000E9"/>
          <w:bdr w:val="none" w:sz="0" w:space="0" w:color="auto"/>
          <w14:ligatures w14:val="standardContextual"/>
        </w:rPr>
        <w:t>perspective, Anselm’s trinitarian views derive from “particular and yet limited</w:t>
      </w:r>
      <w:r w:rsidR="00D5787B">
        <w:rPr>
          <w:rFonts w:asciiTheme="minorHAnsi" w:eastAsiaTheme="minorHAnsi" w:hAnsiTheme="minorHAnsi" w:cstheme="minorHAnsi"/>
          <w:color w:val="000000"/>
          <w:u w:color="0000E9"/>
          <w:bdr w:val="none" w:sz="0" w:space="0" w:color="auto"/>
          <w14:ligatures w14:val="standardContextual"/>
        </w:rPr>
        <w:t xml:space="preserve"> terms</w:t>
      </w:r>
      <w:r w:rsidR="00797A37">
        <w:rPr>
          <w:rFonts w:asciiTheme="minorHAnsi" w:eastAsiaTheme="minorHAnsi" w:hAnsiTheme="minorHAnsi" w:cstheme="minorHAnsi"/>
          <w:color w:val="000000"/>
          <w:u w:color="0000E9"/>
          <w:bdr w:val="none" w:sz="0" w:space="0" w:color="auto"/>
          <w14:ligatures w14:val="standardContextual"/>
        </w:rPr>
        <w:t>”</w:t>
      </w:r>
      <w:r w:rsidR="00D5787B">
        <w:rPr>
          <w:rStyle w:val="FootnoteReference"/>
          <w:rFonts w:asciiTheme="minorHAnsi" w:eastAsiaTheme="minorHAnsi" w:hAnsiTheme="minorHAnsi" w:cstheme="minorHAnsi"/>
          <w:color w:val="000000"/>
          <w:u w:color="0000E9"/>
          <w:bdr w:val="none" w:sz="0" w:space="0" w:color="auto"/>
          <w14:ligatures w14:val="standardContextual"/>
        </w:rPr>
        <w:footnoteReference w:id="26"/>
      </w:r>
      <w:r w:rsidR="00E21AB2">
        <w:rPr>
          <w:rFonts w:asciiTheme="minorHAnsi" w:eastAsiaTheme="minorHAnsi" w:hAnsiTheme="minorHAnsi" w:cstheme="minorHAnsi"/>
          <w:color w:val="000000"/>
          <w:u w:color="0000E9"/>
          <w:bdr w:val="none" w:sz="0" w:space="0" w:color="auto"/>
          <w14:ligatures w14:val="standardContextual"/>
        </w:rPr>
        <w:t xml:space="preserve">, with its focus not on God’s </w:t>
      </w:r>
      <w:r w:rsidR="00E21AB2" w:rsidRPr="00D44D63">
        <w:rPr>
          <w:rFonts w:asciiTheme="minorHAnsi" w:eastAsiaTheme="minorHAnsi" w:hAnsiTheme="minorHAnsi" w:cstheme="minorHAnsi"/>
          <w:i/>
          <w:iCs/>
          <w:color w:val="000000"/>
          <w:u w:color="0000E9"/>
          <w:bdr w:val="none" w:sz="0" w:space="0" w:color="auto"/>
          <w14:ligatures w14:val="standardContextual"/>
        </w:rPr>
        <w:t>justice</w:t>
      </w:r>
      <w:r w:rsidR="00E21AB2">
        <w:rPr>
          <w:rFonts w:asciiTheme="minorHAnsi" w:eastAsiaTheme="minorHAnsi" w:hAnsiTheme="minorHAnsi" w:cstheme="minorHAnsi"/>
          <w:color w:val="000000"/>
          <w:u w:color="0000E9"/>
          <w:bdr w:val="none" w:sz="0" w:space="0" w:color="auto"/>
          <w14:ligatures w14:val="standardContextual"/>
        </w:rPr>
        <w:t xml:space="preserve">, but on </w:t>
      </w:r>
      <w:r w:rsidR="00E21AB2" w:rsidRPr="00D44D63">
        <w:rPr>
          <w:rFonts w:asciiTheme="minorHAnsi" w:eastAsiaTheme="minorHAnsi" w:hAnsiTheme="minorHAnsi" w:cstheme="minorHAnsi"/>
          <w:i/>
          <w:iCs/>
          <w:color w:val="000000"/>
          <w:u w:color="0000E9"/>
          <w:bdr w:val="none" w:sz="0" w:space="0" w:color="auto"/>
          <w14:ligatures w14:val="standardContextual"/>
        </w:rPr>
        <w:t xml:space="preserve">satisfaction of his </w:t>
      </w:r>
      <w:r w:rsidR="00E21AB2" w:rsidRPr="00D44D63">
        <w:rPr>
          <w:rFonts w:asciiTheme="minorHAnsi" w:eastAsiaTheme="minorHAnsi" w:hAnsiTheme="minorHAnsi" w:cstheme="minorHAnsi"/>
          <w:i/>
          <w:iCs/>
          <w:color w:val="000000"/>
          <w:u w:color="0000E9"/>
          <w:bdr w:val="none" w:sz="0" w:space="0" w:color="auto"/>
          <w14:ligatures w14:val="standardContextual"/>
        </w:rPr>
        <w:lastRenderedPageBreak/>
        <w:t>honour</w:t>
      </w:r>
      <w:r w:rsidR="00D44D63">
        <w:rPr>
          <w:rFonts w:asciiTheme="minorHAnsi" w:eastAsiaTheme="minorHAnsi" w:hAnsiTheme="minorHAnsi" w:cstheme="minorHAnsi"/>
          <w:color w:val="000000"/>
          <w:u w:color="0000E9"/>
          <w:bdr w:val="none" w:sz="0" w:space="0" w:color="auto"/>
          <w14:ligatures w14:val="standardContextual"/>
        </w:rPr>
        <w:t>, to which Calvin 400 years later responds.</w:t>
      </w:r>
      <w:r w:rsidR="00E21AB2">
        <w:rPr>
          <w:rFonts w:asciiTheme="minorHAnsi" w:eastAsiaTheme="minorHAnsi" w:hAnsiTheme="minorHAnsi" w:cstheme="minorHAnsi"/>
          <w:color w:val="000000"/>
          <w:u w:color="0000E9"/>
          <w:bdr w:val="none" w:sz="0" w:space="0" w:color="auto"/>
          <w14:ligatures w14:val="standardContextual"/>
        </w:rPr>
        <w:t xml:space="preserve"> Where</w:t>
      </w:r>
      <w:r w:rsidRPr="00180AC1">
        <w:rPr>
          <w:rFonts w:asciiTheme="minorHAnsi" w:eastAsiaTheme="minorHAnsi" w:hAnsiTheme="minorHAnsi" w:cstheme="minorHAnsi"/>
          <w:color w:val="000000"/>
          <w:u w:color="0000E9"/>
          <w:bdr w:val="none" w:sz="0" w:space="0" w:color="auto"/>
          <w14:ligatures w14:val="standardContextual"/>
        </w:rPr>
        <w:t xml:space="preserve"> Anselm focus</w:t>
      </w:r>
      <w:r w:rsidR="00E21AB2">
        <w:rPr>
          <w:rFonts w:asciiTheme="minorHAnsi" w:eastAsiaTheme="minorHAnsi" w:hAnsiTheme="minorHAnsi" w:cstheme="minorHAnsi"/>
          <w:color w:val="000000"/>
          <w:u w:color="0000E9"/>
          <w:bdr w:val="none" w:sz="0" w:space="0" w:color="auto"/>
          <w14:ligatures w14:val="standardContextual"/>
        </w:rPr>
        <w:t>es</w:t>
      </w:r>
      <w:r w:rsidRPr="00180AC1">
        <w:rPr>
          <w:rFonts w:asciiTheme="minorHAnsi" w:eastAsiaTheme="minorHAnsi" w:hAnsiTheme="minorHAnsi" w:cstheme="minorHAnsi"/>
          <w:color w:val="000000"/>
          <w:u w:color="0000E9"/>
          <w:bdr w:val="none" w:sz="0" w:space="0" w:color="auto"/>
          <w14:ligatures w14:val="standardContextual"/>
        </w:rPr>
        <w:t xml:space="preserve"> in CDH on </w:t>
      </w:r>
      <w:r w:rsidRPr="00E21AB2">
        <w:rPr>
          <w:rFonts w:asciiTheme="minorHAnsi" w:eastAsiaTheme="minorHAnsi" w:hAnsiTheme="minorHAnsi" w:cstheme="minorHAnsi"/>
          <w:i/>
          <w:iCs/>
          <w:color w:val="000000"/>
          <w:u w:color="0000E9"/>
          <w:bdr w:val="none" w:sz="0" w:space="0" w:color="auto"/>
          <w14:ligatures w14:val="standardContextual"/>
        </w:rPr>
        <w:t xml:space="preserve">systematising </w:t>
      </w:r>
      <w:r w:rsidRPr="004A7D65">
        <w:rPr>
          <w:rFonts w:asciiTheme="minorHAnsi" w:eastAsiaTheme="minorHAnsi" w:hAnsiTheme="minorHAnsi" w:cstheme="minorHAnsi"/>
          <w:color w:val="000000"/>
          <w:u w:color="0000E9"/>
          <w:bdr w:val="none" w:sz="0" w:space="0" w:color="auto"/>
          <w14:ligatures w14:val="standardContextual"/>
        </w:rPr>
        <w:t>the work</w:t>
      </w:r>
      <w:r w:rsidRPr="00180AC1">
        <w:rPr>
          <w:rFonts w:asciiTheme="minorHAnsi" w:eastAsiaTheme="minorHAnsi" w:hAnsiTheme="minorHAnsi" w:cstheme="minorHAnsi"/>
          <w:color w:val="000000"/>
          <w:u w:color="0000E9"/>
          <w:bdr w:val="none" w:sz="0" w:space="0" w:color="auto"/>
          <w14:ligatures w14:val="standardContextual"/>
        </w:rPr>
        <w:t xml:space="preserve"> of Christ, Calvin reasons Christ from the </w:t>
      </w:r>
      <w:r w:rsidRPr="00180AC1">
        <w:rPr>
          <w:rFonts w:asciiTheme="minorHAnsi" w:eastAsiaTheme="minorHAnsi" w:hAnsiTheme="minorHAnsi" w:cstheme="minorHAnsi"/>
          <w:i/>
          <w:iCs/>
          <w:color w:val="000000"/>
          <w:u w:color="0000E9"/>
          <w:bdr w:val="none" w:sz="0" w:space="0" w:color="auto"/>
          <w14:ligatures w14:val="standardContextual"/>
        </w:rPr>
        <w:t xml:space="preserve">scriptures </w:t>
      </w:r>
      <w:r w:rsidRPr="00180AC1">
        <w:rPr>
          <w:rFonts w:asciiTheme="minorHAnsi" w:eastAsiaTheme="minorHAnsi" w:hAnsiTheme="minorHAnsi" w:cstheme="minorHAnsi"/>
          <w:color w:val="000000"/>
          <w:u w:color="0000E9"/>
          <w:bdr w:val="none" w:sz="0" w:space="0" w:color="auto"/>
          <w14:ligatures w14:val="standardContextual"/>
        </w:rPr>
        <w:t xml:space="preserve">and in </w:t>
      </w:r>
      <w:r w:rsidRPr="00180AC1">
        <w:rPr>
          <w:rFonts w:asciiTheme="minorHAnsi" w:eastAsiaTheme="minorHAnsi" w:hAnsiTheme="minorHAnsi" w:cstheme="minorHAnsi"/>
          <w:i/>
          <w:iCs/>
          <w:color w:val="000000"/>
          <w:u w:color="0000E9"/>
          <w:bdr w:val="none" w:sz="0" w:space="0" w:color="auto"/>
          <w14:ligatures w14:val="standardContextual"/>
        </w:rPr>
        <w:t>his threefold office of Prophet, King and Priest</w:t>
      </w:r>
      <w:r w:rsidR="000C1DA9">
        <w:rPr>
          <w:rStyle w:val="FootnoteReference"/>
          <w:rFonts w:asciiTheme="minorHAnsi" w:eastAsiaTheme="minorHAnsi" w:hAnsiTheme="minorHAnsi" w:cstheme="minorHAnsi"/>
          <w:i/>
          <w:iCs/>
          <w:color w:val="000000"/>
          <w:u w:color="0000E9"/>
          <w:bdr w:val="none" w:sz="0" w:space="0" w:color="auto"/>
          <w14:ligatures w14:val="standardContextual"/>
        </w:rPr>
        <w:footnoteReference w:id="27"/>
      </w:r>
      <w:r w:rsidR="00931B67">
        <w:rPr>
          <w:rFonts w:asciiTheme="minorHAnsi" w:eastAsiaTheme="minorHAnsi" w:hAnsiTheme="minorHAnsi" w:cstheme="minorHAnsi"/>
          <w:i/>
          <w:iCs/>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Calvin himself agrees with Anselm, that Christ “held to the unity of the two natures in the person of Christ – God really became a man”</w:t>
      </w:r>
      <w:r w:rsidR="008470D6">
        <w:rPr>
          <w:rStyle w:val="FootnoteReference"/>
          <w:rFonts w:asciiTheme="minorHAnsi" w:eastAsiaTheme="minorHAnsi" w:hAnsiTheme="minorHAnsi" w:cstheme="minorHAnsi"/>
          <w:color w:val="000000"/>
          <w:u w:color="0000E9"/>
          <w:bdr w:val="none" w:sz="0" w:space="0" w:color="auto"/>
          <w14:ligatures w14:val="standardContextual"/>
        </w:rPr>
        <w:footnoteReference w:id="28"/>
      </w:r>
      <w:r w:rsidRPr="00180AC1">
        <w:rPr>
          <w:rFonts w:asciiTheme="minorHAnsi" w:eastAsiaTheme="minorHAnsi" w:hAnsiTheme="minorHAnsi" w:cstheme="minorHAnsi"/>
          <w:color w:val="000000"/>
          <w:u w:color="0000E9"/>
          <w:bdr w:val="none" w:sz="0" w:space="0" w:color="auto"/>
          <w14:ligatures w14:val="standardContextual"/>
        </w:rPr>
        <w:t xml:space="preserve"> and that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xml:space="preserve"> was a prerequisite for mankind’s atonement.</w:t>
      </w:r>
      <w:r w:rsidR="008470D6">
        <w:rPr>
          <w:rStyle w:val="FootnoteReference"/>
          <w:rFonts w:asciiTheme="minorHAnsi" w:eastAsiaTheme="minorHAnsi" w:hAnsiTheme="minorHAnsi" w:cstheme="minorHAnsi"/>
          <w:color w:val="000000"/>
          <w:u w:color="0000E9"/>
          <w:bdr w:val="none" w:sz="0" w:space="0" w:color="auto"/>
          <w14:ligatures w14:val="standardContextual"/>
        </w:rPr>
        <w:footnoteReference w:id="29"/>
      </w:r>
      <w:r w:rsidRPr="00180AC1">
        <w:rPr>
          <w:rFonts w:asciiTheme="minorHAnsi" w:eastAsiaTheme="minorHAnsi" w:hAnsiTheme="minorHAnsi" w:cstheme="minorHAnsi"/>
          <w:color w:val="000000"/>
          <w:u w:color="0000E9"/>
          <w:bdr w:val="none" w:sz="0" w:space="0" w:color="auto"/>
          <w14:ligatures w14:val="standardContextual"/>
        </w:rPr>
        <w:t xml:space="preserve"> But Calvin</w:t>
      </w:r>
      <w:r w:rsidR="0056732F">
        <w:rPr>
          <w:rFonts w:asciiTheme="minorHAnsi" w:eastAsiaTheme="minorHAnsi" w:hAnsiTheme="minorHAnsi" w:cstheme="minorHAnsi"/>
          <w:color w:val="000000"/>
          <w:u w:color="0000E9"/>
          <w:bdr w:val="none" w:sz="0" w:space="0" w:color="auto"/>
          <w14:ligatures w14:val="standardContextual"/>
        </w:rPr>
        <w:t xml:space="preserve"> shifts the Anselmian</w:t>
      </w:r>
      <w:r w:rsidRPr="00180AC1">
        <w:rPr>
          <w:rFonts w:asciiTheme="minorHAnsi" w:eastAsiaTheme="minorHAnsi" w:hAnsiTheme="minorHAnsi" w:cstheme="minorHAnsi"/>
          <w:color w:val="000000"/>
          <w:u w:color="0000E9"/>
          <w:bdr w:val="none" w:sz="0" w:space="0" w:color="auto"/>
          <w14:ligatures w14:val="standardContextual"/>
        </w:rPr>
        <w:t xml:space="preserve"> substitutionary atonement of Christ to</w:t>
      </w:r>
      <w:r w:rsidR="002B40D9">
        <w:rPr>
          <w:rFonts w:asciiTheme="minorHAnsi" w:eastAsiaTheme="minorHAnsi" w:hAnsiTheme="minorHAnsi" w:cstheme="minorHAnsi"/>
          <w:color w:val="000000"/>
          <w:u w:color="0000E9"/>
          <w:bdr w:val="none" w:sz="0" w:space="0" w:color="auto"/>
          <w14:ligatures w14:val="standardContextual"/>
        </w:rPr>
        <w:t>wards</w:t>
      </w:r>
      <w:r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i/>
          <w:iCs/>
          <w:color w:val="000000"/>
          <w:u w:color="0000E9"/>
          <w:bdr w:val="none" w:sz="0" w:space="0" w:color="auto"/>
          <w14:ligatures w14:val="standardContextual"/>
        </w:rPr>
        <w:t xml:space="preserve">penal </w:t>
      </w:r>
      <w:r w:rsidRPr="00931B67">
        <w:rPr>
          <w:rFonts w:asciiTheme="minorHAnsi" w:eastAsiaTheme="minorHAnsi" w:hAnsiTheme="minorHAnsi" w:cstheme="minorHAnsi"/>
          <w:color w:val="000000"/>
          <w:u w:color="0000E9"/>
          <w:bdr w:val="none" w:sz="0" w:space="0" w:color="auto"/>
          <w14:ligatures w14:val="standardContextual"/>
        </w:rPr>
        <w:t>substitution</w:t>
      </w:r>
      <w:r w:rsidR="002B40D9">
        <w:rPr>
          <w:rFonts w:asciiTheme="minorHAnsi" w:eastAsiaTheme="minorHAnsi" w:hAnsiTheme="minorHAnsi" w:cstheme="minorHAnsi"/>
          <w:i/>
          <w:iCs/>
          <w:color w:val="000000"/>
          <w:u w:color="0000E9"/>
          <w:bdr w:val="none" w:sz="0" w:space="0" w:color="auto"/>
          <w14:ligatures w14:val="standardContextual"/>
        </w:rPr>
        <w:t>.</w:t>
      </w:r>
      <w:r w:rsidRPr="00180AC1">
        <w:rPr>
          <w:rFonts w:asciiTheme="minorHAnsi" w:eastAsiaTheme="minorHAnsi" w:hAnsiTheme="minorHAnsi" w:cstheme="minorHAnsi"/>
          <w:i/>
          <w:iCs/>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Christ </w:t>
      </w:r>
      <w:r w:rsidR="0056732F">
        <w:rPr>
          <w:rFonts w:asciiTheme="minorHAnsi" w:eastAsiaTheme="minorHAnsi" w:hAnsiTheme="minorHAnsi" w:cstheme="minorHAnsi"/>
          <w:color w:val="000000"/>
          <w:u w:color="0000E9"/>
          <w:bdr w:val="none" w:sz="0" w:space="0" w:color="auto"/>
          <w14:ligatures w14:val="standardContextual"/>
        </w:rPr>
        <w:t>becomes</w:t>
      </w:r>
      <w:r w:rsidRPr="00180AC1">
        <w:rPr>
          <w:rFonts w:asciiTheme="minorHAnsi" w:eastAsiaTheme="minorHAnsi" w:hAnsiTheme="minorHAnsi" w:cstheme="minorHAnsi"/>
          <w:color w:val="000000"/>
          <w:u w:color="0000E9"/>
          <w:bdr w:val="none" w:sz="0" w:space="0" w:color="auto"/>
          <w14:ligatures w14:val="standardContextual"/>
        </w:rPr>
        <w:t xml:space="preserve"> </w:t>
      </w:r>
      <w:r w:rsidR="0056732F">
        <w:rPr>
          <w:rFonts w:asciiTheme="minorHAnsi" w:eastAsiaTheme="minorHAnsi" w:hAnsiTheme="minorHAnsi" w:cstheme="minorHAnsi"/>
          <w:color w:val="000000"/>
          <w:u w:color="0000E9"/>
          <w:bdr w:val="none" w:sz="0" w:space="0" w:color="auto"/>
          <w14:ligatures w14:val="standardContextual"/>
        </w:rPr>
        <w:t xml:space="preserve">humanity’s </w:t>
      </w:r>
      <w:r w:rsidRPr="00180AC1">
        <w:rPr>
          <w:rFonts w:asciiTheme="minorHAnsi" w:eastAsiaTheme="minorHAnsi" w:hAnsiTheme="minorHAnsi" w:cstheme="minorHAnsi"/>
          <w:color w:val="000000"/>
          <w:u w:color="0000E9"/>
          <w:bdr w:val="none" w:sz="0" w:space="0" w:color="auto"/>
          <w14:ligatures w14:val="standardContextual"/>
        </w:rPr>
        <w:t>legal</w:t>
      </w:r>
      <w:r w:rsidR="0056732F">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substitute</w:t>
      </w:r>
      <w:r w:rsidR="0056732F">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sacrifice,</w:t>
      </w:r>
      <w:r w:rsidR="0056732F">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merit and example</w:t>
      </w:r>
      <w:r w:rsidR="008470D6">
        <w:rPr>
          <w:rStyle w:val="FootnoteReference"/>
          <w:rFonts w:asciiTheme="minorHAnsi" w:eastAsiaTheme="minorHAnsi" w:hAnsiTheme="minorHAnsi" w:cstheme="minorHAnsi"/>
          <w:color w:val="000000"/>
          <w:u w:color="0000E9"/>
          <w:bdr w:val="none" w:sz="0" w:space="0" w:color="auto"/>
          <w14:ligatures w14:val="standardContextual"/>
        </w:rPr>
        <w:footnoteReference w:id="30"/>
      </w:r>
      <w:r w:rsidR="000C1DA9">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r w:rsidR="000C1DA9" w:rsidRPr="00180AC1">
        <w:rPr>
          <w:rFonts w:asciiTheme="minorHAnsi" w:eastAsiaTheme="minorHAnsi" w:hAnsiTheme="minorHAnsi" w:cstheme="minorHAnsi"/>
          <w:color w:val="000000"/>
          <w:u w:color="0000E9"/>
          <w:bdr w:val="none" w:sz="0" w:space="0" w:color="auto"/>
          <w14:ligatures w14:val="standardContextual"/>
        </w:rPr>
        <w:t xml:space="preserve">which </w:t>
      </w:r>
      <w:r w:rsidR="000C1DA9">
        <w:rPr>
          <w:rFonts w:asciiTheme="minorHAnsi" w:eastAsiaTheme="minorHAnsi" w:hAnsiTheme="minorHAnsi" w:cstheme="minorHAnsi"/>
          <w:color w:val="000000"/>
          <w:u w:color="0000E9"/>
          <w:bdr w:val="none" w:sz="0" w:space="0" w:color="auto"/>
          <w14:ligatures w14:val="standardContextual"/>
        </w:rPr>
        <w:t xml:space="preserve">would </w:t>
      </w:r>
      <w:r w:rsidR="000C1DA9" w:rsidRPr="00180AC1">
        <w:rPr>
          <w:rFonts w:asciiTheme="minorHAnsi" w:eastAsiaTheme="minorHAnsi" w:hAnsiTheme="minorHAnsi" w:cstheme="minorHAnsi"/>
          <w:color w:val="000000"/>
          <w:u w:color="0000E9"/>
          <w:bdr w:val="none" w:sz="0" w:space="0" w:color="auto"/>
          <w14:ligatures w14:val="standardContextual"/>
        </w:rPr>
        <w:t>enrich preaching today</w:t>
      </w:r>
      <w:r w:rsidR="000C1DA9">
        <w:rPr>
          <w:rFonts w:asciiTheme="minorHAnsi" w:eastAsiaTheme="minorHAnsi" w:hAnsiTheme="minorHAnsi" w:cstheme="minorHAnsi"/>
          <w:color w:val="000000"/>
          <w:u w:color="0000E9"/>
          <w:bdr w:val="none" w:sz="0" w:space="0" w:color="auto"/>
          <w14:ligatures w14:val="standardContextual"/>
        </w:rPr>
        <w:t>.</w:t>
      </w:r>
      <w:r w:rsidR="000C1DA9">
        <w:rPr>
          <w:rStyle w:val="FootnoteReference"/>
          <w:rFonts w:asciiTheme="minorHAnsi" w:eastAsiaTheme="minorHAnsi" w:hAnsiTheme="minorHAnsi" w:cstheme="minorHAnsi"/>
          <w:color w:val="000000"/>
          <w:u w:color="0000E9"/>
          <w:bdr w:val="none" w:sz="0" w:space="0" w:color="auto"/>
          <w14:ligatures w14:val="standardContextual"/>
        </w:rPr>
        <w:footnoteReference w:id="31"/>
      </w:r>
      <w:r w:rsidR="000C1DA9"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Calvin’s reasoning is more compelling</w:t>
      </w:r>
      <w:r w:rsidR="0056732F">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God’s grace is the key which unlocks the entire doctrine of salvation, for God’s love </w:t>
      </w:r>
      <w:r w:rsidR="009C0EA1">
        <w:rPr>
          <w:rFonts w:asciiTheme="minorHAnsi" w:eastAsiaTheme="minorHAnsi" w:hAnsiTheme="minorHAnsi" w:cstheme="minorHAnsi"/>
          <w:color w:val="000000"/>
          <w:u w:color="0000E9"/>
          <w:bdr w:val="none" w:sz="0" w:space="0" w:color="auto"/>
          <w14:ligatures w14:val="standardContextual"/>
        </w:rPr>
        <w:t>redeems</w:t>
      </w:r>
      <w:r w:rsidRPr="00180AC1">
        <w:rPr>
          <w:rFonts w:asciiTheme="minorHAnsi" w:eastAsiaTheme="minorHAnsi" w:hAnsiTheme="minorHAnsi" w:cstheme="minorHAnsi"/>
          <w:color w:val="000000"/>
          <w:u w:color="0000E9"/>
          <w:bdr w:val="none" w:sz="0" w:space="0" w:color="auto"/>
          <w14:ligatures w14:val="standardContextual"/>
        </w:rPr>
        <w:t xml:space="preserve"> sinners.</w:t>
      </w:r>
      <w:r w:rsidR="008470D6">
        <w:rPr>
          <w:rStyle w:val="FootnoteReference"/>
          <w:rFonts w:asciiTheme="minorHAnsi" w:eastAsiaTheme="minorHAnsi" w:hAnsiTheme="minorHAnsi" w:cstheme="minorHAnsi"/>
          <w:color w:val="000000"/>
          <w:u w:color="0000E9"/>
          <w:bdr w:val="none" w:sz="0" w:space="0" w:color="auto"/>
          <w14:ligatures w14:val="standardContextual"/>
        </w:rPr>
        <w:footnoteReference w:id="32"/>
      </w:r>
      <w:r w:rsidRPr="00180AC1">
        <w:rPr>
          <w:rFonts w:asciiTheme="minorHAnsi" w:eastAsiaTheme="minorHAnsi" w:hAnsiTheme="minorHAnsi" w:cstheme="minorHAnsi"/>
          <w:color w:val="000000"/>
          <w:u w:color="0000E9"/>
          <w:bdr w:val="none" w:sz="0" w:space="0" w:color="auto"/>
          <w14:ligatures w14:val="standardContextual"/>
        </w:rPr>
        <w:t xml:space="preserve"> F</w:t>
      </w:r>
      <w:r w:rsidR="00931B67">
        <w:rPr>
          <w:rFonts w:asciiTheme="minorHAnsi" w:eastAsiaTheme="minorHAnsi" w:hAnsiTheme="minorHAnsi" w:cstheme="minorHAnsi"/>
          <w:color w:val="000000"/>
          <w:u w:color="0000E9"/>
          <w:bdr w:val="none" w:sz="0" w:space="0" w:color="auto"/>
          <w14:ligatures w14:val="standardContextual"/>
        </w:rPr>
        <w:t>or twentieth/twenty-first century Calvinist,</w:t>
      </w:r>
      <w:r w:rsidRPr="00180AC1">
        <w:rPr>
          <w:rFonts w:asciiTheme="minorHAnsi" w:eastAsiaTheme="minorHAnsi" w:hAnsiTheme="minorHAnsi" w:cstheme="minorHAnsi"/>
          <w:color w:val="000000"/>
          <w:u w:color="0000E9"/>
          <w:bdr w:val="none" w:sz="0" w:space="0" w:color="auto"/>
          <w14:ligatures w14:val="standardContextual"/>
        </w:rPr>
        <w:t xml:space="preserve"> R.C. Sproul, Christ’s vicariously expiatory and propitiatory death removes mankind’s sins as the final act commemorated at Yom Kippur “in perfect atonement</w:t>
      </w:r>
      <w:r w:rsidR="00F558A9">
        <w:rPr>
          <w:rFonts w:asciiTheme="minorHAnsi" w:eastAsiaTheme="minorHAnsi" w:hAnsiTheme="minorHAnsi" w:cstheme="minorHAnsi"/>
          <w:color w:val="000000"/>
          <w:u w:color="0000E9"/>
          <w:bdr w:val="none" w:sz="0" w:space="0" w:color="auto"/>
          <w14:ligatures w14:val="standardContextual"/>
        </w:rPr>
        <w:t>”</w:t>
      </w:r>
      <w:r w:rsidR="00F558A9">
        <w:rPr>
          <w:rStyle w:val="FootnoteReference"/>
          <w:rFonts w:asciiTheme="minorHAnsi" w:eastAsiaTheme="minorHAnsi" w:hAnsiTheme="minorHAnsi" w:cstheme="minorHAnsi"/>
          <w:color w:val="000000"/>
          <w:u w:color="0000E9"/>
          <w:bdr w:val="none" w:sz="0" w:space="0" w:color="auto"/>
          <w14:ligatures w14:val="standardContextual"/>
        </w:rPr>
        <w:footnoteReference w:id="33"/>
      </w:r>
      <w:r w:rsidR="009C0EA1">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However, without Christ’s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xml:space="preserve"> and atonement, the Trinity would have little meaning</w:t>
      </w:r>
      <w:r w:rsidR="00931B67">
        <w:rPr>
          <w:rFonts w:asciiTheme="minorHAnsi" w:eastAsiaTheme="minorHAnsi" w:hAnsiTheme="minorHAnsi" w:cstheme="minorHAnsi"/>
          <w:color w:val="000000"/>
          <w:u w:color="0000E9"/>
          <w:bdr w:val="none" w:sz="0" w:space="0" w:color="auto"/>
          <w14:ligatures w14:val="standardContextual"/>
        </w:rPr>
        <w:t xml:space="preserve">, a fact that is central for Anselm within the reasoning of CDH </w:t>
      </w:r>
      <w:r w:rsidRPr="00180AC1">
        <w:rPr>
          <w:rFonts w:asciiTheme="minorHAnsi" w:eastAsiaTheme="minorHAnsi" w:hAnsiTheme="minorHAnsi" w:cstheme="minorHAnsi"/>
          <w:color w:val="000000"/>
          <w:u w:color="0000E9"/>
          <w:bdr w:val="none" w:sz="0" w:space="0" w:color="auto"/>
          <w14:ligatures w14:val="standardContextual"/>
        </w:rPr>
        <w:t>.</w:t>
      </w:r>
    </w:p>
    <w:p w14:paraId="4D3C6533" w14:textId="77777777" w:rsidR="000C1DA9" w:rsidRDefault="000C1DA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05FA70E1" w14:textId="684F7D9E" w:rsidR="004832C3" w:rsidRDefault="00931B67"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 xml:space="preserve">Anselm’s trinitarian theology lives on and is refreshed </w:t>
      </w:r>
      <w:r w:rsidR="00E11837">
        <w:rPr>
          <w:rFonts w:asciiTheme="minorHAnsi" w:eastAsiaTheme="minorHAnsi" w:hAnsiTheme="minorHAnsi" w:cstheme="minorHAnsi"/>
          <w:color w:val="000000"/>
          <w:u w:color="0000E9"/>
          <w:bdr w:val="none" w:sz="0" w:space="0" w:color="auto"/>
          <w14:ligatures w14:val="standardContextual"/>
        </w:rPr>
        <w:t>within</w:t>
      </w:r>
      <w:r>
        <w:rPr>
          <w:rFonts w:asciiTheme="minorHAnsi" w:eastAsiaTheme="minorHAnsi" w:hAnsiTheme="minorHAnsi" w:cstheme="minorHAnsi"/>
          <w:color w:val="000000"/>
          <w:u w:color="0000E9"/>
          <w:bdr w:val="none" w:sz="0" w:space="0" w:color="auto"/>
          <w14:ligatures w14:val="standardContextual"/>
        </w:rPr>
        <w:t xml:space="preserve"> the (post-)modern world</w:t>
      </w:r>
      <w:r w:rsidR="00E11837">
        <w:rPr>
          <w:rFonts w:asciiTheme="minorHAnsi" w:eastAsiaTheme="minorHAnsi" w:hAnsiTheme="minorHAnsi" w:cstheme="minorHAnsi"/>
          <w:color w:val="000000"/>
          <w:u w:color="0000E9"/>
          <w:bdr w:val="none" w:sz="0" w:space="0" w:color="auto"/>
          <w14:ligatures w14:val="standardContextual"/>
        </w:rPr>
        <w:t>’s</w:t>
      </w:r>
      <w:r w:rsidR="004A0FE7">
        <w:rPr>
          <w:rFonts w:asciiTheme="minorHAnsi" w:eastAsiaTheme="minorHAnsi" w:hAnsiTheme="minorHAnsi" w:cstheme="minorHAnsi"/>
          <w:color w:val="000000"/>
          <w:u w:color="0000E9"/>
          <w:bdr w:val="none" w:sz="0" w:space="0" w:color="auto"/>
          <w14:ligatures w14:val="standardContextual"/>
        </w:rPr>
        <w:t xml:space="preserve"> renewed interest in the Trinity, both Catholic and Protestant. Significant contributors include Karl </w:t>
      </w:r>
      <w:proofErr w:type="spellStart"/>
      <w:r w:rsidR="004A0FE7">
        <w:rPr>
          <w:rFonts w:asciiTheme="minorHAnsi" w:eastAsiaTheme="minorHAnsi" w:hAnsiTheme="minorHAnsi" w:cstheme="minorHAnsi"/>
          <w:color w:val="000000"/>
          <w:u w:color="0000E9"/>
          <w:bdr w:val="none" w:sz="0" w:space="0" w:color="auto"/>
          <w14:ligatures w14:val="standardContextual"/>
        </w:rPr>
        <w:t>Rahner</w:t>
      </w:r>
      <w:proofErr w:type="spellEnd"/>
      <w:r w:rsidR="004A0FE7">
        <w:rPr>
          <w:rFonts w:asciiTheme="minorHAnsi" w:eastAsiaTheme="minorHAnsi" w:hAnsiTheme="minorHAnsi" w:cstheme="minorHAnsi"/>
          <w:color w:val="000000"/>
          <w:u w:color="0000E9"/>
          <w:bdr w:val="none" w:sz="0" w:space="0" w:color="auto"/>
          <w14:ligatures w14:val="standardContextual"/>
        </w:rPr>
        <w:t xml:space="preserve">, Hans </w:t>
      </w:r>
      <w:proofErr w:type="spellStart"/>
      <w:r w:rsidR="004A0FE7">
        <w:rPr>
          <w:rFonts w:asciiTheme="minorHAnsi" w:eastAsiaTheme="minorHAnsi" w:hAnsiTheme="minorHAnsi" w:cstheme="minorHAnsi"/>
          <w:color w:val="000000"/>
          <w:u w:color="0000E9"/>
          <w:bdr w:val="none" w:sz="0" w:space="0" w:color="auto"/>
          <w14:ligatures w14:val="standardContextual"/>
        </w:rPr>
        <w:t>Urs</w:t>
      </w:r>
      <w:proofErr w:type="spellEnd"/>
      <w:r w:rsidR="004A0FE7">
        <w:rPr>
          <w:rFonts w:asciiTheme="minorHAnsi" w:eastAsiaTheme="minorHAnsi" w:hAnsiTheme="minorHAnsi" w:cstheme="minorHAnsi"/>
          <w:color w:val="000000"/>
          <w:u w:color="0000E9"/>
          <w:bdr w:val="none" w:sz="0" w:space="0" w:color="auto"/>
          <w14:ligatures w14:val="standardContextual"/>
        </w:rPr>
        <w:t xml:space="preserve"> von Balthasar, J.I. Packer, Rowan Williams, Karl Barth and John Millbank, </w:t>
      </w:r>
      <w:r w:rsidR="004A0FE7">
        <w:rPr>
          <w:rFonts w:asciiTheme="minorHAnsi" w:eastAsiaTheme="minorHAnsi" w:hAnsiTheme="minorHAnsi" w:cstheme="minorHAnsi"/>
          <w:i/>
          <w:iCs/>
          <w:color w:val="000000"/>
          <w:u w:color="0000E9"/>
          <w:bdr w:val="none" w:sz="0" w:space="0" w:color="auto"/>
          <w14:ligatures w14:val="standardContextual"/>
        </w:rPr>
        <w:t>inter alia.</w:t>
      </w:r>
      <w:r w:rsidR="004A0FE7">
        <w:rPr>
          <w:rFonts w:asciiTheme="minorHAnsi" w:eastAsiaTheme="minorHAnsi" w:hAnsiTheme="minorHAnsi" w:cstheme="minorHAnsi"/>
          <w:color w:val="000000"/>
          <w:u w:color="0000E9"/>
          <w:bdr w:val="none" w:sz="0" w:space="0" w:color="auto"/>
          <w14:ligatures w14:val="standardContextual"/>
        </w:rPr>
        <w:t xml:space="preserve"> A major contribution from John Polkinghorne </w:t>
      </w:r>
      <w:r w:rsidR="00E11837">
        <w:rPr>
          <w:rFonts w:asciiTheme="minorHAnsi" w:eastAsiaTheme="minorHAnsi" w:hAnsiTheme="minorHAnsi" w:cstheme="minorHAnsi"/>
          <w:color w:val="000000"/>
          <w:u w:color="0000E9"/>
          <w:bdr w:val="none" w:sz="0" w:space="0" w:color="auto"/>
          <w14:ligatures w14:val="standardContextual"/>
        </w:rPr>
        <w:t xml:space="preserve">brings fresh </w:t>
      </w:r>
      <w:r w:rsidR="005271E4">
        <w:rPr>
          <w:rFonts w:asciiTheme="minorHAnsi" w:eastAsiaTheme="minorHAnsi" w:hAnsiTheme="minorHAnsi" w:cstheme="minorHAnsi"/>
          <w:color w:val="000000"/>
          <w:u w:color="0000E9"/>
          <w:bdr w:val="none" w:sz="0" w:space="0" w:color="auto"/>
          <w14:ligatures w14:val="standardContextual"/>
        </w:rPr>
        <w:t>t</w:t>
      </w:r>
      <w:r w:rsidR="00E11837">
        <w:rPr>
          <w:rFonts w:asciiTheme="minorHAnsi" w:eastAsiaTheme="minorHAnsi" w:hAnsiTheme="minorHAnsi" w:cstheme="minorHAnsi"/>
          <w:color w:val="000000"/>
          <w:u w:color="0000E9"/>
          <w:bdr w:val="none" w:sz="0" w:space="0" w:color="auto"/>
          <w14:ligatures w14:val="standardContextual"/>
        </w:rPr>
        <w:t xml:space="preserve">rinitarian insights from </w:t>
      </w:r>
      <w:r w:rsidR="004A0FE7">
        <w:rPr>
          <w:rFonts w:asciiTheme="minorHAnsi" w:eastAsiaTheme="minorHAnsi" w:hAnsiTheme="minorHAnsi" w:cstheme="minorHAnsi"/>
          <w:color w:val="000000"/>
          <w:u w:color="0000E9"/>
          <w:bdr w:val="none" w:sz="0" w:space="0" w:color="auto"/>
          <w14:ligatures w14:val="standardContextual"/>
        </w:rPr>
        <w:t>the science</w:t>
      </w:r>
      <w:r w:rsidR="00E11837">
        <w:rPr>
          <w:rFonts w:asciiTheme="minorHAnsi" w:eastAsiaTheme="minorHAnsi" w:hAnsiTheme="minorHAnsi" w:cstheme="minorHAnsi"/>
          <w:color w:val="000000"/>
          <w:u w:color="0000E9"/>
          <w:bdr w:val="none" w:sz="0" w:space="0" w:color="auto"/>
          <w14:ligatures w14:val="standardContextual"/>
        </w:rPr>
        <w:t>-</w:t>
      </w:r>
      <w:r w:rsidR="004A0FE7">
        <w:rPr>
          <w:rFonts w:asciiTheme="minorHAnsi" w:eastAsiaTheme="minorHAnsi" w:hAnsiTheme="minorHAnsi" w:cstheme="minorHAnsi"/>
          <w:color w:val="000000"/>
          <w:u w:color="0000E9"/>
          <w:bdr w:val="none" w:sz="0" w:space="0" w:color="auto"/>
          <w14:ligatures w14:val="standardContextual"/>
        </w:rPr>
        <w:t xml:space="preserve">theology debate, which </w:t>
      </w:r>
      <w:r w:rsidR="004A7D65">
        <w:rPr>
          <w:rFonts w:asciiTheme="minorHAnsi" w:eastAsiaTheme="minorHAnsi" w:hAnsiTheme="minorHAnsi" w:cstheme="minorHAnsi"/>
          <w:color w:val="000000"/>
          <w:u w:color="0000E9"/>
          <w:bdr w:val="none" w:sz="0" w:space="0" w:color="auto"/>
          <w14:ligatures w14:val="standardContextual"/>
        </w:rPr>
        <w:t>suggests exciting</w:t>
      </w:r>
      <w:r w:rsidR="00E11837">
        <w:rPr>
          <w:rFonts w:asciiTheme="minorHAnsi" w:eastAsiaTheme="minorHAnsi" w:hAnsiTheme="minorHAnsi" w:cstheme="minorHAnsi"/>
          <w:color w:val="000000"/>
          <w:u w:color="0000E9"/>
          <w:bdr w:val="none" w:sz="0" w:space="0" w:color="auto"/>
          <w14:ligatures w14:val="standardContextual"/>
        </w:rPr>
        <w:t xml:space="preserve"> questions</w:t>
      </w:r>
      <w:r w:rsidR="004A0FE7">
        <w:rPr>
          <w:rFonts w:asciiTheme="minorHAnsi" w:eastAsiaTheme="minorHAnsi" w:hAnsiTheme="minorHAnsi" w:cstheme="minorHAnsi"/>
          <w:color w:val="000000"/>
          <w:u w:color="0000E9"/>
          <w:bdr w:val="none" w:sz="0" w:space="0" w:color="auto"/>
          <w14:ligatures w14:val="standardContextual"/>
        </w:rPr>
        <w:t xml:space="preserve"> for future Christian </w:t>
      </w:r>
      <w:r w:rsidR="005271E4">
        <w:rPr>
          <w:rFonts w:asciiTheme="minorHAnsi" w:eastAsiaTheme="minorHAnsi" w:hAnsiTheme="minorHAnsi" w:cstheme="minorHAnsi"/>
          <w:color w:val="000000"/>
          <w:u w:color="0000E9"/>
          <w:bdr w:val="none" w:sz="0" w:space="0" w:color="auto"/>
          <w14:ligatures w14:val="standardContextual"/>
        </w:rPr>
        <w:t>t</w:t>
      </w:r>
      <w:r w:rsidR="00E11837">
        <w:rPr>
          <w:rFonts w:asciiTheme="minorHAnsi" w:eastAsiaTheme="minorHAnsi" w:hAnsiTheme="minorHAnsi" w:cstheme="minorHAnsi"/>
          <w:color w:val="000000"/>
          <w:u w:color="0000E9"/>
          <w:bdr w:val="none" w:sz="0" w:space="0" w:color="auto"/>
          <w14:ligatures w14:val="standardContextual"/>
        </w:rPr>
        <w:t xml:space="preserve">rinitarian </w:t>
      </w:r>
      <w:r w:rsidR="009C0EA1">
        <w:rPr>
          <w:rFonts w:asciiTheme="minorHAnsi" w:eastAsiaTheme="minorHAnsi" w:hAnsiTheme="minorHAnsi" w:cstheme="minorHAnsi"/>
          <w:color w:val="000000"/>
          <w:u w:color="0000E9"/>
          <w:bdr w:val="none" w:sz="0" w:space="0" w:color="auto"/>
          <w14:ligatures w14:val="standardContextual"/>
        </w:rPr>
        <w:t>enquiry.</w:t>
      </w:r>
      <w:r w:rsidR="004A0FE7">
        <w:rPr>
          <w:rFonts w:asciiTheme="minorHAnsi" w:eastAsiaTheme="minorHAnsi" w:hAnsiTheme="minorHAnsi" w:cstheme="minorHAnsi"/>
          <w:color w:val="000000"/>
          <w:u w:color="0000E9"/>
          <w:bdr w:val="none" w:sz="0" w:space="0" w:color="auto"/>
          <w14:ligatures w14:val="standardContextual"/>
        </w:rPr>
        <w:t xml:space="preserve"> </w:t>
      </w:r>
    </w:p>
    <w:p w14:paraId="4C92FE79" w14:textId="77777777" w:rsidR="002A0389" w:rsidRDefault="002A038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1934C0C8" w14:textId="29D9E8B6" w:rsidR="00083D7F" w:rsidRPr="00D543D0" w:rsidRDefault="00083D7F"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4" w:name="_Toc132210842"/>
      <w:r w:rsidRPr="00D543D0">
        <w:rPr>
          <w:rFonts w:asciiTheme="minorHAnsi" w:eastAsiaTheme="minorHAnsi" w:hAnsiTheme="minorHAnsi" w:cstheme="minorHAnsi"/>
          <w:b/>
          <w:bCs/>
          <w:color w:val="auto"/>
          <w:sz w:val="24"/>
          <w:szCs w:val="24"/>
          <w:u w:color="0000E9"/>
          <w:bdr w:val="none" w:sz="0" w:space="0" w:color="auto"/>
        </w:rPr>
        <w:t>John Polkinghorne’s science-theology</w:t>
      </w:r>
      <w:bookmarkEnd w:id="4"/>
      <w:r w:rsidRPr="00D543D0">
        <w:rPr>
          <w:rFonts w:asciiTheme="minorHAnsi" w:eastAsiaTheme="minorHAnsi" w:hAnsiTheme="minorHAnsi" w:cstheme="minorHAnsi"/>
          <w:b/>
          <w:bCs/>
          <w:color w:val="auto"/>
          <w:sz w:val="24"/>
          <w:szCs w:val="24"/>
          <w:u w:color="0000E9"/>
          <w:bdr w:val="none" w:sz="0" w:space="0" w:color="auto"/>
        </w:rPr>
        <w:t xml:space="preserve"> </w:t>
      </w:r>
    </w:p>
    <w:p w14:paraId="6A349FCC" w14:textId="77777777" w:rsidR="00A61A82" w:rsidRDefault="00A64B62" w:rsidP="00651297">
      <w:pPr>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 xml:space="preserve">Within the </w:t>
      </w:r>
      <w:r w:rsidRPr="00180AC1">
        <w:rPr>
          <w:rFonts w:asciiTheme="minorHAnsi" w:eastAsiaTheme="minorHAnsi" w:hAnsiTheme="minorHAnsi" w:cstheme="minorHAnsi"/>
          <w:color w:val="000000"/>
          <w:u w:color="0000E9"/>
          <w:bdr w:val="none" w:sz="0" w:space="0" w:color="auto"/>
          <w14:ligatures w14:val="standardContextual"/>
        </w:rPr>
        <w:t>diverse</w:t>
      </w:r>
      <w:r>
        <w:rPr>
          <w:rFonts w:asciiTheme="minorHAnsi" w:eastAsiaTheme="minorHAnsi" w:hAnsiTheme="minorHAnsi" w:cstheme="minorHAnsi"/>
          <w:color w:val="000000"/>
          <w:u w:color="0000E9"/>
          <w:bdr w:val="none" w:sz="0" w:space="0" w:color="auto"/>
          <w14:ligatures w14:val="standardContextual"/>
        </w:rPr>
        <w:t xml:space="preserve">, often </w:t>
      </w:r>
      <w:r w:rsidRPr="00180AC1">
        <w:rPr>
          <w:rFonts w:asciiTheme="minorHAnsi" w:eastAsiaTheme="minorHAnsi" w:hAnsiTheme="minorHAnsi" w:cstheme="minorHAnsi"/>
          <w:color w:val="000000"/>
          <w:u w:color="0000E9"/>
          <w:bdr w:val="none" w:sz="0" w:space="0" w:color="auto"/>
          <w14:ligatures w14:val="standardContextual"/>
        </w:rPr>
        <w:t xml:space="preserve">vociferous confrontational views seeing </w:t>
      </w:r>
      <w:r>
        <w:rPr>
          <w:rFonts w:asciiTheme="minorHAnsi" w:eastAsiaTheme="minorHAnsi" w:hAnsiTheme="minorHAnsi" w:cstheme="minorHAnsi"/>
          <w:color w:val="000000"/>
          <w:u w:color="0000E9"/>
          <w:bdr w:val="none" w:sz="0" w:space="0" w:color="auto"/>
          <w14:ligatures w14:val="standardContextual"/>
        </w:rPr>
        <w:t xml:space="preserve">Anselm’s </w:t>
      </w:r>
      <w:r w:rsidRPr="00180AC1">
        <w:rPr>
          <w:rFonts w:asciiTheme="minorHAnsi" w:eastAsiaTheme="minorHAnsi" w:hAnsiTheme="minorHAnsi" w:cstheme="minorHAnsi"/>
          <w:color w:val="000000"/>
          <w:u w:color="0000E9"/>
          <w:bdr w:val="none" w:sz="0" w:space="0" w:color="auto"/>
          <w14:ligatures w14:val="standardContextual"/>
        </w:rPr>
        <w:t xml:space="preserve">traditional doctrine as “utterly incompatible” with </w:t>
      </w:r>
      <w:r>
        <w:rPr>
          <w:rFonts w:asciiTheme="minorHAnsi" w:eastAsiaTheme="minorHAnsi" w:hAnsiTheme="minorHAnsi" w:cstheme="minorHAnsi"/>
          <w:color w:val="000000"/>
          <w:u w:color="0000E9"/>
          <w:bdr w:val="none" w:sz="0" w:space="0" w:color="auto"/>
          <w14:ligatures w14:val="standardContextual"/>
        </w:rPr>
        <w:t>the</w:t>
      </w:r>
      <w:r w:rsidRPr="00180AC1">
        <w:rPr>
          <w:rFonts w:asciiTheme="minorHAnsi" w:eastAsiaTheme="minorHAnsi" w:hAnsiTheme="minorHAnsi" w:cstheme="minorHAnsi"/>
          <w:color w:val="000000"/>
          <w:u w:color="0000E9"/>
          <w:bdr w:val="none" w:sz="0" w:space="0" w:color="auto"/>
          <w14:ligatures w14:val="standardContextual"/>
        </w:rPr>
        <w:t xml:space="preserve"> dynamic, processive relational experience of </w:t>
      </w:r>
      <w:r>
        <w:rPr>
          <w:rFonts w:asciiTheme="minorHAnsi" w:eastAsiaTheme="minorHAnsi" w:hAnsiTheme="minorHAnsi" w:cstheme="minorHAnsi"/>
          <w:color w:val="000000"/>
          <w:u w:color="0000E9"/>
          <w:bdr w:val="none" w:sz="0" w:space="0" w:color="auto"/>
          <w14:ligatures w14:val="standardContextual"/>
        </w:rPr>
        <w:t xml:space="preserve">the </w:t>
      </w:r>
      <w:r w:rsidRPr="00180AC1">
        <w:rPr>
          <w:rFonts w:asciiTheme="minorHAnsi" w:eastAsiaTheme="minorHAnsi" w:hAnsiTheme="minorHAnsi" w:cstheme="minorHAnsi"/>
          <w:color w:val="000000"/>
          <w:u w:color="0000E9"/>
          <w:bdr w:val="none" w:sz="0" w:space="0" w:color="auto"/>
          <w14:ligatures w14:val="standardContextual"/>
        </w:rPr>
        <w:lastRenderedPageBreak/>
        <w:t>reality</w:t>
      </w:r>
      <w:r>
        <w:rPr>
          <w:rFonts w:asciiTheme="minorHAnsi" w:eastAsiaTheme="minorHAnsi" w:hAnsiTheme="minorHAnsi" w:cstheme="minorHAnsi"/>
          <w:color w:val="000000"/>
          <w:u w:color="0000E9"/>
          <w:bdr w:val="none" w:sz="0" w:space="0" w:color="auto"/>
          <w14:ligatures w14:val="standardContextual"/>
        </w:rPr>
        <w:t xml:space="preserve"> and gravity of suffering today, </w:t>
      </w:r>
      <w:r w:rsidR="009C0EA1">
        <w:rPr>
          <w:rFonts w:asciiTheme="minorHAnsi" w:eastAsiaTheme="minorHAnsi" w:hAnsiTheme="minorHAnsi" w:cstheme="minorHAnsi"/>
          <w:color w:val="000000"/>
          <w:u w:color="0000E9"/>
          <w:bdr w:val="none" w:sz="0" w:space="0" w:color="auto"/>
          <w14:ligatures w14:val="standardContextual"/>
        </w:rPr>
        <w:t xml:space="preserve">John </w:t>
      </w:r>
      <w:r>
        <w:rPr>
          <w:rFonts w:asciiTheme="minorHAnsi" w:eastAsiaTheme="minorHAnsi" w:hAnsiTheme="minorHAnsi" w:cstheme="minorHAnsi"/>
          <w:color w:val="000000"/>
          <w:u w:color="0000E9"/>
          <w:bdr w:val="none" w:sz="0" w:space="0" w:color="auto"/>
          <w14:ligatures w14:val="standardContextual"/>
        </w:rPr>
        <w:t>Polkinghorne enters the debate</w:t>
      </w:r>
      <w:r>
        <w:rPr>
          <w:rStyle w:val="FootnoteReference"/>
          <w:rFonts w:asciiTheme="minorHAnsi" w:eastAsiaTheme="minorHAnsi" w:hAnsiTheme="minorHAnsi" w:cstheme="minorHAnsi"/>
          <w:color w:val="000000"/>
          <w:u w:color="0000E9"/>
          <w:bdr w:val="none" w:sz="0" w:space="0" w:color="auto"/>
          <w14:ligatures w14:val="standardContextual"/>
        </w:rPr>
        <w:footnoteReference w:id="34"/>
      </w:r>
      <w:r w:rsidR="004A7D65">
        <w:rPr>
          <w:rFonts w:asciiTheme="minorHAnsi" w:eastAsiaTheme="minorHAnsi" w:hAnsiTheme="minorHAnsi" w:cstheme="minorHAnsi"/>
          <w:color w:val="000000"/>
          <w:u w:color="0000E9"/>
          <w:bdr w:val="none" w:sz="0" w:space="0" w:color="auto"/>
          <w14:ligatures w14:val="standardContextual"/>
        </w:rPr>
        <w:t xml:space="preserve">. </w:t>
      </w:r>
      <w:r w:rsidR="00A61A82">
        <w:rPr>
          <w:rFonts w:asciiTheme="minorHAnsi" w:eastAsiaTheme="minorHAnsi" w:hAnsiTheme="minorHAnsi" w:cstheme="minorHAnsi"/>
          <w:color w:val="000000"/>
          <w:u w:color="0000E9"/>
          <w:bdr w:val="none" w:sz="0" w:space="0" w:color="auto"/>
          <w14:ligatures w14:val="standardContextual"/>
        </w:rPr>
        <w:t>He views ‘The Theory of Everything’ as being inherently trinitarian:</w:t>
      </w:r>
    </w:p>
    <w:p w14:paraId="4A8FA64F" w14:textId="079D7DB5" w:rsidR="00A61A82" w:rsidRDefault="00A61A82" w:rsidP="00651297">
      <w:pPr>
        <w:spacing w:line="360" w:lineRule="auto"/>
        <w:ind w:left="720"/>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“The universe is deeply relational in character and unified in its structure, because it is the creation of the one true God, Father, Son and Holy Spirit.”</w:t>
      </w:r>
      <w:r>
        <w:rPr>
          <w:rStyle w:val="FootnoteReference"/>
          <w:rFonts w:asciiTheme="minorHAnsi" w:eastAsiaTheme="minorHAnsi" w:hAnsiTheme="minorHAnsi" w:cstheme="minorHAnsi"/>
          <w:color w:val="000000"/>
          <w:u w:color="0000E9"/>
          <w:bdr w:val="none" w:sz="0" w:space="0" w:color="auto"/>
          <w14:ligatures w14:val="standardContextual"/>
        </w:rPr>
        <w:footnoteReference w:id="35"/>
      </w:r>
    </w:p>
    <w:p w14:paraId="62ED79FB" w14:textId="25D7898A" w:rsidR="00142694" w:rsidRPr="00142694" w:rsidRDefault="004A7D65" w:rsidP="00651297">
      <w:pPr>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He</w:t>
      </w:r>
      <w:r w:rsidR="00A64B62">
        <w:rPr>
          <w:rFonts w:asciiTheme="minorHAnsi" w:eastAsiaTheme="minorHAnsi" w:hAnsiTheme="minorHAnsi" w:cstheme="minorHAnsi"/>
          <w:color w:val="000000"/>
          <w:u w:color="0000E9"/>
          <w:bdr w:val="none" w:sz="0" w:space="0" w:color="auto"/>
          <w14:ligatures w14:val="standardContextual"/>
        </w:rPr>
        <w:t xml:space="preserve"> </w:t>
      </w:r>
      <w:r>
        <w:rPr>
          <w:rFonts w:asciiTheme="minorHAnsi" w:eastAsiaTheme="minorHAnsi" w:hAnsiTheme="minorHAnsi" w:cstheme="minorHAnsi"/>
          <w:color w:val="000000"/>
          <w:u w:color="0000E9"/>
          <w:bdr w:val="none" w:sz="0" w:space="0" w:color="auto"/>
          <w14:ligatures w14:val="standardContextual"/>
        </w:rPr>
        <w:t>focuses</w:t>
      </w:r>
      <w:r w:rsidR="00A64B62">
        <w:rPr>
          <w:rFonts w:asciiTheme="minorHAnsi" w:eastAsiaTheme="minorHAnsi" w:hAnsiTheme="minorHAnsi" w:cstheme="minorHAnsi"/>
          <w:color w:val="000000"/>
          <w:u w:color="0000E9"/>
          <w:bdr w:val="none" w:sz="0" w:space="0" w:color="auto"/>
          <w14:ligatures w14:val="standardContextual"/>
        </w:rPr>
        <w:t xml:space="preserve"> </w:t>
      </w:r>
      <w:r w:rsidR="00600101">
        <w:rPr>
          <w:rFonts w:asciiTheme="minorHAnsi" w:eastAsiaTheme="minorHAnsi" w:hAnsiTheme="minorHAnsi" w:cstheme="minorHAnsi"/>
          <w:color w:val="000000"/>
          <w:u w:color="0000E9"/>
          <w:bdr w:val="none" w:sz="0" w:space="0" w:color="auto"/>
          <w14:ligatures w14:val="standardContextual"/>
        </w:rPr>
        <w:t>on “the relationality present in the structure of the universe”</w:t>
      </w:r>
      <w:r w:rsidR="003A729C">
        <w:rPr>
          <w:rStyle w:val="FootnoteReference"/>
          <w:rFonts w:asciiTheme="minorHAnsi" w:eastAsiaTheme="minorHAnsi" w:hAnsiTheme="minorHAnsi" w:cstheme="minorHAnsi"/>
          <w:color w:val="000000"/>
          <w:u w:color="0000E9"/>
          <w:bdr w:val="none" w:sz="0" w:space="0" w:color="auto"/>
          <w14:ligatures w14:val="standardContextual"/>
        </w:rPr>
        <w:footnoteReference w:id="36"/>
      </w:r>
      <w:r w:rsidR="00600101">
        <w:rPr>
          <w:rFonts w:asciiTheme="minorHAnsi" w:eastAsiaTheme="minorHAnsi" w:hAnsiTheme="minorHAnsi" w:cstheme="minorHAnsi"/>
          <w:color w:val="000000"/>
          <w:u w:color="0000E9"/>
          <w:bdr w:val="none" w:sz="0" w:space="0" w:color="auto"/>
          <w14:ligatures w14:val="standardContextual"/>
        </w:rPr>
        <w:t xml:space="preserve"> through contributions from leading scientists</w:t>
      </w:r>
      <w:r w:rsidR="00010B86">
        <w:rPr>
          <w:rFonts w:asciiTheme="minorHAnsi" w:eastAsiaTheme="minorHAnsi" w:hAnsiTheme="minorHAnsi" w:cstheme="minorHAnsi"/>
          <w:color w:val="000000"/>
          <w:u w:color="0000E9"/>
          <w:bdr w:val="none" w:sz="0" w:space="0" w:color="auto"/>
          <w14:ligatures w14:val="standardContextual"/>
        </w:rPr>
        <w:t>. These</w:t>
      </w:r>
      <w:r w:rsidR="00D07979">
        <w:rPr>
          <w:rFonts w:asciiTheme="minorHAnsi" w:eastAsiaTheme="minorHAnsi" w:hAnsiTheme="minorHAnsi" w:cstheme="minorHAnsi"/>
          <w:color w:val="000000"/>
          <w:u w:color="0000E9"/>
          <w:bdr w:val="none" w:sz="0" w:space="0" w:color="auto"/>
          <w14:ligatures w14:val="standardContextual"/>
        </w:rPr>
        <w:t xml:space="preserve"> </w:t>
      </w:r>
      <w:r w:rsidR="00010B86">
        <w:rPr>
          <w:rFonts w:asciiTheme="minorHAnsi" w:eastAsiaTheme="minorHAnsi" w:hAnsiTheme="minorHAnsi" w:cstheme="minorHAnsi"/>
          <w:color w:val="000000"/>
          <w:u w:color="0000E9"/>
          <w:bdr w:val="none" w:sz="0" w:space="0" w:color="auto"/>
          <w14:ligatures w14:val="standardContextual"/>
        </w:rPr>
        <w:t>develop</w:t>
      </w:r>
      <w:r w:rsidR="00D07979">
        <w:rPr>
          <w:rFonts w:asciiTheme="minorHAnsi" w:eastAsiaTheme="minorHAnsi" w:hAnsiTheme="minorHAnsi" w:cstheme="minorHAnsi"/>
          <w:color w:val="000000"/>
          <w:u w:color="0000E9"/>
          <w:bdr w:val="none" w:sz="0" w:space="0" w:color="auto"/>
          <w14:ligatures w14:val="standardContextual"/>
        </w:rPr>
        <w:t xml:space="preserve"> reasoning concerning the connectivity between physical sciences and metaphysics/theology</w:t>
      </w:r>
      <w:r w:rsidR="00010B86">
        <w:rPr>
          <w:rFonts w:asciiTheme="minorHAnsi" w:eastAsiaTheme="minorHAnsi" w:hAnsiTheme="minorHAnsi" w:cstheme="minorHAnsi"/>
          <w:color w:val="000000"/>
          <w:u w:color="0000E9"/>
          <w:bdr w:val="none" w:sz="0" w:space="0" w:color="auto"/>
          <w14:ligatures w14:val="standardContextual"/>
        </w:rPr>
        <w:t>, thence towards “relational ontology”</w:t>
      </w:r>
      <w:r w:rsidR="00010B86">
        <w:rPr>
          <w:rStyle w:val="FootnoteReference"/>
          <w:rFonts w:asciiTheme="minorHAnsi" w:eastAsiaTheme="minorHAnsi" w:hAnsiTheme="minorHAnsi" w:cstheme="minorHAnsi"/>
          <w:color w:val="000000"/>
          <w:u w:color="0000E9"/>
          <w:bdr w:val="none" w:sz="0" w:space="0" w:color="auto"/>
          <w14:ligatures w14:val="standardContextual"/>
        </w:rPr>
        <w:footnoteReference w:id="37"/>
      </w:r>
      <w:r w:rsidR="00010B86">
        <w:rPr>
          <w:rFonts w:asciiTheme="minorHAnsi" w:eastAsiaTheme="minorHAnsi" w:hAnsiTheme="minorHAnsi" w:cstheme="minorHAnsi"/>
          <w:color w:val="000000"/>
          <w:u w:color="0000E9"/>
          <w:bdr w:val="none" w:sz="0" w:space="0" w:color="auto"/>
          <w14:ligatures w14:val="standardContextual"/>
        </w:rPr>
        <w:t xml:space="preserve"> and trinitarian theology. </w:t>
      </w:r>
      <w:r w:rsidR="003A729C">
        <w:rPr>
          <w:rFonts w:asciiTheme="minorHAnsi" w:eastAsiaTheme="minorHAnsi" w:hAnsiTheme="minorHAnsi" w:cstheme="minorHAnsi"/>
          <w:color w:val="000000"/>
          <w:u w:color="0000E9"/>
          <w:bdr w:val="none" w:sz="0" w:space="0" w:color="auto"/>
          <w14:ligatures w14:val="standardContextual"/>
        </w:rPr>
        <w:t>This potentially brings a rapprochement in the continuing Orthodox-Western trinitarian differences, usefully proffering an alternative of “precedence neither to relationality over being nor to being over rationality”</w:t>
      </w:r>
      <w:r w:rsidR="003A729C">
        <w:rPr>
          <w:rStyle w:val="FootnoteReference"/>
          <w:rFonts w:asciiTheme="minorHAnsi" w:eastAsiaTheme="minorHAnsi" w:hAnsiTheme="minorHAnsi" w:cstheme="minorHAnsi"/>
          <w:color w:val="000000"/>
          <w:u w:color="0000E9"/>
          <w:bdr w:val="none" w:sz="0" w:space="0" w:color="auto"/>
          <w14:ligatures w14:val="standardContextual"/>
        </w:rPr>
        <w:footnoteReference w:id="38"/>
      </w:r>
      <w:r w:rsidR="003A729C">
        <w:rPr>
          <w:rFonts w:asciiTheme="minorHAnsi" w:eastAsiaTheme="minorHAnsi" w:hAnsiTheme="minorHAnsi" w:cstheme="minorHAnsi"/>
          <w:color w:val="000000"/>
          <w:u w:color="0000E9"/>
          <w:bdr w:val="none" w:sz="0" w:space="0" w:color="auto"/>
          <w14:ligatures w14:val="standardContextual"/>
        </w:rPr>
        <w:t xml:space="preserve">. Valuable contributions come from child development on the nature of relationships and from sociology on how “a charismatic element in human </w:t>
      </w:r>
      <w:r w:rsidR="003A729C" w:rsidRPr="00142694">
        <w:rPr>
          <w:rFonts w:asciiTheme="minorHAnsi" w:eastAsiaTheme="minorHAnsi" w:hAnsiTheme="minorHAnsi" w:cstheme="minorHAnsi"/>
          <w:color w:val="000000"/>
          <w:u w:color="0000E9"/>
          <w:bdr w:val="none" w:sz="0" w:space="0" w:color="auto"/>
          <w14:ligatures w14:val="standardContextual"/>
        </w:rPr>
        <w:t>relationships will only find complete fulfilment eschatologically”</w:t>
      </w:r>
      <w:r w:rsidR="003A729C" w:rsidRPr="00142694">
        <w:rPr>
          <w:rStyle w:val="FootnoteReference"/>
          <w:rFonts w:asciiTheme="minorHAnsi" w:eastAsiaTheme="minorHAnsi" w:hAnsiTheme="minorHAnsi" w:cstheme="minorHAnsi"/>
          <w:color w:val="000000"/>
          <w:u w:color="0000E9"/>
          <w:bdr w:val="none" w:sz="0" w:space="0" w:color="auto"/>
          <w14:ligatures w14:val="standardContextual"/>
        </w:rPr>
        <w:footnoteReference w:id="39"/>
      </w:r>
      <w:r w:rsidR="003A729C" w:rsidRPr="00142694">
        <w:rPr>
          <w:rFonts w:asciiTheme="minorHAnsi" w:eastAsiaTheme="minorHAnsi" w:hAnsiTheme="minorHAnsi" w:cstheme="minorHAnsi"/>
          <w:color w:val="000000"/>
          <w:u w:color="0000E9"/>
          <w:bdr w:val="none" w:sz="0" w:space="0" w:color="auto"/>
          <w14:ligatures w14:val="standardContextual"/>
        </w:rPr>
        <w:t xml:space="preserve">. </w:t>
      </w:r>
    </w:p>
    <w:p w14:paraId="40882BD5" w14:textId="77777777" w:rsidR="00142694" w:rsidRPr="00142694" w:rsidRDefault="00142694" w:rsidP="00651297">
      <w:pPr>
        <w:spacing w:line="360" w:lineRule="auto"/>
        <w:rPr>
          <w:rFonts w:asciiTheme="minorHAnsi" w:eastAsiaTheme="minorHAnsi" w:hAnsiTheme="minorHAnsi" w:cstheme="minorHAnsi"/>
          <w:color w:val="000000"/>
          <w:u w:color="0000E9"/>
          <w:bdr w:val="none" w:sz="0" w:space="0" w:color="auto"/>
          <w14:ligatures w14:val="standardContextual"/>
        </w:rPr>
      </w:pPr>
    </w:p>
    <w:p w14:paraId="69227449" w14:textId="2FD1C70C" w:rsidR="00142694" w:rsidRPr="00142694" w:rsidRDefault="003A729C" w:rsidP="00651297">
      <w:pPr>
        <w:spacing w:line="360" w:lineRule="auto"/>
        <w:rPr>
          <w:rFonts w:asciiTheme="minorHAnsi" w:hAnsiTheme="minorHAnsi" w:cstheme="minorHAnsi"/>
        </w:rPr>
      </w:pPr>
      <w:r w:rsidRPr="00142694">
        <w:rPr>
          <w:rFonts w:asciiTheme="minorHAnsi" w:eastAsiaTheme="minorHAnsi" w:hAnsiTheme="minorHAnsi" w:cstheme="minorHAnsi"/>
          <w:color w:val="000000"/>
          <w:u w:color="0000E9"/>
          <w:bdr w:val="none" w:sz="0" w:space="0" w:color="auto"/>
          <w14:ligatures w14:val="standardContextual"/>
        </w:rPr>
        <w:t>Coakle</w:t>
      </w:r>
      <w:r w:rsidR="00A64B62" w:rsidRPr="00142694">
        <w:rPr>
          <w:rFonts w:asciiTheme="minorHAnsi" w:eastAsiaTheme="minorHAnsi" w:hAnsiTheme="minorHAnsi" w:cstheme="minorHAnsi"/>
          <w:color w:val="000000"/>
          <w:u w:color="0000E9"/>
          <w:bdr w:val="none" w:sz="0" w:space="0" w:color="auto"/>
          <w14:ligatures w14:val="standardContextual"/>
        </w:rPr>
        <w:t>y’s summary of the book</w:t>
      </w:r>
      <w:r w:rsidR="00A64B62" w:rsidRPr="00142694">
        <w:rPr>
          <w:rStyle w:val="FootnoteReference"/>
          <w:rFonts w:asciiTheme="minorHAnsi" w:eastAsiaTheme="minorHAnsi" w:hAnsiTheme="minorHAnsi" w:cstheme="minorHAnsi"/>
          <w:color w:val="000000"/>
          <w:u w:color="0000E9"/>
          <w:bdr w:val="none" w:sz="0" w:space="0" w:color="auto"/>
          <w14:ligatures w14:val="standardContextual"/>
        </w:rPr>
        <w:footnoteReference w:id="40"/>
      </w:r>
      <w:r w:rsidR="00A64B62" w:rsidRPr="00142694">
        <w:rPr>
          <w:rFonts w:asciiTheme="minorHAnsi" w:eastAsiaTheme="minorHAnsi" w:hAnsiTheme="minorHAnsi" w:cstheme="minorHAnsi"/>
          <w:color w:val="000000"/>
          <w:u w:color="0000E9"/>
          <w:bdr w:val="none" w:sz="0" w:space="0" w:color="auto"/>
          <w14:ligatures w14:val="standardContextual"/>
        </w:rPr>
        <w:t xml:space="preserve"> shows how the science-theology debate requires systematic choices to be made relating the trinitarian God to the ontological nature of the physical world. </w:t>
      </w:r>
      <w:r w:rsidR="00330F28">
        <w:rPr>
          <w:rFonts w:asciiTheme="minorHAnsi" w:eastAsiaTheme="minorHAnsi" w:hAnsiTheme="minorHAnsi" w:cstheme="minorHAnsi"/>
          <w:color w:val="000000"/>
          <w:u w:color="0000E9"/>
          <w:bdr w:val="none" w:sz="0" w:space="0" w:color="auto"/>
          <w14:ligatures w14:val="standardContextual"/>
        </w:rPr>
        <w:t xml:space="preserve">This is utterly compatible with Anselm’s non-faith reasoned proofs for </w:t>
      </w:r>
      <w:r w:rsidR="005271E4">
        <w:rPr>
          <w:rFonts w:asciiTheme="minorHAnsi" w:eastAsiaTheme="minorHAnsi" w:hAnsiTheme="minorHAnsi" w:cstheme="minorHAnsi"/>
          <w:color w:val="000000"/>
          <w:u w:color="0000E9"/>
          <w:bdr w:val="none" w:sz="0" w:space="0" w:color="auto"/>
          <w14:ligatures w14:val="standardContextual"/>
        </w:rPr>
        <w:t>Incarnation</w:t>
      </w:r>
      <w:r w:rsidR="00330F28">
        <w:rPr>
          <w:rFonts w:asciiTheme="minorHAnsi" w:eastAsiaTheme="minorHAnsi" w:hAnsiTheme="minorHAnsi" w:cstheme="minorHAnsi"/>
          <w:color w:val="000000"/>
          <w:u w:color="0000E9"/>
          <w:bdr w:val="none" w:sz="0" w:space="0" w:color="auto"/>
          <w14:ligatures w14:val="standardContextual"/>
        </w:rPr>
        <w:t xml:space="preserve">, atonement and thence the Trinity. </w:t>
      </w:r>
      <w:r w:rsidR="00BA624C" w:rsidRPr="00142694">
        <w:rPr>
          <w:rFonts w:asciiTheme="minorHAnsi" w:eastAsiaTheme="minorHAnsi" w:hAnsiTheme="minorHAnsi" w:cstheme="minorHAnsi"/>
          <w:color w:val="000000"/>
          <w:u w:color="0000E9"/>
          <w:bdr w:val="none" w:sz="0" w:space="0" w:color="auto"/>
          <w14:ligatures w14:val="standardContextual"/>
        </w:rPr>
        <w:t xml:space="preserve">Most importantly, </w:t>
      </w:r>
      <w:r w:rsidRPr="00142694">
        <w:rPr>
          <w:rFonts w:asciiTheme="minorHAnsi" w:eastAsiaTheme="minorHAnsi" w:hAnsiTheme="minorHAnsi" w:cstheme="minorHAnsi"/>
          <w:color w:val="000000"/>
          <w:u w:color="0000E9"/>
          <w:bdr w:val="none" w:sz="0" w:space="0" w:color="auto"/>
          <w14:ligatures w14:val="standardContextual"/>
        </w:rPr>
        <w:t xml:space="preserve">John </w:t>
      </w:r>
      <w:proofErr w:type="spellStart"/>
      <w:r w:rsidRPr="00142694">
        <w:rPr>
          <w:rFonts w:asciiTheme="minorHAnsi" w:eastAsiaTheme="minorHAnsi" w:hAnsiTheme="minorHAnsi" w:cstheme="minorHAnsi"/>
          <w:color w:val="000000"/>
          <w:u w:color="0000E9"/>
          <w:bdr w:val="none" w:sz="0" w:space="0" w:color="auto"/>
          <w14:ligatures w14:val="standardContextual"/>
        </w:rPr>
        <w:t>Zizioulas</w:t>
      </w:r>
      <w:proofErr w:type="spellEnd"/>
      <w:r w:rsidR="00BA624C" w:rsidRPr="00142694">
        <w:rPr>
          <w:rFonts w:asciiTheme="minorHAnsi" w:eastAsiaTheme="minorHAnsi" w:hAnsiTheme="minorHAnsi" w:cstheme="minorHAnsi"/>
          <w:color w:val="000000"/>
          <w:u w:color="0000E9"/>
          <w:bdr w:val="none" w:sz="0" w:space="0" w:color="auto"/>
          <w14:ligatures w14:val="standardContextual"/>
        </w:rPr>
        <w:t xml:space="preserve">, she says, </w:t>
      </w:r>
      <w:r w:rsidR="00BA624C" w:rsidRPr="00142694">
        <w:rPr>
          <w:rFonts w:asciiTheme="minorHAnsi" w:hAnsiTheme="minorHAnsi" w:cstheme="minorHAnsi"/>
        </w:rPr>
        <w:t xml:space="preserve">releases the block placed by Karl Barth on any form of non-biblical argument regarding </w:t>
      </w:r>
      <w:r w:rsidR="005271E4">
        <w:rPr>
          <w:rFonts w:asciiTheme="minorHAnsi" w:hAnsiTheme="minorHAnsi" w:cstheme="minorHAnsi"/>
        </w:rPr>
        <w:t>t</w:t>
      </w:r>
      <w:r w:rsidR="00BA624C" w:rsidRPr="00142694">
        <w:rPr>
          <w:rFonts w:asciiTheme="minorHAnsi" w:hAnsiTheme="minorHAnsi" w:cstheme="minorHAnsi"/>
        </w:rPr>
        <w:t>rinitarian doctrine</w:t>
      </w:r>
      <w:r w:rsidR="00330F28">
        <w:rPr>
          <w:rFonts w:asciiTheme="minorHAnsi" w:hAnsiTheme="minorHAnsi" w:cstheme="minorHAnsi"/>
        </w:rPr>
        <w:t>. It</w:t>
      </w:r>
      <w:r w:rsidR="00BA624C" w:rsidRPr="00142694">
        <w:rPr>
          <w:rFonts w:asciiTheme="minorHAnsi" w:hAnsiTheme="minorHAnsi" w:cstheme="minorHAnsi"/>
        </w:rPr>
        <w:t xml:space="preserve"> free</w:t>
      </w:r>
      <w:r w:rsidR="00330F28">
        <w:rPr>
          <w:rFonts w:asciiTheme="minorHAnsi" w:hAnsiTheme="minorHAnsi" w:cstheme="minorHAnsi"/>
        </w:rPr>
        <w:t>s</w:t>
      </w:r>
      <w:r w:rsidR="00BA624C" w:rsidRPr="00142694">
        <w:rPr>
          <w:rFonts w:asciiTheme="minorHAnsi" w:hAnsiTheme="minorHAnsi" w:cstheme="minorHAnsi"/>
        </w:rPr>
        <w:t xml:space="preserve"> and validat</w:t>
      </w:r>
      <w:r w:rsidR="00330F28">
        <w:rPr>
          <w:rFonts w:asciiTheme="minorHAnsi" w:hAnsiTheme="minorHAnsi" w:cstheme="minorHAnsi"/>
        </w:rPr>
        <w:t>es</w:t>
      </w:r>
      <w:r w:rsidR="00BA624C" w:rsidRPr="00142694">
        <w:rPr>
          <w:rFonts w:asciiTheme="minorHAnsi" w:hAnsiTheme="minorHAnsi" w:cstheme="minorHAnsi"/>
        </w:rPr>
        <w:t xml:space="preserve"> scientists </w:t>
      </w:r>
      <w:r w:rsidR="009C0EA1">
        <w:rPr>
          <w:rFonts w:asciiTheme="minorHAnsi" w:hAnsiTheme="minorHAnsi" w:cstheme="minorHAnsi"/>
        </w:rPr>
        <w:t>like</w:t>
      </w:r>
      <w:r w:rsidR="00BA624C" w:rsidRPr="00142694">
        <w:rPr>
          <w:rFonts w:asciiTheme="minorHAnsi" w:hAnsiTheme="minorHAnsi" w:cstheme="minorHAnsi"/>
        </w:rPr>
        <w:t xml:space="preserve"> Polkinghorne to expound their trinitarian views regarding the connectivity between divine relationality and relationality within the physical universe that lies at the heart of natural science. There is a natural and significant correlation between intra-divine relationality of the Trinity and the relationality that physicists may discover in the basic structures of the created universe.</w:t>
      </w:r>
      <w:r w:rsidR="00BA624C" w:rsidRPr="00142694">
        <w:rPr>
          <w:rStyle w:val="FootnoteReference"/>
          <w:rFonts w:asciiTheme="minorHAnsi" w:hAnsiTheme="minorHAnsi" w:cstheme="minorHAnsi"/>
        </w:rPr>
        <w:footnoteReference w:id="41"/>
      </w:r>
      <w:r w:rsidR="00BA624C" w:rsidRPr="00142694">
        <w:rPr>
          <w:rFonts w:asciiTheme="minorHAnsi" w:hAnsiTheme="minorHAnsi" w:cstheme="minorHAnsi"/>
        </w:rPr>
        <w:t xml:space="preserve"> This revisits the East-West theological disagreements in discussions to establish “the relation </w:t>
      </w:r>
      <w:r w:rsidR="00BA624C" w:rsidRPr="00142694">
        <w:rPr>
          <w:rFonts w:asciiTheme="minorHAnsi" w:hAnsiTheme="minorHAnsi" w:cstheme="minorHAnsi"/>
          <w:i/>
          <w:iCs/>
        </w:rPr>
        <w:t>between</w:t>
      </w:r>
      <w:r w:rsidR="00BA624C" w:rsidRPr="00142694">
        <w:rPr>
          <w:rFonts w:asciiTheme="minorHAnsi" w:hAnsiTheme="minorHAnsi" w:cstheme="minorHAnsi"/>
        </w:rPr>
        <w:t xml:space="preserve"> </w:t>
      </w:r>
      <w:r w:rsidR="00BA624C" w:rsidRPr="00142694">
        <w:rPr>
          <w:rFonts w:asciiTheme="minorHAnsi" w:hAnsiTheme="minorHAnsi" w:cstheme="minorHAnsi"/>
        </w:rPr>
        <w:lastRenderedPageBreak/>
        <w:t>relationality-in-God (the Trinity), on the one hand, and relationality-in-the-physical-world, on the other”</w:t>
      </w:r>
      <w:r w:rsidR="00BA624C" w:rsidRPr="00142694">
        <w:rPr>
          <w:rStyle w:val="FootnoteReference"/>
          <w:rFonts w:asciiTheme="minorHAnsi" w:hAnsiTheme="minorHAnsi" w:cstheme="minorHAnsi"/>
        </w:rPr>
        <w:footnoteReference w:id="42"/>
      </w:r>
      <w:r w:rsidR="00BA624C" w:rsidRPr="00142694">
        <w:rPr>
          <w:rFonts w:asciiTheme="minorHAnsi" w:hAnsiTheme="minorHAnsi" w:cstheme="minorHAnsi"/>
        </w:rPr>
        <w:t xml:space="preserve">, hopefully inspiring greater ecumenical understanding. </w:t>
      </w:r>
    </w:p>
    <w:p w14:paraId="07D592C3" w14:textId="77777777" w:rsidR="00142694" w:rsidRPr="00142694" w:rsidRDefault="00142694" w:rsidP="00651297">
      <w:pPr>
        <w:spacing w:line="360" w:lineRule="auto"/>
        <w:rPr>
          <w:rFonts w:asciiTheme="minorHAnsi" w:hAnsiTheme="minorHAnsi" w:cstheme="minorHAnsi"/>
        </w:rPr>
      </w:pPr>
    </w:p>
    <w:p w14:paraId="3BB39A30" w14:textId="77777777" w:rsidR="00163D9C" w:rsidRDefault="00A61A82" w:rsidP="00651297">
      <w:pPr>
        <w:spacing w:line="360" w:lineRule="auto"/>
        <w:rPr>
          <w:rFonts w:asciiTheme="minorHAnsi" w:hAnsiTheme="minorHAnsi" w:cstheme="minorHAnsi"/>
        </w:rPr>
      </w:pPr>
      <w:r>
        <w:rPr>
          <w:rFonts w:asciiTheme="minorHAnsi" w:hAnsiTheme="minorHAnsi" w:cstheme="minorHAnsi"/>
        </w:rPr>
        <w:t>R</w:t>
      </w:r>
      <w:r w:rsidRPr="00142694">
        <w:rPr>
          <w:rFonts w:asciiTheme="minorHAnsi" w:hAnsiTheme="minorHAnsi" w:cstheme="minorHAnsi"/>
        </w:rPr>
        <w:t xml:space="preserve">esponding to the reality and gravity of suffering today, </w:t>
      </w:r>
      <w:r>
        <w:rPr>
          <w:rFonts w:asciiTheme="minorHAnsi" w:hAnsiTheme="minorHAnsi" w:cstheme="minorHAnsi"/>
        </w:rPr>
        <w:t>m</w:t>
      </w:r>
      <w:r w:rsidR="00142694" w:rsidRPr="00142694">
        <w:rPr>
          <w:rFonts w:asciiTheme="minorHAnsi" w:hAnsiTheme="minorHAnsi" w:cstheme="minorHAnsi"/>
        </w:rPr>
        <w:t>odern theologians</w:t>
      </w:r>
      <w:r>
        <w:rPr>
          <w:rFonts w:asciiTheme="minorHAnsi" w:hAnsiTheme="minorHAnsi" w:cstheme="minorHAnsi"/>
        </w:rPr>
        <w:t xml:space="preserve"> are</w:t>
      </w:r>
      <w:r w:rsidR="00142694" w:rsidRPr="00142694">
        <w:rPr>
          <w:rFonts w:asciiTheme="minorHAnsi" w:hAnsiTheme="minorHAnsi" w:cstheme="minorHAnsi"/>
        </w:rPr>
        <w:t xml:space="preserve"> often distracted by the current fragmentation into single-issue experiential Christian theologies</w:t>
      </w:r>
      <w:r>
        <w:rPr>
          <w:rFonts w:asciiTheme="minorHAnsi" w:hAnsiTheme="minorHAnsi" w:cstheme="minorHAnsi"/>
        </w:rPr>
        <w:t>.</w:t>
      </w:r>
      <w:r w:rsidR="00142694" w:rsidRPr="00142694">
        <w:rPr>
          <w:rFonts w:asciiTheme="minorHAnsi" w:hAnsiTheme="minorHAnsi" w:cstheme="minorHAnsi"/>
        </w:rPr>
        <w:t xml:space="preserve"> Coakley suggests </w:t>
      </w:r>
      <w:r w:rsidR="009C0EA1">
        <w:rPr>
          <w:rFonts w:asciiTheme="minorHAnsi" w:hAnsiTheme="minorHAnsi" w:cstheme="minorHAnsi"/>
        </w:rPr>
        <w:t>this</w:t>
      </w:r>
      <w:r w:rsidR="00142694" w:rsidRPr="00142694">
        <w:rPr>
          <w:rFonts w:asciiTheme="minorHAnsi" w:hAnsiTheme="minorHAnsi" w:cstheme="minorHAnsi"/>
        </w:rPr>
        <w:t xml:space="preserve"> potentially uniting quest: </w:t>
      </w:r>
    </w:p>
    <w:p w14:paraId="2F97121C" w14:textId="59BB6496" w:rsidR="00142694" w:rsidRDefault="00142694" w:rsidP="00651297">
      <w:pPr>
        <w:spacing w:line="360" w:lineRule="auto"/>
        <w:ind w:left="720"/>
        <w:rPr>
          <w:rFonts w:asciiTheme="minorHAnsi" w:hAnsiTheme="minorHAnsi" w:cstheme="minorHAnsi"/>
        </w:rPr>
      </w:pPr>
      <w:r w:rsidRPr="00142694">
        <w:rPr>
          <w:rFonts w:asciiTheme="minorHAnsi" w:hAnsiTheme="minorHAnsi" w:cstheme="minorHAnsi"/>
        </w:rPr>
        <w:t xml:space="preserve">“What exactly does [the central philosophical categories of “relation” and “causation” regarding the fundamental “holistic connectivity” in the universe] mean, and how does it depend on the clarification of the concept of “relation” and “cause”? </w:t>
      </w:r>
      <w:r w:rsidR="009C0EA1">
        <w:rPr>
          <w:rFonts w:asciiTheme="minorHAnsi" w:hAnsiTheme="minorHAnsi" w:cstheme="minorHAnsi"/>
        </w:rPr>
        <w:t>P</w:t>
      </w:r>
      <w:r w:rsidRPr="00142694">
        <w:rPr>
          <w:rFonts w:asciiTheme="minorHAnsi" w:hAnsiTheme="minorHAnsi" w:cstheme="minorHAnsi"/>
        </w:rPr>
        <w:t>articipation in divine trinitarian “relationality” would require some radical reworking - indeed, purgation - of the fallen creation’s use an</w:t>
      </w:r>
      <w:r w:rsidR="009C0EA1">
        <w:rPr>
          <w:rFonts w:asciiTheme="minorHAnsi" w:hAnsiTheme="minorHAnsi" w:cstheme="minorHAnsi"/>
        </w:rPr>
        <w:t>d</w:t>
      </w:r>
      <w:r w:rsidRPr="00142694">
        <w:rPr>
          <w:rFonts w:asciiTheme="minorHAnsi" w:hAnsiTheme="minorHAnsi" w:cstheme="minorHAnsi"/>
        </w:rPr>
        <w:t xml:space="preserve"> understanding of relation, a reworking such as glimpsed by Paul in his “proto-Trinitarian” vision of the cosmos, and its ends (Romans 8).”</w:t>
      </w:r>
      <w:r w:rsidRPr="00142694">
        <w:rPr>
          <w:rStyle w:val="FootnoteReference"/>
          <w:rFonts w:asciiTheme="minorHAnsi" w:hAnsiTheme="minorHAnsi" w:cstheme="minorHAnsi"/>
        </w:rPr>
        <w:footnoteReference w:id="43"/>
      </w:r>
      <w:r w:rsidRPr="00142694">
        <w:rPr>
          <w:rFonts w:asciiTheme="minorHAnsi" w:hAnsiTheme="minorHAnsi" w:cstheme="minorHAnsi"/>
        </w:rPr>
        <w:t xml:space="preserve"> </w:t>
      </w:r>
    </w:p>
    <w:p w14:paraId="050EC2A3" w14:textId="77777777" w:rsidR="002A0389" w:rsidRPr="00142694" w:rsidRDefault="002A0389" w:rsidP="00651297">
      <w:pPr>
        <w:spacing w:line="360" w:lineRule="auto"/>
        <w:ind w:left="720"/>
        <w:rPr>
          <w:rFonts w:asciiTheme="minorHAnsi" w:hAnsiTheme="minorHAnsi" w:cstheme="minorHAnsi"/>
        </w:rPr>
      </w:pPr>
    </w:p>
    <w:p w14:paraId="6E25398D" w14:textId="6C281014" w:rsidR="003A729C" w:rsidRPr="00D543D0" w:rsidRDefault="007C566E"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5" w:name="_Toc132210843"/>
      <w:r w:rsidRPr="00D543D0">
        <w:rPr>
          <w:rFonts w:asciiTheme="minorHAnsi" w:eastAsiaTheme="minorHAnsi" w:hAnsiTheme="minorHAnsi" w:cstheme="minorHAnsi"/>
          <w:b/>
          <w:bCs/>
          <w:color w:val="auto"/>
          <w:sz w:val="24"/>
          <w:szCs w:val="24"/>
          <w:u w:color="0000E9"/>
          <w:bdr w:val="none" w:sz="0" w:space="0" w:color="auto"/>
        </w:rPr>
        <w:t xml:space="preserve">Closing </w:t>
      </w:r>
      <w:r w:rsidR="00A92C82">
        <w:rPr>
          <w:rFonts w:asciiTheme="minorHAnsi" w:eastAsiaTheme="minorHAnsi" w:hAnsiTheme="minorHAnsi" w:cstheme="minorHAnsi"/>
          <w:b/>
          <w:bCs/>
          <w:color w:val="auto"/>
          <w:sz w:val="24"/>
          <w:szCs w:val="24"/>
          <w:u w:color="0000E9"/>
          <w:bdr w:val="none" w:sz="0" w:space="0" w:color="auto"/>
        </w:rPr>
        <w:t>remarks</w:t>
      </w:r>
      <w:bookmarkEnd w:id="5"/>
    </w:p>
    <w:p w14:paraId="1150E7C1" w14:textId="28196CF8" w:rsidR="00CF5868" w:rsidRDefault="005C2950"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In many ways, CDH is a very modern treatise</w:t>
      </w:r>
      <w:r w:rsidR="00163D9C">
        <w:rPr>
          <w:rFonts w:asciiTheme="minorHAnsi" w:eastAsiaTheme="minorHAnsi" w:hAnsiTheme="minorHAnsi" w:cstheme="minorHAnsi"/>
          <w:color w:val="000000"/>
          <w:u w:color="0000E9"/>
          <w:bdr w:val="none" w:sz="0" w:space="0" w:color="auto"/>
          <w14:ligatures w14:val="standardContextual"/>
        </w:rPr>
        <w:t>.</w:t>
      </w:r>
      <w:r>
        <w:rPr>
          <w:rFonts w:asciiTheme="minorHAnsi" w:eastAsiaTheme="minorHAnsi" w:hAnsiTheme="minorHAnsi" w:cstheme="minorHAnsi"/>
          <w:color w:val="000000"/>
          <w:u w:color="0000E9"/>
          <w:bdr w:val="none" w:sz="0" w:space="0" w:color="auto"/>
          <w14:ligatures w14:val="standardContextual"/>
        </w:rPr>
        <w:t xml:space="preserve"> </w:t>
      </w:r>
      <w:r w:rsidR="00CF5868">
        <w:rPr>
          <w:rFonts w:asciiTheme="minorHAnsi" w:eastAsiaTheme="minorHAnsi" w:hAnsiTheme="minorHAnsi" w:cstheme="minorHAnsi"/>
          <w:color w:val="000000"/>
          <w:u w:color="0000E9"/>
          <w:bdr w:val="none" w:sz="0" w:space="0" w:color="auto"/>
          <w14:ligatures w14:val="standardContextual"/>
        </w:rPr>
        <w:t xml:space="preserve">The need for incarnation and appropriateness of atonement, seen in light of </w:t>
      </w:r>
      <w:r>
        <w:rPr>
          <w:rFonts w:asciiTheme="minorHAnsi" w:eastAsiaTheme="minorHAnsi" w:hAnsiTheme="minorHAnsi" w:cstheme="minorHAnsi"/>
          <w:color w:val="000000"/>
          <w:u w:color="0000E9"/>
          <w:bdr w:val="none" w:sz="0" w:space="0" w:color="auto"/>
          <w14:ligatures w14:val="standardContextual"/>
        </w:rPr>
        <w:t>Anselm</w:t>
      </w:r>
      <w:r w:rsidR="00CF5868">
        <w:rPr>
          <w:rFonts w:asciiTheme="minorHAnsi" w:eastAsiaTheme="minorHAnsi" w:hAnsiTheme="minorHAnsi" w:cstheme="minorHAnsi"/>
          <w:color w:val="000000"/>
          <w:u w:color="0000E9"/>
          <w:bdr w:val="none" w:sz="0" w:space="0" w:color="auto"/>
          <w14:ligatures w14:val="standardContextual"/>
        </w:rPr>
        <w:t>’s</w:t>
      </w:r>
      <w:r>
        <w:rPr>
          <w:rFonts w:asciiTheme="minorHAnsi" w:eastAsiaTheme="minorHAnsi" w:hAnsiTheme="minorHAnsi" w:cstheme="minorHAnsi"/>
          <w:color w:val="000000"/>
          <w:u w:color="0000E9"/>
          <w:bdr w:val="none" w:sz="0" w:space="0" w:color="auto"/>
          <w14:ligatures w14:val="standardContextual"/>
        </w:rPr>
        <w:t xml:space="preserve"> </w:t>
      </w:r>
      <w:r w:rsidR="00CF5868">
        <w:rPr>
          <w:rFonts w:asciiTheme="minorHAnsi" w:eastAsiaTheme="minorHAnsi" w:hAnsiTheme="minorHAnsi" w:cstheme="minorHAnsi"/>
          <w:color w:val="000000"/>
          <w:u w:color="0000E9"/>
          <w:bdr w:val="none" w:sz="0" w:space="0" w:color="auto"/>
          <w14:ligatures w14:val="standardContextual"/>
        </w:rPr>
        <w:t>reasoned philosophical approach and Calvin’s approach based on totally scriptural enquiry, have certainly influenced trinitarian thinking up to the present day. Theology cannot remain static; it is culturally interpreted</w:t>
      </w:r>
      <w:r w:rsidR="00163D9C">
        <w:rPr>
          <w:rFonts w:asciiTheme="minorHAnsi" w:eastAsiaTheme="minorHAnsi" w:hAnsiTheme="minorHAnsi" w:cstheme="minorHAnsi"/>
          <w:color w:val="000000"/>
          <w:u w:color="0000E9"/>
          <w:bdr w:val="none" w:sz="0" w:space="0" w:color="auto"/>
          <w14:ligatures w14:val="standardContextual"/>
        </w:rPr>
        <w:t>. It reveals</w:t>
      </w:r>
      <w:r w:rsidR="00CF5868">
        <w:rPr>
          <w:rFonts w:asciiTheme="minorHAnsi" w:eastAsiaTheme="minorHAnsi" w:hAnsiTheme="minorHAnsi" w:cstheme="minorHAnsi"/>
          <w:color w:val="000000"/>
          <w:u w:color="0000E9"/>
          <w:bdr w:val="none" w:sz="0" w:space="0" w:color="auto"/>
          <w14:ligatures w14:val="standardContextual"/>
        </w:rPr>
        <w:t xml:space="preserve"> flaws in</w:t>
      </w:r>
      <w:r w:rsidR="00D543D0">
        <w:rPr>
          <w:rFonts w:asciiTheme="minorHAnsi" w:eastAsiaTheme="minorHAnsi" w:hAnsiTheme="minorHAnsi" w:cstheme="minorHAnsi"/>
          <w:color w:val="000000"/>
          <w:u w:color="0000E9"/>
          <w:bdr w:val="none" w:sz="0" w:space="0" w:color="auto"/>
          <w14:ligatures w14:val="standardContextual"/>
        </w:rPr>
        <w:t xml:space="preserve"> </w:t>
      </w:r>
      <w:r w:rsidR="00CF5868">
        <w:rPr>
          <w:rFonts w:asciiTheme="minorHAnsi" w:eastAsiaTheme="minorHAnsi" w:hAnsiTheme="minorHAnsi" w:cstheme="minorHAnsi"/>
          <w:color w:val="000000"/>
          <w:u w:color="0000E9"/>
          <w:bdr w:val="none" w:sz="0" w:space="0" w:color="auto"/>
          <w14:ligatures w14:val="standardContextual"/>
        </w:rPr>
        <w:t>the Anselmian and Calvinist arguments</w:t>
      </w:r>
      <w:r w:rsidR="00163D9C">
        <w:rPr>
          <w:rFonts w:asciiTheme="minorHAnsi" w:eastAsiaTheme="minorHAnsi" w:hAnsiTheme="minorHAnsi" w:cstheme="minorHAnsi"/>
          <w:color w:val="000000"/>
          <w:u w:color="0000E9"/>
          <w:bdr w:val="none" w:sz="0" w:space="0" w:color="auto"/>
          <w14:ligatures w14:val="standardContextual"/>
        </w:rPr>
        <w:t xml:space="preserve">, notably </w:t>
      </w:r>
      <w:r w:rsidR="00CF5868">
        <w:rPr>
          <w:rFonts w:asciiTheme="minorHAnsi" w:eastAsiaTheme="minorHAnsi" w:hAnsiTheme="minorHAnsi" w:cstheme="minorHAnsi"/>
          <w:color w:val="000000"/>
          <w:u w:color="0000E9"/>
          <w:bdr w:val="none" w:sz="0" w:space="0" w:color="auto"/>
          <w14:ligatures w14:val="standardContextual"/>
        </w:rPr>
        <w:t xml:space="preserve">in the work of theologians such as Barth and </w:t>
      </w:r>
      <w:proofErr w:type="spellStart"/>
      <w:r w:rsidR="00CF5868">
        <w:rPr>
          <w:rFonts w:asciiTheme="minorHAnsi" w:eastAsiaTheme="minorHAnsi" w:hAnsiTheme="minorHAnsi" w:cstheme="minorHAnsi"/>
          <w:color w:val="000000"/>
          <w:u w:color="0000E9"/>
          <w:bdr w:val="none" w:sz="0" w:space="0" w:color="auto"/>
          <w14:ligatures w14:val="standardContextual"/>
        </w:rPr>
        <w:t>Rahner</w:t>
      </w:r>
      <w:proofErr w:type="spellEnd"/>
      <w:r w:rsidR="00CF5868">
        <w:rPr>
          <w:rFonts w:asciiTheme="minorHAnsi" w:eastAsiaTheme="minorHAnsi" w:hAnsiTheme="minorHAnsi" w:cstheme="minorHAnsi"/>
          <w:color w:val="000000"/>
          <w:u w:color="0000E9"/>
          <w:bdr w:val="none" w:sz="0" w:space="0" w:color="auto"/>
          <w14:ligatures w14:val="standardContextual"/>
        </w:rPr>
        <w:t xml:space="preserve">. With Polkinghorne’s views on the compatibility of science and theology, fresh avenues to explore trinitarian theology point to </w:t>
      </w:r>
      <w:r w:rsidR="00163D9C">
        <w:rPr>
          <w:rFonts w:asciiTheme="minorHAnsi" w:eastAsiaTheme="minorHAnsi" w:hAnsiTheme="minorHAnsi" w:cstheme="minorHAnsi"/>
          <w:color w:val="000000"/>
          <w:u w:color="0000E9"/>
          <w:bdr w:val="none" w:sz="0" w:space="0" w:color="auto"/>
          <w14:ligatures w14:val="standardContextual"/>
        </w:rPr>
        <w:t xml:space="preserve">exciting </w:t>
      </w:r>
      <w:r w:rsidR="00CF5868">
        <w:rPr>
          <w:rFonts w:asciiTheme="minorHAnsi" w:eastAsiaTheme="minorHAnsi" w:hAnsiTheme="minorHAnsi" w:cstheme="minorHAnsi"/>
          <w:color w:val="000000"/>
          <w:u w:color="0000E9"/>
          <w:bdr w:val="none" w:sz="0" w:space="0" w:color="auto"/>
          <w14:ligatures w14:val="standardContextual"/>
        </w:rPr>
        <w:t xml:space="preserve">enquiries </w:t>
      </w:r>
      <w:r w:rsidR="00163D9C">
        <w:rPr>
          <w:rFonts w:asciiTheme="minorHAnsi" w:eastAsiaTheme="minorHAnsi" w:hAnsiTheme="minorHAnsi" w:cstheme="minorHAnsi"/>
          <w:color w:val="000000"/>
          <w:u w:color="0000E9"/>
          <w:bdr w:val="none" w:sz="0" w:space="0" w:color="auto"/>
          <w14:ligatures w14:val="standardContextual"/>
        </w:rPr>
        <w:t>into trinitarian</w:t>
      </w:r>
      <w:r w:rsidR="00CF5868">
        <w:rPr>
          <w:rFonts w:asciiTheme="minorHAnsi" w:eastAsiaTheme="minorHAnsi" w:hAnsiTheme="minorHAnsi" w:cstheme="minorHAnsi"/>
          <w:color w:val="000000"/>
          <w:u w:color="0000E9"/>
          <w:bdr w:val="none" w:sz="0" w:space="0" w:color="auto"/>
          <w14:ligatures w14:val="standardContextual"/>
        </w:rPr>
        <w:t xml:space="preserve"> relationality. </w:t>
      </w:r>
      <w:r w:rsidR="007C566E">
        <w:rPr>
          <w:rFonts w:asciiTheme="minorHAnsi" w:eastAsiaTheme="minorHAnsi" w:hAnsiTheme="minorHAnsi" w:cstheme="minorHAnsi"/>
          <w:color w:val="000000"/>
          <w:u w:color="0000E9"/>
          <w:bdr w:val="none" w:sz="0" w:space="0" w:color="auto"/>
          <w14:ligatures w14:val="standardContextual"/>
        </w:rPr>
        <w:t>These potentially re-ignite science’s contribution to theology, whilst maintaining the integrity of traditional trinitarianism appropriate for the present age.</w:t>
      </w:r>
    </w:p>
    <w:p w14:paraId="2E15671E" w14:textId="77777777" w:rsidR="00D543D0" w:rsidRDefault="00D543D0"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b/>
          <w:bCs/>
          <w:color w:val="000000"/>
          <w:u w:color="0000E9"/>
          <w:bdr w:val="none" w:sz="0" w:space="0" w:color="auto"/>
          <w14:ligatures w14:val="standardContextual"/>
        </w:rPr>
      </w:pPr>
    </w:p>
    <w:p w14:paraId="741169C1" w14:textId="7AE88643" w:rsidR="00100952" w:rsidRDefault="00D543D0"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b/>
          <w:bCs/>
          <w:color w:val="000000"/>
          <w:u w:color="0000E9"/>
          <w:bdr w:val="none" w:sz="0" w:space="0" w:color="auto"/>
          <w14:ligatures w14:val="standardContextual"/>
        </w:rPr>
      </w:pPr>
      <w:r>
        <w:rPr>
          <w:rFonts w:asciiTheme="minorHAnsi" w:eastAsiaTheme="minorHAnsi" w:hAnsiTheme="minorHAnsi" w:cstheme="minorHAnsi"/>
          <w:b/>
          <w:bCs/>
          <w:color w:val="000000"/>
          <w:u w:color="0000E9"/>
          <w:bdr w:val="none" w:sz="0" w:space="0" w:color="auto"/>
          <w14:ligatures w14:val="standardContextual"/>
        </w:rPr>
        <w:t>15</w:t>
      </w:r>
      <w:r w:rsidR="00203356">
        <w:rPr>
          <w:rFonts w:asciiTheme="minorHAnsi" w:eastAsiaTheme="minorHAnsi" w:hAnsiTheme="minorHAnsi" w:cstheme="minorHAnsi"/>
          <w:b/>
          <w:bCs/>
          <w:color w:val="000000"/>
          <w:u w:color="0000E9"/>
          <w:bdr w:val="none" w:sz="0" w:space="0" w:color="auto"/>
          <w14:ligatures w14:val="standardContextual"/>
        </w:rPr>
        <w:t>56</w:t>
      </w:r>
      <w:r>
        <w:rPr>
          <w:rFonts w:asciiTheme="minorHAnsi" w:eastAsiaTheme="minorHAnsi" w:hAnsiTheme="minorHAnsi" w:cstheme="minorHAnsi"/>
          <w:b/>
          <w:bCs/>
          <w:color w:val="000000"/>
          <w:u w:color="0000E9"/>
          <w:bdr w:val="none" w:sz="0" w:space="0" w:color="auto"/>
          <w14:ligatures w14:val="standardContextual"/>
        </w:rPr>
        <w:t xml:space="preserve"> words total</w:t>
      </w:r>
    </w:p>
    <w:p w14:paraId="3C4A8360" w14:textId="119ED644" w:rsidR="006C3AB4" w:rsidRDefault="006C3AB4"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b/>
          <w:bCs/>
          <w:color w:val="000000"/>
          <w:u w:color="0000E9"/>
          <w:bdr w:val="none" w:sz="0" w:space="0" w:color="auto"/>
          <w14:ligatures w14:val="standardContextual"/>
        </w:rPr>
      </w:pPr>
    </w:p>
    <w:p w14:paraId="5BCA3F0D" w14:textId="56A957A6" w:rsidR="006C3AB4" w:rsidRDefault="006C3A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b/>
          <w:bCs/>
          <w:color w:val="000000"/>
          <w:u w:color="0000E9"/>
          <w:bdr w:val="none" w:sz="0" w:space="0" w:color="auto"/>
          <w14:ligatures w14:val="standardContextual"/>
        </w:rPr>
      </w:pPr>
      <w:r>
        <w:rPr>
          <w:rFonts w:asciiTheme="minorHAnsi" w:eastAsiaTheme="minorHAnsi" w:hAnsiTheme="minorHAnsi" w:cstheme="minorHAnsi"/>
          <w:b/>
          <w:bCs/>
          <w:color w:val="000000"/>
          <w:u w:color="0000E9"/>
          <w:bdr w:val="none" w:sz="0" w:space="0" w:color="auto"/>
          <w14:ligatures w14:val="standardContextual"/>
        </w:rPr>
        <w:br w:type="page"/>
      </w:r>
    </w:p>
    <w:p w14:paraId="399467E0" w14:textId="697C0EF3" w:rsidR="00142694" w:rsidRPr="004E603C" w:rsidRDefault="006C3AB4" w:rsidP="004E603C">
      <w:pPr>
        <w:pStyle w:val="Heading1"/>
        <w:rPr>
          <w:rFonts w:asciiTheme="minorHAnsi" w:eastAsiaTheme="minorHAnsi" w:hAnsiTheme="minorHAnsi" w:cstheme="minorHAnsi"/>
          <w:b/>
          <w:bCs/>
          <w:color w:val="auto"/>
          <w:sz w:val="24"/>
          <w:szCs w:val="24"/>
          <w:u w:color="0000E9"/>
          <w:bdr w:val="none" w:sz="0" w:space="0" w:color="auto"/>
        </w:rPr>
      </w:pPr>
      <w:bookmarkStart w:id="6" w:name="_Toc132210844"/>
      <w:r w:rsidRPr="004E603C">
        <w:rPr>
          <w:rFonts w:asciiTheme="minorHAnsi" w:eastAsiaTheme="minorHAnsi" w:hAnsiTheme="minorHAnsi" w:cstheme="minorHAnsi"/>
          <w:b/>
          <w:bCs/>
          <w:color w:val="auto"/>
          <w:sz w:val="24"/>
          <w:szCs w:val="24"/>
          <w:u w:color="0000E9"/>
          <w:bdr w:val="none" w:sz="0" w:space="0" w:color="auto"/>
        </w:rPr>
        <w:lastRenderedPageBreak/>
        <w:t>Bibliography</w:t>
      </w:r>
      <w:bookmarkEnd w:id="6"/>
    </w:p>
    <w:p w14:paraId="575676E3" w14:textId="1B245258" w:rsidR="006C3AB4" w:rsidRDefault="006C3AB4"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u w:color="0000E9"/>
          <w:bdr w:val="none" w:sz="0" w:space="0" w:color="auto"/>
          <w14:ligatures w14:val="standardContextual"/>
        </w:rPr>
      </w:pPr>
    </w:p>
    <w:p w14:paraId="2A7C6537" w14:textId="77777777" w:rsidR="00A61A82" w:rsidRPr="00A61A82" w:rsidRDefault="00CC1A03" w:rsidP="00A61A82">
      <w:pPr>
        <w:pStyle w:val="Bibliography"/>
        <w:rPr>
          <w:rFonts w:ascii="Calibri" w:hAnsiTheme="minorHAnsi" w:cs="Calibri"/>
          <w:color w:val="000000"/>
        </w:rPr>
      </w:pPr>
      <w:r>
        <w:rPr>
          <w:u w:color="0000E9"/>
          <w:bdr w:val="none" w:sz="0" w:space="0" w:color="auto"/>
        </w:rPr>
        <w:fldChar w:fldCharType="begin"/>
      </w:r>
      <w:r>
        <w:rPr>
          <w:u w:color="0000E9"/>
          <w:bdr w:val="none" w:sz="0" w:space="0" w:color="auto"/>
        </w:rPr>
        <w:instrText xml:space="preserve"> ADDIN ZOTERO_BIBL {"uncited":[],"omitted":[],"custom":[]} CSL_BIBLIOGRAPHY </w:instrText>
      </w:r>
      <w:r>
        <w:rPr>
          <w:u w:color="0000E9"/>
          <w:bdr w:val="none" w:sz="0" w:space="0" w:color="auto"/>
        </w:rPr>
        <w:fldChar w:fldCharType="separate"/>
      </w:r>
      <w:r w:rsidR="00A61A82" w:rsidRPr="00A61A82">
        <w:rPr>
          <w:rFonts w:ascii="Calibri" w:hAnsiTheme="minorHAnsi" w:cs="Calibri"/>
          <w:color w:val="000000"/>
        </w:rPr>
        <w:t>Anselm, Saint, ‘Cur Deus Homo’, Wikisource</w:t>
      </w:r>
    </w:p>
    <w:p w14:paraId="0143B365"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‘Cur Deus Homo by R.C. Sproul’, </w:t>
      </w:r>
      <w:r w:rsidRPr="00A61A82">
        <w:rPr>
          <w:rFonts w:ascii="Calibri" w:hAnsiTheme="minorHAnsi" w:cs="Calibri"/>
          <w:i/>
          <w:iCs/>
          <w:color w:val="000000"/>
        </w:rPr>
        <w:t>Ligonier Ministries</w:t>
      </w:r>
      <w:r w:rsidRPr="00A61A82">
        <w:rPr>
          <w:rFonts w:ascii="Calibri" w:hAnsiTheme="minorHAnsi" w:cs="Calibri"/>
          <w:color w:val="000000"/>
        </w:rPr>
        <w:t xml:space="preserve"> &lt;https://www.ligonier.org/learn/articles/cur-deus-homo&gt; [accessed 16 March 2023]</w:t>
      </w:r>
    </w:p>
    <w:p w14:paraId="1D45D6F3"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David E. Luscombe, and G. R. Evans, eds., </w:t>
      </w:r>
      <w:r w:rsidRPr="00A61A82">
        <w:rPr>
          <w:rFonts w:ascii="Calibri" w:hAnsiTheme="minorHAnsi" w:cs="Calibri"/>
          <w:i/>
          <w:iCs/>
          <w:color w:val="000000"/>
        </w:rPr>
        <w:t>Anselm, Aosta, Bec and Canterbury</w:t>
      </w:r>
      <w:r w:rsidRPr="00A61A82">
        <w:rPr>
          <w:rFonts w:ascii="Calibri" w:hAnsiTheme="minorHAnsi" w:cs="Calibri"/>
          <w:color w:val="000000"/>
        </w:rPr>
        <w:t xml:space="preserve"> (Sheffield : Sheffield Academic, 1996) &lt;http://archive.org/details/anselmaostabecca0000davi&gt; [accessed 30 March 2023]</w:t>
      </w:r>
    </w:p>
    <w:p w14:paraId="1B53F708"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Evans, G. R., </w:t>
      </w:r>
      <w:r w:rsidRPr="00A61A82">
        <w:rPr>
          <w:rFonts w:ascii="Calibri" w:hAnsiTheme="minorHAnsi" w:cs="Calibri"/>
          <w:i/>
          <w:iCs/>
          <w:color w:val="000000"/>
        </w:rPr>
        <w:t>Anselm and Talking about God</w:t>
      </w:r>
      <w:r w:rsidRPr="00A61A82">
        <w:rPr>
          <w:rFonts w:ascii="Calibri" w:hAnsiTheme="minorHAnsi" w:cs="Calibri"/>
          <w:color w:val="000000"/>
        </w:rPr>
        <w:t xml:space="preserve"> (Oxford : New York: Clarendon Press ; Oxford University Press, 1978)</w:t>
      </w:r>
    </w:p>
    <w:p w14:paraId="7F38A935"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Gracia, Jorge J. E., ed., </w:t>
      </w:r>
      <w:r w:rsidRPr="00A61A82">
        <w:rPr>
          <w:rFonts w:ascii="Calibri" w:hAnsiTheme="minorHAnsi" w:cs="Calibri"/>
          <w:i/>
          <w:iCs/>
          <w:color w:val="000000"/>
        </w:rPr>
        <w:t>A Companion to Philosophy in the Middle Ages</w:t>
      </w:r>
      <w:r w:rsidRPr="00A61A82">
        <w:rPr>
          <w:rFonts w:ascii="Calibri" w:hAnsiTheme="minorHAnsi" w:cs="Calibri"/>
          <w:color w:val="000000"/>
        </w:rPr>
        <w:t>, Blackwell Companions to Philosophy, 24, 1. publ. in paperback (Malden, Mass.: Blackwell Publ, 2006)</w:t>
      </w:r>
    </w:p>
    <w:p w14:paraId="3BC060C2"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Green, Laurie, </w:t>
      </w:r>
      <w:r w:rsidRPr="00A61A82">
        <w:rPr>
          <w:rFonts w:ascii="Calibri" w:hAnsiTheme="minorHAnsi" w:cs="Calibri"/>
          <w:i/>
          <w:iCs/>
          <w:color w:val="000000"/>
        </w:rPr>
        <w:t>Let’s Do Theology: A Pastoral Cycle Resource Book</w:t>
      </w:r>
      <w:r w:rsidRPr="00A61A82">
        <w:rPr>
          <w:rFonts w:ascii="Calibri" w:hAnsiTheme="minorHAnsi" w:cs="Calibri"/>
          <w:color w:val="000000"/>
        </w:rPr>
        <w:t xml:space="preserve"> (London: Continuum, 2001)</w:t>
      </w:r>
    </w:p>
    <w:p w14:paraId="5E4CD681"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Langston, Douglas, ‘Scotus’ Departure from Anselm’s Theory of the Atonement’, </w:t>
      </w:r>
      <w:r w:rsidRPr="00A61A82">
        <w:rPr>
          <w:rFonts w:ascii="Calibri" w:hAnsiTheme="minorHAnsi" w:cs="Calibri"/>
          <w:i/>
          <w:iCs/>
          <w:color w:val="000000"/>
        </w:rPr>
        <w:t>Recherches de Théologie Ancienne et Médiévale</w:t>
      </w:r>
      <w:r w:rsidRPr="00A61A82">
        <w:rPr>
          <w:rFonts w:ascii="Calibri" w:hAnsiTheme="minorHAnsi" w:cs="Calibri"/>
          <w:color w:val="000000"/>
        </w:rPr>
        <w:t>, 50 (1983), 227–41</w:t>
      </w:r>
    </w:p>
    <w:p w14:paraId="44CDFF82"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Migliore, Daniel L., </w:t>
      </w:r>
      <w:r w:rsidRPr="00A61A82">
        <w:rPr>
          <w:rFonts w:ascii="Calibri" w:hAnsiTheme="minorHAnsi" w:cs="Calibri"/>
          <w:i/>
          <w:iCs/>
          <w:color w:val="000000"/>
        </w:rPr>
        <w:t>Faith Seeking Understanding: An Introduction to Christian Theology</w:t>
      </w:r>
      <w:r w:rsidRPr="00A61A82">
        <w:rPr>
          <w:rFonts w:ascii="Calibri" w:hAnsiTheme="minorHAnsi" w:cs="Calibri"/>
          <w:color w:val="000000"/>
        </w:rPr>
        <w:t>, 2nd ed (Grand Rapids, Mich: W.B. Eerdmans, 2004)</w:t>
      </w:r>
    </w:p>
    <w:p w14:paraId="2DD0069A"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Peterson, Robert A., </w:t>
      </w:r>
      <w:r w:rsidRPr="00A61A82">
        <w:rPr>
          <w:rFonts w:ascii="Calibri" w:hAnsiTheme="minorHAnsi" w:cs="Calibri"/>
          <w:i/>
          <w:iCs/>
          <w:color w:val="000000"/>
        </w:rPr>
        <w:t>Calvin’s Doctrine of the Atonement</w:t>
      </w:r>
      <w:r w:rsidRPr="00A61A82">
        <w:rPr>
          <w:rFonts w:ascii="Calibri" w:hAnsiTheme="minorHAnsi" w:cs="Calibri"/>
          <w:color w:val="000000"/>
        </w:rPr>
        <w:t xml:space="preserve"> (Phillipsburg, N.J: Presbyterian and Reformed Pub. Co, 1983)</w:t>
      </w:r>
    </w:p>
    <w:p w14:paraId="209A1CC3"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Polkinghorne, J. C., ed., </w:t>
      </w:r>
      <w:r w:rsidRPr="00A61A82">
        <w:rPr>
          <w:rFonts w:ascii="Calibri" w:hAnsiTheme="minorHAnsi" w:cs="Calibri"/>
          <w:i/>
          <w:iCs/>
          <w:color w:val="000000"/>
        </w:rPr>
        <w:t>The Trinity and an Entangled World: Relationality in Physical Science and Theology</w:t>
      </w:r>
      <w:r w:rsidRPr="00A61A82">
        <w:rPr>
          <w:rFonts w:ascii="Calibri" w:hAnsiTheme="minorHAnsi" w:cs="Calibri"/>
          <w:color w:val="000000"/>
        </w:rPr>
        <w:t xml:space="preserve"> (Grand Rapids, Mich: Wm. B. Eerdmans Pub, 2010)</w:t>
      </w:r>
    </w:p>
    <w:p w14:paraId="534E1E02"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Rahner, Karl, and Johannes Feiner, </w:t>
      </w:r>
      <w:r w:rsidRPr="00A61A82">
        <w:rPr>
          <w:rFonts w:ascii="Calibri" w:hAnsiTheme="minorHAnsi" w:cs="Calibri"/>
          <w:i/>
          <w:iCs/>
          <w:color w:val="000000"/>
        </w:rPr>
        <w:t>The Trinity</w:t>
      </w:r>
      <w:r w:rsidRPr="00A61A82">
        <w:rPr>
          <w:rFonts w:ascii="Calibri" w:hAnsiTheme="minorHAnsi" w:cs="Calibri"/>
          <w:color w:val="000000"/>
        </w:rPr>
        <w:t>, Mysterium Salutis (London, [New York]: Burns &amp; Oates; Herder and Herder, 1970)</w:t>
      </w:r>
    </w:p>
    <w:p w14:paraId="76E22344"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Rahner, Karl, and Meinold Krauss, </w:t>
      </w:r>
      <w:r w:rsidRPr="00A61A82">
        <w:rPr>
          <w:rFonts w:ascii="Calibri" w:hAnsiTheme="minorHAnsi" w:cs="Calibri"/>
          <w:i/>
          <w:iCs/>
          <w:color w:val="000000"/>
        </w:rPr>
        <w:t>I Remember: An Autobiographical Interview with Meinold Krauss</w:t>
      </w:r>
      <w:r w:rsidRPr="00A61A82">
        <w:rPr>
          <w:rFonts w:ascii="Calibri" w:hAnsiTheme="minorHAnsi" w:cs="Calibri"/>
          <w:color w:val="000000"/>
        </w:rPr>
        <w:t xml:space="preserve"> (London: SCM Press, 1985)</w:t>
      </w:r>
    </w:p>
    <w:p w14:paraId="5C6FE129"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Weber, Alfred, </w:t>
      </w:r>
      <w:r w:rsidRPr="00A61A82">
        <w:rPr>
          <w:rFonts w:ascii="Calibri" w:hAnsiTheme="minorHAnsi" w:cs="Calibri"/>
          <w:i/>
          <w:iCs/>
          <w:color w:val="000000"/>
        </w:rPr>
        <w:t>History Of Philosophy</w:t>
      </w:r>
      <w:r w:rsidRPr="00A61A82">
        <w:rPr>
          <w:rFonts w:ascii="Calibri" w:hAnsiTheme="minorHAnsi" w:cs="Calibri"/>
          <w:color w:val="000000"/>
        </w:rPr>
        <w:t>, trans. by F. Tilley (New York: Charles Scribner’s Sons, 1907) &lt;http://archive.org/details/in.ernet.dli.2015.260556&gt; [accessed 24 March 2023]</w:t>
      </w:r>
    </w:p>
    <w:p w14:paraId="2DC6B106" w14:textId="51418FBE" w:rsidR="00CC1A03" w:rsidRDefault="00CC1A03"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fldChar w:fldCharType="end"/>
      </w:r>
    </w:p>
    <w:p w14:paraId="652A4A71" w14:textId="00418870" w:rsidR="006C3AB4" w:rsidRPr="004E603C" w:rsidRDefault="006C3AB4" w:rsidP="004E603C">
      <w:pPr>
        <w:pStyle w:val="Heading1"/>
        <w:rPr>
          <w:rFonts w:asciiTheme="minorHAnsi" w:eastAsiaTheme="minorHAnsi" w:hAnsiTheme="minorHAnsi" w:cstheme="minorHAnsi"/>
          <w:b/>
          <w:bCs/>
          <w:color w:val="auto"/>
          <w:sz w:val="24"/>
          <w:szCs w:val="24"/>
          <w:u w:color="0000E9"/>
          <w:bdr w:val="none" w:sz="0" w:space="0" w:color="auto"/>
        </w:rPr>
      </w:pPr>
      <w:bookmarkStart w:id="7" w:name="_Toc132210845"/>
      <w:r w:rsidRPr="004E603C">
        <w:rPr>
          <w:rFonts w:asciiTheme="minorHAnsi" w:eastAsiaTheme="minorHAnsi" w:hAnsiTheme="minorHAnsi" w:cstheme="minorHAnsi"/>
          <w:b/>
          <w:bCs/>
          <w:color w:val="auto"/>
          <w:sz w:val="24"/>
          <w:szCs w:val="24"/>
          <w:u w:color="0000E9"/>
          <w:bdr w:val="none" w:sz="0" w:space="0" w:color="auto"/>
        </w:rPr>
        <w:t>Other Resources Consulted</w:t>
      </w:r>
      <w:bookmarkEnd w:id="7"/>
    </w:p>
    <w:p w14:paraId="377EF2CB" w14:textId="75906CFA" w:rsidR="006C3AB4" w:rsidRDefault="006C3AB4"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u w:color="0000E9"/>
          <w:bdr w:val="none" w:sz="0" w:space="0" w:color="auto"/>
          <w14:ligatures w14:val="standardContextual"/>
        </w:rPr>
      </w:pPr>
    </w:p>
    <w:p w14:paraId="40B1B545" w14:textId="305FC3EA" w:rsidR="00144C5B" w:rsidRP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Balthasar, Hans </w:t>
      </w:r>
      <w:proofErr w:type="spellStart"/>
      <w:r w:rsidRPr="00CC1A03">
        <w:rPr>
          <w:rFonts w:ascii="Calibri" w:hAnsiTheme="minorHAnsi" w:cs="Calibri"/>
          <w:color w:val="000000"/>
        </w:rPr>
        <w:t>Urs</w:t>
      </w:r>
      <w:proofErr w:type="spellEnd"/>
      <w:r w:rsidRPr="00CC1A03">
        <w:rPr>
          <w:rFonts w:ascii="Calibri" w:hAnsiTheme="minorHAnsi" w:cs="Calibri"/>
          <w:color w:val="000000"/>
        </w:rPr>
        <w:t xml:space="preserve"> von, </w:t>
      </w:r>
      <w:proofErr w:type="spellStart"/>
      <w:r w:rsidRPr="00CC1A03">
        <w:rPr>
          <w:rFonts w:ascii="Calibri" w:hAnsiTheme="minorHAnsi" w:cs="Calibri"/>
          <w:i/>
          <w:iCs/>
          <w:color w:val="000000"/>
        </w:rPr>
        <w:t>Mysterium</w:t>
      </w:r>
      <w:proofErr w:type="spellEnd"/>
      <w:r w:rsidRPr="00CC1A03">
        <w:rPr>
          <w:rFonts w:ascii="Calibri" w:hAnsiTheme="minorHAnsi" w:cs="Calibri"/>
          <w:i/>
          <w:iCs/>
          <w:color w:val="000000"/>
        </w:rPr>
        <w:t xml:space="preserve"> </w:t>
      </w:r>
      <w:proofErr w:type="spellStart"/>
      <w:r w:rsidRPr="00CC1A03">
        <w:rPr>
          <w:rFonts w:ascii="Calibri" w:hAnsiTheme="minorHAnsi" w:cs="Calibri"/>
          <w:i/>
          <w:iCs/>
          <w:color w:val="000000"/>
        </w:rPr>
        <w:t>Paschale</w:t>
      </w:r>
      <w:proofErr w:type="spellEnd"/>
      <w:r w:rsidRPr="00CC1A03">
        <w:rPr>
          <w:rFonts w:ascii="Calibri" w:hAnsiTheme="minorHAnsi" w:cs="Calibri"/>
          <w:i/>
          <w:iCs/>
          <w:color w:val="000000"/>
        </w:rPr>
        <w:t xml:space="preserve"> =: The Mystery of Easter</w:t>
      </w:r>
      <w:r w:rsidRPr="00CC1A03">
        <w:rPr>
          <w:rFonts w:ascii="Calibri" w:hAnsiTheme="minorHAnsi" w:cs="Calibri"/>
          <w:color w:val="000000"/>
        </w:rPr>
        <w:t xml:space="preserve"> (San Francisco: Ignatius Press, 2000)</w:t>
      </w:r>
    </w:p>
    <w:p w14:paraId="6E42D32C" w14:textId="5ED64455" w:rsidR="00144C5B" w:rsidRDefault="00144C5B" w:rsidP="00144C5B">
      <w:pPr>
        <w:pStyle w:val="Bibliography"/>
        <w:rPr>
          <w:rFonts w:ascii="Calibri" w:hAnsiTheme="minorHAnsi" w:cs="Calibri"/>
          <w:color w:val="000000"/>
        </w:rPr>
      </w:pPr>
      <w:r w:rsidRPr="00CC1A03">
        <w:rPr>
          <w:rFonts w:ascii="Calibri" w:hAnsiTheme="minorHAnsi" w:cs="Calibri"/>
          <w:color w:val="000000"/>
        </w:rPr>
        <w:lastRenderedPageBreak/>
        <w:t xml:space="preserve">Lombardo, Nicholas E., ‘145Anselm and Cur Deus Homo’, in </w:t>
      </w:r>
      <w:r w:rsidRPr="00CC1A03">
        <w:rPr>
          <w:rFonts w:ascii="Calibri" w:hAnsiTheme="minorHAnsi" w:cs="Calibri"/>
          <w:i/>
          <w:iCs/>
          <w:color w:val="000000"/>
        </w:rPr>
        <w:t>The Father’s Will: Christ’s Crucifixion and the Goodness of God</w:t>
      </w:r>
      <w:r w:rsidRPr="00CC1A03">
        <w:rPr>
          <w:rFonts w:ascii="Calibri" w:hAnsiTheme="minorHAnsi" w:cs="Calibri"/>
          <w:color w:val="000000"/>
        </w:rPr>
        <w:t xml:space="preserve">, ed. by Nicholas E. Lombardo (Oxford University Press, 2013), p. 0 </w:t>
      </w:r>
      <w:hyperlink r:id="rId8" w:history="1">
        <w:r w:rsidRPr="00011C82">
          <w:rPr>
            <w:rStyle w:val="Hyperlink"/>
            <w:rFonts w:ascii="Calibri" w:hAnsiTheme="minorHAnsi" w:cs="Calibri"/>
          </w:rPr>
          <w:t>https://doi.org/10.1093/acprof:oso/9780199688586.003.0009</w:t>
        </w:r>
      </w:hyperlink>
    </w:p>
    <w:p w14:paraId="6BB0D266" w14:textId="21C2AB0B" w:rsidR="00144C5B" w:rsidRP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Mann, William E., ‘231Anselm on the Trinity’, in </w:t>
      </w:r>
      <w:r w:rsidRPr="00CC1A03">
        <w:rPr>
          <w:rFonts w:ascii="Calibri" w:hAnsiTheme="minorHAnsi" w:cs="Calibri"/>
          <w:i/>
          <w:iCs/>
          <w:color w:val="000000"/>
        </w:rPr>
        <w:t>God, Belief, and Perplexity</w:t>
      </w:r>
      <w:r w:rsidRPr="00CC1A03">
        <w:rPr>
          <w:rFonts w:ascii="Calibri" w:hAnsiTheme="minorHAnsi" w:cs="Calibri"/>
          <w:color w:val="000000"/>
        </w:rPr>
        <w:t>, ed. by William E. Mann (Oxford University Press, 2016), p. 0 &lt;https://doi.org/10.1093/acprof:oso/9780190459208.003.0015&gt;</w:t>
      </w:r>
    </w:p>
    <w:p w14:paraId="780AA7FD" w14:textId="6245B550" w:rsidR="00144C5B" w:rsidRDefault="00144C5B" w:rsidP="00144C5B">
      <w:pPr>
        <w:pStyle w:val="Bibliography"/>
        <w:rPr>
          <w:rFonts w:ascii="Calibri" w:hAnsiTheme="minorHAnsi" w:cs="Calibri"/>
          <w:color w:val="000000"/>
        </w:rPr>
      </w:pPr>
      <w:proofErr w:type="spellStart"/>
      <w:r w:rsidRPr="00CC1A03">
        <w:rPr>
          <w:rFonts w:ascii="Calibri" w:hAnsiTheme="minorHAnsi" w:cs="Calibri"/>
          <w:color w:val="000000"/>
        </w:rPr>
        <w:t>Novikoff</w:t>
      </w:r>
      <w:proofErr w:type="spellEnd"/>
      <w:r w:rsidRPr="00CC1A03">
        <w:rPr>
          <w:rFonts w:ascii="Calibri" w:hAnsiTheme="minorHAnsi" w:cs="Calibri"/>
          <w:color w:val="000000"/>
        </w:rPr>
        <w:t xml:space="preserve">, Alex J., ‘Anselm, Dialogue, and the Rise of Scholastic Disputation’, </w:t>
      </w:r>
      <w:r w:rsidRPr="00CC1A03">
        <w:rPr>
          <w:rFonts w:ascii="Calibri" w:hAnsiTheme="minorHAnsi" w:cs="Calibri"/>
          <w:i/>
          <w:iCs/>
          <w:color w:val="000000"/>
        </w:rPr>
        <w:t>Speculum</w:t>
      </w:r>
      <w:r w:rsidRPr="00CC1A03">
        <w:rPr>
          <w:rFonts w:ascii="Calibri" w:hAnsiTheme="minorHAnsi" w:cs="Calibri"/>
          <w:color w:val="000000"/>
        </w:rPr>
        <w:t>, 86.2 (2011), 387–418</w:t>
      </w:r>
    </w:p>
    <w:p w14:paraId="2749AA09" w14:textId="4579A484" w:rsid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‘Penal Substitutionary Atonement | </w:t>
      </w:r>
      <w:proofErr w:type="spellStart"/>
      <w:r w:rsidRPr="00CC1A03">
        <w:rPr>
          <w:rFonts w:ascii="Calibri" w:hAnsiTheme="minorHAnsi" w:cs="Calibri"/>
          <w:color w:val="000000"/>
        </w:rPr>
        <w:t>Theopedia</w:t>
      </w:r>
      <w:proofErr w:type="spellEnd"/>
      <w:r w:rsidRPr="00CC1A03">
        <w:rPr>
          <w:rFonts w:ascii="Calibri" w:hAnsiTheme="minorHAnsi" w:cs="Calibri"/>
          <w:color w:val="000000"/>
        </w:rPr>
        <w:t>’ &lt;https://www.theopedia.com/penal-substitutionary-atonement&gt; [accessed 28 March 2023]</w:t>
      </w:r>
    </w:p>
    <w:p w14:paraId="04959D84" w14:textId="77777777" w:rsidR="00144C5B" w:rsidRPr="00CC1A03" w:rsidRDefault="00144C5B" w:rsidP="00144C5B">
      <w:pPr>
        <w:pStyle w:val="Bibliography"/>
        <w:rPr>
          <w:rFonts w:ascii="Calibri" w:hAnsiTheme="minorHAnsi" w:cs="Calibri"/>
          <w:color w:val="000000"/>
        </w:rPr>
      </w:pPr>
      <w:r w:rsidRPr="00CC1A03">
        <w:rPr>
          <w:rFonts w:ascii="Calibri" w:hAnsiTheme="minorHAnsi" w:cs="Calibri"/>
          <w:i/>
          <w:iCs/>
          <w:color w:val="000000"/>
        </w:rPr>
        <w:t>Krauss</w:t>
      </w:r>
      <w:r w:rsidRPr="00CC1A03">
        <w:rPr>
          <w:rFonts w:ascii="Calibri" w:hAnsiTheme="minorHAnsi" w:cs="Calibri"/>
          <w:color w:val="000000"/>
        </w:rPr>
        <w:t xml:space="preserve"> (London: SCM Press, 1985)</w:t>
      </w:r>
    </w:p>
    <w:p w14:paraId="66A93651" w14:textId="63EF7A18" w:rsidR="00144C5B" w:rsidRDefault="00144C5B" w:rsidP="00144C5B">
      <w:pPr>
        <w:pStyle w:val="Bibliography"/>
        <w:rPr>
          <w:rFonts w:ascii="Calibri" w:hAnsiTheme="minorHAnsi" w:cs="Calibri"/>
          <w:color w:val="000000"/>
        </w:rPr>
      </w:pPr>
      <w:proofErr w:type="spellStart"/>
      <w:r w:rsidRPr="00CC1A03">
        <w:rPr>
          <w:rFonts w:ascii="Calibri" w:hAnsiTheme="minorHAnsi" w:cs="Calibri"/>
          <w:color w:val="000000"/>
        </w:rPr>
        <w:t>Rishmawy</w:t>
      </w:r>
      <w:proofErr w:type="spellEnd"/>
      <w:r w:rsidRPr="00CC1A03">
        <w:rPr>
          <w:rFonts w:ascii="Calibri" w:hAnsiTheme="minorHAnsi" w:cs="Calibri"/>
          <w:color w:val="000000"/>
        </w:rPr>
        <w:t xml:space="preserve">, Derek, ‘Calvin’s Multi-Faceted Atonement’, </w:t>
      </w:r>
      <w:r w:rsidRPr="00CC1A03">
        <w:rPr>
          <w:rFonts w:ascii="Calibri" w:hAnsiTheme="minorHAnsi" w:cs="Calibri"/>
          <w:i/>
          <w:iCs/>
          <w:color w:val="000000"/>
        </w:rPr>
        <w:t>The Gospel Coalition</w:t>
      </w:r>
      <w:r w:rsidRPr="00CC1A03">
        <w:rPr>
          <w:rFonts w:ascii="Calibri" w:hAnsiTheme="minorHAnsi" w:cs="Calibri"/>
          <w:color w:val="000000"/>
        </w:rPr>
        <w:t>, 2017 &lt;https://www.thegospelcoalition.org/article/calvins-multi-faceted-atonement/&gt; [accessed 29 March 2023]</w:t>
      </w:r>
    </w:p>
    <w:p w14:paraId="752BE500" w14:textId="1C198EE3" w:rsidR="00144C5B" w:rsidRP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Root, Michael, ‘Necessity and </w:t>
      </w:r>
      <w:proofErr w:type="spellStart"/>
      <w:r w:rsidRPr="00CC1A03">
        <w:rPr>
          <w:rFonts w:ascii="Calibri" w:hAnsiTheme="minorHAnsi" w:cs="Calibri"/>
          <w:color w:val="000000"/>
        </w:rPr>
        <w:t>Unfittingness</w:t>
      </w:r>
      <w:proofErr w:type="spellEnd"/>
      <w:r w:rsidRPr="00CC1A03">
        <w:rPr>
          <w:rFonts w:ascii="Calibri" w:hAnsiTheme="minorHAnsi" w:cs="Calibri"/>
          <w:color w:val="000000"/>
        </w:rPr>
        <w:t xml:space="preserve"> in Anselm’s Cur Deus Homo’, </w:t>
      </w:r>
      <w:r w:rsidRPr="00CC1A03">
        <w:rPr>
          <w:rFonts w:ascii="Calibri" w:hAnsiTheme="minorHAnsi" w:cs="Calibri"/>
          <w:i/>
          <w:iCs/>
          <w:color w:val="000000"/>
        </w:rPr>
        <w:t>Scottish Journal of Theology</w:t>
      </w:r>
      <w:r w:rsidRPr="00CC1A03">
        <w:rPr>
          <w:rFonts w:ascii="Calibri" w:hAnsiTheme="minorHAnsi" w:cs="Calibri"/>
          <w:color w:val="000000"/>
        </w:rPr>
        <w:t>, 40.2 (1987), 211–30 &lt;https://doi.org/10.1017/S0036930600017531&gt;</w:t>
      </w:r>
    </w:p>
    <w:p w14:paraId="27D5EBBB" w14:textId="77777777" w:rsid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‘Satisfaction Theory of the Atonement | </w:t>
      </w:r>
      <w:proofErr w:type="spellStart"/>
      <w:r w:rsidRPr="00CC1A03">
        <w:rPr>
          <w:rFonts w:ascii="Calibri" w:hAnsiTheme="minorHAnsi" w:cs="Calibri"/>
          <w:color w:val="000000"/>
        </w:rPr>
        <w:t>Theopedia</w:t>
      </w:r>
      <w:proofErr w:type="spellEnd"/>
      <w:r w:rsidRPr="00CC1A03">
        <w:rPr>
          <w:rFonts w:ascii="Calibri" w:hAnsiTheme="minorHAnsi" w:cs="Calibri"/>
          <w:color w:val="000000"/>
        </w:rPr>
        <w:t>’ &lt;https://www.theopedia.com/satisfaction-theory-of-the-atonement&gt; [accessed 28 March 2023]</w:t>
      </w:r>
      <w:r w:rsidRPr="00144C5B">
        <w:rPr>
          <w:rFonts w:ascii="Calibri" w:hAnsiTheme="minorHAnsi" w:cs="Calibri"/>
          <w:color w:val="000000"/>
        </w:rPr>
        <w:t xml:space="preserve"> </w:t>
      </w:r>
    </w:p>
    <w:p w14:paraId="3085BD4C" w14:textId="54C12047" w:rsidR="00144C5B" w:rsidRDefault="00144C5B" w:rsidP="00144C5B">
      <w:pPr>
        <w:pStyle w:val="Bibliography"/>
        <w:rPr>
          <w:rFonts w:ascii="Calibri" w:hAnsiTheme="minorHAnsi" w:cs="Calibri"/>
          <w:color w:val="000000"/>
        </w:rPr>
      </w:pPr>
      <w:r w:rsidRPr="00CC1A03">
        <w:rPr>
          <w:rFonts w:ascii="Calibri" w:hAnsiTheme="minorHAnsi" w:cs="Calibri"/>
          <w:color w:val="000000"/>
        </w:rPr>
        <w:t>Stewart, Angus, ‘Anselm’s Cur Deus Homo and the Reformed Doctrine of the Atonement – CPRC’ &lt;https://cprc.co.uk/articles/curdeushomo/&gt; [accessed 12 April 2023]</w:t>
      </w:r>
    </w:p>
    <w:p w14:paraId="260F332F" w14:textId="77777777" w:rsidR="00144C5B" w:rsidRPr="00CC1A03" w:rsidRDefault="00144C5B" w:rsidP="00144C5B">
      <w:pPr>
        <w:pStyle w:val="Bibliography"/>
        <w:rPr>
          <w:rFonts w:ascii="Calibri" w:hAnsiTheme="minorHAnsi" w:cs="Calibri"/>
          <w:color w:val="000000"/>
        </w:rPr>
      </w:pPr>
      <w:r w:rsidRPr="00CC1A03">
        <w:rPr>
          <w:rFonts w:ascii="Calibri" w:hAnsiTheme="minorHAnsi" w:cs="Calibri"/>
          <w:color w:val="000000"/>
        </w:rPr>
        <w:t xml:space="preserve">Ware, Bruce A., ‘Cur Deus </w:t>
      </w:r>
      <w:proofErr w:type="spellStart"/>
      <w:r w:rsidRPr="00CC1A03">
        <w:rPr>
          <w:rFonts w:ascii="Calibri" w:hAnsiTheme="minorHAnsi" w:cs="Calibri"/>
          <w:color w:val="000000"/>
        </w:rPr>
        <w:t>Trinus</w:t>
      </w:r>
      <w:proofErr w:type="spellEnd"/>
      <w:r w:rsidRPr="00CC1A03">
        <w:rPr>
          <w:rFonts w:ascii="Calibri" w:hAnsiTheme="minorHAnsi" w:cs="Calibri"/>
          <w:color w:val="000000"/>
        </w:rPr>
        <w:t xml:space="preserve">? The Relation of the Trinity to Christ’s Identity as </w:t>
      </w:r>
      <w:proofErr w:type="spellStart"/>
      <w:r w:rsidRPr="00CC1A03">
        <w:rPr>
          <w:rFonts w:ascii="Calibri" w:hAnsiTheme="minorHAnsi" w:cs="Calibri"/>
          <w:color w:val="000000"/>
        </w:rPr>
        <w:t>Savior</w:t>
      </w:r>
      <w:proofErr w:type="spellEnd"/>
      <w:r w:rsidRPr="00CC1A03">
        <w:rPr>
          <w:rFonts w:ascii="Calibri" w:hAnsiTheme="minorHAnsi" w:cs="Calibri"/>
          <w:color w:val="000000"/>
        </w:rPr>
        <w:t xml:space="preserve"> and to the Efficacy of His Atoning Death’, </w:t>
      </w:r>
      <w:r w:rsidRPr="00CC1A03">
        <w:rPr>
          <w:rFonts w:ascii="Calibri" w:hAnsiTheme="minorHAnsi" w:cs="Calibri"/>
          <w:i/>
          <w:iCs/>
          <w:color w:val="000000"/>
        </w:rPr>
        <w:t>Southern Baptist Journal of Theology</w:t>
      </w:r>
      <w:r w:rsidRPr="00CC1A03">
        <w:rPr>
          <w:rFonts w:ascii="Calibri" w:hAnsiTheme="minorHAnsi" w:cs="Calibri"/>
          <w:color w:val="000000"/>
        </w:rPr>
        <w:t>, 10.1 (2006), 48–56</w:t>
      </w:r>
    </w:p>
    <w:p w14:paraId="4AD8011C" w14:textId="77777777" w:rsidR="00144C5B" w:rsidRPr="00CC1A03" w:rsidRDefault="00144C5B" w:rsidP="00144C5B">
      <w:pPr>
        <w:pStyle w:val="Bibliography"/>
        <w:rPr>
          <w:rFonts w:ascii="Calibri" w:hAnsiTheme="minorHAnsi" w:cs="Calibri"/>
          <w:color w:val="000000"/>
        </w:rPr>
      </w:pPr>
      <w:r w:rsidRPr="00CC1A03">
        <w:rPr>
          <w:rFonts w:ascii="Calibri" w:hAnsiTheme="minorHAnsi" w:cs="Calibri"/>
          <w:color w:val="000000"/>
        </w:rPr>
        <w:t xml:space="preserve">Williams, George </w:t>
      </w:r>
      <w:proofErr w:type="spellStart"/>
      <w:r w:rsidRPr="00CC1A03">
        <w:rPr>
          <w:rFonts w:ascii="Calibri" w:hAnsiTheme="minorHAnsi" w:cs="Calibri"/>
          <w:color w:val="000000"/>
        </w:rPr>
        <w:t>Huntston</w:t>
      </w:r>
      <w:proofErr w:type="spellEnd"/>
      <w:r w:rsidRPr="00CC1A03">
        <w:rPr>
          <w:rFonts w:ascii="Calibri" w:hAnsiTheme="minorHAnsi" w:cs="Calibri"/>
          <w:color w:val="000000"/>
        </w:rPr>
        <w:t xml:space="preserve">, and St. Anselm of Canterbury, ‘The Sacramental Presuppositions of Anselm’s “Cur Deus Homo”’, </w:t>
      </w:r>
      <w:r w:rsidRPr="00CC1A03">
        <w:rPr>
          <w:rFonts w:ascii="Calibri" w:hAnsiTheme="minorHAnsi" w:cs="Calibri"/>
          <w:i/>
          <w:iCs/>
          <w:color w:val="000000"/>
        </w:rPr>
        <w:t>Church History</w:t>
      </w:r>
      <w:r w:rsidRPr="00CC1A03">
        <w:rPr>
          <w:rFonts w:ascii="Calibri" w:hAnsiTheme="minorHAnsi" w:cs="Calibri"/>
          <w:color w:val="000000"/>
        </w:rPr>
        <w:t>, 26.3 (1957), 245–74 &lt;https://doi.org/10.2307/3161745&gt;</w:t>
      </w:r>
    </w:p>
    <w:p w14:paraId="1EB87939" w14:textId="77777777" w:rsidR="00144C5B" w:rsidRPr="00144C5B" w:rsidRDefault="00144C5B" w:rsidP="00144C5B"/>
    <w:p w14:paraId="2E546DF2" w14:textId="77777777" w:rsidR="00144C5B" w:rsidRPr="006C3AB4" w:rsidRDefault="00144C5B"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u w:color="0000E9"/>
          <w:bdr w:val="none" w:sz="0" w:space="0" w:color="auto"/>
          <w14:ligatures w14:val="standardContextual"/>
        </w:rPr>
      </w:pPr>
    </w:p>
    <w:sectPr w:rsidR="00144C5B" w:rsidRPr="006C3AB4">
      <w:headerReference w:type="default" r:id="rId9"/>
      <w:footerReference w:type="default" r:id="rId1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73174" w14:textId="77777777" w:rsidR="00313156" w:rsidRDefault="00313156" w:rsidP="00180AC1">
      <w:r>
        <w:separator/>
      </w:r>
    </w:p>
  </w:endnote>
  <w:endnote w:type="continuationSeparator" w:id="0">
    <w:p w14:paraId="3D17348B" w14:textId="77777777" w:rsidR="00313156" w:rsidRDefault="00313156" w:rsidP="00180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A6024" w14:textId="77777777" w:rsidR="00E57353" w:rsidRDefault="00000000">
    <w:pPr>
      <w:pStyle w:val="Footer"/>
      <w:tabs>
        <w:tab w:val="clear" w:pos="9360"/>
        <w:tab w:val="right" w:pos="9000"/>
      </w:tabs>
      <w:jc w:val="center"/>
    </w:pPr>
    <w:r>
      <w:rPr>
        <w:rFonts w:ascii="Times New Roman" w:hAnsi="Times New Roman"/>
      </w:rPr>
      <w:t xml:space="preserve">Page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PAGE </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r>
      <w:rPr>
        <w:rFonts w:ascii="Times New Roman" w:hAnsi="Times New Roman"/>
      </w:rPr>
      <w:t xml:space="preserve"> of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NUMPAGES </w:instrText>
    </w:r>
    <w:r>
      <w:rPr>
        <w:rFonts w:ascii="Times New Roman" w:eastAsia="Times New Roman" w:hAnsi="Times New Roman" w:cs="Times New Roman"/>
      </w:rPr>
      <w:fldChar w:fldCharType="separate"/>
    </w:r>
    <w:r>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B6FFF" w14:textId="77777777" w:rsidR="00313156" w:rsidRDefault="00313156" w:rsidP="00180AC1">
      <w:r>
        <w:separator/>
      </w:r>
    </w:p>
  </w:footnote>
  <w:footnote w:type="continuationSeparator" w:id="0">
    <w:p w14:paraId="6ED4695D" w14:textId="77777777" w:rsidR="00313156" w:rsidRDefault="00313156" w:rsidP="00180AC1">
      <w:r>
        <w:continuationSeparator/>
      </w:r>
    </w:p>
  </w:footnote>
  <w:footnote w:id="1">
    <w:p w14:paraId="5F8942BF" w14:textId="2930BBD2" w:rsidR="00F81DB6" w:rsidRDefault="00F81DB6">
      <w:pPr>
        <w:pStyle w:val="FootnoteText"/>
      </w:pPr>
      <w:r>
        <w:rPr>
          <w:rStyle w:val="FootnoteReference"/>
        </w:rPr>
        <w:footnoteRef/>
      </w:r>
      <w:r>
        <w:t xml:space="preserve"> CDH I.1-2</w:t>
      </w:r>
    </w:p>
  </w:footnote>
  <w:footnote w:id="2">
    <w:p w14:paraId="30A4F762" w14:textId="349305E0" w:rsidR="00F81DB6" w:rsidRDefault="00F81DB6">
      <w:pPr>
        <w:pStyle w:val="FootnoteText"/>
      </w:pPr>
      <w:r>
        <w:rPr>
          <w:rStyle w:val="FootnoteReference"/>
        </w:rPr>
        <w:footnoteRef/>
      </w:r>
      <w:r>
        <w:t xml:space="preserve"> CDH II.22 [my emphasis]</w:t>
      </w:r>
    </w:p>
  </w:footnote>
  <w:footnote w:id="3">
    <w:p w14:paraId="2E38281E" w14:textId="007D5DA4" w:rsidR="00050293" w:rsidRDefault="00050293">
      <w:pPr>
        <w:pStyle w:val="FootnoteText"/>
      </w:pPr>
      <w:r>
        <w:rPr>
          <w:rStyle w:val="FootnoteReference"/>
        </w:rPr>
        <w:footnoteRef/>
      </w:r>
      <w:r>
        <w:t xml:space="preserve"> </w:t>
      </w:r>
      <w:r>
        <w:fldChar w:fldCharType="begin"/>
      </w:r>
      <w:r w:rsidR="006C3AB4">
        <w:instrText xml:space="preserve"> ADDIN ZOTERO_ITEM CSL_CITATION {"citationID":"lrggrexx","properties":{"formattedCitation":"Alfred Weber, {\\i{}History Of Philosophy}, trans. by F. Tilley (New York: Charles Scribner\\uc0\\u8217{}s Sons, 1907) &lt;http://archive.org/details/in.ernet.dli.2015.260556&gt; [accessed 24 March 2023].","plainCitation":"Alfred Weber, History Of Philosophy, trans. by F. Tilley (New York: Charles Scribner’s Sons, 1907) &lt;http://archive.org/details/in.ernet.dli.2015.260556&gt; [accessed 24 March 2023].","dontUpdate":true,"noteIndex":3},"citationItems":[{"id":2547,"uris":["http://zotero.org/users/7540819/items/WFPNSZKF"],"itemData":{"id":2547,"type":"book","abstract":"Book Source: Digital Library of India Item 2015.260556\n\ndc.contributor.author: Alfred Weber\ndc.date.accessioned: 2015-07-22T18:13:27Z\ndc.date.available: 2015-07-22T18:13:27Z\ndc.identifier.barcode: 05990010883402\ndc.identifier.origpath: /data58/upload/0085/119\ndc.identifier.copyno: 1\ndc.identifier.uri: http://www.new.dli.ernet.in/handle/2015/260556\ndc.description.scannerno: 20003546\ndc.description.scanningcentre: IIIT, Allahabad\ndc.description.main: 1\ndc.description.tagged: 0\ndc.description.totalpages: 642\ndc.format.mimetype: application/pdf\ndc.language.iso: English\ndc.publisher.digitalrepublisher: Digital Library Of India\ndc.publisher: Charles Scribers Sons\ndc.rights: In Public Domain\ndc.source.library: Ewing Christian College Allahabad India\ndc.subject.classification: Philosophy\ndc.title: History Of Philosophy\ndc.type: ptiff\ndc.type: pdf","event-place":"New York","language":"eng","publisher":"Charles Scribner's Sons","publisher-place":"New York","source":"Internet Archive","title":"History Of Philosophy","URL":"http://archive.org/details/in.ernet.dli.2015.260556","author":[{"family":"Weber","given":"Alfred"}],"translator":[{"family":"Tilley","given":"F."}],"accessed":{"date-parts":[["2023",3,24]]},"issued":{"date-parts":[["1907"]]}}}],"schema":"https://github.com/citation-style-language/schema/raw/master/csl-citation.json"} </w:instrText>
      </w:r>
      <w:r>
        <w:fldChar w:fldCharType="separate"/>
      </w:r>
      <w:r w:rsidRPr="00050293">
        <w:t xml:space="preserve">Alfred Weber, </w:t>
      </w:r>
      <w:r w:rsidRPr="00050293">
        <w:rPr>
          <w:i/>
          <w:iCs/>
        </w:rPr>
        <w:t>History Of Philosophy</w:t>
      </w:r>
      <w:r w:rsidRPr="00050293">
        <w:t>, trans. by F. Tilley (New York: Charles Scribner’s Sons, 1907)</w:t>
      </w:r>
      <w:r>
        <w:t>, 212-213</w:t>
      </w:r>
      <w:r w:rsidRPr="00050293">
        <w:t xml:space="preserve"> &lt;http://archive.org/details/in.ernet.dli.2015.260556&gt; [accessed 24 March 2023].</w:t>
      </w:r>
      <w:r>
        <w:fldChar w:fldCharType="end"/>
      </w:r>
    </w:p>
  </w:footnote>
  <w:footnote w:id="4">
    <w:p w14:paraId="408D10B5" w14:textId="4ADEAC6B" w:rsidR="00050293" w:rsidRDefault="00050293">
      <w:pPr>
        <w:pStyle w:val="FootnoteText"/>
      </w:pPr>
      <w:r>
        <w:rPr>
          <w:rStyle w:val="FootnoteReference"/>
        </w:rPr>
        <w:footnoteRef/>
      </w:r>
      <w:r>
        <w:t xml:space="preserve"> </w:t>
      </w:r>
      <w:r>
        <w:fldChar w:fldCharType="begin"/>
      </w:r>
      <w:r w:rsidR="006C3AB4">
        <w:instrText xml:space="preserve"> ADDIN ZOTERO_ITEM CSL_CITATION {"citationID":"QdeGpnsX","properties":{"formattedCitation":"{\\i{}Anselm, Aosta, Bec and Canterbury}, ed. by David E. Luscombe and G. R. Evans (Sheffield\\uc0\\u8239{}: Sheffield Academic, 1996) &lt;http://archive.org/details/anselmaostabecca0000davi&gt; [accessed 30 March 2023].","plainCitation":"Anselm, Aosta, Bec and Canterbury, ed. by David E. Luscombe and G. R. Evans (Sheffield : Sheffield Academic, 1996) &lt;http://archive.org/details/anselmaostabecca0000davi&gt; [accessed 30 March 2023].","dontUpdate":true,"noteIndex":4},"citationItems":[{"id":2572,"uris":["http://zotero.org/users/7540819/items/D8PY6BKB"],"itemData":{"id":2572,"type":"book","abstract":"320p. ; 24 cm","ISBN":"978-1-85075-591-3","language":"eng","number-of-pages":"410","publisher":"Sheffield : Sheffield Academic","source":"Internet Archive","title":"Anselm, Aosta, Bec and Canterbury","URL":"http://archive.org/details/anselmaostabecca0000davi","editor":[{"literal":"David E. Luscombe"},{"family":"Evans","given":"G. R."}],"contributor":[{"family":"Internet Archive","given":""}],"accessed":{"date-parts":[["2023",3,30]]},"issued":{"date-parts":[["1996"]]}}}],"schema":"https://github.com/citation-style-language/schema/raw/master/csl-citation.json"} </w:instrText>
      </w:r>
      <w:r>
        <w:fldChar w:fldCharType="separate"/>
      </w:r>
      <w:r w:rsidRPr="00050293">
        <w:rPr>
          <w:i/>
          <w:iCs/>
        </w:rPr>
        <w:t>Anselm, Aosta, Bec and Canterbury</w:t>
      </w:r>
      <w:r w:rsidRPr="00050293">
        <w:t>, ed. by David E. Luscombe and G. R. Evans (Sheffield : Sheffield Academic, 1996)</w:t>
      </w:r>
      <w:r>
        <w:t>, 24</w:t>
      </w:r>
      <w:r w:rsidRPr="00050293">
        <w:t xml:space="preserve"> &lt;http://archive.org/details/anselmaostabecca0000davi&gt; [accessed 30 March 2023].</w:t>
      </w:r>
      <w:r>
        <w:fldChar w:fldCharType="end"/>
      </w:r>
    </w:p>
  </w:footnote>
  <w:footnote w:id="5">
    <w:p w14:paraId="483D36DF" w14:textId="6DE690CB" w:rsidR="00050293" w:rsidRDefault="00050293">
      <w:pPr>
        <w:pStyle w:val="FootnoteText"/>
      </w:pPr>
      <w:r>
        <w:rPr>
          <w:rStyle w:val="FootnoteReference"/>
        </w:rPr>
        <w:footnoteRef/>
      </w:r>
      <w:r>
        <w:t xml:space="preserve"> </w:t>
      </w:r>
      <w:proofErr w:type="spellStart"/>
      <w:r>
        <w:t>Rochard</w:t>
      </w:r>
      <w:proofErr w:type="spellEnd"/>
      <w:r>
        <w:t xml:space="preserve"> Southern in </w:t>
      </w:r>
      <w:r>
        <w:fldChar w:fldCharType="begin"/>
      </w:r>
      <w:r w:rsidR="006C3AB4">
        <w:instrText xml:space="preserve"> ADDIN ZOTERO_ITEM CSL_CITATION {"citationID":"nuNTJhrB","properties":{"formattedCitation":"David E. Luscombe and Evans.","plainCitation":"David E. Luscombe and Evans.","dontUpdate":true,"noteIndex":5},"citationItems":[{"id":2572,"uris":["http://zotero.org/users/7540819/items/D8PY6BKB"],"itemData":{"id":2572,"type":"book","abstract":"320p. ; 24 cm","ISBN":"978-1-85075-591-3","language":"eng","number-of-pages":"410","publisher":"Sheffield : Sheffield Academic","source":"Internet Archive","title":"Anselm, Aosta, Bec and Canterbury","URL":"http://archive.org/details/anselmaostabecca0000davi","editor":[{"literal":"David E. Luscombe"},{"family":"Evans","given":"G. R."}],"contributor":[{"family":"Internet Archive","given":""}],"accessed":{"date-parts":[["2023",3,30]]},"issued":{"date-parts":[["1996"]]}}}],"schema":"https://github.com/citation-style-language/schema/raw/master/csl-citation.json"} </w:instrText>
      </w:r>
      <w:r>
        <w:fldChar w:fldCharType="separate"/>
      </w:r>
      <w:r>
        <w:rPr>
          <w:noProof/>
        </w:rPr>
        <w:t>David E. Luscombe and Evans, 24-33.</w:t>
      </w:r>
      <w:r>
        <w:fldChar w:fldCharType="end"/>
      </w:r>
    </w:p>
  </w:footnote>
  <w:footnote w:id="6">
    <w:p w14:paraId="75E151F8" w14:textId="674DC34D" w:rsidR="00050293" w:rsidRDefault="00050293">
      <w:pPr>
        <w:pStyle w:val="FootnoteText"/>
      </w:pPr>
      <w:r>
        <w:rPr>
          <w:rStyle w:val="FootnoteReference"/>
        </w:rPr>
        <w:footnoteRef/>
      </w:r>
      <w:r>
        <w:t xml:space="preserve"> CDH II.2</w:t>
      </w:r>
    </w:p>
  </w:footnote>
  <w:footnote w:id="7">
    <w:p w14:paraId="7439305A" w14:textId="2B14E50D" w:rsidR="00050293" w:rsidRDefault="00050293">
      <w:pPr>
        <w:pStyle w:val="FootnoteText"/>
      </w:pPr>
      <w:r>
        <w:rPr>
          <w:rStyle w:val="FootnoteReference"/>
        </w:rPr>
        <w:footnoteRef/>
      </w:r>
      <w:r>
        <w:t xml:space="preserve"> Jasper Hopkins in </w:t>
      </w:r>
      <w:r>
        <w:fldChar w:fldCharType="begin"/>
      </w:r>
      <w:r w:rsidR="006C3AB4">
        <w:instrText xml:space="preserve"> ADDIN ZOTERO_ITEM CSL_CITATION {"citationID":"GhvGc2X2","properties":{"formattedCitation":"{\\i{}A Companion to Philosophy in the Middle Ages}, ed. by Jorge J. E. Gracia, Blackwell Companions to Philosophy, 24, 1. publ. in paperback (Malden, Mass.: Blackwell Publ, 2006).","plainCitation":"A Companion to Philosophy in the Middle Ages, ed. by Jorge J. E. Gracia, Blackwell Companions to Philosophy, 24, 1. publ. in paperback (Malden, Mass.: Blackwell Publ, 2006).","dontUpdate":true,"noteIndex":7},"citationItems":[{"id":2585,"uris":["http://zotero.org/users/7540819/items/KW9AA6WY"],"itemData":{"id":2585,"type":"book","collection-number":"24","collection-title":"Blackwell companions to philosophy","edition":"1. publ. in paperback","event-place":"Malden, Mass.","ISBN":"978-0-631-21673-5","language":"eng","number-of-pages":"739","publisher":"Blackwell Publ","publisher-place":"Malden, Mass.","source":"K10plus ISBN","title":"A companion to philosophy in the Middle Ages","editor":[{"family":"Gracia","given":"Jorge J. E."}],"issued":{"date-parts":[["2006"]]}}}],"schema":"https://github.com/citation-style-language/schema/raw/master/csl-citation.json"} </w:instrText>
      </w:r>
      <w:r>
        <w:fldChar w:fldCharType="separate"/>
      </w:r>
      <w:r w:rsidRPr="00050293">
        <w:rPr>
          <w:i/>
          <w:iCs/>
        </w:rPr>
        <w:t>A Companion to Philosophy in the Middle Ages</w:t>
      </w:r>
      <w:r w:rsidRPr="00050293">
        <w:t>, ed. by Jorge J. E. Gracia, Blackwell Companions to Philosophy, 24, 1. publ. in paperback (Malden, Mass.: Blackwell Publ, 2006)</w:t>
      </w:r>
      <w:r>
        <w:t>, 145</w:t>
      </w:r>
      <w:r w:rsidRPr="00050293">
        <w:t>.</w:t>
      </w:r>
      <w:r>
        <w:fldChar w:fldCharType="end"/>
      </w:r>
    </w:p>
  </w:footnote>
  <w:footnote w:id="8">
    <w:p w14:paraId="7A027373" w14:textId="2A720E74" w:rsidR="00050293" w:rsidRDefault="00050293">
      <w:pPr>
        <w:pStyle w:val="FootnoteText"/>
      </w:pPr>
      <w:r>
        <w:rPr>
          <w:rStyle w:val="FootnoteReference"/>
        </w:rPr>
        <w:footnoteRef/>
      </w:r>
      <w:r>
        <w:t xml:space="preserve"> CDH I.12-15, 19-24</w:t>
      </w:r>
    </w:p>
  </w:footnote>
  <w:footnote w:id="9">
    <w:p w14:paraId="77D7D482" w14:textId="6A5A79F9" w:rsidR="00050293" w:rsidRDefault="00050293">
      <w:pPr>
        <w:pStyle w:val="FootnoteText"/>
      </w:pPr>
      <w:r>
        <w:rPr>
          <w:rStyle w:val="FootnoteReference"/>
        </w:rPr>
        <w:footnoteRef/>
      </w:r>
      <w:r>
        <w:t xml:space="preserve"> </w:t>
      </w:r>
      <w:r>
        <w:fldChar w:fldCharType="begin"/>
      </w:r>
      <w:r w:rsidR="006C3AB4">
        <w:instrText xml:space="preserve"> ADDIN ZOTERO_ITEM CSL_CITATION {"citationID":"VFU0DATh","properties":{"formattedCitation":"Daniel L. Migliore, {\\i{}Faith Seeking Understanding: An Introduction to Christian Theology}, 2nd ed (Grand Rapids, Mich: W.B. Eerdmans, 2004).","plainCitation":"Daniel L. Migliore, Faith Seeking Understanding: An Introduction to Christian Theology, 2nd ed (Grand Rapids, Mich: W.B. Eerdmans, 2004).","dontUpdate":true,"noteIndex":9},"citationItems":[{"id":2237,"uris":["http://zotero.org/users/7540819/items/ANXYXUU7"],"itemData":{"id":2237,"type":"book","call-number":"BT65 .M54 2004","edition":"2nd ed","event-place":"Grand Rapids, Mich","ISBN":"978-0-8028-2787-6","number-of-pages":"439","publisher":"W.B. Eerdmans","publisher-place":"Grand Rapids, Mich","source":"Library of Congress ISBN","title":"Faith seeking understanding: an introduction to Christian theology","title-short":"Faith seeking understanding","author":[{"family":"Migliore","given":"Daniel L."}],"issued":{"date-parts":[["2004"]]}}}],"schema":"https://github.com/citation-style-language/schema/raw/master/csl-citation.json"} </w:instrText>
      </w:r>
      <w:r>
        <w:fldChar w:fldCharType="separate"/>
      </w:r>
      <w:r w:rsidRPr="00050293">
        <w:t xml:space="preserve">Daniel L. Migliore, </w:t>
      </w:r>
      <w:r w:rsidRPr="00050293">
        <w:rPr>
          <w:i/>
          <w:iCs/>
        </w:rPr>
        <w:t>Faith Seeking Understanding: An Introduction to Christian Theology</w:t>
      </w:r>
      <w:r w:rsidRPr="00050293">
        <w:t>, 2nd ed (Grand Rapids, Mich: W.B. Eerdmans, 2004)</w:t>
      </w:r>
      <w:r>
        <w:t>, 67</w:t>
      </w:r>
      <w:r w:rsidRPr="00050293">
        <w:t>.</w:t>
      </w:r>
      <w:r>
        <w:fldChar w:fldCharType="end"/>
      </w:r>
    </w:p>
  </w:footnote>
  <w:footnote w:id="10">
    <w:p w14:paraId="4B834C63" w14:textId="363328A7" w:rsidR="00050293" w:rsidRDefault="00050293">
      <w:pPr>
        <w:pStyle w:val="FootnoteText"/>
      </w:pPr>
      <w:r>
        <w:rPr>
          <w:rStyle w:val="FootnoteReference"/>
        </w:rPr>
        <w:footnoteRef/>
      </w:r>
      <w:r>
        <w:t xml:space="preserve"> </w:t>
      </w:r>
      <w:r>
        <w:fldChar w:fldCharType="begin"/>
      </w:r>
      <w:r w:rsidR="006C3AB4">
        <w:instrText xml:space="preserve"> ADDIN ZOTERO_ITEM CSL_CITATION {"citationID":"4qs0jZ3t","properties":{"formattedCitation":"Laurie Green, {\\i{}Let\\uc0\\u8217{}s Do Theology: A Pastoral Cycle Resource Book} (London: Continuum, 2001).","plainCitation":"Laurie Green, Let’s Do Theology: A Pastoral Cycle Resource Book (London: Continuum, 2001).","dontUpdate":true,"noteIndex":10},"citationItems":[{"id":1878,"uris":["http://zotero.org/users/7540819/items/UR7YQ5HN"],"itemData":{"id":1878,"type":"book","event-place":"London","ISBN":"978-0-8264-6095-0","language":"English","note":"OCLC: 49329914","publisher":"Continuum","publisher-place":"London","source":"Open WorldCat","title":"Let's do theology: a pastoral cycle resource book","title-short":"Let's do theology","author":[{"family":"Green","given":"Laurie"}],"issued":{"date-parts":[["2001"]]}}}],"schema":"https://github.com/citation-style-language/schema/raw/master/csl-citation.json"} </w:instrText>
      </w:r>
      <w:r>
        <w:fldChar w:fldCharType="separate"/>
      </w:r>
      <w:r w:rsidRPr="00050293">
        <w:t xml:space="preserve">Laurie Green, </w:t>
      </w:r>
      <w:r w:rsidRPr="00050293">
        <w:rPr>
          <w:i/>
          <w:iCs/>
        </w:rPr>
        <w:t>Let’s Do Theology: A Pastoral Cycle Resource Book</w:t>
      </w:r>
      <w:r w:rsidRPr="00050293">
        <w:t xml:space="preserve"> (London: Continuum, 2001)</w:t>
      </w:r>
      <w:r>
        <w:t>, 24-32, 95</w:t>
      </w:r>
      <w:r w:rsidRPr="00050293">
        <w:t>.</w:t>
      </w:r>
      <w:r>
        <w:fldChar w:fldCharType="end"/>
      </w:r>
    </w:p>
  </w:footnote>
  <w:footnote w:id="11">
    <w:p w14:paraId="58C8853D" w14:textId="77777777" w:rsidR="008A7B39" w:rsidRDefault="008A7B39" w:rsidP="008A7B39">
      <w:pPr>
        <w:pStyle w:val="FootnoteText"/>
      </w:pPr>
      <w:r>
        <w:rPr>
          <w:rStyle w:val="FootnoteReference"/>
        </w:rPr>
        <w:footnoteRef/>
      </w:r>
      <w:r>
        <w:t xml:space="preserve"> </w:t>
      </w:r>
      <w:r>
        <w:fldChar w:fldCharType="begin"/>
      </w:r>
      <w:r>
        <w:instrText xml:space="preserve"> ADDIN ZOTERO_ITEM CSL_CITATION {"citationID":"c8HUR5ex","properties":{"formattedCitation":"Karl Rahner and Meinold Krauss, {\\i{}I Remember: An Autobiographical Interview with Meinold Krauss} (London: SCM Press, 1985).","plainCitation":"Karl Rahner and Meinold Krauss, I Remember: An Autobiographical Interview with Meinold Krauss (London: SCM Press, 1985).","dontUpdate":true,"noteIndex":11},"citationItems":[{"id":2583,"uris":["http://zotero.org/users/7540819/items/BQYBDWEX"],"itemData":{"id":2583,"type":"book","call-number":"BX4705.R287 A33x 1985b","event-place":"London","ISBN":"978-0-334-02083-7","language":"engger","number-of-pages":"111","publisher":"SCM Press","publisher-place":"London","source":"Library of Congress ISBN","title":"I remember: an autobiographical interview with Meinold Krauss","title-short":"I remember","author":[{"family":"Rahner","given":"Karl"},{"family":"Krauss","given":"Meinold"}],"issued":{"date-parts":[["1985"]]}}}],"schema":"https://github.com/citation-style-language/schema/raw/master/csl-citation.json"} </w:instrText>
      </w:r>
      <w:r>
        <w:fldChar w:fldCharType="separate"/>
      </w:r>
      <w:r w:rsidRPr="00050293">
        <w:t xml:space="preserve">Karl Rahner and Meinold Krauss, </w:t>
      </w:r>
      <w:r w:rsidRPr="00050293">
        <w:rPr>
          <w:i/>
          <w:iCs/>
        </w:rPr>
        <w:t>I Remember: An Autobiographical Interview with Meinold Krauss</w:t>
      </w:r>
      <w:r w:rsidRPr="00050293">
        <w:t xml:space="preserve"> (London: SCM Press, 1985)</w:t>
      </w:r>
      <w:r>
        <w:t>, 67-68</w:t>
      </w:r>
      <w:r w:rsidRPr="00050293">
        <w:t>.</w:t>
      </w:r>
      <w:r>
        <w:fldChar w:fldCharType="end"/>
      </w:r>
    </w:p>
  </w:footnote>
  <w:footnote w:id="12">
    <w:p w14:paraId="4CD230D0" w14:textId="3B36B0E9" w:rsidR="00795C4A" w:rsidRDefault="00795C4A">
      <w:pPr>
        <w:pStyle w:val="FootnoteText"/>
      </w:pPr>
      <w:r>
        <w:rPr>
          <w:rStyle w:val="FootnoteReference"/>
        </w:rPr>
        <w:footnoteRef/>
      </w:r>
      <w:r>
        <w:t xml:space="preserve"> CDHII.5</w:t>
      </w:r>
    </w:p>
  </w:footnote>
  <w:footnote w:id="13">
    <w:p w14:paraId="0084A213" w14:textId="37E6EDD0" w:rsidR="00795C4A" w:rsidRDefault="00795C4A">
      <w:pPr>
        <w:pStyle w:val="FootnoteText"/>
      </w:pPr>
      <w:r>
        <w:rPr>
          <w:rStyle w:val="FootnoteReference"/>
        </w:rPr>
        <w:footnoteRef/>
      </w:r>
      <w:r>
        <w:t xml:space="preserve"> CDH I.11-15; II.11, 18(a)</w:t>
      </w:r>
    </w:p>
  </w:footnote>
  <w:footnote w:id="14">
    <w:p w14:paraId="0338069B" w14:textId="5343F2A9" w:rsidR="00795C4A" w:rsidRDefault="00795C4A">
      <w:pPr>
        <w:pStyle w:val="FootnoteText"/>
      </w:pPr>
      <w:r>
        <w:rPr>
          <w:rStyle w:val="FootnoteReference"/>
        </w:rPr>
        <w:footnoteRef/>
      </w:r>
      <w:r>
        <w:t xml:space="preserve"> CDH II.6</w:t>
      </w:r>
    </w:p>
  </w:footnote>
  <w:footnote w:id="15">
    <w:p w14:paraId="13E232E9" w14:textId="271190DC" w:rsidR="00795C4A" w:rsidRDefault="00795C4A">
      <w:pPr>
        <w:pStyle w:val="FootnoteText"/>
      </w:pPr>
      <w:r>
        <w:rPr>
          <w:rStyle w:val="FootnoteReference"/>
        </w:rPr>
        <w:footnoteRef/>
      </w:r>
      <w:r>
        <w:t xml:space="preserve"> CDhI.19; II.3-8</w:t>
      </w:r>
    </w:p>
  </w:footnote>
  <w:footnote w:id="16">
    <w:p w14:paraId="2A9E54B5" w14:textId="3B5A2CDC" w:rsidR="00795C4A" w:rsidRDefault="00795C4A">
      <w:pPr>
        <w:pStyle w:val="FootnoteText"/>
      </w:pPr>
      <w:r>
        <w:rPr>
          <w:rStyle w:val="FootnoteReference"/>
        </w:rPr>
        <w:footnoteRef/>
      </w:r>
      <w:r>
        <w:t xml:space="preserve"> CDH II,18(b) onwards</w:t>
      </w:r>
    </w:p>
  </w:footnote>
  <w:footnote w:id="17">
    <w:p w14:paraId="516B061D" w14:textId="53974D76" w:rsidR="00795C4A" w:rsidRDefault="00795C4A">
      <w:pPr>
        <w:pStyle w:val="FootnoteText"/>
      </w:pPr>
      <w:r>
        <w:rPr>
          <w:rStyle w:val="FootnoteReference"/>
        </w:rPr>
        <w:footnoteRef/>
      </w:r>
      <w:r>
        <w:t xml:space="preserve"> CDH II.18(b)</w:t>
      </w:r>
    </w:p>
  </w:footnote>
  <w:footnote w:id="18">
    <w:p w14:paraId="235A639A" w14:textId="6E117109" w:rsidR="00795C4A" w:rsidRDefault="00795C4A">
      <w:pPr>
        <w:pStyle w:val="FootnoteText"/>
      </w:pPr>
      <w:r>
        <w:rPr>
          <w:rStyle w:val="FootnoteReference"/>
        </w:rPr>
        <w:footnoteRef/>
      </w:r>
      <w:r>
        <w:t xml:space="preserve"> </w:t>
      </w:r>
      <w:r>
        <w:fldChar w:fldCharType="begin"/>
      </w:r>
      <w:r w:rsidR="006C3AB4">
        <w:instrText xml:space="preserve"> ADDIN ZOTERO_ITEM CSL_CITATION {"citationID":"eE9IYyvV","properties":{"formattedCitation":"Douglas Langston, \\uc0\\u8216{}Scotus\\uc0\\u8217{} Departure from Anselm\\uc0\\u8217{}s Theory of the Atonement\\uc0\\u8217{}, {\\i{}Recherches de Th\\uc0\\u233{}ologie Ancienne et M\\uc0\\u233{}di\\uc0\\u233{}vale}, 50 (1983), 227\\uc0\\u8211{}41.","plainCitation":"Douglas Langston, ‘Scotus’ Departure from Anselm’s Theory of the Atonement’, Recherches de Théologie Ancienne et Médiévale, 50 (1983), 227–41.","dontUpdate":true,"noteIndex":18},"citationItems":[{"id":2520,"uris":["http://zotero.org/users/7540819/items/Z3268S7C"],"itemData":{"id":2520,"type":"article-journal","abstract":"In the first part of this paper, I analyze Anselm's attempt in Cur Deus Homo to justify the Atonement by showing that his discussion can be organized around three principles: satisfaction, symmetry, and ransom. In the second part, I explore Scotus' comments on the philosophical puzzles of the Incarnation and Atonement. I emphasize that his analysis of the hypostatic union causes him to regard Christ's sacrifice as finite and not intrinsically salvific for mankind. In the third part, I argue that Scotus' emphasis on the finite nature of Christ's sacrifice is a rejection of Anselm's principle of symmetry. Moreover, I claim that, as a voluntarist, Scotus also rejects Anselm's principle as restricting God's free choice.","container-title":"Recherches de théologie ancienne et médiévale","ISSN":"0034-1266","note":"publisher: Peeters Publishers","page":"227-241","source":"JSTOR","title":"Scotus' Departure from Anselm's Theory of the Atonement","volume":"50","author":[{"family":"Langston","given":"Douglas"}],"issued":{"date-parts":[["1983"]]}}}],"schema":"https://github.com/citation-style-language/schema/raw/master/csl-citation.json"} </w:instrText>
      </w:r>
      <w:r>
        <w:fldChar w:fldCharType="separate"/>
      </w:r>
      <w:r w:rsidRPr="00795C4A">
        <w:t xml:space="preserve">Douglas Langston, ‘Scotus’ Departure from Anselm’s Theory of the Atonement’, </w:t>
      </w:r>
      <w:r w:rsidRPr="00795C4A">
        <w:rPr>
          <w:i/>
          <w:iCs/>
        </w:rPr>
        <w:t>Recherches de Théologie Ancienne et Médiévale</w:t>
      </w:r>
      <w:r w:rsidRPr="00795C4A">
        <w:t>, 50 (1983), 227.</w:t>
      </w:r>
      <w:r>
        <w:fldChar w:fldCharType="end"/>
      </w:r>
    </w:p>
  </w:footnote>
  <w:footnote w:id="19">
    <w:p w14:paraId="5EBC3031" w14:textId="21B2B918" w:rsidR="00795C4A" w:rsidRDefault="00795C4A">
      <w:pPr>
        <w:pStyle w:val="FootnoteText"/>
      </w:pPr>
      <w:r>
        <w:rPr>
          <w:rStyle w:val="FootnoteReference"/>
        </w:rPr>
        <w:footnoteRef/>
      </w:r>
      <w:r>
        <w:t xml:space="preserve"> CDH II.19, 20, Genesis 22:2ff; Matthew 11:29</w:t>
      </w:r>
    </w:p>
  </w:footnote>
  <w:footnote w:id="20">
    <w:p w14:paraId="4ACAA3FD" w14:textId="77777777" w:rsidR="008D56DA" w:rsidRDefault="008D56DA" w:rsidP="008D56DA">
      <w:pPr>
        <w:pStyle w:val="FootnoteText"/>
      </w:pPr>
      <w:r>
        <w:rPr>
          <w:rStyle w:val="FootnoteReference"/>
        </w:rPr>
        <w:footnoteRef/>
      </w:r>
      <w:r>
        <w:t xml:space="preserve"> CD II.16</w:t>
      </w:r>
    </w:p>
  </w:footnote>
  <w:footnote w:id="21">
    <w:p w14:paraId="74C5D1B4" w14:textId="137C60A2" w:rsidR="00795C4A" w:rsidRDefault="00795C4A">
      <w:pPr>
        <w:pStyle w:val="FootnoteText"/>
      </w:pPr>
      <w:r>
        <w:rPr>
          <w:rStyle w:val="FootnoteReference"/>
        </w:rPr>
        <w:footnoteRef/>
      </w:r>
      <w:r>
        <w:t xml:space="preserve"> CDH I.8</w:t>
      </w:r>
    </w:p>
  </w:footnote>
  <w:footnote w:id="22">
    <w:p w14:paraId="4C2ADFAA" w14:textId="080A032B" w:rsidR="00795C4A" w:rsidRDefault="00795C4A">
      <w:pPr>
        <w:pStyle w:val="FootnoteText"/>
      </w:pPr>
      <w:r>
        <w:rPr>
          <w:rStyle w:val="FootnoteReference"/>
        </w:rPr>
        <w:footnoteRef/>
      </w:r>
      <w:r>
        <w:t xml:space="preserve"> Jasper Hopkins in </w:t>
      </w:r>
      <w:r>
        <w:fldChar w:fldCharType="begin"/>
      </w:r>
      <w:r w:rsidR="006C3AB4">
        <w:instrText xml:space="preserve"> ADDIN ZOTERO_ITEM CSL_CITATION {"citationID":"JrZrXb21","properties":{"formattedCitation":"Gracia.","plainCitation":"Gracia.","dontUpdate":true,"noteIndex":22},"citationItems":[{"id":2585,"uris":["http://zotero.org/users/7540819/items/KW9AA6WY"],"itemData":{"id":2585,"type":"book","collection-number":"24","collection-title":"Blackwell companions to philosophy","edition":"1. publ. in paperback","event-place":"Malden, Mass.","ISBN":"978-0-631-21673-5","language":"eng","number-of-pages":"739","publisher":"Blackwell Publ","publisher-place":"Malden, Mass.","source":"K10plus ISBN","title":"A companion to philosophy in the Middle Ages","editor":[{"family":"Gracia","given":"Jorge J. E."}],"issued":{"date-parts":[["2006"]]}}}],"schema":"https://github.com/citation-style-language/schema/raw/master/csl-citation.json"} </w:instrText>
      </w:r>
      <w:r>
        <w:fldChar w:fldCharType="separate"/>
      </w:r>
      <w:r>
        <w:rPr>
          <w:noProof/>
        </w:rPr>
        <w:t>Gracia, 144.</w:t>
      </w:r>
      <w:r>
        <w:fldChar w:fldCharType="end"/>
      </w:r>
    </w:p>
  </w:footnote>
  <w:footnote w:id="23">
    <w:p w14:paraId="61BE09A3" w14:textId="38C81F20" w:rsidR="00795C4A" w:rsidRDefault="00795C4A">
      <w:pPr>
        <w:pStyle w:val="FootnoteText"/>
      </w:pPr>
      <w:r>
        <w:rPr>
          <w:rStyle w:val="FootnoteReference"/>
        </w:rPr>
        <w:footnoteRef/>
      </w:r>
      <w:r>
        <w:t xml:space="preserve"> CDH I.9; II.3-5</w:t>
      </w:r>
      <w:r w:rsidR="00FF6E9A">
        <w:t>. Cf. John 3:1-21,esp. 3:16-17</w:t>
      </w:r>
    </w:p>
  </w:footnote>
  <w:footnote w:id="24">
    <w:p w14:paraId="51EE5615" w14:textId="56FDD804" w:rsidR="00D44D63" w:rsidRDefault="00D44D63" w:rsidP="00D44D63">
      <w:pPr>
        <w:pStyle w:val="FootnoteText"/>
      </w:pPr>
      <w:r>
        <w:rPr>
          <w:rStyle w:val="FootnoteReference"/>
        </w:rPr>
        <w:footnoteRef/>
      </w:r>
      <w:r>
        <w:t xml:space="preserve"> </w:t>
      </w:r>
      <w:r>
        <w:fldChar w:fldCharType="begin"/>
      </w:r>
      <w:r w:rsidR="006C3AB4">
        <w:instrText xml:space="preserve"> ADDIN ZOTERO_ITEM CSL_CITATION {"citationID":"wCWgHiXA","properties":{"formattedCitation":"Karl Rahner and Johannes Feiner, {\\i{}The Trinity}, Mysterium Salutis (London, [New York]: Burns &amp; Oates; Herder and Herder, 1970).","plainCitation":"Karl Rahner and Johannes Feiner, The Trinity, Mysterium Salutis (London, [New York]: Burns &amp; Oates; Herder and Herder, 1970).","dontUpdate":true,"noteIndex":24},"citationItems":[{"id":2435,"uris":["http://zotero.org/users/7540819/items/7HRT3QH9"],"itemData":{"id":2435,"type":"book","call-number":"BT111.2 .R3 1970b","collection-title":"Mysterium salutis","event-place":"London, [New York]","ISBN":"978-0-223-97789-1","language":"engger","number-of-pages":"120","publisher":"Burns &amp; Oates; Herder and Herder","publisher-place":"London, [New York]","source":"Library of Congress ISBN","title":"The Trinity","author":[{"family":"Rahner","given":"Karl"},{"family":"Feiner","given":"Johannes"}],"issued":{"date-parts":[["1970"]]}}}],"schema":"https://github.com/citation-style-language/schema/raw/master/csl-citation.json"} </w:instrText>
      </w:r>
      <w:r>
        <w:fldChar w:fldCharType="separate"/>
      </w:r>
      <w:r w:rsidRPr="00797A37">
        <w:t xml:space="preserve">Karl Rahner and Johannes Feiner, </w:t>
      </w:r>
      <w:r w:rsidRPr="00797A37">
        <w:rPr>
          <w:i/>
          <w:iCs/>
        </w:rPr>
        <w:t>The Trinity</w:t>
      </w:r>
      <w:r w:rsidRPr="00797A37">
        <w:t>, Mysterium Salutis (London, [New York]: Burns &amp; Oates; Herder and Herder, 1970)</w:t>
      </w:r>
      <w:r>
        <w:t>, 1-12, esp. footnote 6</w:t>
      </w:r>
      <w:r w:rsidRPr="00797A37">
        <w:t>.</w:t>
      </w:r>
      <w:r>
        <w:fldChar w:fldCharType="end"/>
      </w:r>
      <w:r>
        <w:t xml:space="preserve"> Cf. further expansion pp. 73-79 and 103-115</w:t>
      </w:r>
    </w:p>
  </w:footnote>
  <w:footnote w:id="25">
    <w:p w14:paraId="26915A88" w14:textId="07E93C59" w:rsidR="00797A37" w:rsidRDefault="00797A37">
      <w:pPr>
        <w:pStyle w:val="FootnoteText"/>
      </w:pPr>
      <w:r>
        <w:rPr>
          <w:rStyle w:val="FootnoteReference"/>
        </w:rPr>
        <w:footnoteRef/>
      </w:r>
      <w:r>
        <w:t xml:space="preserve"> CDH II.9-10</w:t>
      </w:r>
    </w:p>
  </w:footnote>
  <w:footnote w:id="26">
    <w:p w14:paraId="46512401" w14:textId="2A5DB8D9" w:rsidR="00D5787B" w:rsidRPr="00D5787B" w:rsidRDefault="00D5787B">
      <w:pPr>
        <w:pStyle w:val="FootnoteText"/>
        <w:rPr>
          <w:lang w:val="en-GB"/>
        </w:rPr>
      </w:pPr>
      <w:r>
        <w:rPr>
          <w:rStyle w:val="FootnoteReference"/>
        </w:rPr>
        <w:footnoteRef/>
      </w:r>
      <w:r>
        <w:t xml:space="preserve"> </w:t>
      </w:r>
      <w:r>
        <w:fldChar w:fldCharType="begin"/>
      </w:r>
      <w:r w:rsidR="006C3AB4">
        <w:instrText xml:space="preserve"> ADDIN ZOTERO_ITEM CSL_CITATION {"citationID":"VWBvPjTY","properties":{"formattedCitation":"G. R. Evans, {\\i{}Anselm and Talking about God} (Oxford\\uc0\\u8239{}: New York: Clarendon Press\\uc0\\u8239{}; Oxford University Press, 1978).","plainCitation":"G. R. Evans, Anselm and Talking about God (Oxford : New York: Clarendon Press ; Oxford University Press, 1978).","dontUpdate":true,"noteIndex":26},"citationItems":[{"id":2494,"uris":["http://zotero.org/users/7540819/items/SBYIQFYK"],"itemData":{"id":2494,"type":"book","call-number":"BT100.A57 E9","event-place":"Oxford : New York","ISBN":"978-0-19-826647-1","number-of-pages":"12","publisher":"Clarendon Press ; Oxford University Press","publisher-place":"Oxford : New York","source":"Library of Congress ISBN","title":"Anselm and talking about God","author":[{"family":"Evans","given":"G. R."}],"issued":{"date-parts":[["1978"]]}}}],"schema":"https://github.com/citation-style-language/schema/raw/master/csl-citation.json"} </w:instrText>
      </w:r>
      <w:r>
        <w:fldChar w:fldCharType="separate"/>
      </w:r>
      <w:r w:rsidRPr="00D5787B">
        <w:t xml:space="preserve">G. R. Evans, </w:t>
      </w:r>
      <w:r w:rsidRPr="00D5787B">
        <w:rPr>
          <w:i/>
          <w:iCs/>
        </w:rPr>
        <w:t>Anselm and Talking about God</w:t>
      </w:r>
      <w:r w:rsidRPr="00D5787B">
        <w:t xml:space="preserve"> (Oxford : New York: Clarendon Press ; Oxford University Press, 1978)</w:t>
      </w:r>
      <w:r>
        <w:t>, 126-127</w:t>
      </w:r>
      <w:r w:rsidRPr="00D5787B">
        <w:t>.</w:t>
      </w:r>
      <w:r>
        <w:fldChar w:fldCharType="end"/>
      </w:r>
    </w:p>
  </w:footnote>
  <w:footnote w:id="27">
    <w:p w14:paraId="34F78935" w14:textId="7C28B9E3" w:rsidR="000C1DA9" w:rsidRDefault="000C1DA9">
      <w:pPr>
        <w:pStyle w:val="FootnoteText"/>
      </w:pPr>
      <w:r>
        <w:rPr>
          <w:rStyle w:val="FootnoteReference"/>
        </w:rPr>
        <w:footnoteRef/>
      </w:r>
      <w:r>
        <w:t xml:space="preserve"> </w:t>
      </w:r>
      <w:r>
        <w:fldChar w:fldCharType="begin"/>
      </w:r>
      <w:r w:rsidR="006C3AB4">
        <w:instrText xml:space="preserve"> ADDIN ZOTERO_ITEM CSL_CITATION {"citationID":"PTDcr8zn","properties":{"formattedCitation":"Robert A. Peterson, {\\i{}Calvin\\uc0\\u8217{}s Doctrine of the Atonement} (Phillipsburg, N.J: Presbyterian and Reformed Pub. Co, 1983).","plainCitation":"Robert A. Peterson, Calvin’s Doctrine of the Atonement (Phillipsburg, N.J: Presbyterian and Reformed Pub. Co, 1983).","dontUpdate":true,"noteIndex":27},"citationItems":[{"id":2579,"uris":["http://zotero.org/users/7540819/items/5AE6VDJQ"],"itemData":{"id":2579,"type":"book","call-number":"BT263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sidRPr="000C1DA9">
        <w:t xml:space="preserve">Robert A. Peterson, </w:t>
      </w:r>
      <w:r w:rsidRPr="000C1DA9">
        <w:rPr>
          <w:i/>
          <w:iCs/>
        </w:rPr>
        <w:t>Calvin’s Doctrine of the Atonement</w:t>
      </w:r>
      <w:r w:rsidRPr="000C1DA9">
        <w:t xml:space="preserve"> (Phillipsburg, N.J: Presbyterian and Reformed Pub. Co, 1983)</w:t>
      </w:r>
      <w:r>
        <w:t>, 27ff</w:t>
      </w:r>
      <w:r w:rsidRPr="000C1DA9">
        <w:t>.</w:t>
      </w:r>
      <w:r>
        <w:fldChar w:fldCharType="end"/>
      </w:r>
    </w:p>
  </w:footnote>
  <w:footnote w:id="28">
    <w:p w14:paraId="427F0233" w14:textId="73EC63C7" w:rsidR="008470D6" w:rsidRDefault="008470D6">
      <w:pPr>
        <w:pStyle w:val="FootnoteText"/>
      </w:pPr>
      <w:r>
        <w:rPr>
          <w:rStyle w:val="FootnoteReference"/>
        </w:rPr>
        <w:footnoteRef/>
      </w:r>
      <w:r>
        <w:t xml:space="preserve"> </w:t>
      </w:r>
      <w:r>
        <w:fldChar w:fldCharType="begin"/>
      </w:r>
      <w:r w:rsidR="006C3AB4">
        <w:instrText xml:space="preserve"> ADDIN ZOTERO_ITEM CSL_CITATION {"citationID":"kA8rG6nf","properties":{"formattedCitation":"Peterson.","plainCitation":"Peterson.","dontUpdate":true,"noteIndex":28},"citationItems":[{"id":2579,"uris":["http://zotero.org/users/7540819/items/5AE6VDJQ"],"itemData":{"id":2579,"type":"book","call-number":"BT263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21-22.</w:t>
      </w:r>
      <w:r>
        <w:fldChar w:fldCharType="end"/>
      </w:r>
    </w:p>
  </w:footnote>
  <w:footnote w:id="29">
    <w:p w14:paraId="3E6D84AD" w14:textId="3B907127" w:rsidR="008470D6" w:rsidRDefault="008470D6">
      <w:pPr>
        <w:pStyle w:val="FootnoteText"/>
      </w:pPr>
      <w:r>
        <w:rPr>
          <w:rStyle w:val="FootnoteReference"/>
        </w:rPr>
        <w:footnoteRef/>
      </w:r>
      <w:r>
        <w:t xml:space="preserve"> </w:t>
      </w:r>
      <w:r>
        <w:fldChar w:fldCharType="begin"/>
      </w:r>
      <w:r w:rsidR="006C3AB4">
        <w:instrText xml:space="preserve"> ADDIN ZOTERO_ITEM CSL_CITATION {"citationID":"7Yraadxv","properties":{"formattedCitation":"Peterson.","plainCitation":"Peterson.","dontUpdate":true,"noteIndex":29},"citationItems":[{"id":2579,"uris":["http://zotero.org/users/7540819/items/5AE6VDJQ"],"itemData":{"id":2579,"type":"book","call-number":"BT263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22.</w:t>
      </w:r>
      <w:r>
        <w:fldChar w:fldCharType="end"/>
      </w:r>
    </w:p>
  </w:footnote>
  <w:footnote w:id="30">
    <w:p w14:paraId="6B269227" w14:textId="16F3E4CB" w:rsidR="008470D6" w:rsidRDefault="008470D6">
      <w:pPr>
        <w:pStyle w:val="FootnoteText"/>
      </w:pPr>
      <w:r>
        <w:rPr>
          <w:rStyle w:val="FootnoteReference"/>
        </w:rPr>
        <w:footnoteRef/>
      </w:r>
      <w:r>
        <w:t xml:space="preserve"> </w:t>
      </w:r>
      <w:r>
        <w:fldChar w:fldCharType="begin"/>
      </w:r>
      <w:r w:rsidR="006C3AB4">
        <w:instrText xml:space="preserve"> ADDIN ZOTERO_ITEM CSL_CITATION {"citationID":"YfWsfNDM","properties":{"formattedCitation":"Peterson.","plainCitation":"Peterson.","dontUpdate":true,"noteIndex":30},"citationItems":[{"id":2579,"uris":["http://zotero.org/users/7540819/items/5AE6VDJQ"],"itemData":{"id":2579,"type":"book","call-number":"BT263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55-63.</w:t>
      </w:r>
      <w:r>
        <w:fldChar w:fldCharType="end"/>
      </w:r>
    </w:p>
  </w:footnote>
  <w:footnote w:id="31">
    <w:p w14:paraId="591EED6F" w14:textId="61452AC9" w:rsidR="000C1DA9" w:rsidRDefault="000C1DA9" w:rsidP="000C1DA9">
      <w:pPr>
        <w:pStyle w:val="FootnoteText"/>
      </w:pPr>
      <w:r>
        <w:rPr>
          <w:rStyle w:val="FootnoteReference"/>
        </w:rPr>
        <w:footnoteRef/>
      </w:r>
      <w:r>
        <w:t xml:space="preserve"> </w:t>
      </w:r>
      <w:r>
        <w:fldChar w:fldCharType="begin"/>
      </w:r>
      <w:r w:rsidR="006C3AB4">
        <w:instrText xml:space="preserve"> ADDIN ZOTERO_ITEM CSL_CITATION {"citationID":"gAzaZqG6","properties":{"formattedCitation":"Peterson.","plainCitation":"Peterson.","dontUpdate":true,"noteIndex":31},"citationItems":[{"id":2579,"uris":["http://zotero.org/users/7540819/items/5AE6VDJQ"],"itemData":{"id":2579,"type":"book","call-number":"BT263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83-85.</w:t>
      </w:r>
      <w:r>
        <w:fldChar w:fldCharType="end"/>
      </w:r>
    </w:p>
  </w:footnote>
  <w:footnote w:id="32">
    <w:p w14:paraId="242E0A58" w14:textId="1AEDC878" w:rsidR="008470D6" w:rsidRDefault="008470D6">
      <w:pPr>
        <w:pStyle w:val="FootnoteText"/>
      </w:pPr>
      <w:r>
        <w:rPr>
          <w:rStyle w:val="FootnoteReference"/>
        </w:rPr>
        <w:footnoteRef/>
      </w:r>
      <w:r>
        <w:t xml:space="preserve"> </w:t>
      </w:r>
      <w:r>
        <w:fldChar w:fldCharType="begin"/>
      </w:r>
      <w:r w:rsidR="006C3AB4">
        <w:instrText xml:space="preserve"> ADDIN ZOTERO_ITEM CSL_CITATION {"citationID":"H6KoPOet","properties":{"formattedCitation":"Peterson.","plainCitation":"Peterson.","dontUpdate":true,"noteIndex":32},"citationItems":[{"id":2579,"uris":["http://zotero.org/users/7540819/items/5AE6VDJQ"],"itemData":{"id":2579,"type":"book","call-number":"BT263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83.</w:t>
      </w:r>
      <w:r>
        <w:fldChar w:fldCharType="end"/>
      </w:r>
    </w:p>
  </w:footnote>
  <w:footnote w:id="33">
    <w:p w14:paraId="6143B263" w14:textId="362E658D" w:rsidR="00F558A9" w:rsidRDefault="00F558A9">
      <w:pPr>
        <w:pStyle w:val="FootnoteText"/>
      </w:pPr>
      <w:r>
        <w:rPr>
          <w:rStyle w:val="FootnoteReference"/>
        </w:rPr>
        <w:footnoteRef/>
      </w:r>
      <w:r>
        <w:t xml:space="preserve"> </w:t>
      </w:r>
      <w:r>
        <w:fldChar w:fldCharType="begin"/>
      </w:r>
      <w:r w:rsidR="006C3AB4">
        <w:instrText xml:space="preserve"> ADDIN ZOTERO_ITEM CSL_CITATION {"citationID":"aFzPIC0l","properties":{"formattedCitation":"\\uc0\\u8216{}Cur Deus Homo by R.C. Sproul\\uc0\\u8217{}, {\\i{}Ligonier Ministries} &lt;https://www.ligonier.org/learn/articles/cur-deus-homo&gt; [accessed 16 March 2023].","plainCitation":"‘Cur Deus Homo by R.C. Sproul’, Ligonier Ministries &lt;https://www.ligonier.org/learn/articles/cur-deus-homo&gt; [accessed 16 March 2023].","noteIndex":33},"citationItems":[{"id":2488,"uris":["http://zotero.org/users/7540819/items/M9JKJ656"],"itemData":{"id":2488,"type":"webpage","abstract":"In the eleventh century, one of the church’s most brilliant thinkers, Anselm, archbishop of Canterbury, wrote three important works that have influenced the chu","container-title":"Ligonier Ministries","language":"en-US","title":"Cur Deus Homo by R.C. Sproul","URL":"https://www.ligonier.org/learn/articles/cur-deus-homo","accessed":{"date-parts":[["2023",3,16]]}}}],"schema":"https://github.com/citation-style-language/schema/raw/master/csl-citation.json"} </w:instrText>
      </w:r>
      <w:r>
        <w:fldChar w:fldCharType="separate"/>
      </w:r>
      <w:r w:rsidRPr="00F558A9">
        <w:t xml:space="preserve">‘Cur Deus Homo by R.C. Sproul’, </w:t>
      </w:r>
      <w:r w:rsidRPr="00F558A9">
        <w:rPr>
          <w:i/>
          <w:iCs/>
        </w:rPr>
        <w:t>Ligonier Ministries</w:t>
      </w:r>
      <w:r w:rsidRPr="00F558A9">
        <w:t xml:space="preserve"> &lt;https://www.ligonier.org/learn/articles/cur-deus-homo&gt; [accessed 16 March 2023].</w:t>
      </w:r>
      <w:r>
        <w:fldChar w:fldCharType="end"/>
      </w:r>
    </w:p>
  </w:footnote>
  <w:footnote w:id="34">
    <w:p w14:paraId="0C4725BE" w14:textId="08A443B7" w:rsidR="00A64B62" w:rsidRPr="003A729C" w:rsidRDefault="00A64B62" w:rsidP="00A64B62">
      <w:pPr>
        <w:pStyle w:val="FootnoteText"/>
        <w:rPr>
          <w:lang w:val="en-GB"/>
        </w:rPr>
      </w:pPr>
      <w:r>
        <w:rPr>
          <w:rStyle w:val="FootnoteReference"/>
        </w:rPr>
        <w:footnoteRef/>
      </w:r>
      <w:r>
        <w:t xml:space="preserve"> </w:t>
      </w:r>
      <w:r>
        <w:fldChar w:fldCharType="begin"/>
      </w:r>
      <w:r w:rsidR="006C3AB4">
        <w:instrText xml:space="preserve"> ADDIN ZOTERO_ITEM CSL_CITATION {"citationID":"vI0bZYLl","properties":{"formattedCitation":"{\\i{}The Trinity and an Entangled World: Relationality in Physical Science and Theology}, ed. by J. C. Polkinghorne (Grand Rapids, Mich: Wm. B. Eerdmans Pub, 2010).","plainCitation":"The Trinity and an Entangled World: Relationality in Physical Science and Theology, ed. by J. C. Polkinghorne (Grand Rapids, Mich: Wm. B. Eerdmans Pub, 2010).","noteIndex":34},"citationItems":[{"id":2588,"uris":["http://zotero.org/users/7540819/items/DTD9QV9X"],"itemData":{"id":2588,"type":"book","call-number":"BL240.3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sidRPr="003A729C">
        <w:rPr>
          <w:i/>
          <w:iCs/>
        </w:rPr>
        <w:t>The Trinity and an Entangled World: Relationality in Physical Science and Theology</w:t>
      </w:r>
      <w:r w:rsidRPr="003A729C">
        <w:t>, ed. by J. C. Polkinghorne (Grand Rapids, Mich: Wm. B. Eerdmans Pub, 2010).</w:t>
      </w:r>
      <w:r>
        <w:fldChar w:fldCharType="end"/>
      </w:r>
    </w:p>
  </w:footnote>
  <w:footnote w:id="35">
    <w:p w14:paraId="3FEC37C6" w14:textId="78FF51EF" w:rsidR="00A61A82" w:rsidRPr="00A61A82" w:rsidRDefault="00A61A82">
      <w:pPr>
        <w:pStyle w:val="FootnoteText"/>
        <w:rPr>
          <w:lang w:val="en-GB"/>
        </w:rPr>
      </w:pPr>
      <w:r>
        <w:rPr>
          <w:rStyle w:val="FootnoteReference"/>
        </w:rPr>
        <w:footnoteRef/>
      </w:r>
      <w:r>
        <w:t xml:space="preserve"> </w:t>
      </w:r>
      <w:r>
        <w:fldChar w:fldCharType="begin"/>
      </w:r>
      <w:r>
        <w:instrText xml:space="preserve"> ADDIN ZOTERO_ITEM CSL_CITATION {"citationID":"FdTU903J","properties":{"formattedCitation":"Polkinghorne.","plainCitation":"Polkinghorne.","noteIndex":35},"citationItems":[{"id":2588,"uris":["http://zotero.org/users/7540819/items/DTD9QV9X"],"itemData":{"id":2588,"type":"book","call-number":"BL240.3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12.</w:t>
      </w:r>
      <w:r>
        <w:fldChar w:fldCharType="end"/>
      </w:r>
    </w:p>
  </w:footnote>
  <w:footnote w:id="36">
    <w:p w14:paraId="71CBAA92" w14:textId="0353EE4B" w:rsidR="003A729C" w:rsidRPr="003A729C" w:rsidRDefault="003A729C">
      <w:pPr>
        <w:pStyle w:val="FootnoteText"/>
        <w:rPr>
          <w:lang w:val="en-GB"/>
        </w:rPr>
      </w:pPr>
      <w:r>
        <w:rPr>
          <w:rStyle w:val="FootnoteReference"/>
        </w:rPr>
        <w:footnoteRef/>
      </w:r>
      <w:r>
        <w:t xml:space="preserve"> </w:t>
      </w:r>
      <w:r>
        <w:fldChar w:fldCharType="begin"/>
      </w:r>
      <w:r w:rsidR="006C3AB4">
        <w:instrText xml:space="preserve"> ADDIN ZOTERO_ITEM CSL_CITATION {"citationID":"5ESimd4o","properties":{"formattedCitation":"Polkinghorne.","plainCitation":"Polkinghorne.","dontUpdate":true,"noteIndex":35},"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vii.</w:t>
      </w:r>
      <w:r>
        <w:fldChar w:fldCharType="end"/>
      </w:r>
    </w:p>
  </w:footnote>
  <w:footnote w:id="37">
    <w:p w14:paraId="45E2C531" w14:textId="208971EF" w:rsidR="00010B86" w:rsidRPr="00010B86" w:rsidRDefault="00010B86">
      <w:pPr>
        <w:pStyle w:val="FootnoteText"/>
        <w:rPr>
          <w:lang w:val="en-GB"/>
        </w:rPr>
      </w:pPr>
      <w:r>
        <w:rPr>
          <w:rStyle w:val="FootnoteReference"/>
        </w:rPr>
        <w:footnoteRef/>
      </w:r>
      <w:r>
        <w:t xml:space="preserve"> </w:t>
      </w:r>
      <w:r>
        <w:fldChar w:fldCharType="begin"/>
      </w:r>
      <w:r w:rsidR="006C3AB4">
        <w:instrText xml:space="preserve"> ADDIN ZOTERO_ITEM CSL_CITATION {"citationID":"vKirEoCQ","properties":{"formattedCitation":"Polkinghorne.","plainCitation":"Polkinghorne.","dontUpdate":true,"noteIndex":36},"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viii.</w:t>
      </w:r>
      <w:r>
        <w:fldChar w:fldCharType="end"/>
      </w:r>
    </w:p>
  </w:footnote>
  <w:footnote w:id="38">
    <w:p w14:paraId="615C3755" w14:textId="638A1C5E" w:rsidR="003A729C" w:rsidRPr="006C49E7" w:rsidRDefault="003A729C" w:rsidP="003A729C">
      <w:pPr>
        <w:pStyle w:val="FootnoteText"/>
        <w:rPr>
          <w:lang w:val="en-GB"/>
        </w:rPr>
      </w:pPr>
      <w:r>
        <w:rPr>
          <w:rStyle w:val="FootnoteReference"/>
        </w:rPr>
        <w:footnoteRef/>
      </w:r>
      <w:r>
        <w:t xml:space="preserve"> Lewis Ayres and John </w:t>
      </w:r>
      <w:proofErr w:type="spellStart"/>
      <w:r>
        <w:t>Zizioulas</w:t>
      </w:r>
      <w:proofErr w:type="spellEnd"/>
      <w:r>
        <w:t xml:space="preserve"> in </w:t>
      </w:r>
      <w:r>
        <w:fldChar w:fldCharType="begin"/>
      </w:r>
      <w:r w:rsidR="006C3AB4">
        <w:instrText xml:space="preserve"> ADDIN ZOTERO_ITEM CSL_CITATION {"citationID":"2DJe4X0V","properties":{"formattedCitation":"Polkinghorne.","plainCitation":"Polkinghorne.","dontUpdate":true,"noteIndex":37},"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ix, 130-156.</w:t>
      </w:r>
      <w:r>
        <w:fldChar w:fldCharType="end"/>
      </w:r>
    </w:p>
  </w:footnote>
  <w:footnote w:id="39">
    <w:p w14:paraId="2B879585" w14:textId="1BB7AC96" w:rsidR="003A729C" w:rsidRPr="00375943" w:rsidRDefault="003A729C" w:rsidP="003A729C">
      <w:pPr>
        <w:pStyle w:val="FootnoteText"/>
        <w:rPr>
          <w:lang w:val="en-GB"/>
        </w:rPr>
      </w:pPr>
      <w:r>
        <w:rPr>
          <w:rStyle w:val="FootnoteReference"/>
        </w:rPr>
        <w:footnoteRef/>
      </w:r>
      <w:r>
        <w:t xml:space="preserve"> Michael Welker and David Martin in </w:t>
      </w:r>
      <w:r>
        <w:fldChar w:fldCharType="begin"/>
      </w:r>
      <w:r w:rsidR="006C3AB4">
        <w:instrText xml:space="preserve"> ADDIN ZOTERO_ITEM CSL_CITATION {"citationID":"kncCaeFB","properties":{"formattedCitation":"Polkinghorne.","plainCitation":"Polkinghorne.","dontUpdate":true,"noteIndex":38},"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ix, 157-183.</w:t>
      </w:r>
      <w:r>
        <w:fldChar w:fldCharType="end"/>
      </w:r>
    </w:p>
  </w:footnote>
  <w:footnote w:id="40">
    <w:p w14:paraId="10100204" w14:textId="0A997E8B" w:rsidR="00A64B62" w:rsidRPr="00A64B62" w:rsidRDefault="00A64B62">
      <w:pPr>
        <w:pStyle w:val="FootnoteText"/>
        <w:rPr>
          <w:lang w:val="en-GB"/>
        </w:rPr>
      </w:pPr>
      <w:r>
        <w:rPr>
          <w:rStyle w:val="FootnoteReference"/>
        </w:rPr>
        <w:footnoteRef/>
      </w:r>
      <w:r>
        <w:t xml:space="preserve"> </w:t>
      </w:r>
      <w:r w:rsidR="009C0EA1">
        <w:t xml:space="preserve">Sarah Coakley in </w:t>
      </w:r>
      <w:r>
        <w:fldChar w:fldCharType="begin"/>
      </w:r>
      <w:r w:rsidR="006C3AB4">
        <w:instrText xml:space="preserve"> ADDIN ZOTERO_ITEM CSL_CITATION {"citationID":"pP559zEU","properties":{"formattedCitation":"Polkinghorne.","plainCitation":"Polkinghorne.","dontUpdate":true,"noteIndex":39},"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184-199.</w:t>
      </w:r>
      <w:r>
        <w:fldChar w:fldCharType="end"/>
      </w:r>
    </w:p>
  </w:footnote>
  <w:footnote w:id="41">
    <w:p w14:paraId="48A2DFD3" w14:textId="316CD71D" w:rsidR="00BA624C" w:rsidRPr="00BA624C" w:rsidRDefault="00BA624C">
      <w:pPr>
        <w:pStyle w:val="FootnoteText"/>
        <w:rPr>
          <w:lang w:val="en-GB"/>
        </w:rPr>
      </w:pPr>
      <w:r>
        <w:rPr>
          <w:rStyle w:val="FootnoteReference"/>
        </w:rPr>
        <w:footnoteRef/>
      </w:r>
      <w:r>
        <w:t xml:space="preserve"> </w:t>
      </w:r>
      <w:r w:rsidR="009C0EA1">
        <w:t xml:space="preserve">Sarah Coakley in </w:t>
      </w:r>
      <w:r>
        <w:fldChar w:fldCharType="begin"/>
      </w:r>
      <w:r w:rsidR="006C3AB4">
        <w:instrText xml:space="preserve"> ADDIN ZOTERO_ITEM CSL_CITATION {"citationID":"QMPBSVRr","properties":{"formattedCitation":"Polkinghorne.","plainCitation":"Polkinghorne.","dontUpdate":true,"noteIndex":40},"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191.</w:t>
      </w:r>
      <w:r>
        <w:fldChar w:fldCharType="end"/>
      </w:r>
    </w:p>
  </w:footnote>
  <w:footnote w:id="42">
    <w:p w14:paraId="0860B4BE" w14:textId="0B610B80" w:rsidR="00BA624C" w:rsidRDefault="00BA624C" w:rsidP="00BA624C">
      <w:pPr>
        <w:pStyle w:val="FootnoteText"/>
      </w:pPr>
      <w:r>
        <w:rPr>
          <w:rStyle w:val="FootnoteReference"/>
        </w:rPr>
        <w:footnoteRef/>
      </w:r>
      <w:r>
        <w:t xml:space="preserve"> Sarah Coakley in </w:t>
      </w:r>
      <w:r>
        <w:fldChar w:fldCharType="begin"/>
      </w:r>
      <w:r w:rsidR="006C3AB4">
        <w:instrText xml:space="preserve"> ADDIN ZOTERO_ITEM CSL_CITATION {"citationID":"OlGfLP4G","properties":{"formattedCitation":"Polkinghorne.","plainCitation":"Polkinghorne.","dontUpdate":true,"noteIndex":41},"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192.</w:t>
      </w:r>
      <w:r>
        <w:fldChar w:fldCharType="end"/>
      </w:r>
    </w:p>
  </w:footnote>
  <w:footnote w:id="43">
    <w:p w14:paraId="3AF7D0F7" w14:textId="5D4FB4ED" w:rsidR="00142694" w:rsidRDefault="00142694" w:rsidP="00142694">
      <w:pPr>
        <w:pStyle w:val="FootnoteText"/>
      </w:pPr>
      <w:r w:rsidRPr="00870CAF">
        <w:rPr>
          <w:rStyle w:val="FootnoteReference"/>
        </w:rPr>
        <w:footnoteRef/>
      </w:r>
      <w:r>
        <w:t xml:space="preserve"> </w:t>
      </w:r>
      <w:r w:rsidR="009C0EA1">
        <w:t xml:space="preserve">Sarah Coakley in </w:t>
      </w:r>
      <w:r>
        <w:fldChar w:fldCharType="begin"/>
      </w:r>
      <w:r w:rsidR="006C3AB4">
        <w:instrText xml:space="preserve"> ADDIN ZOTERO_ITEM CSL_CITATION {"citationID":"FH0Tgt44","properties":{"formattedCitation":"Polkinghorne.","plainCitation":"Polkinghorne.","dontUpdate":true,"noteIndex":42},"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198-199</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981A" w14:textId="24962285" w:rsidR="00E57353" w:rsidRDefault="00000000">
    <w:pPr>
      <w:pStyle w:val="BodyA"/>
    </w:pPr>
    <w:r>
      <w:t>HPRS7021 The Doctrine of the Trinity Text Analysis 2</w:t>
    </w:r>
    <w:r>
      <w:tab/>
    </w:r>
    <w:r>
      <w:tab/>
    </w:r>
    <w:r>
      <w:tab/>
      <w:t>Douglas Spenceley</w:t>
    </w:r>
  </w:p>
  <w:p w14:paraId="6EBBCF92" w14:textId="77777777" w:rsidR="00E57353" w:rsidRDefault="00000000">
    <w:pPr>
      <w:pStyle w:val="BodyA"/>
      <w:jc w:val="right"/>
    </w:pPr>
    <w:r>
      <w:t>Student ID: 2026303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73F4"/>
    <w:multiLevelType w:val="hybridMultilevel"/>
    <w:tmpl w:val="97DA3234"/>
    <w:numStyleLink w:val="ImportedStyle2"/>
  </w:abstractNum>
  <w:abstractNum w:abstractNumId="1" w15:restartNumberingAfterBreak="0">
    <w:nsid w:val="1C132C30"/>
    <w:multiLevelType w:val="hybridMultilevel"/>
    <w:tmpl w:val="104E0104"/>
    <w:numStyleLink w:val="ImportedStyle1"/>
  </w:abstractNum>
  <w:abstractNum w:abstractNumId="2" w15:restartNumberingAfterBreak="0">
    <w:nsid w:val="2B0D5DFC"/>
    <w:multiLevelType w:val="hybridMultilevel"/>
    <w:tmpl w:val="0E4AA226"/>
    <w:numStyleLink w:val="ImportedStyle3"/>
  </w:abstractNum>
  <w:abstractNum w:abstractNumId="3" w15:restartNumberingAfterBreak="0">
    <w:nsid w:val="44B21DD4"/>
    <w:multiLevelType w:val="hybridMultilevel"/>
    <w:tmpl w:val="104E0104"/>
    <w:styleLink w:val="ImportedStyle1"/>
    <w:lvl w:ilvl="0" w:tplc="502E7E0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30D36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53AA5F6">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4B123F7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EC68F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A4A047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E564D0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4AAC1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828B88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5A460CE"/>
    <w:multiLevelType w:val="hybridMultilevel"/>
    <w:tmpl w:val="0E4AA226"/>
    <w:styleLink w:val="ImportedStyle3"/>
    <w:lvl w:ilvl="0" w:tplc="133C668C">
      <w:start w:val="1"/>
      <w:numFmt w:val="decimal"/>
      <w:lvlText w:val="%1."/>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2AC3146">
      <w:start w:val="1"/>
      <w:numFmt w:val="lowerLetter"/>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2A29978">
      <w:start w:val="1"/>
      <w:numFmt w:val="lowerRoman"/>
      <w:lvlText w:val="%3."/>
      <w:lvlJc w:val="left"/>
      <w:pPr>
        <w:ind w:left="1800" w:hanging="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8520AC2">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49E3A7A">
      <w:start w:val="1"/>
      <w:numFmt w:val="lowerLetter"/>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51E99F8">
      <w:start w:val="1"/>
      <w:numFmt w:val="lowerRoman"/>
      <w:lvlText w:val="%6."/>
      <w:lvlJc w:val="left"/>
      <w:pPr>
        <w:ind w:left="3960" w:hanging="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5F22F90">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9083CA6">
      <w:start w:val="1"/>
      <w:numFmt w:val="lowerLetter"/>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FC84E596">
      <w:start w:val="1"/>
      <w:numFmt w:val="lowerRoman"/>
      <w:lvlText w:val="%9."/>
      <w:lvlJc w:val="left"/>
      <w:pPr>
        <w:ind w:left="6120" w:hanging="30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4700057D"/>
    <w:multiLevelType w:val="hybridMultilevel"/>
    <w:tmpl w:val="97DA3234"/>
    <w:styleLink w:val="ImportedStyle2"/>
    <w:lvl w:ilvl="0" w:tplc="41908E7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589B46">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ABC449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AC26C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2C8AB06">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5CC98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6D0521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89E8B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30253E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2CA6805"/>
    <w:multiLevelType w:val="hybridMultilevel"/>
    <w:tmpl w:val="CD50FA78"/>
    <w:styleLink w:val="ImportedStyle4"/>
    <w:lvl w:ilvl="0" w:tplc="5486ECF6">
      <w:start w:val="1"/>
      <w:numFmt w:val="lowerLetter"/>
      <w:lvlText w:val="%1)"/>
      <w:lvlJc w:val="left"/>
      <w:pPr>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4EEAFB26">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AD5E6C04">
      <w:start w:val="1"/>
      <w:numFmt w:val="lowerRoman"/>
      <w:lvlText w:val="%3."/>
      <w:lvlJc w:val="left"/>
      <w:pPr>
        <w:ind w:left="2160" w:hanging="30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67D23D94">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AD04E82C">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6966C75A">
      <w:start w:val="1"/>
      <w:numFmt w:val="lowerRoman"/>
      <w:lvlText w:val="%6."/>
      <w:lvlJc w:val="left"/>
      <w:pPr>
        <w:ind w:left="4320" w:hanging="30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45589554">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320C7C84">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65A6031E">
      <w:start w:val="1"/>
      <w:numFmt w:val="lowerRoman"/>
      <w:lvlText w:val="%9."/>
      <w:lvlJc w:val="left"/>
      <w:pPr>
        <w:ind w:left="6480" w:hanging="30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6FDB6971"/>
    <w:multiLevelType w:val="hybridMultilevel"/>
    <w:tmpl w:val="CD50FA78"/>
    <w:numStyleLink w:val="ImportedStyle4"/>
  </w:abstractNum>
  <w:num w:numId="1" w16cid:durableId="1424565216">
    <w:abstractNumId w:val="3"/>
  </w:num>
  <w:num w:numId="2" w16cid:durableId="152068022">
    <w:abstractNumId w:val="1"/>
  </w:num>
  <w:num w:numId="3" w16cid:durableId="167015822">
    <w:abstractNumId w:val="5"/>
  </w:num>
  <w:num w:numId="4" w16cid:durableId="226457749">
    <w:abstractNumId w:val="0"/>
  </w:num>
  <w:num w:numId="5" w16cid:durableId="1130633794">
    <w:abstractNumId w:val="4"/>
  </w:num>
  <w:num w:numId="6" w16cid:durableId="2071607848">
    <w:abstractNumId w:val="2"/>
  </w:num>
  <w:num w:numId="7" w16cid:durableId="1638728920">
    <w:abstractNumId w:val="6"/>
  </w:num>
  <w:num w:numId="8" w16cid:durableId="2096585398">
    <w:abstractNumId w:val="7"/>
  </w:num>
  <w:num w:numId="9" w16cid:durableId="1146356188">
    <w:abstractNumId w:val="0"/>
    <w:lvlOverride w:ilvl="0">
      <w:lvl w:ilvl="0" w:tplc="490E235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9545D7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0F45E22">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F660ED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16AD33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570A3C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026677E">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C68C1D8">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C9A4BF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16cid:durableId="1306277547">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AC1"/>
    <w:rsid w:val="00010B86"/>
    <w:rsid w:val="00050293"/>
    <w:rsid w:val="00083D7F"/>
    <w:rsid w:val="000C1DA9"/>
    <w:rsid w:val="00100952"/>
    <w:rsid w:val="001338FB"/>
    <w:rsid w:val="00142694"/>
    <w:rsid w:val="00144C5B"/>
    <w:rsid w:val="001530D1"/>
    <w:rsid w:val="00163D9C"/>
    <w:rsid w:val="00180AC1"/>
    <w:rsid w:val="00203356"/>
    <w:rsid w:val="002043D1"/>
    <w:rsid w:val="00237A88"/>
    <w:rsid w:val="002A0389"/>
    <w:rsid w:val="002A70D7"/>
    <w:rsid w:val="002B40D9"/>
    <w:rsid w:val="002C5B51"/>
    <w:rsid w:val="00313156"/>
    <w:rsid w:val="00330F28"/>
    <w:rsid w:val="00353B85"/>
    <w:rsid w:val="00375943"/>
    <w:rsid w:val="003A729C"/>
    <w:rsid w:val="003C056C"/>
    <w:rsid w:val="0042141E"/>
    <w:rsid w:val="00474DAA"/>
    <w:rsid w:val="004832C3"/>
    <w:rsid w:val="004A0FE7"/>
    <w:rsid w:val="004A7D65"/>
    <w:rsid w:val="004B6EE5"/>
    <w:rsid w:val="004E603C"/>
    <w:rsid w:val="00500ADC"/>
    <w:rsid w:val="005271E4"/>
    <w:rsid w:val="0056732F"/>
    <w:rsid w:val="005729FD"/>
    <w:rsid w:val="005C2950"/>
    <w:rsid w:val="005F6A2F"/>
    <w:rsid w:val="00600101"/>
    <w:rsid w:val="00651297"/>
    <w:rsid w:val="00670657"/>
    <w:rsid w:val="00677979"/>
    <w:rsid w:val="00687159"/>
    <w:rsid w:val="006C3AB4"/>
    <w:rsid w:val="006C49E7"/>
    <w:rsid w:val="00753612"/>
    <w:rsid w:val="0076006F"/>
    <w:rsid w:val="00785E9E"/>
    <w:rsid w:val="00795C4A"/>
    <w:rsid w:val="00797A37"/>
    <w:rsid w:val="007B04CD"/>
    <w:rsid w:val="007C566E"/>
    <w:rsid w:val="007E6CB6"/>
    <w:rsid w:val="00820526"/>
    <w:rsid w:val="008470D6"/>
    <w:rsid w:val="00875190"/>
    <w:rsid w:val="00890598"/>
    <w:rsid w:val="008A7B39"/>
    <w:rsid w:val="008C47F4"/>
    <w:rsid w:val="008D56DA"/>
    <w:rsid w:val="008F6438"/>
    <w:rsid w:val="00901BFE"/>
    <w:rsid w:val="00916E4F"/>
    <w:rsid w:val="00931B67"/>
    <w:rsid w:val="00933844"/>
    <w:rsid w:val="00954FBE"/>
    <w:rsid w:val="009751C2"/>
    <w:rsid w:val="009B2BB0"/>
    <w:rsid w:val="009C0EA1"/>
    <w:rsid w:val="009E5562"/>
    <w:rsid w:val="00A4696D"/>
    <w:rsid w:val="00A61A82"/>
    <w:rsid w:val="00A64B62"/>
    <w:rsid w:val="00A92C82"/>
    <w:rsid w:val="00AF68EC"/>
    <w:rsid w:val="00B629CA"/>
    <w:rsid w:val="00B72262"/>
    <w:rsid w:val="00BA624C"/>
    <w:rsid w:val="00BF2437"/>
    <w:rsid w:val="00BF4086"/>
    <w:rsid w:val="00C3588D"/>
    <w:rsid w:val="00CC1A03"/>
    <w:rsid w:val="00CE3554"/>
    <w:rsid w:val="00CF5868"/>
    <w:rsid w:val="00D0497B"/>
    <w:rsid w:val="00D04F28"/>
    <w:rsid w:val="00D07979"/>
    <w:rsid w:val="00D44D63"/>
    <w:rsid w:val="00D543D0"/>
    <w:rsid w:val="00D5787B"/>
    <w:rsid w:val="00DA40A9"/>
    <w:rsid w:val="00DD18FA"/>
    <w:rsid w:val="00E11837"/>
    <w:rsid w:val="00E21AB2"/>
    <w:rsid w:val="00E63FE8"/>
    <w:rsid w:val="00EB7F41"/>
    <w:rsid w:val="00EE701B"/>
    <w:rsid w:val="00F22789"/>
    <w:rsid w:val="00F4187E"/>
    <w:rsid w:val="00F558A9"/>
    <w:rsid w:val="00F56C4A"/>
    <w:rsid w:val="00F81DB6"/>
    <w:rsid w:val="00FA2947"/>
    <w:rsid w:val="00FF6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E4DF4F2"/>
  <w15:chartTrackingRefBased/>
  <w15:docId w15:val="{9A2622A8-9967-1245-821E-0F16B234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AC1"/>
    <w:pPr>
      <w:pBdr>
        <w:top w:val="nil"/>
        <w:left w:val="nil"/>
        <w:bottom w:val="nil"/>
        <w:right w:val="nil"/>
        <w:between w:val="nil"/>
        <w:bar w:val="nil"/>
      </w:pBdr>
    </w:pPr>
    <w:rPr>
      <w:rFonts w:ascii="Times New Roman" w:eastAsia="Arial Unicode MS" w:hAnsi="Times New Roman" w:cs="Times New Roman"/>
      <w:kern w:val="0"/>
      <w:bdr w:val="nil"/>
      <w14:ligatures w14:val="none"/>
    </w:rPr>
  </w:style>
  <w:style w:type="paragraph" w:styleId="Heading1">
    <w:name w:val="heading 1"/>
    <w:basedOn w:val="Normal"/>
    <w:next w:val="Normal"/>
    <w:link w:val="Heading1Char"/>
    <w:uiPriority w:val="9"/>
    <w:qFormat/>
    <w:rsid w:val="00D543D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180AC1"/>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14:ligatures w14:val="none"/>
    </w:rPr>
  </w:style>
  <w:style w:type="paragraph" w:styleId="Footer">
    <w:name w:val="footer"/>
    <w:link w:val="FooterChar"/>
    <w:rsid w:val="00180AC1"/>
    <w:pPr>
      <w:pBdr>
        <w:top w:val="nil"/>
        <w:left w:val="nil"/>
        <w:bottom w:val="nil"/>
        <w:right w:val="nil"/>
        <w:between w:val="nil"/>
        <w:bar w:val="nil"/>
      </w:pBdr>
      <w:tabs>
        <w:tab w:val="center" w:pos="4680"/>
        <w:tab w:val="right" w:pos="9360"/>
      </w:tabs>
    </w:pPr>
    <w:rPr>
      <w:rFonts w:ascii="Calibri" w:eastAsia="Arial Unicode MS" w:hAnsi="Calibri" w:cs="Arial Unicode MS"/>
      <w:color w:val="000000"/>
      <w:u w:color="000000"/>
      <w:bdr w:val="nil"/>
      <w:lang w:val="en-US" w:eastAsia="en-GB"/>
      <w14:ligatures w14:val="none"/>
    </w:rPr>
  </w:style>
  <w:style w:type="character" w:customStyle="1" w:styleId="FooterChar">
    <w:name w:val="Footer Char"/>
    <w:basedOn w:val="DefaultParagraphFont"/>
    <w:link w:val="Footer"/>
    <w:rsid w:val="00180AC1"/>
    <w:rPr>
      <w:rFonts w:ascii="Calibri" w:eastAsia="Arial Unicode MS" w:hAnsi="Calibri" w:cs="Arial Unicode MS"/>
      <w:color w:val="000000"/>
      <w:u w:color="000000"/>
      <w:bdr w:val="nil"/>
      <w:lang w:val="en-US" w:eastAsia="en-GB"/>
      <w14:ligatures w14:val="none"/>
    </w:rPr>
  </w:style>
  <w:style w:type="paragraph" w:styleId="NormalWeb">
    <w:name w:val="Normal (Web)"/>
    <w:uiPriority w:val="99"/>
    <w:rsid w:val="00180AC1"/>
    <w:pPr>
      <w:pBdr>
        <w:top w:val="nil"/>
        <w:left w:val="nil"/>
        <w:bottom w:val="nil"/>
        <w:right w:val="nil"/>
        <w:between w:val="nil"/>
        <w:bar w:val="nil"/>
      </w:pBdr>
      <w:spacing w:before="100" w:after="100"/>
    </w:pPr>
    <w:rPr>
      <w:rFonts w:ascii="Times New Roman" w:eastAsia="Arial Unicode MS" w:hAnsi="Times New Roman" w:cs="Arial Unicode MS"/>
      <w:color w:val="000000"/>
      <w:kern w:val="0"/>
      <w:u w:color="000000"/>
      <w:bdr w:val="nil"/>
      <w:lang w:val="en-US" w:eastAsia="en-GB"/>
      <w14:ligatures w14:val="none"/>
    </w:rPr>
  </w:style>
  <w:style w:type="paragraph" w:styleId="ListParagraph">
    <w:name w:val="List Paragraph"/>
    <w:rsid w:val="00180AC1"/>
    <w:pPr>
      <w:pBdr>
        <w:top w:val="nil"/>
        <w:left w:val="nil"/>
        <w:bottom w:val="nil"/>
        <w:right w:val="nil"/>
        <w:between w:val="nil"/>
        <w:bar w:val="nil"/>
      </w:pBdr>
      <w:ind w:left="720"/>
    </w:pPr>
    <w:rPr>
      <w:rFonts w:ascii="Calibri" w:eastAsia="Arial Unicode MS" w:hAnsi="Calibri" w:cs="Arial Unicode MS"/>
      <w:color w:val="000000"/>
      <w:u w:color="000000"/>
      <w:bdr w:val="nil"/>
      <w:lang w:val="en-US" w:eastAsia="en-GB"/>
      <w14:ligatures w14:val="none"/>
    </w:rPr>
  </w:style>
  <w:style w:type="numbering" w:customStyle="1" w:styleId="ImportedStyle1">
    <w:name w:val="Imported Style 1"/>
    <w:rsid w:val="00180AC1"/>
    <w:pPr>
      <w:numPr>
        <w:numId w:val="1"/>
      </w:numPr>
    </w:pPr>
  </w:style>
  <w:style w:type="paragraph" w:styleId="FootnoteText">
    <w:name w:val="footnote text"/>
    <w:link w:val="FootnoteTextChar"/>
    <w:uiPriority w:val="99"/>
    <w:rsid w:val="00180AC1"/>
    <w:pPr>
      <w:pBdr>
        <w:top w:val="nil"/>
        <w:left w:val="nil"/>
        <w:bottom w:val="nil"/>
        <w:right w:val="nil"/>
        <w:between w:val="nil"/>
        <w:bar w:val="nil"/>
      </w:pBdr>
    </w:pPr>
    <w:rPr>
      <w:rFonts w:ascii="Calibri" w:eastAsia="Calibri" w:hAnsi="Calibri" w:cs="Calibri"/>
      <w:color w:val="000000"/>
      <w:sz w:val="20"/>
      <w:szCs w:val="20"/>
      <w:u w:color="000000"/>
      <w:bdr w:val="nil"/>
      <w:lang w:val="en-US" w:eastAsia="en-GB"/>
      <w14:ligatures w14:val="none"/>
    </w:rPr>
  </w:style>
  <w:style w:type="character" w:customStyle="1" w:styleId="FootnoteTextChar">
    <w:name w:val="Footnote Text Char"/>
    <w:basedOn w:val="DefaultParagraphFont"/>
    <w:link w:val="FootnoteText"/>
    <w:uiPriority w:val="99"/>
    <w:rsid w:val="00180AC1"/>
    <w:rPr>
      <w:rFonts w:ascii="Calibri" w:eastAsia="Calibri" w:hAnsi="Calibri" w:cs="Calibri"/>
      <w:color w:val="000000"/>
      <w:sz w:val="20"/>
      <w:szCs w:val="20"/>
      <w:u w:color="000000"/>
      <w:bdr w:val="nil"/>
      <w:lang w:val="en-US" w:eastAsia="en-GB"/>
      <w14:ligatures w14:val="none"/>
    </w:rPr>
  </w:style>
  <w:style w:type="numbering" w:customStyle="1" w:styleId="ImportedStyle2">
    <w:name w:val="Imported Style 2"/>
    <w:rsid w:val="00180AC1"/>
    <w:pPr>
      <w:numPr>
        <w:numId w:val="3"/>
      </w:numPr>
    </w:pPr>
  </w:style>
  <w:style w:type="numbering" w:customStyle="1" w:styleId="ImportedStyle3">
    <w:name w:val="Imported Style 3"/>
    <w:rsid w:val="00180AC1"/>
    <w:pPr>
      <w:numPr>
        <w:numId w:val="5"/>
      </w:numPr>
    </w:pPr>
  </w:style>
  <w:style w:type="numbering" w:customStyle="1" w:styleId="ImportedStyle4">
    <w:name w:val="Imported Style 4"/>
    <w:rsid w:val="00180AC1"/>
    <w:pPr>
      <w:numPr>
        <w:numId w:val="7"/>
      </w:numPr>
    </w:pPr>
  </w:style>
  <w:style w:type="character" w:styleId="FootnoteReference">
    <w:name w:val="footnote reference"/>
    <w:basedOn w:val="DefaultParagraphFont"/>
    <w:uiPriority w:val="99"/>
    <w:semiHidden/>
    <w:unhideWhenUsed/>
    <w:rsid w:val="00180AC1"/>
    <w:rPr>
      <w:vertAlign w:val="superscript"/>
    </w:rPr>
  </w:style>
  <w:style w:type="paragraph" w:styleId="EndnoteText">
    <w:name w:val="endnote text"/>
    <w:basedOn w:val="Normal"/>
    <w:link w:val="EndnoteTextChar"/>
    <w:uiPriority w:val="99"/>
    <w:semiHidden/>
    <w:unhideWhenUsed/>
    <w:rsid w:val="00F81DB6"/>
    <w:rPr>
      <w:sz w:val="20"/>
      <w:szCs w:val="20"/>
    </w:rPr>
  </w:style>
  <w:style w:type="character" w:customStyle="1" w:styleId="EndnoteTextChar">
    <w:name w:val="Endnote Text Char"/>
    <w:basedOn w:val="DefaultParagraphFont"/>
    <w:link w:val="EndnoteText"/>
    <w:uiPriority w:val="99"/>
    <w:semiHidden/>
    <w:rsid w:val="00F81DB6"/>
    <w:rPr>
      <w:rFonts w:ascii="Times New Roman" w:eastAsia="Arial Unicode MS" w:hAnsi="Times New Roman" w:cs="Times New Roman"/>
      <w:kern w:val="0"/>
      <w:sz w:val="20"/>
      <w:szCs w:val="20"/>
      <w:bdr w:val="nil"/>
      <w14:ligatures w14:val="none"/>
    </w:rPr>
  </w:style>
  <w:style w:type="character" w:styleId="EndnoteReference">
    <w:name w:val="endnote reference"/>
    <w:basedOn w:val="DefaultParagraphFont"/>
    <w:uiPriority w:val="99"/>
    <w:semiHidden/>
    <w:unhideWhenUsed/>
    <w:rsid w:val="00F81DB6"/>
    <w:rPr>
      <w:vertAlign w:val="superscript"/>
    </w:rPr>
  </w:style>
  <w:style w:type="paragraph" w:styleId="Header">
    <w:name w:val="header"/>
    <w:basedOn w:val="Normal"/>
    <w:link w:val="HeaderChar"/>
    <w:uiPriority w:val="99"/>
    <w:unhideWhenUsed/>
    <w:rsid w:val="004B6EE5"/>
    <w:pPr>
      <w:tabs>
        <w:tab w:val="center" w:pos="4680"/>
        <w:tab w:val="right" w:pos="9360"/>
      </w:tabs>
    </w:pPr>
  </w:style>
  <w:style w:type="character" w:customStyle="1" w:styleId="HeaderChar">
    <w:name w:val="Header Char"/>
    <w:basedOn w:val="DefaultParagraphFont"/>
    <w:link w:val="Header"/>
    <w:uiPriority w:val="99"/>
    <w:rsid w:val="004B6EE5"/>
    <w:rPr>
      <w:rFonts w:ascii="Times New Roman" w:eastAsia="Arial Unicode MS" w:hAnsi="Times New Roman" w:cs="Times New Roman"/>
      <w:kern w:val="0"/>
      <w:bdr w:val="nil"/>
      <w14:ligatures w14:val="none"/>
    </w:rPr>
  </w:style>
  <w:style w:type="character" w:customStyle="1" w:styleId="Heading1Char">
    <w:name w:val="Heading 1 Char"/>
    <w:basedOn w:val="DefaultParagraphFont"/>
    <w:link w:val="Heading1"/>
    <w:uiPriority w:val="9"/>
    <w:rsid w:val="00D543D0"/>
    <w:rPr>
      <w:rFonts w:asciiTheme="majorHAnsi" w:eastAsiaTheme="majorEastAsia" w:hAnsiTheme="majorHAnsi" w:cstheme="majorBidi"/>
      <w:color w:val="2F5496" w:themeColor="accent1" w:themeShade="BF"/>
      <w:kern w:val="0"/>
      <w:sz w:val="32"/>
      <w:szCs w:val="32"/>
      <w:bdr w:val="nil"/>
      <w14:ligatures w14:val="none"/>
    </w:rPr>
  </w:style>
  <w:style w:type="paragraph" w:styleId="TOCHeading">
    <w:name w:val="TOC Heading"/>
    <w:basedOn w:val="Heading1"/>
    <w:next w:val="Normal"/>
    <w:uiPriority w:val="39"/>
    <w:unhideWhenUsed/>
    <w:qFormat/>
    <w:rsid w:val="00D543D0"/>
    <w:pPr>
      <w:pBdr>
        <w:top w:val="none" w:sz="0" w:space="0" w:color="auto"/>
        <w:left w:val="none" w:sz="0" w:space="0" w:color="auto"/>
        <w:bottom w:val="none" w:sz="0" w:space="0" w:color="auto"/>
        <w:right w:val="none" w:sz="0" w:space="0" w:color="auto"/>
        <w:between w:val="none" w:sz="0" w:space="0" w:color="auto"/>
        <w:bar w:val="none" w:sz="0" w:color="auto"/>
      </w:pBdr>
      <w:spacing w:before="480" w:line="276" w:lineRule="auto"/>
      <w:outlineLvl w:val="9"/>
    </w:pPr>
    <w:rPr>
      <w:b/>
      <w:bCs/>
      <w:sz w:val="28"/>
      <w:szCs w:val="28"/>
      <w:bdr w:val="none" w:sz="0" w:space="0" w:color="auto"/>
      <w:lang w:val="en-US"/>
    </w:rPr>
  </w:style>
  <w:style w:type="paragraph" w:styleId="TOC1">
    <w:name w:val="toc 1"/>
    <w:basedOn w:val="Normal"/>
    <w:next w:val="Normal"/>
    <w:autoRedefine/>
    <w:uiPriority w:val="39"/>
    <w:unhideWhenUsed/>
    <w:rsid w:val="004E603C"/>
    <w:pPr>
      <w:spacing w:before="240" w:after="120"/>
    </w:pPr>
    <w:rPr>
      <w:rFonts w:asciiTheme="minorHAnsi" w:hAnsiTheme="minorHAnsi" w:cstheme="minorHAnsi"/>
      <w:bCs/>
      <w:sz w:val="20"/>
      <w:szCs w:val="20"/>
    </w:rPr>
  </w:style>
  <w:style w:type="paragraph" w:styleId="TOC2">
    <w:name w:val="toc 2"/>
    <w:basedOn w:val="Normal"/>
    <w:next w:val="Normal"/>
    <w:autoRedefine/>
    <w:uiPriority w:val="39"/>
    <w:semiHidden/>
    <w:unhideWhenUsed/>
    <w:rsid w:val="00D543D0"/>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D543D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543D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543D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543D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543D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543D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543D0"/>
    <w:pPr>
      <w:ind w:left="1920"/>
    </w:pPr>
    <w:rPr>
      <w:rFonts w:asciiTheme="minorHAnsi" w:hAnsiTheme="minorHAnsi" w:cstheme="minorHAnsi"/>
      <w:sz w:val="20"/>
      <w:szCs w:val="20"/>
    </w:rPr>
  </w:style>
  <w:style w:type="character" w:styleId="Hyperlink">
    <w:name w:val="Hyperlink"/>
    <w:basedOn w:val="DefaultParagraphFont"/>
    <w:uiPriority w:val="99"/>
    <w:unhideWhenUsed/>
    <w:rsid w:val="006C3AB4"/>
    <w:rPr>
      <w:color w:val="0563C1" w:themeColor="hyperlink"/>
      <w:u w:val="single"/>
    </w:rPr>
  </w:style>
  <w:style w:type="paragraph" w:styleId="Bibliography">
    <w:name w:val="Bibliography"/>
    <w:basedOn w:val="Normal"/>
    <w:next w:val="Normal"/>
    <w:uiPriority w:val="37"/>
    <w:unhideWhenUsed/>
    <w:rsid w:val="006C3AB4"/>
    <w:pPr>
      <w:spacing w:after="240"/>
      <w:ind w:left="720" w:hanging="720"/>
    </w:pPr>
  </w:style>
  <w:style w:type="character" w:styleId="UnresolvedMention">
    <w:name w:val="Unresolved Mention"/>
    <w:basedOn w:val="DefaultParagraphFont"/>
    <w:uiPriority w:val="99"/>
    <w:semiHidden/>
    <w:unhideWhenUsed/>
    <w:rsid w:val="00144C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acprof:oso/9780199688586.003.00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09666-D278-0246-9871-6D3092D8B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2474</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cp:lastModifiedBy>
  <cp:revision>2</cp:revision>
  <cp:lastPrinted>2023-04-11T19:25:00Z</cp:lastPrinted>
  <dcterms:created xsi:type="dcterms:W3CDTF">2023-04-12T18:42:00Z</dcterms:created>
  <dcterms:modified xsi:type="dcterms:W3CDTF">2023-04-12T18:42:00Z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id="Ca8PzP6Y"/&gt;&lt;style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