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Default Extension="jpeg" ContentType="image/jpeg"/>
  <Override PartName="/word/footer1.xml" ContentType="application/vnd.openxmlformats-officedocument.wordprocessingml.footer+xml"/>
  <Default Extension="png" ContentType="image/png"/>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pStyle w:val="BodyText"/>
        <w:rPr>
          <w:rFonts w:ascii="Times New Roman"/>
        </w:rPr>
      </w:pPr>
    </w:p>
    <w:p>
      <w:pPr>
        <w:pStyle w:val="BodyText"/>
        <w:rPr>
          <w:rFonts w:ascii="Times New Roman"/>
        </w:rPr>
      </w:pPr>
    </w:p>
    <w:p>
      <w:pPr>
        <w:pStyle w:val="BodyText"/>
        <w:rPr>
          <w:rFonts w:ascii="Times New Roman"/>
        </w:rPr>
      </w:pPr>
    </w:p>
    <w:p>
      <w:pPr>
        <w:pStyle w:val="BodyText"/>
        <w:rPr>
          <w:rFonts w:ascii="Times New Roman"/>
        </w:rPr>
      </w:pPr>
    </w:p>
    <w:p>
      <w:pPr>
        <w:pStyle w:val="BodyText"/>
        <w:spacing w:before="95"/>
        <w:rPr>
          <w:rFonts w:ascii="Times New Roman"/>
        </w:rPr>
      </w:pPr>
    </w:p>
    <w:p>
      <w:pPr>
        <w:pStyle w:val="Heading1"/>
        <w:ind w:left="1367" w:right="1367"/>
        <w:jc w:val="center"/>
      </w:pPr>
      <w:r>
        <w:rPr/>
        <w:t>Assessment</w:t>
      </w:r>
      <w:r>
        <w:rPr>
          <w:spacing w:val="-6"/>
        </w:rPr>
        <w:t> </w:t>
      </w:r>
      <w:r>
        <w:rPr/>
        <w:t>component</w:t>
      </w:r>
      <w:r>
        <w:rPr>
          <w:spacing w:val="-2"/>
        </w:rPr>
        <w:t> </w:t>
      </w:r>
      <w:r>
        <w:rPr/>
        <w:t>1:</w:t>
      </w:r>
      <w:r>
        <w:rPr>
          <w:spacing w:val="-3"/>
        </w:rPr>
        <w:t> </w:t>
      </w:r>
      <w:r>
        <w:rPr/>
        <w:t>Individual</w:t>
      </w:r>
      <w:r>
        <w:rPr>
          <w:spacing w:val="-2"/>
        </w:rPr>
        <w:t> report</w:t>
      </w:r>
    </w:p>
    <w:p>
      <w:pPr>
        <w:pStyle w:val="BodyText"/>
        <w:rPr>
          <w:rFonts w:ascii="Arial"/>
          <w:b/>
        </w:rPr>
      </w:pPr>
    </w:p>
    <w:p>
      <w:pPr>
        <w:pStyle w:val="BodyText"/>
        <w:spacing w:before="206"/>
        <w:rPr>
          <w:rFonts w:ascii="Arial"/>
          <w:b/>
        </w:rPr>
      </w:pPr>
    </w:p>
    <w:p>
      <w:pPr>
        <w:spacing w:before="0"/>
        <w:ind w:left="1367" w:right="1367" w:firstLine="0"/>
        <w:jc w:val="center"/>
        <w:rPr>
          <w:sz w:val="24"/>
        </w:rPr>
      </w:pPr>
      <w:r>
        <w:rPr>
          <w:rFonts w:ascii="Arial"/>
          <w:b/>
          <w:sz w:val="24"/>
        </w:rPr>
        <w:t>Student</w:t>
      </w:r>
      <w:r>
        <w:rPr>
          <w:rFonts w:ascii="Arial"/>
          <w:b/>
          <w:spacing w:val="-3"/>
          <w:sz w:val="24"/>
        </w:rPr>
        <w:t> </w:t>
      </w:r>
      <w:r>
        <w:rPr>
          <w:rFonts w:ascii="Arial"/>
          <w:b/>
          <w:sz w:val="24"/>
        </w:rPr>
        <w:t>Name</w:t>
      </w:r>
      <w:r>
        <w:rPr>
          <w:rFonts w:ascii="Arial"/>
          <w:b/>
          <w:spacing w:val="-2"/>
          <w:sz w:val="24"/>
        </w:rPr>
        <w:t> </w:t>
      </w:r>
      <w:r>
        <w:rPr>
          <w:rFonts w:ascii="Arial"/>
          <w:b/>
          <w:sz w:val="24"/>
        </w:rPr>
        <w:t>:</w:t>
      </w:r>
      <w:r>
        <w:rPr>
          <w:rFonts w:ascii="Arial"/>
          <w:b/>
          <w:spacing w:val="1"/>
          <w:sz w:val="24"/>
        </w:rPr>
        <w:t> </w:t>
      </w:r>
      <w:r>
        <w:rPr>
          <w:sz w:val="24"/>
        </w:rPr>
        <w:t>Dipak</w:t>
      </w:r>
      <w:r>
        <w:rPr>
          <w:spacing w:val="-1"/>
          <w:sz w:val="24"/>
        </w:rPr>
        <w:t> </w:t>
      </w:r>
      <w:r>
        <w:rPr>
          <w:spacing w:val="-2"/>
          <w:sz w:val="24"/>
        </w:rPr>
        <w:t>Modhavadiya</w:t>
      </w:r>
    </w:p>
    <w:p>
      <w:pPr>
        <w:spacing w:line="254" w:lineRule="auto" w:before="210"/>
        <w:ind w:left="1367" w:right="1365" w:firstLine="0"/>
        <w:jc w:val="center"/>
        <w:rPr>
          <w:sz w:val="24"/>
        </w:rPr>
      </w:pPr>
      <w:r>
        <w:rPr>
          <w:rFonts w:ascii="Arial"/>
          <w:b/>
          <w:sz w:val="24"/>
        </w:rPr>
        <w:t>Student</w:t>
      </w:r>
      <w:r>
        <w:rPr>
          <w:rFonts w:ascii="Arial"/>
          <w:b/>
          <w:spacing w:val="-7"/>
          <w:sz w:val="24"/>
        </w:rPr>
        <w:t> </w:t>
      </w:r>
      <w:r>
        <w:rPr>
          <w:rFonts w:ascii="Arial"/>
          <w:b/>
          <w:sz w:val="24"/>
        </w:rPr>
        <w:t>ID</w:t>
      </w:r>
      <w:r>
        <w:rPr>
          <w:rFonts w:ascii="Arial"/>
          <w:b/>
          <w:spacing w:val="-6"/>
          <w:sz w:val="24"/>
        </w:rPr>
        <w:t> </w:t>
      </w:r>
      <w:r>
        <w:rPr>
          <w:rFonts w:ascii="Arial"/>
          <w:b/>
          <w:sz w:val="24"/>
        </w:rPr>
        <w:t>:</w:t>
      </w:r>
      <w:r>
        <w:rPr>
          <w:rFonts w:ascii="Arial"/>
          <w:b/>
          <w:spacing w:val="-6"/>
          <w:sz w:val="24"/>
        </w:rPr>
        <w:t> </w:t>
      </w:r>
      <w:r>
        <w:rPr>
          <w:sz w:val="24"/>
        </w:rPr>
        <w:t>2506701</w:t>
      </w:r>
      <w:r>
        <w:rPr>
          <w:spacing w:val="-6"/>
          <w:sz w:val="24"/>
        </w:rPr>
        <w:t> </w:t>
      </w:r>
      <w:r>
        <w:rPr>
          <w:rFonts w:ascii="Arial"/>
          <w:b/>
          <w:sz w:val="24"/>
        </w:rPr>
        <w:t>Module</w:t>
      </w:r>
      <w:r>
        <w:rPr>
          <w:rFonts w:ascii="Arial"/>
          <w:b/>
          <w:spacing w:val="-6"/>
          <w:sz w:val="24"/>
        </w:rPr>
        <w:t> </w:t>
      </w:r>
      <w:r>
        <w:rPr>
          <w:rFonts w:ascii="Arial"/>
          <w:b/>
          <w:sz w:val="24"/>
        </w:rPr>
        <w:t>Name:</w:t>
      </w:r>
      <w:r>
        <w:rPr>
          <w:rFonts w:ascii="Arial"/>
          <w:b/>
          <w:spacing w:val="-3"/>
          <w:sz w:val="24"/>
        </w:rPr>
        <w:t> </w:t>
      </w:r>
      <w:r>
        <w:rPr>
          <w:sz w:val="24"/>
        </w:rPr>
        <w:t>International Business Concepts</w:t>
      </w:r>
    </w:p>
    <w:p>
      <w:pPr>
        <w:spacing w:before="226"/>
        <w:ind w:left="1367" w:right="1367" w:firstLine="0"/>
        <w:jc w:val="center"/>
        <w:rPr>
          <w:sz w:val="24"/>
        </w:rPr>
      </w:pPr>
      <w:r>
        <w:rPr>
          <w:rFonts w:ascii="Arial"/>
          <w:b/>
          <w:sz w:val="24"/>
        </w:rPr>
        <w:t>Module</w:t>
      </w:r>
      <w:r>
        <w:rPr>
          <w:rFonts w:ascii="Arial"/>
          <w:b/>
          <w:spacing w:val="-1"/>
          <w:sz w:val="24"/>
        </w:rPr>
        <w:t> </w:t>
      </w:r>
      <w:r>
        <w:rPr>
          <w:rFonts w:ascii="Arial"/>
          <w:b/>
          <w:sz w:val="24"/>
        </w:rPr>
        <w:t>Code: </w:t>
      </w:r>
      <w:r>
        <w:rPr>
          <w:spacing w:val="-2"/>
          <w:sz w:val="24"/>
        </w:rPr>
        <w:t>LCMB7034</w:t>
      </w:r>
    </w:p>
    <w:p>
      <w:pPr>
        <w:spacing w:before="242"/>
        <w:ind w:left="1368" w:right="1365" w:firstLine="0"/>
        <w:jc w:val="center"/>
        <w:rPr>
          <w:sz w:val="24"/>
        </w:rPr>
      </w:pPr>
      <w:r>
        <w:rPr>
          <w:rFonts w:ascii="Arial" w:hAnsi="Arial"/>
          <w:b/>
          <w:sz w:val="24"/>
        </w:rPr>
        <w:t>Lecturere’s</w:t>
      </w:r>
      <w:r>
        <w:rPr>
          <w:rFonts w:ascii="Arial" w:hAnsi="Arial"/>
          <w:b/>
          <w:spacing w:val="-2"/>
          <w:sz w:val="24"/>
        </w:rPr>
        <w:t> </w:t>
      </w:r>
      <w:r>
        <w:rPr>
          <w:rFonts w:ascii="Arial" w:hAnsi="Arial"/>
          <w:b/>
          <w:sz w:val="24"/>
        </w:rPr>
        <w:t>Name: </w:t>
      </w:r>
      <w:r>
        <w:rPr>
          <w:sz w:val="24"/>
        </w:rPr>
        <w:t>Akshay</w:t>
      </w:r>
      <w:r>
        <w:rPr>
          <w:spacing w:val="5"/>
          <w:sz w:val="24"/>
        </w:rPr>
        <w:t> </w:t>
      </w:r>
      <w:r>
        <w:rPr>
          <w:spacing w:val="-2"/>
          <w:sz w:val="24"/>
        </w:rPr>
        <w:t>Narayanan</w:t>
      </w:r>
    </w:p>
    <w:p>
      <w:pPr>
        <w:spacing w:before="14"/>
        <w:ind w:left="1367" w:right="1367" w:firstLine="0"/>
        <w:jc w:val="center"/>
        <w:rPr>
          <w:sz w:val="24"/>
        </w:rPr>
      </w:pPr>
      <w:r>
        <w:rPr>
          <w:rFonts w:ascii="Arial" w:hAnsi="Arial"/>
          <w:b/>
          <w:sz w:val="24"/>
        </w:rPr>
        <w:t>Word</w:t>
      </w:r>
      <w:r>
        <w:rPr>
          <w:rFonts w:ascii="Arial" w:hAnsi="Arial"/>
          <w:b/>
          <w:spacing w:val="-3"/>
          <w:sz w:val="24"/>
        </w:rPr>
        <w:t> </w:t>
      </w:r>
      <w:r>
        <w:rPr>
          <w:rFonts w:ascii="Arial" w:hAnsi="Arial"/>
          <w:b/>
          <w:sz w:val="24"/>
        </w:rPr>
        <w:t>Count</w:t>
      </w:r>
      <w:r>
        <w:rPr>
          <w:rFonts w:ascii="Arial" w:hAnsi="Arial"/>
          <w:b/>
          <w:spacing w:val="-4"/>
          <w:sz w:val="24"/>
        </w:rPr>
        <w:t> </w:t>
      </w:r>
      <w:r>
        <w:rPr>
          <w:rFonts w:ascii="Arial" w:hAnsi="Arial"/>
          <w:b/>
          <w:sz w:val="24"/>
        </w:rPr>
        <w:t>:</w:t>
      </w:r>
      <w:r>
        <w:rPr>
          <w:rFonts w:ascii="Arial" w:hAnsi="Arial"/>
          <w:b/>
          <w:spacing w:val="1"/>
          <w:sz w:val="24"/>
        </w:rPr>
        <w:t> </w:t>
      </w:r>
      <w:r>
        <w:rPr>
          <w:sz w:val="24"/>
        </w:rPr>
        <w:t>5000 words</w:t>
      </w:r>
      <w:r>
        <w:rPr>
          <w:spacing w:val="1"/>
          <w:sz w:val="24"/>
        </w:rPr>
        <w:t> </w:t>
      </w:r>
      <w:r>
        <w:rPr>
          <w:sz w:val="24"/>
        </w:rPr>
        <w:t>(±</w:t>
      </w:r>
      <w:r>
        <w:rPr>
          <w:spacing w:val="-9"/>
          <w:sz w:val="24"/>
        </w:rPr>
        <w:t> </w:t>
      </w:r>
      <w:r>
        <w:rPr>
          <w:sz w:val="24"/>
        </w:rPr>
        <w:t>10%)</w:t>
      </w:r>
      <w:r>
        <w:rPr>
          <w:spacing w:val="67"/>
          <w:sz w:val="24"/>
        </w:rPr>
        <w:t> </w:t>
      </w:r>
      <w:r>
        <w:rPr>
          <w:sz w:val="24"/>
        </w:rPr>
        <w:t>Term</w:t>
      </w:r>
      <w:r>
        <w:rPr>
          <w:spacing w:val="3"/>
          <w:sz w:val="24"/>
        </w:rPr>
        <w:t> </w:t>
      </w:r>
      <w:r>
        <w:rPr>
          <w:spacing w:val="-12"/>
          <w:sz w:val="24"/>
        </w:rPr>
        <w:t>2</w:t>
      </w:r>
    </w:p>
    <w:p>
      <w:pPr>
        <w:spacing w:after="0"/>
        <w:jc w:val="center"/>
        <w:rPr>
          <w:sz w:val="24"/>
        </w:rPr>
        <w:sectPr>
          <w:headerReference w:type="default" r:id="rId5"/>
          <w:footerReference w:type="default" r:id="rId6"/>
          <w:type w:val="continuous"/>
          <w:pgSz w:w="11910" w:h="16840"/>
          <w:pgMar w:header="1066" w:footer="804" w:top="2000" w:bottom="1000" w:left="1417" w:right="1417"/>
          <w:pgNumType w:start="1"/>
        </w:sectPr>
      </w:pPr>
    </w:p>
    <w:p>
      <w:pPr>
        <w:pStyle w:val="Heading1"/>
        <w:spacing w:before="246"/>
        <w:ind w:left="1367" w:right="1367"/>
        <w:jc w:val="center"/>
      </w:pPr>
      <w:r>
        <w:rPr/>
        <w:t>Table</w:t>
      </w:r>
      <w:r>
        <w:rPr>
          <w:spacing w:val="1"/>
        </w:rPr>
        <w:t> </w:t>
      </w:r>
      <w:r>
        <w:rPr/>
        <w:t>of </w:t>
      </w:r>
      <w:r>
        <w:rPr>
          <w:spacing w:val="-2"/>
        </w:rPr>
        <w:t>contents</w:t>
      </w:r>
    </w:p>
    <w:p>
      <w:pPr>
        <w:pStyle w:val="BodyText"/>
        <w:spacing w:before="56"/>
        <w:rPr>
          <w:rFonts w:ascii="Arial"/>
          <w:b/>
        </w:rPr>
      </w:pPr>
    </w:p>
    <w:p>
      <w:pPr>
        <w:pStyle w:val="BodyText"/>
        <w:spacing w:line="360" w:lineRule="auto"/>
        <w:ind w:left="23" w:right="23"/>
        <w:rPr>
          <w:rFonts w:ascii="Times New Roman" w:hAnsi="Times New Roman"/>
        </w:rPr>
      </w:pPr>
      <w:r>
        <w:rPr>
          <w:rFonts w:ascii="Times New Roman" w:hAnsi="Times New Roman"/>
        </w:rPr>
        <w:t>Section 1: Industry and company analysis ……………………………………………………. </w:t>
      </w:r>
      <w:r>
        <w:rPr>
          <w:rFonts w:ascii="Times New Roman" w:hAnsi="Times New Roman"/>
          <w:spacing w:val="-10"/>
        </w:rPr>
        <w:t>3</w:t>
      </w:r>
    </w:p>
    <w:sdt>
      <w:sdtPr>
        <w:docPartObj>
          <w:docPartGallery w:val="Table of Contents"/>
          <w:docPartUnique/>
        </w:docPartObj>
      </w:sdtPr>
      <w:sdtEndPr/>
      <w:sdtContent>
        <w:p>
          <w:pPr>
            <w:pStyle w:val="TOC2"/>
            <w:numPr>
              <w:ilvl w:val="0"/>
              <w:numId w:val="1"/>
            </w:numPr>
            <w:tabs>
              <w:tab w:pos="481" w:val="left" w:leader="none"/>
              <w:tab w:pos="9051" w:val="right" w:leader="dot"/>
            </w:tabs>
            <w:spacing w:line="240" w:lineRule="auto" w:before="101" w:after="0"/>
            <w:ind w:left="481" w:right="0" w:hanging="237"/>
            <w:jc w:val="left"/>
          </w:pPr>
          <w:r>
            <w:rPr/>
            <w:t>Introduction</w:t>
          </w:r>
          <w:r>
            <w:rPr>
              <w:spacing w:val="-8"/>
            </w:rPr>
            <w:t> </w:t>
          </w:r>
          <w:r>
            <w:rPr/>
            <w:t>to</w:t>
          </w:r>
          <w:r>
            <w:rPr>
              <w:spacing w:val="-7"/>
            </w:rPr>
            <w:t> </w:t>
          </w:r>
          <w:r>
            <w:rPr/>
            <w:t>the</w:t>
          </w:r>
          <w:r>
            <w:rPr>
              <w:spacing w:val="-7"/>
            </w:rPr>
            <w:t> </w:t>
          </w:r>
          <w:r>
            <w:rPr>
              <w:spacing w:val="-2"/>
            </w:rPr>
            <w:t>report</w:t>
          </w:r>
          <w:r>
            <w:rPr/>
            <w:tab/>
          </w:r>
          <w:r>
            <w:rPr>
              <w:spacing w:val="-10"/>
            </w:rPr>
            <w:t>3</w:t>
          </w:r>
        </w:p>
        <w:p>
          <w:pPr>
            <w:pStyle w:val="TOC2"/>
            <w:numPr>
              <w:ilvl w:val="0"/>
              <w:numId w:val="1"/>
            </w:numPr>
            <w:tabs>
              <w:tab w:pos="507" w:val="left" w:leader="none"/>
            </w:tabs>
            <w:spacing w:line="360" w:lineRule="auto" w:before="238" w:after="0"/>
            <w:ind w:left="244" w:right="22" w:firstLine="0"/>
            <w:jc w:val="left"/>
          </w:pPr>
          <w:r>
            <w:rPr/>
            <w:t>Industry and Country Overview …………………………………………………………. </w:t>
          </w:r>
          <w:r>
            <w:rPr>
              <w:spacing w:val="-10"/>
            </w:rPr>
            <w:t>4</w:t>
          </w:r>
        </w:p>
        <w:p>
          <w:pPr>
            <w:pStyle w:val="TOC2"/>
            <w:numPr>
              <w:ilvl w:val="0"/>
              <w:numId w:val="1"/>
            </w:numPr>
            <w:tabs>
              <w:tab w:pos="472" w:val="left" w:leader="none"/>
              <w:tab w:pos="9051" w:val="right" w:leader="dot"/>
            </w:tabs>
            <w:spacing w:line="240" w:lineRule="auto" w:before="101" w:after="0"/>
            <w:ind w:left="472" w:right="0" w:hanging="228"/>
            <w:jc w:val="left"/>
          </w:pPr>
          <w:r>
            <w:rPr/>
            <w:t>Michael</w:t>
          </w:r>
          <w:r>
            <w:rPr>
              <w:spacing w:val="-16"/>
            </w:rPr>
            <w:t> </w:t>
          </w:r>
          <w:r>
            <w:rPr/>
            <w:t>Porter’s</w:t>
          </w:r>
          <w:r>
            <w:rPr>
              <w:spacing w:val="-14"/>
            </w:rPr>
            <w:t> </w:t>
          </w:r>
          <w:r>
            <w:rPr/>
            <w:t>Diamond</w:t>
          </w:r>
          <w:r>
            <w:rPr>
              <w:spacing w:val="-13"/>
            </w:rPr>
            <w:t> </w:t>
          </w:r>
          <w:r>
            <w:rPr/>
            <w:t>Model</w:t>
          </w:r>
          <w:r>
            <w:rPr>
              <w:spacing w:val="-14"/>
            </w:rPr>
            <w:t> </w:t>
          </w:r>
          <w:r>
            <w:rPr/>
            <w:t>of</w:t>
          </w:r>
          <w:r>
            <w:rPr>
              <w:spacing w:val="-14"/>
            </w:rPr>
            <w:t> </w:t>
          </w:r>
          <w:r>
            <w:rPr/>
            <w:t>National</w:t>
          </w:r>
          <w:r>
            <w:rPr>
              <w:spacing w:val="-13"/>
            </w:rPr>
            <w:t> </w:t>
          </w:r>
          <w:r>
            <w:rPr>
              <w:spacing w:val="-2"/>
            </w:rPr>
            <w:t>Advantage</w:t>
          </w:r>
          <w:r>
            <w:rPr/>
            <w:tab/>
          </w:r>
          <w:r>
            <w:rPr>
              <w:spacing w:val="-5"/>
            </w:rPr>
            <w:t>10</w:t>
          </w:r>
        </w:p>
        <w:p>
          <w:pPr>
            <w:pStyle w:val="TOC2"/>
            <w:numPr>
              <w:ilvl w:val="0"/>
              <w:numId w:val="1"/>
            </w:numPr>
            <w:tabs>
              <w:tab w:pos="498" w:val="left" w:leader="none"/>
            </w:tabs>
            <w:spacing w:line="360" w:lineRule="auto" w:before="238" w:after="0"/>
            <w:ind w:left="244" w:right="20" w:firstLine="0"/>
            <w:jc w:val="left"/>
          </w:pPr>
          <w:r>
            <w:rPr/>
            <w:t>One of the major foreign MNCs/TNCs operating in the country-industry pair ………… </w:t>
          </w:r>
          <w:r>
            <w:rPr>
              <w:spacing w:val="-6"/>
            </w:rPr>
            <w:t>13</w:t>
          </w:r>
        </w:p>
        <w:p>
          <w:pPr>
            <w:pStyle w:val="TOC3"/>
            <w:tabs>
              <w:tab w:pos="9048" w:val="right" w:leader="dot"/>
            </w:tabs>
          </w:pPr>
          <w:hyperlink w:history="true" w:anchor="_TOC_250002">
            <w:r>
              <w:rPr/>
              <w:t>Cultural</w:t>
            </w:r>
            <w:r>
              <w:rPr>
                <w:spacing w:val="-9"/>
              </w:rPr>
              <w:t> </w:t>
            </w:r>
            <w:r>
              <w:rPr/>
              <w:t>Framework:</w:t>
            </w:r>
            <w:r>
              <w:rPr>
                <w:spacing w:val="-7"/>
              </w:rPr>
              <w:t> </w:t>
            </w:r>
            <w:r>
              <w:rPr/>
              <w:t>Hofstede’s</w:t>
            </w:r>
            <w:r>
              <w:rPr>
                <w:spacing w:val="-7"/>
              </w:rPr>
              <w:t> </w:t>
            </w:r>
            <w:r>
              <w:rPr>
                <w:spacing w:val="-2"/>
              </w:rPr>
              <w:t>Dimensions</w:t>
            </w:r>
            <w:r>
              <w:rPr/>
              <w:tab/>
            </w:r>
            <w:r>
              <w:rPr>
                <w:spacing w:val="-5"/>
              </w:rPr>
              <w:t>17</w:t>
            </w:r>
          </w:hyperlink>
        </w:p>
        <w:p>
          <w:pPr>
            <w:pStyle w:val="TOC2"/>
            <w:numPr>
              <w:ilvl w:val="0"/>
              <w:numId w:val="1"/>
            </w:numPr>
            <w:tabs>
              <w:tab w:pos="484" w:val="left" w:leader="none"/>
              <w:tab w:pos="9051" w:val="right" w:leader="dot"/>
            </w:tabs>
            <w:spacing w:line="240" w:lineRule="auto" w:before="240" w:after="0"/>
            <w:ind w:left="484" w:right="0" w:hanging="240"/>
            <w:jc w:val="left"/>
          </w:pPr>
          <w:hyperlink w:history="true" w:anchor="_TOC_250001">
            <w:r>
              <w:rPr/>
              <w:t>Conclusion to the</w:t>
            </w:r>
            <w:r>
              <w:rPr>
                <w:spacing w:val="-1"/>
              </w:rPr>
              <w:t> </w:t>
            </w:r>
            <w:r>
              <w:rPr>
                <w:spacing w:val="-2"/>
              </w:rPr>
              <w:t>report</w:t>
            </w:r>
            <w:r>
              <w:rPr/>
              <w:tab/>
            </w:r>
            <w:r>
              <w:rPr>
                <w:spacing w:val="-5"/>
              </w:rPr>
              <w:t>18</w:t>
            </w:r>
          </w:hyperlink>
        </w:p>
        <w:p>
          <w:pPr>
            <w:pStyle w:val="TOC1"/>
            <w:tabs>
              <w:tab w:pos="9051" w:val="right" w:leader="dot"/>
            </w:tabs>
          </w:pPr>
          <w:r>
            <w:rPr/>
            <w:t>Section</w:t>
          </w:r>
          <w:r>
            <w:rPr>
              <w:spacing w:val="-6"/>
            </w:rPr>
            <w:t> </w:t>
          </w:r>
          <w:r>
            <w:rPr/>
            <w:t>2:</w:t>
          </w:r>
          <w:r>
            <w:rPr>
              <w:spacing w:val="-6"/>
            </w:rPr>
            <w:t> </w:t>
          </w:r>
          <w:r>
            <w:rPr>
              <w:spacing w:val="-2"/>
            </w:rPr>
            <w:t>Reflection</w:t>
          </w:r>
          <w:r>
            <w:rPr/>
            <w:tab/>
          </w:r>
          <w:r>
            <w:rPr>
              <w:spacing w:val="-5"/>
            </w:rPr>
            <w:t>20</w:t>
          </w:r>
        </w:p>
        <w:p>
          <w:pPr>
            <w:pStyle w:val="TOC1"/>
            <w:tabs>
              <w:tab w:pos="9048" w:val="right" w:leader="dot"/>
            </w:tabs>
          </w:pPr>
          <w:hyperlink w:history="true" w:anchor="_TOC_250000">
            <w:r>
              <w:rPr>
                <w:spacing w:val="-2"/>
              </w:rPr>
              <w:t>References</w:t>
            </w:r>
            <w:r>
              <w:rPr/>
              <w:tab/>
            </w:r>
            <w:r>
              <w:rPr>
                <w:spacing w:val="-5"/>
              </w:rPr>
              <w:t>24</w:t>
            </w:r>
          </w:hyperlink>
        </w:p>
      </w:sdtContent>
    </w:sdt>
    <w:p>
      <w:pPr>
        <w:pStyle w:val="TOC1"/>
        <w:spacing w:after="0"/>
        <w:sectPr>
          <w:pgSz w:w="11910" w:h="16840"/>
          <w:pgMar w:header="1066" w:footer="804" w:top="2000" w:bottom="1000" w:left="1417" w:right="1417"/>
        </w:sectPr>
      </w:pPr>
    </w:p>
    <w:p>
      <w:pPr>
        <w:pStyle w:val="BodyText"/>
        <w:spacing w:before="4"/>
        <w:rPr>
          <w:rFonts w:ascii="Times New Roman"/>
          <w:sz w:val="17"/>
        </w:rPr>
      </w:pPr>
    </w:p>
    <w:p>
      <w:pPr>
        <w:pStyle w:val="BodyText"/>
        <w:spacing w:after="0"/>
        <w:rPr>
          <w:rFonts w:ascii="Times New Roman"/>
          <w:sz w:val="17"/>
        </w:rPr>
        <w:sectPr>
          <w:pgSz w:w="11910" w:h="16840"/>
          <w:pgMar w:header="1066" w:footer="804" w:top="2000" w:bottom="1000" w:left="1417" w:right="1417"/>
        </w:sectPr>
      </w:pPr>
    </w:p>
    <w:p>
      <w:pPr>
        <w:pStyle w:val="Heading1"/>
        <w:numPr>
          <w:ilvl w:val="0"/>
          <w:numId w:val="2"/>
        </w:numPr>
        <w:tabs>
          <w:tab w:pos="489" w:val="left" w:leader="none"/>
        </w:tabs>
        <w:spacing w:line="240" w:lineRule="auto" w:before="246" w:after="0"/>
        <w:ind w:left="489" w:right="0" w:hanging="466"/>
        <w:jc w:val="left"/>
      </w:pPr>
      <w:bookmarkStart w:name="0.0. Introduction" w:id="1"/>
      <w:bookmarkEnd w:id="1"/>
      <w:r>
        <w:rPr>
          <w:b w:val="0"/>
        </w:rPr>
      </w:r>
      <w:r>
        <w:rPr>
          <w:spacing w:val="-2"/>
        </w:rPr>
        <w:t>Introduction</w:t>
      </w:r>
    </w:p>
    <w:p>
      <w:pPr>
        <w:pStyle w:val="BodyText"/>
        <w:spacing w:before="64"/>
        <w:rPr>
          <w:rFonts w:ascii="Arial"/>
          <w:b/>
        </w:rPr>
      </w:pPr>
    </w:p>
    <w:p>
      <w:pPr>
        <w:pStyle w:val="BodyText"/>
        <w:spacing w:line="364" w:lineRule="auto"/>
        <w:ind w:left="23" w:right="19" w:firstLine="787"/>
        <w:jc w:val="both"/>
      </w:pPr>
      <w:r>
        <w:rPr/>
        <w:t>India is world's largest producer and consumer of milk with an estimated production</w:t>
      </w:r>
      <w:r>
        <w:rPr>
          <w:spacing w:val="-4"/>
        </w:rPr>
        <w:t> </w:t>
      </w:r>
      <w:r>
        <w:rPr/>
        <w:t>of</w:t>
      </w:r>
      <w:r>
        <w:rPr>
          <w:spacing w:val="-4"/>
        </w:rPr>
        <w:t> </w:t>
      </w:r>
      <w:r>
        <w:rPr/>
        <w:t>248</w:t>
      </w:r>
      <w:r>
        <w:rPr>
          <w:spacing w:val="-4"/>
        </w:rPr>
        <w:t> </w:t>
      </w:r>
      <w:r>
        <w:rPr/>
        <w:t>million</w:t>
      </w:r>
      <w:r>
        <w:rPr>
          <w:spacing w:val="-4"/>
        </w:rPr>
        <w:t> </w:t>
      </w:r>
      <w:r>
        <w:rPr/>
        <w:t>tonnes</w:t>
      </w:r>
      <w:r>
        <w:rPr>
          <w:spacing w:val="-5"/>
        </w:rPr>
        <w:t> </w:t>
      </w:r>
      <w:r>
        <w:rPr/>
        <w:t>in</w:t>
      </w:r>
      <w:r>
        <w:rPr>
          <w:spacing w:val="-4"/>
        </w:rPr>
        <w:t> </w:t>
      </w:r>
      <w:r>
        <w:rPr/>
        <w:t>the</w:t>
      </w:r>
      <w:r>
        <w:rPr>
          <w:spacing w:val="-7"/>
        </w:rPr>
        <w:t> </w:t>
      </w:r>
      <w:r>
        <w:rPr/>
        <w:t>2024-25</w:t>
      </w:r>
      <w:r>
        <w:rPr>
          <w:spacing w:val="-7"/>
        </w:rPr>
        <w:t> </w:t>
      </w:r>
      <w:r>
        <w:rPr/>
        <w:t>fiscal</w:t>
      </w:r>
      <w:r>
        <w:rPr>
          <w:spacing w:val="-5"/>
        </w:rPr>
        <w:t> </w:t>
      </w:r>
      <w:r>
        <w:rPr/>
        <w:t>year</w:t>
      </w:r>
      <w:r>
        <w:rPr>
          <w:spacing w:val="-6"/>
        </w:rPr>
        <w:t> </w:t>
      </w:r>
      <w:r>
        <w:rPr/>
        <w:t>(The</w:t>
      </w:r>
      <w:r>
        <w:rPr>
          <w:spacing w:val="-7"/>
        </w:rPr>
        <w:t> </w:t>
      </w:r>
      <w:r>
        <w:rPr/>
        <w:t>Times</w:t>
      </w:r>
      <w:r>
        <w:rPr>
          <w:spacing w:val="-5"/>
        </w:rPr>
        <w:t> </w:t>
      </w:r>
      <w:r>
        <w:rPr/>
        <w:t>of</w:t>
      </w:r>
      <w:r>
        <w:rPr>
          <w:spacing w:val="-2"/>
        </w:rPr>
        <w:t> </w:t>
      </w:r>
      <w:r>
        <w:rPr/>
        <w:t>India,</w:t>
      </w:r>
      <w:r>
        <w:rPr>
          <w:spacing w:val="-4"/>
        </w:rPr>
        <w:t> </w:t>
      </w:r>
      <w:r>
        <w:rPr/>
        <w:t>2025). It has an unique, highly localized market that is primarily driven by cooperative structures and a massive smallholder farmer base. Roughly 80% of nations’ milk is handled by unorganized local vendors </w:t>
      </w:r>
      <w:r>
        <w:rPr>
          <w:w w:val="160"/>
        </w:rPr>
        <w:t>–</w:t>
      </w:r>
      <w:r>
        <w:rPr>
          <w:spacing w:val="-22"/>
          <w:w w:val="160"/>
        </w:rPr>
        <w:t> </w:t>
      </w:r>
      <w:r>
        <w:rPr/>
        <w:t>who dominate this market. Apart from that, the sector has other severe constraints :</w:t>
      </w:r>
      <w:r>
        <w:rPr>
          <w:spacing w:val="40"/>
        </w:rPr>
        <w:t> </w:t>
      </w:r>
      <w:r>
        <w:rPr/>
        <w:t>low per-animal yields, fragmented rural supply</w:t>
      </w:r>
      <w:r>
        <w:rPr>
          <w:spacing w:val="-15"/>
        </w:rPr>
        <w:t> </w:t>
      </w:r>
      <w:r>
        <w:rPr/>
        <w:t>chains</w:t>
      </w:r>
      <w:r>
        <w:rPr>
          <w:spacing w:val="-12"/>
        </w:rPr>
        <w:t> </w:t>
      </w:r>
      <w:r>
        <w:rPr/>
        <w:t>(Kotak</w:t>
      </w:r>
      <w:r>
        <w:rPr>
          <w:spacing w:val="-11"/>
        </w:rPr>
        <w:t> </w:t>
      </w:r>
      <w:r>
        <w:rPr/>
        <w:t>Mutual</w:t>
      </w:r>
      <w:r>
        <w:rPr>
          <w:spacing w:val="-13"/>
        </w:rPr>
        <w:t> </w:t>
      </w:r>
      <w:r>
        <w:rPr/>
        <w:t>Fund,</w:t>
      </w:r>
      <w:r>
        <w:rPr>
          <w:spacing w:val="-14"/>
        </w:rPr>
        <w:t> </w:t>
      </w:r>
      <w:r>
        <w:rPr/>
        <w:t>2026).</w:t>
      </w:r>
      <w:r>
        <w:rPr>
          <w:spacing w:val="-12"/>
        </w:rPr>
        <w:t> </w:t>
      </w:r>
      <w:r>
        <w:rPr/>
        <w:t>Despite</w:t>
      </w:r>
      <w:r>
        <w:rPr>
          <w:spacing w:val="-12"/>
        </w:rPr>
        <w:t> </w:t>
      </w:r>
      <w:r>
        <w:rPr/>
        <w:t>this</w:t>
      </w:r>
      <w:r>
        <w:rPr>
          <w:spacing w:val="-13"/>
        </w:rPr>
        <w:t> </w:t>
      </w:r>
      <w:r>
        <w:rPr/>
        <w:t>strong</w:t>
      </w:r>
      <w:r>
        <w:rPr>
          <w:spacing w:val="-14"/>
        </w:rPr>
        <w:t> </w:t>
      </w:r>
      <w:r>
        <w:rPr/>
        <w:t>competition,</w:t>
      </w:r>
      <w:r>
        <w:rPr>
          <w:spacing w:val="-12"/>
        </w:rPr>
        <w:t> </w:t>
      </w:r>
      <w:r>
        <w:rPr/>
        <w:t>Indian</w:t>
      </w:r>
      <w:r>
        <w:rPr>
          <w:spacing w:val="-13"/>
        </w:rPr>
        <w:t> </w:t>
      </w:r>
      <w:r>
        <w:rPr/>
        <w:t>dairy sector</w:t>
      </w:r>
      <w:r>
        <w:rPr>
          <w:spacing w:val="-16"/>
        </w:rPr>
        <w:t> </w:t>
      </w:r>
      <w:r>
        <w:rPr/>
        <w:t>is</w:t>
      </w:r>
      <w:r>
        <w:rPr>
          <w:spacing w:val="-16"/>
        </w:rPr>
        <w:t> </w:t>
      </w:r>
      <w:r>
        <w:rPr/>
        <w:t>highly</w:t>
      </w:r>
      <w:r>
        <w:rPr>
          <w:spacing w:val="-16"/>
        </w:rPr>
        <w:t> </w:t>
      </w:r>
      <w:r>
        <w:rPr/>
        <w:t>attractive</w:t>
      </w:r>
      <w:r>
        <w:rPr>
          <w:spacing w:val="-13"/>
        </w:rPr>
        <w:t> </w:t>
      </w:r>
      <w:r>
        <w:rPr/>
        <w:t>to</w:t>
      </w:r>
      <w:r>
        <w:rPr>
          <w:spacing w:val="-15"/>
        </w:rPr>
        <w:t> </w:t>
      </w:r>
      <w:r>
        <w:rPr/>
        <w:t>multinational</w:t>
      </w:r>
      <w:r>
        <w:rPr>
          <w:spacing w:val="-15"/>
        </w:rPr>
        <w:t> </w:t>
      </w:r>
      <w:r>
        <w:rPr/>
        <w:t>corporations</w:t>
      </w:r>
      <w:r>
        <w:rPr>
          <w:spacing w:val="-16"/>
        </w:rPr>
        <w:t> </w:t>
      </w:r>
      <w:r>
        <w:rPr/>
        <w:t>because</w:t>
      </w:r>
      <w:r>
        <w:rPr>
          <w:spacing w:val="-13"/>
        </w:rPr>
        <w:t> </w:t>
      </w:r>
      <w:r>
        <w:rPr/>
        <w:t>of</w:t>
      </w:r>
      <w:r>
        <w:rPr>
          <w:spacing w:val="-14"/>
        </w:rPr>
        <w:t> </w:t>
      </w:r>
      <w:r>
        <w:rPr/>
        <w:t>urbanization,</w:t>
      </w:r>
      <w:r>
        <w:rPr>
          <w:spacing w:val="-16"/>
        </w:rPr>
        <w:t> </w:t>
      </w:r>
      <w:r>
        <w:rPr/>
        <w:t>rapidly growing</w:t>
      </w:r>
      <w:r>
        <w:rPr>
          <w:spacing w:val="-8"/>
        </w:rPr>
        <w:t> </w:t>
      </w:r>
      <w:r>
        <w:rPr/>
        <w:t>middle</w:t>
      </w:r>
      <w:r>
        <w:rPr>
          <w:spacing w:val="-7"/>
        </w:rPr>
        <w:t> </w:t>
      </w:r>
      <w:r>
        <w:rPr/>
        <w:t>class.</w:t>
      </w:r>
      <w:r>
        <w:rPr>
          <w:spacing w:val="-9"/>
        </w:rPr>
        <w:t> </w:t>
      </w:r>
      <w:r>
        <w:rPr/>
        <w:t>As</w:t>
      </w:r>
      <w:r>
        <w:rPr>
          <w:spacing w:val="-7"/>
        </w:rPr>
        <w:t> </w:t>
      </w:r>
      <w:r>
        <w:rPr/>
        <w:t>a</w:t>
      </w:r>
      <w:r>
        <w:rPr>
          <w:spacing w:val="-7"/>
        </w:rPr>
        <w:t> </w:t>
      </w:r>
      <w:r>
        <w:rPr/>
        <w:t>consequence,</w:t>
      </w:r>
      <w:r>
        <w:rPr>
          <w:spacing w:val="40"/>
        </w:rPr>
        <w:t> </w:t>
      </w:r>
      <w:r>
        <w:rPr/>
        <w:t>consumer</w:t>
      </w:r>
      <w:r>
        <w:rPr>
          <w:spacing w:val="-8"/>
        </w:rPr>
        <w:t> </w:t>
      </w:r>
      <w:r>
        <w:rPr/>
        <w:t>demand</w:t>
      </w:r>
      <w:r>
        <w:rPr>
          <w:spacing w:val="-7"/>
        </w:rPr>
        <w:t> </w:t>
      </w:r>
      <w:r>
        <w:rPr/>
        <w:t>is</w:t>
      </w:r>
      <w:r>
        <w:rPr>
          <w:spacing w:val="-8"/>
        </w:rPr>
        <w:t> </w:t>
      </w:r>
      <w:r>
        <w:rPr/>
        <w:t>shifting</w:t>
      </w:r>
      <w:r>
        <w:rPr>
          <w:spacing w:val="-8"/>
        </w:rPr>
        <w:t> </w:t>
      </w:r>
      <w:r>
        <w:rPr/>
        <w:t>more</w:t>
      </w:r>
      <w:r>
        <w:rPr>
          <w:spacing w:val="-7"/>
        </w:rPr>
        <w:t> </w:t>
      </w:r>
      <w:r>
        <w:rPr/>
        <w:t>towards value-added</w:t>
      </w:r>
      <w:r>
        <w:rPr/>
        <w:t> products</w:t>
      </w:r>
      <w:r>
        <w:rPr/>
        <w:t> from</w:t>
      </w:r>
      <w:r>
        <w:rPr/>
        <w:t> organized sectors such as branded yogurts and specialized nutrition. These VADPs account for 30-40% of total dairy market value (Kotak Mutual Fund, 2026). This report critically analyzes Indian Dairy Sector and evaluates it’s global competitiveness. Then the report strategically assesses the market attractiveness for Nestlé India - a major foreign multinational conglomerate operating in complex Indian dairy landscape.</w:t>
      </w:r>
    </w:p>
    <w:p>
      <w:pPr>
        <w:pStyle w:val="BodyText"/>
        <w:spacing w:before="129"/>
        <w:rPr>
          <w:sz w:val="20"/>
        </w:rPr>
      </w:pPr>
      <w:r>
        <w:rPr>
          <w:sz w:val="20"/>
        </w:rPr>
        <w:drawing>
          <wp:anchor distT="0" distB="0" distL="0" distR="0" allowOverlap="1" layoutInCell="1" locked="0" behindDoc="1" simplePos="0" relativeHeight="487587840">
            <wp:simplePos x="0" y="0"/>
            <wp:positionH relativeFrom="page">
              <wp:posOffset>923920</wp:posOffset>
            </wp:positionH>
            <wp:positionV relativeFrom="paragraph">
              <wp:posOffset>241513</wp:posOffset>
            </wp:positionV>
            <wp:extent cx="5630045" cy="3124200"/>
            <wp:effectExtent l="0" t="0" r="0" b="0"/>
            <wp:wrapTopAndBottom/>
            <wp:docPr id="3" name="Image 3"/>
            <wp:cNvGraphicFramePr>
              <a:graphicFrameLocks/>
            </wp:cNvGraphicFramePr>
            <a:graphic>
              <a:graphicData uri="http://schemas.openxmlformats.org/drawingml/2006/picture">
                <pic:pic>
                  <pic:nvPicPr>
                    <pic:cNvPr id="3" name="Image 3"/>
                    <pic:cNvPicPr/>
                  </pic:nvPicPr>
                  <pic:blipFill>
                    <a:blip r:embed="rId7" cstate="print"/>
                    <a:stretch>
                      <a:fillRect/>
                    </a:stretch>
                  </pic:blipFill>
                  <pic:spPr>
                    <a:xfrm>
                      <a:off x="0" y="0"/>
                      <a:ext cx="5630045" cy="3124200"/>
                    </a:xfrm>
                    <a:prstGeom prst="rect">
                      <a:avLst/>
                    </a:prstGeom>
                  </pic:spPr>
                </pic:pic>
              </a:graphicData>
            </a:graphic>
          </wp:anchor>
        </w:drawing>
      </w:r>
    </w:p>
    <w:p>
      <w:pPr>
        <w:pStyle w:val="BodyText"/>
        <w:spacing w:before="93"/>
        <w:ind w:left="129"/>
      </w:pPr>
      <w:r>
        <w:rPr>
          <w:spacing w:val="-2"/>
        </w:rPr>
        <w:t>(Source:</w:t>
      </w:r>
      <w:r>
        <w:rPr>
          <w:spacing w:val="49"/>
        </w:rPr>
        <w:t> </w:t>
      </w:r>
      <w:hyperlink r:id="rId8">
        <w:r>
          <w:rPr>
            <w:color w:val="000080"/>
            <w:spacing w:val="-2"/>
            <w:u w:val="single" w:color="000080"/>
          </w:rPr>
          <w:t>https://www.kotakmf.com/Information/blogs/india-dairy-industry-overview</w:t>
        </w:r>
      </w:hyperlink>
      <w:r>
        <w:rPr>
          <w:color w:val="000080"/>
          <w:spacing w:val="47"/>
        </w:rPr>
        <w:t> </w:t>
      </w:r>
      <w:r>
        <w:rPr>
          <w:spacing w:val="-10"/>
        </w:rPr>
        <w:t>)</w:t>
      </w:r>
    </w:p>
    <w:p>
      <w:pPr>
        <w:pStyle w:val="BodyText"/>
        <w:spacing w:after="0"/>
        <w:sectPr>
          <w:pgSz w:w="11910" w:h="16840"/>
          <w:pgMar w:header="1066" w:footer="804" w:top="2000" w:bottom="1000" w:left="1417" w:right="1417"/>
        </w:sectPr>
      </w:pPr>
    </w:p>
    <w:p>
      <w:pPr>
        <w:pStyle w:val="Heading1"/>
        <w:numPr>
          <w:ilvl w:val="0"/>
          <w:numId w:val="2"/>
        </w:numPr>
        <w:tabs>
          <w:tab w:pos="491" w:val="left" w:leader="none"/>
        </w:tabs>
        <w:spacing w:line="240" w:lineRule="auto" w:before="246" w:after="0"/>
        <w:ind w:left="491" w:right="0" w:hanging="468"/>
        <w:jc w:val="left"/>
      </w:pPr>
      <w:bookmarkStart w:name="1.0. Dairy Industry in India Overview" w:id="2"/>
      <w:bookmarkEnd w:id="2"/>
      <w:r>
        <w:rPr>
          <w:b w:val="0"/>
        </w:rPr>
      </w:r>
      <w:r>
        <w:rPr/>
        <w:t>Dairy</w:t>
      </w:r>
      <w:r>
        <w:rPr>
          <w:spacing w:val="-7"/>
        </w:rPr>
        <w:t> </w:t>
      </w:r>
      <w:r>
        <w:rPr/>
        <w:t>Industry</w:t>
      </w:r>
      <w:r>
        <w:rPr>
          <w:spacing w:val="-2"/>
        </w:rPr>
        <w:t> </w:t>
      </w:r>
      <w:r>
        <w:rPr/>
        <w:t>in</w:t>
      </w:r>
      <w:r>
        <w:rPr>
          <w:spacing w:val="2"/>
        </w:rPr>
        <w:t> </w:t>
      </w:r>
      <w:r>
        <w:rPr/>
        <w:t>India</w:t>
      </w:r>
      <w:r>
        <w:rPr>
          <w:spacing w:val="1"/>
        </w:rPr>
        <w:t> </w:t>
      </w:r>
      <w:r>
        <w:rPr>
          <w:spacing w:val="-2"/>
        </w:rPr>
        <w:t>Overview</w:t>
      </w:r>
    </w:p>
    <w:p>
      <w:pPr>
        <w:pStyle w:val="BodyText"/>
        <w:spacing w:before="62"/>
        <w:rPr>
          <w:rFonts w:ascii="Arial"/>
          <w:b/>
        </w:rPr>
      </w:pPr>
    </w:p>
    <w:p>
      <w:pPr>
        <w:pStyle w:val="ListParagraph"/>
        <w:numPr>
          <w:ilvl w:val="1"/>
          <w:numId w:val="2"/>
        </w:numPr>
        <w:tabs>
          <w:tab w:pos="489" w:val="left" w:leader="none"/>
        </w:tabs>
        <w:spacing w:line="240" w:lineRule="auto" w:before="0" w:after="0"/>
        <w:ind w:left="489" w:right="0" w:hanging="466"/>
        <w:jc w:val="left"/>
        <w:rPr>
          <w:rFonts w:ascii="Arial"/>
          <w:b/>
          <w:sz w:val="24"/>
        </w:rPr>
      </w:pPr>
      <w:bookmarkStart w:name="1.1  Size, Scope, and Economic Importanc" w:id="3"/>
      <w:bookmarkEnd w:id="3"/>
      <w:r>
        <w:rPr/>
      </w:r>
      <w:r>
        <w:rPr>
          <w:rFonts w:ascii="Arial"/>
          <w:b/>
          <w:sz w:val="24"/>
        </w:rPr>
        <w:t>Size,</w:t>
      </w:r>
      <w:r>
        <w:rPr>
          <w:rFonts w:ascii="Arial"/>
          <w:b/>
          <w:spacing w:val="-2"/>
          <w:sz w:val="24"/>
        </w:rPr>
        <w:t> </w:t>
      </w:r>
      <w:r>
        <w:rPr>
          <w:rFonts w:ascii="Arial"/>
          <w:b/>
          <w:sz w:val="24"/>
        </w:rPr>
        <w:t>Scope,</w:t>
      </w:r>
      <w:r>
        <w:rPr>
          <w:rFonts w:ascii="Arial"/>
          <w:b/>
          <w:spacing w:val="-1"/>
          <w:sz w:val="24"/>
        </w:rPr>
        <w:t> </w:t>
      </w:r>
      <w:r>
        <w:rPr>
          <w:rFonts w:ascii="Arial"/>
          <w:b/>
          <w:sz w:val="24"/>
        </w:rPr>
        <w:t>and</w:t>
      </w:r>
      <w:r>
        <w:rPr>
          <w:rFonts w:ascii="Arial"/>
          <w:b/>
          <w:spacing w:val="-4"/>
          <w:sz w:val="24"/>
        </w:rPr>
        <w:t> </w:t>
      </w:r>
      <w:r>
        <w:rPr>
          <w:rFonts w:ascii="Arial"/>
          <w:b/>
          <w:sz w:val="24"/>
        </w:rPr>
        <w:t>Economic</w:t>
      </w:r>
      <w:r>
        <w:rPr>
          <w:rFonts w:ascii="Arial"/>
          <w:b/>
          <w:spacing w:val="-2"/>
          <w:sz w:val="24"/>
        </w:rPr>
        <w:t> Importance</w:t>
      </w:r>
    </w:p>
    <w:p>
      <w:pPr>
        <w:pStyle w:val="BodyText"/>
        <w:spacing w:before="64"/>
        <w:rPr>
          <w:rFonts w:ascii="Arial"/>
          <w:b/>
        </w:rPr>
      </w:pPr>
    </w:p>
    <w:p>
      <w:pPr>
        <w:pStyle w:val="BodyText"/>
        <w:spacing w:line="367" w:lineRule="auto"/>
        <w:ind w:left="23" w:right="16"/>
        <w:jc w:val="both"/>
      </w:pPr>
      <w:r>
        <w:rPr/>
        <w:t>The Indian dairy industry accounts for roughly a quarter of global production and operates</w:t>
      </w:r>
      <w:r>
        <w:rPr>
          <w:spacing w:val="-2"/>
        </w:rPr>
        <w:t> </w:t>
      </w:r>
      <w:r>
        <w:rPr/>
        <w:t>on</w:t>
      </w:r>
      <w:r>
        <w:rPr>
          <w:spacing w:val="-4"/>
        </w:rPr>
        <w:t> </w:t>
      </w:r>
      <w:r>
        <w:rPr/>
        <w:t>an</w:t>
      </w:r>
      <w:r>
        <w:rPr>
          <w:spacing w:val="-2"/>
        </w:rPr>
        <w:t> </w:t>
      </w:r>
      <w:r>
        <w:rPr/>
        <w:t>unprecedented</w:t>
      </w:r>
      <w:r>
        <w:rPr>
          <w:spacing w:val="-2"/>
        </w:rPr>
        <w:t> </w:t>
      </w:r>
      <w:r>
        <w:rPr/>
        <w:t>scale</w:t>
      </w:r>
      <w:r>
        <w:rPr>
          <w:spacing w:val="-2"/>
        </w:rPr>
        <w:t> </w:t>
      </w:r>
      <w:r>
        <w:rPr/>
        <w:t>(Brickwork</w:t>
      </w:r>
      <w:r>
        <w:rPr>
          <w:spacing w:val="-3"/>
        </w:rPr>
        <w:t> </w:t>
      </w:r>
      <w:r>
        <w:rPr/>
        <w:t>Ratings,</w:t>
      </w:r>
      <w:r>
        <w:rPr>
          <w:spacing w:val="-2"/>
        </w:rPr>
        <w:t> </w:t>
      </w:r>
      <w:r>
        <w:rPr/>
        <w:t>2025).</w:t>
      </w:r>
      <w:r>
        <w:rPr>
          <w:spacing w:val="-3"/>
        </w:rPr>
        <w:t> </w:t>
      </w:r>
      <w:r>
        <w:rPr/>
        <w:t>It</w:t>
      </w:r>
      <w:r>
        <w:rPr>
          <w:spacing w:val="-4"/>
        </w:rPr>
        <w:t> </w:t>
      </w:r>
      <w:r>
        <w:rPr/>
        <w:t>was valued</w:t>
      </w:r>
      <w:r>
        <w:rPr>
          <w:spacing w:val="-2"/>
        </w:rPr>
        <w:t> </w:t>
      </w:r>
      <w:r>
        <w:rPr/>
        <w:t>at</w:t>
      </w:r>
      <w:r>
        <w:rPr>
          <w:spacing w:val="-2"/>
        </w:rPr>
        <w:t> </w:t>
      </w:r>
      <w:r>
        <w:rPr/>
        <w:t>over INR 21 trillion in 2025 and is projected to grow at a robust compound annual growth rate</w:t>
      </w:r>
      <w:r>
        <w:rPr>
          <w:spacing w:val="-7"/>
        </w:rPr>
        <w:t> </w:t>
      </w:r>
      <w:r>
        <w:rPr/>
        <w:t>(CAGR)</w:t>
      </w:r>
      <w:r>
        <w:rPr>
          <w:spacing w:val="-10"/>
        </w:rPr>
        <w:t> </w:t>
      </w:r>
      <w:r>
        <w:rPr/>
        <w:t>of</w:t>
      </w:r>
      <w:r>
        <w:rPr>
          <w:spacing w:val="-7"/>
        </w:rPr>
        <w:t> </w:t>
      </w:r>
      <w:r>
        <w:rPr/>
        <w:t>approximately</w:t>
      </w:r>
      <w:r>
        <w:rPr>
          <w:spacing w:val="-10"/>
        </w:rPr>
        <w:t> </w:t>
      </w:r>
      <w:r>
        <w:rPr/>
        <w:t>11.8%</w:t>
      </w:r>
      <w:r>
        <w:rPr>
          <w:spacing w:val="-7"/>
        </w:rPr>
        <w:t> </w:t>
      </w:r>
      <w:r>
        <w:rPr/>
        <w:t>to</w:t>
      </w:r>
      <w:r>
        <w:rPr>
          <w:spacing w:val="-9"/>
        </w:rPr>
        <w:t> </w:t>
      </w:r>
      <w:r>
        <w:rPr/>
        <w:t>12.35%</w:t>
      </w:r>
      <w:r>
        <w:rPr>
          <w:spacing w:val="-7"/>
        </w:rPr>
        <w:t> </w:t>
      </w:r>
      <w:r>
        <w:rPr/>
        <w:t>through</w:t>
      </w:r>
      <w:r>
        <w:rPr>
          <w:spacing w:val="-7"/>
        </w:rPr>
        <w:t> </w:t>
      </w:r>
      <w:r>
        <w:rPr/>
        <w:t>the</w:t>
      </w:r>
      <w:r>
        <w:rPr>
          <w:spacing w:val="-9"/>
        </w:rPr>
        <w:t> </w:t>
      </w:r>
      <w:r>
        <w:rPr/>
        <w:t>next</w:t>
      </w:r>
      <w:r>
        <w:rPr>
          <w:spacing w:val="-7"/>
        </w:rPr>
        <w:t> </w:t>
      </w:r>
      <w:r>
        <w:rPr/>
        <w:t>decade.</w:t>
      </w:r>
      <w:r>
        <w:rPr>
          <w:spacing w:val="-9"/>
        </w:rPr>
        <w:t> </w:t>
      </w:r>
      <w:r>
        <w:rPr/>
        <w:t>Dairy</w:t>
      </w:r>
      <w:r>
        <w:rPr>
          <w:spacing w:val="-10"/>
        </w:rPr>
        <w:t> </w:t>
      </w:r>
      <w:r>
        <w:rPr/>
        <w:t>sector has a massive macroeconomic significance in Indian Economy as it contributes approximately 4% to 5% to India's total GDP and accounts for nearly 25% of the agricultural GDP.</w:t>
      </w:r>
    </w:p>
    <w:p>
      <w:pPr>
        <w:pStyle w:val="BodyText"/>
        <w:spacing w:before="5"/>
        <w:rPr>
          <w:sz w:val="14"/>
        </w:rPr>
      </w:pPr>
      <w:r>
        <w:rPr>
          <w:sz w:val="14"/>
        </w:rPr>
        <w:drawing>
          <wp:anchor distT="0" distB="0" distL="0" distR="0" allowOverlap="1" layoutInCell="1" locked="0" behindDoc="1" simplePos="0" relativeHeight="487588352">
            <wp:simplePos x="0" y="0"/>
            <wp:positionH relativeFrom="page">
              <wp:posOffset>914400</wp:posOffset>
            </wp:positionH>
            <wp:positionV relativeFrom="paragraph">
              <wp:posOffset>119262</wp:posOffset>
            </wp:positionV>
            <wp:extent cx="5732043" cy="2950940"/>
            <wp:effectExtent l="0" t="0" r="0" b="0"/>
            <wp:wrapTopAndBottom/>
            <wp:docPr id="4" name="Image 4"/>
            <wp:cNvGraphicFramePr>
              <a:graphicFrameLocks/>
            </wp:cNvGraphicFramePr>
            <a:graphic>
              <a:graphicData uri="http://schemas.openxmlformats.org/drawingml/2006/picture">
                <pic:pic>
                  <pic:nvPicPr>
                    <pic:cNvPr id="4" name="Image 4"/>
                    <pic:cNvPicPr/>
                  </pic:nvPicPr>
                  <pic:blipFill>
                    <a:blip r:embed="rId9" cstate="print"/>
                    <a:stretch>
                      <a:fillRect/>
                    </a:stretch>
                  </pic:blipFill>
                  <pic:spPr>
                    <a:xfrm>
                      <a:off x="0" y="0"/>
                      <a:ext cx="5732043" cy="2950940"/>
                    </a:xfrm>
                    <a:prstGeom prst="rect">
                      <a:avLst/>
                    </a:prstGeom>
                  </pic:spPr>
                </pic:pic>
              </a:graphicData>
            </a:graphic>
          </wp:anchor>
        </w:drawing>
      </w:r>
    </w:p>
    <w:p>
      <w:pPr>
        <w:spacing w:before="188"/>
        <w:ind w:left="580" w:right="0" w:firstLine="0"/>
        <w:jc w:val="left"/>
        <w:rPr>
          <w:sz w:val="22"/>
        </w:rPr>
      </w:pPr>
      <w:r>
        <w:rPr>
          <w:spacing w:val="-2"/>
          <w:sz w:val="22"/>
        </w:rPr>
        <w:t>(Source:</w:t>
      </w:r>
      <w:r>
        <w:rPr>
          <w:spacing w:val="42"/>
          <w:sz w:val="22"/>
        </w:rPr>
        <w:t> </w:t>
      </w:r>
      <w:hyperlink r:id="rId10">
        <w:r>
          <w:rPr>
            <w:color w:val="000080"/>
            <w:spacing w:val="-2"/>
            <w:sz w:val="22"/>
            <w:u w:val="single" w:color="000080"/>
          </w:rPr>
          <w:t>https://www.mordorintelligence.com/industry-reports/india-dairy-market</w:t>
        </w:r>
      </w:hyperlink>
      <w:r>
        <w:rPr>
          <w:color w:val="000080"/>
          <w:spacing w:val="37"/>
          <w:sz w:val="22"/>
        </w:rPr>
        <w:t> </w:t>
      </w:r>
      <w:r>
        <w:rPr>
          <w:spacing w:val="-10"/>
          <w:sz w:val="22"/>
        </w:rPr>
        <w:t>)</w:t>
      </w:r>
    </w:p>
    <w:p>
      <w:pPr>
        <w:pStyle w:val="BodyText"/>
        <w:spacing w:before="59"/>
      </w:pPr>
    </w:p>
    <w:p>
      <w:pPr>
        <w:pStyle w:val="BodyText"/>
        <w:spacing w:line="367" w:lineRule="auto"/>
        <w:ind w:left="23" w:right="23"/>
        <w:jc w:val="both"/>
      </w:pPr>
      <w:r>
        <w:rPr/>
        <w:t>Beyond</w:t>
      </w:r>
      <w:r>
        <w:rPr>
          <w:spacing w:val="-5"/>
        </w:rPr>
        <w:t> </w:t>
      </w:r>
      <w:r>
        <w:rPr/>
        <w:t>economy,</w:t>
      </w:r>
      <w:r>
        <w:rPr>
          <w:spacing w:val="-3"/>
        </w:rPr>
        <w:t> </w:t>
      </w:r>
      <w:r>
        <w:rPr/>
        <w:t>the</w:t>
      </w:r>
      <w:r>
        <w:rPr>
          <w:spacing w:val="-5"/>
        </w:rPr>
        <w:t> </w:t>
      </w:r>
      <w:r>
        <w:rPr/>
        <w:t>dairy</w:t>
      </w:r>
      <w:r>
        <w:rPr>
          <w:spacing w:val="-5"/>
        </w:rPr>
        <w:t> </w:t>
      </w:r>
      <w:r>
        <w:rPr/>
        <w:t>sector</w:t>
      </w:r>
      <w:r>
        <w:rPr>
          <w:spacing w:val="-4"/>
        </w:rPr>
        <w:t> </w:t>
      </w:r>
      <w:r>
        <w:rPr/>
        <w:t>is</w:t>
      </w:r>
      <w:r>
        <w:rPr>
          <w:spacing w:val="-4"/>
        </w:rPr>
        <w:t> </w:t>
      </w:r>
      <w:r>
        <w:rPr/>
        <w:t>deeply</w:t>
      </w:r>
      <w:r>
        <w:rPr>
          <w:spacing w:val="-5"/>
        </w:rPr>
        <w:t> </w:t>
      </w:r>
      <w:r>
        <w:rPr/>
        <w:t>intertwined</w:t>
      </w:r>
      <w:r>
        <w:rPr>
          <w:spacing w:val="-3"/>
        </w:rPr>
        <w:t> </w:t>
      </w:r>
      <w:r>
        <w:rPr/>
        <w:t>with</w:t>
      </w:r>
      <w:r>
        <w:rPr>
          <w:spacing w:val="-3"/>
        </w:rPr>
        <w:t> </w:t>
      </w:r>
      <w:r>
        <w:rPr/>
        <w:t>India's</w:t>
      </w:r>
      <w:r>
        <w:rPr>
          <w:spacing w:val="-5"/>
        </w:rPr>
        <w:t> </w:t>
      </w:r>
      <w:r>
        <w:rPr/>
        <w:t>social</w:t>
      </w:r>
      <w:r>
        <w:rPr>
          <w:spacing w:val="-5"/>
        </w:rPr>
        <w:t> </w:t>
      </w:r>
      <w:r>
        <w:rPr/>
        <w:t>fabric.</w:t>
      </w:r>
      <w:r>
        <w:rPr>
          <w:spacing w:val="-3"/>
        </w:rPr>
        <w:t> </w:t>
      </w:r>
      <w:r>
        <w:rPr/>
        <w:t>As</w:t>
      </w:r>
      <w:r>
        <w:rPr>
          <w:spacing w:val="-7"/>
        </w:rPr>
        <w:t> </w:t>
      </w:r>
      <w:r>
        <w:rPr/>
        <w:t>a result of massively successful ‘Operation Flood’ in 1970-72 and the ongoing ‘White Revolution</w:t>
      </w:r>
      <w:r>
        <w:rPr>
          <w:spacing w:val="-12"/>
        </w:rPr>
        <w:t> </w:t>
      </w:r>
      <w:r>
        <w:rPr/>
        <w:t>2.0'</w:t>
      </w:r>
      <w:r>
        <w:rPr>
          <w:spacing w:val="35"/>
        </w:rPr>
        <w:t> </w:t>
      </w:r>
      <w:r>
        <w:rPr/>
        <w:t>of</w:t>
      </w:r>
      <w:r>
        <w:rPr>
          <w:spacing w:val="-10"/>
        </w:rPr>
        <w:t> </w:t>
      </w:r>
      <w:r>
        <w:rPr/>
        <w:t>late</w:t>
      </w:r>
      <w:r>
        <w:rPr>
          <w:spacing w:val="-15"/>
        </w:rPr>
        <w:t> </w:t>
      </w:r>
      <w:r>
        <w:rPr/>
        <w:t>2024,</w:t>
      </w:r>
      <w:r>
        <w:rPr>
          <w:spacing w:val="-13"/>
        </w:rPr>
        <w:t> </w:t>
      </w:r>
      <w:r>
        <w:rPr/>
        <w:t>the</w:t>
      </w:r>
      <w:r>
        <w:rPr>
          <w:spacing w:val="-12"/>
        </w:rPr>
        <w:t> </w:t>
      </w:r>
      <w:r>
        <w:rPr/>
        <w:t>industry</w:t>
      </w:r>
      <w:r>
        <w:rPr>
          <w:spacing w:val="-16"/>
        </w:rPr>
        <w:t> </w:t>
      </w:r>
      <w:r>
        <w:rPr/>
        <w:t>currently</w:t>
      </w:r>
      <w:r>
        <w:rPr>
          <w:spacing w:val="-15"/>
        </w:rPr>
        <w:t> </w:t>
      </w:r>
      <w:r>
        <w:rPr/>
        <w:t>relies</w:t>
      </w:r>
      <w:r>
        <w:rPr>
          <w:spacing w:val="-13"/>
        </w:rPr>
        <w:t> </w:t>
      </w:r>
      <w:r>
        <w:rPr/>
        <w:t>on</w:t>
      </w:r>
      <w:r>
        <w:rPr>
          <w:spacing w:val="-15"/>
        </w:rPr>
        <w:t> </w:t>
      </w:r>
      <w:r>
        <w:rPr/>
        <w:t>a</w:t>
      </w:r>
      <w:r>
        <w:rPr>
          <w:spacing w:val="-12"/>
        </w:rPr>
        <w:t> </w:t>
      </w:r>
      <w:r>
        <w:rPr/>
        <w:t>decentralized</w:t>
      </w:r>
      <w:r>
        <w:rPr>
          <w:spacing w:val="-12"/>
        </w:rPr>
        <w:t> </w:t>
      </w:r>
      <w:r>
        <w:rPr/>
        <w:t>production model (PIB, 2025). The milk production is mainly dominated by small and marginal farmers, who typically owns just one or two animals.</w:t>
      </w:r>
      <w:r>
        <w:rPr>
          <w:spacing w:val="-1"/>
        </w:rPr>
        <w:t> </w:t>
      </w:r>
      <w:r>
        <w:rPr/>
        <w:t>This</w:t>
      </w:r>
      <w:r>
        <w:rPr>
          <w:spacing w:val="-2"/>
        </w:rPr>
        <w:t> </w:t>
      </w:r>
      <w:r>
        <w:rPr/>
        <w:t>model has</w:t>
      </w:r>
      <w:r>
        <w:rPr>
          <w:spacing w:val="-2"/>
        </w:rPr>
        <w:t> </w:t>
      </w:r>
      <w:r>
        <w:rPr/>
        <w:t>strong</w:t>
      </w:r>
      <w:r>
        <w:rPr>
          <w:spacing w:val="-1"/>
        </w:rPr>
        <w:t> </w:t>
      </w:r>
      <w:r>
        <w:rPr/>
        <w:t>and deep rural reach and it is a critical driver of women's employment in the agricultural sector (Brickwork Ratings, 2025).</w:t>
      </w:r>
    </w:p>
    <w:p>
      <w:pPr>
        <w:pStyle w:val="BodyText"/>
        <w:spacing w:after="0" w:line="367" w:lineRule="auto"/>
        <w:jc w:val="both"/>
        <w:sectPr>
          <w:pgSz w:w="11910" w:h="16840"/>
          <w:pgMar w:header="1066" w:footer="804" w:top="2000" w:bottom="1000" w:left="1417" w:right="1417"/>
        </w:sectPr>
      </w:pPr>
    </w:p>
    <w:p>
      <w:pPr>
        <w:pStyle w:val="BodyText"/>
        <w:spacing w:before="21"/>
        <w:rPr>
          <w:sz w:val="20"/>
        </w:rPr>
      </w:pPr>
    </w:p>
    <w:p>
      <w:pPr>
        <w:pStyle w:val="BodyText"/>
        <w:ind w:left="23" w:right="-29"/>
        <w:rPr>
          <w:sz w:val="20"/>
        </w:rPr>
      </w:pPr>
      <w:r>
        <w:rPr>
          <w:sz w:val="20"/>
        </w:rPr>
        <w:drawing>
          <wp:inline distT="0" distB="0" distL="0" distR="0">
            <wp:extent cx="5734784" cy="4448175"/>
            <wp:effectExtent l="0" t="0" r="0" b="0"/>
            <wp:docPr id="5" name="Image 5"/>
            <wp:cNvGraphicFramePr>
              <a:graphicFrameLocks/>
            </wp:cNvGraphicFramePr>
            <a:graphic>
              <a:graphicData uri="http://schemas.openxmlformats.org/drawingml/2006/picture">
                <pic:pic>
                  <pic:nvPicPr>
                    <pic:cNvPr id="5" name="Image 5"/>
                    <pic:cNvPicPr/>
                  </pic:nvPicPr>
                  <pic:blipFill>
                    <a:blip r:embed="rId11" cstate="print"/>
                    <a:stretch>
                      <a:fillRect/>
                    </a:stretch>
                  </pic:blipFill>
                  <pic:spPr>
                    <a:xfrm>
                      <a:off x="0" y="0"/>
                      <a:ext cx="5734784" cy="4448175"/>
                    </a:xfrm>
                    <a:prstGeom prst="rect">
                      <a:avLst/>
                    </a:prstGeom>
                  </pic:spPr>
                </pic:pic>
              </a:graphicData>
            </a:graphic>
          </wp:inline>
        </w:drawing>
      </w:r>
      <w:r>
        <w:rPr>
          <w:sz w:val="20"/>
        </w:rPr>
      </w:r>
    </w:p>
    <w:p>
      <w:pPr>
        <w:pStyle w:val="BodyText"/>
        <w:spacing w:before="2"/>
        <w:ind w:left="129"/>
      </w:pPr>
      <w:r>
        <w:rPr>
          <w:spacing w:val="-2"/>
        </w:rPr>
        <w:t>(Source:</w:t>
      </w:r>
      <w:r>
        <w:rPr>
          <w:spacing w:val="50"/>
        </w:rPr>
        <w:t> </w:t>
      </w:r>
      <w:hyperlink r:id="rId8">
        <w:r>
          <w:rPr>
            <w:color w:val="000080"/>
            <w:spacing w:val="-2"/>
            <w:u w:val="single" w:color="000080"/>
          </w:rPr>
          <w:t>https://www.kotakmf.com/Information/blogs/india-dairy-industry-overview</w:t>
        </w:r>
      </w:hyperlink>
      <w:r>
        <w:rPr>
          <w:color w:val="000080"/>
          <w:spacing w:val="48"/>
        </w:rPr>
        <w:t> </w:t>
      </w:r>
      <w:r>
        <w:rPr>
          <w:spacing w:val="-10"/>
        </w:rPr>
        <w:t>)</w:t>
      </w:r>
    </w:p>
    <w:p>
      <w:pPr>
        <w:pStyle w:val="BodyText"/>
        <w:spacing w:before="71"/>
      </w:pPr>
    </w:p>
    <w:p>
      <w:pPr>
        <w:pStyle w:val="BodyText"/>
        <w:ind w:left="23"/>
        <w:jc w:val="both"/>
      </w:pPr>
      <w:r>
        <w:rPr/>
        <w:t>The</w:t>
      </w:r>
      <w:r>
        <w:rPr>
          <w:spacing w:val="-1"/>
        </w:rPr>
        <w:t> </w:t>
      </w:r>
      <w:r>
        <w:rPr/>
        <w:t>industry</w:t>
      </w:r>
      <w:r>
        <w:rPr>
          <w:spacing w:val="-3"/>
        </w:rPr>
        <w:t> </w:t>
      </w:r>
      <w:r>
        <w:rPr/>
        <w:t>is</w:t>
      </w:r>
      <w:r>
        <w:rPr>
          <w:spacing w:val="-1"/>
        </w:rPr>
        <w:t> </w:t>
      </w:r>
      <w:r>
        <w:rPr/>
        <w:t>structured in</w:t>
      </w:r>
      <w:r>
        <w:rPr>
          <w:spacing w:val="-2"/>
        </w:rPr>
        <w:t> </w:t>
      </w:r>
      <w:r>
        <w:rPr/>
        <w:t>2</w:t>
      </w:r>
      <w:r>
        <w:rPr>
          <w:spacing w:val="-1"/>
        </w:rPr>
        <w:t> </w:t>
      </w:r>
      <w:r>
        <w:rPr/>
        <w:t>bifurcations</w:t>
      </w:r>
      <w:r>
        <w:rPr>
          <w:spacing w:val="-1"/>
        </w:rPr>
        <w:t> </w:t>
      </w:r>
      <w:r>
        <w:rPr>
          <w:spacing w:val="-10"/>
        </w:rPr>
        <w:t>:</w:t>
      </w:r>
    </w:p>
    <w:p>
      <w:pPr>
        <w:pStyle w:val="BodyText"/>
        <w:spacing w:before="65"/>
      </w:pPr>
    </w:p>
    <w:p>
      <w:pPr>
        <w:pStyle w:val="ListParagraph"/>
        <w:numPr>
          <w:ilvl w:val="2"/>
          <w:numId w:val="2"/>
        </w:numPr>
        <w:tabs>
          <w:tab w:pos="743" w:val="left" w:leader="none"/>
        </w:tabs>
        <w:spacing w:line="360" w:lineRule="auto" w:before="0" w:after="0"/>
        <w:ind w:left="743" w:right="23" w:hanging="360"/>
        <w:jc w:val="both"/>
        <w:rPr>
          <w:sz w:val="24"/>
        </w:rPr>
      </w:pPr>
      <w:r>
        <w:rPr>
          <w:rFonts w:ascii="Arial" w:hAnsi="Arial"/>
          <w:b/>
          <w:sz w:val="24"/>
        </w:rPr>
        <w:t>The</w:t>
      </w:r>
      <w:r>
        <w:rPr>
          <w:rFonts w:ascii="Arial" w:hAnsi="Arial"/>
          <w:b/>
          <w:spacing w:val="-1"/>
          <w:sz w:val="24"/>
        </w:rPr>
        <w:t> </w:t>
      </w:r>
      <w:r>
        <w:rPr>
          <w:rFonts w:ascii="Arial" w:hAnsi="Arial"/>
          <w:b/>
          <w:sz w:val="24"/>
        </w:rPr>
        <w:t>traditional</w:t>
      </w:r>
      <w:r>
        <w:rPr>
          <w:rFonts w:ascii="Arial" w:hAnsi="Arial"/>
          <w:b/>
          <w:spacing w:val="-1"/>
          <w:sz w:val="24"/>
        </w:rPr>
        <w:t> </w:t>
      </w:r>
      <w:r>
        <w:rPr>
          <w:rFonts w:ascii="Arial" w:hAnsi="Arial"/>
          <w:b/>
          <w:sz w:val="24"/>
        </w:rPr>
        <w:t>sector: </w:t>
      </w:r>
      <w:r>
        <w:rPr>
          <w:sz w:val="24"/>
        </w:rPr>
        <w:t>which is unorganized and</w:t>
      </w:r>
      <w:r>
        <w:rPr>
          <w:spacing w:val="40"/>
          <w:sz w:val="24"/>
        </w:rPr>
        <w:t> </w:t>
      </w:r>
      <w:r>
        <w:rPr>
          <w:sz w:val="24"/>
        </w:rPr>
        <w:t>comprises of local vendors and self-consumption; this sector still handles an estimated 80% of the milk </w:t>
      </w:r>
      <w:r>
        <w:rPr>
          <w:spacing w:val="-2"/>
          <w:sz w:val="24"/>
        </w:rPr>
        <w:t>supply.</w:t>
      </w:r>
    </w:p>
    <w:p>
      <w:pPr>
        <w:pStyle w:val="ListParagraph"/>
        <w:numPr>
          <w:ilvl w:val="2"/>
          <w:numId w:val="2"/>
        </w:numPr>
        <w:tabs>
          <w:tab w:pos="743" w:val="left" w:leader="none"/>
        </w:tabs>
        <w:spacing w:line="355" w:lineRule="auto" w:before="201" w:after="0"/>
        <w:ind w:left="743" w:right="24" w:hanging="360"/>
        <w:jc w:val="both"/>
        <w:rPr>
          <w:sz w:val="24"/>
        </w:rPr>
      </w:pPr>
      <w:r>
        <w:rPr>
          <w:rFonts w:ascii="Arial" w:hAnsi="Arial"/>
          <w:b/>
          <w:sz w:val="24"/>
        </w:rPr>
        <w:t>The formal Sector: </w:t>
      </w:r>
      <w:r>
        <w:rPr>
          <w:sz w:val="24"/>
        </w:rPr>
        <w:t>Which is organized and handles only 20% of the milk </w:t>
      </w:r>
      <w:r>
        <w:rPr>
          <w:spacing w:val="-2"/>
          <w:sz w:val="24"/>
        </w:rPr>
        <w:t>supply.</w:t>
      </w:r>
    </w:p>
    <w:p>
      <w:pPr>
        <w:pStyle w:val="BodyText"/>
        <w:spacing w:line="364" w:lineRule="auto" w:before="211"/>
        <w:ind w:left="23" w:right="16"/>
        <w:jc w:val="both"/>
      </w:pPr>
      <w:r>
        <w:rPr/>
        <w:t>However,</w:t>
      </w:r>
      <w:r>
        <w:rPr>
          <w:spacing w:val="-12"/>
        </w:rPr>
        <w:t> </w:t>
      </w:r>
      <w:r>
        <w:rPr/>
        <w:t>recent</w:t>
      </w:r>
      <w:r>
        <w:rPr>
          <w:spacing w:val="-11"/>
        </w:rPr>
        <w:t> </w:t>
      </w:r>
      <w:r>
        <w:rPr/>
        <w:t>changes</w:t>
      </w:r>
      <w:r>
        <w:rPr>
          <w:spacing w:val="-12"/>
        </w:rPr>
        <w:t> </w:t>
      </w:r>
      <w:r>
        <w:rPr/>
        <w:t>like</w:t>
      </w:r>
      <w:r>
        <w:rPr>
          <w:spacing w:val="-11"/>
        </w:rPr>
        <w:t> </w:t>
      </w:r>
      <w:r>
        <w:rPr/>
        <w:t>rapid</w:t>
      </w:r>
      <w:r>
        <w:rPr>
          <w:spacing w:val="-11"/>
        </w:rPr>
        <w:t> </w:t>
      </w:r>
      <w:r>
        <w:rPr/>
        <w:t>urbanization,</w:t>
      </w:r>
      <w:r>
        <w:rPr>
          <w:spacing w:val="-11"/>
        </w:rPr>
        <w:t> </w:t>
      </w:r>
      <w:r>
        <w:rPr/>
        <w:t>rising</w:t>
      </w:r>
      <w:r>
        <w:rPr>
          <w:spacing w:val="-13"/>
        </w:rPr>
        <w:t> </w:t>
      </w:r>
      <w:r>
        <w:rPr/>
        <w:t>purchasing</w:t>
      </w:r>
      <w:r>
        <w:rPr>
          <w:spacing w:val="-13"/>
        </w:rPr>
        <w:t> </w:t>
      </w:r>
      <w:r>
        <w:rPr/>
        <w:t>power</w:t>
      </w:r>
      <w:r>
        <w:rPr>
          <w:spacing w:val="-12"/>
        </w:rPr>
        <w:t> </w:t>
      </w:r>
      <w:r>
        <w:rPr/>
        <w:t>and</w:t>
      </w:r>
      <w:r>
        <w:rPr>
          <w:spacing w:val="-11"/>
        </w:rPr>
        <w:t> </w:t>
      </w:r>
      <w:r>
        <w:rPr/>
        <w:t>general population becoming health conscious have introduced fundamental change in the overall environment. Consumers are increasingly transitioning away from raw milk based organized sector and toward the organized sector's Value-Added</w:t>
      </w:r>
      <w:r>
        <w:rPr/>
        <w:t> Dairy Products</w:t>
      </w:r>
      <w:r>
        <w:rPr>
          <w:spacing w:val="40"/>
        </w:rPr>
        <w:t> </w:t>
      </w:r>
      <w:r>
        <w:rPr/>
        <w:t>(VADP)</w:t>
      </w:r>
      <w:r>
        <w:rPr>
          <w:spacing w:val="40"/>
        </w:rPr>
        <w:t> </w:t>
      </w:r>
      <w:r>
        <w:rPr/>
        <w:t>such</w:t>
      </w:r>
      <w:r>
        <w:rPr>
          <w:spacing w:val="40"/>
        </w:rPr>
        <w:t> </w:t>
      </w:r>
      <w:r>
        <w:rPr/>
        <w:t>as</w:t>
      </w:r>
      <w:r>
        <w:rPr>
          <w:spacing w:val="40"/>
        </w:rPr>
        <w:t> </w:t>
      </w:r>
      <w:r>
        <w:rPr/>
        <w:t>packaged</w:t>
      </w:r>
      <w:r>
        <w:rPr>
          <w:spacing w:val="40"/>
        </w:rPr>
        <w:t> </w:t>
      </w:r>
      <w:r>
        <w:rPr/>
        <w:t>paneer,</w:t>
      </w:r>
      <w:r>
        <w:rPr>
          <w:spacing w:val="40"/>
        </w:rPr>
        <w:t> </w:t>
      </w:r>
      <w:r>
        <w:rPr/>
        <w:t>probiotic</w:t>
      </w:r>
      <w:r>
        <w:rPr>
          <w:spacing w:val="40"/>
        </w:rPr>
        <w:t> </w:t>
      </w:r>
      <w:r>
        <w:rPr/>
        <w:t>curds</w:t>
      </w:r>
      <w:r>
        <w:rPr>
          <w:spacing w:val="40"/>
        </w:rPr>
        <w:t> </w:t>
      </w:r>
      <w:r>
        <w:rPr/>
        <w:t>and</w:t>
      </w:r>
      <w:r>
        <w:rPr>
          <w:spacing w:val="40"/>
        </w:rPr>
        <w:t> </w:t>
      </w:r>
      <w:r>
        <w:rPr/>
        <w:t>cheese</w:t>
      </w:r>
      <w:r>
        <w:rPr>
          <w:spacing w:val="40"/>
        </w:rPr>
        <w:t> </w:t>
      </w:r>
      <w:r>
        <w:rPr/>
        <w:t>(MoFPI,</w:t>
      </w:r>
    </w:p>
    <w:p>
      <w:pPr>
        <w:pStyle w:val="BodyText"/>
        <w:spacing w:after="0" w:line="364" w:lineRule="auto"/>
        <w:jc w:val="both"/>
        <w:sectPr>
          <w:pgSz w:w="11910" w:h="16840"/>
          <w:pgMar w:header="1066" w:footer="804" w:top="2000" w:bottom="1000" w:left="1417" w:right="1417"/>
        </w:sectPr>
      </w:pPr>
    </w:p>
    <w:p>
      <w:pPr>
        <w:pStyle w:val="BodyText"/>
        <w:spacing w:line="369" w:lineRule="auto" w:before="247"/>
        <w:ind w:left="23" w:right="23"/>
      </w:pPr>
      <w:r>
        <w:rPr/>
        <w:t>2025). This transition presents immense growth potential for formal market players</w:t>
      </w:r>
      <w:r>
        <w:rPr>
          <w:spacing w:val="40"/>
        </w:rPr>
        <w:t> </w:t>
      </w:r>
      <w:r>
        <w:rPr/>
        <w:t>and multinational corporations (USDA/FAS, 2025).</w:t>
      </w:r>
    </w:p>
    <w:p>
      <w:pPr>
        <w:pStyle w:val="BodyText"/>
        <w:spacing w:before="9"/>
        <w:rPr>
          <w:sz w:val="14"/>
        </w:rPr>
      </w:pPr>
      <w:r>
        <w:rPr>
          <w:sz w:val="14"/>
        </w:rPr>
        <w:drawing>
          <wp:anchor distT="0" distB="0" distL="0" distR="0" allowOverlap="1" layoutInCell="1" locked="0" behindDoc="1" simplePos="0" relativeHeight="487588864">
            <wp:simplePos x="0" y="0"/>
            <wp:positionH relativeFrom="page">
              <wp:posOffset>1219835</wp:posOffset>
            </wp:positionH>
            <wp:positionV relativeFrom="paragraph">
              <wp:posOffset>121626</wp:posOffset>
            </wp:positionV>
            <wp:extent cx="5139221" cy="2928270"/>
            <wp:effectExtent l="0" t="0" r="0" b="0"/>
            <wp:wrapTopAndBottom/>
            <wp:docPr id="6" name="Image 6"/>
            <wp:cNvGraphicFramePr>
              <a:graphicFrameLocks/>
            </wp:cNvGraphicFramePr>
            <a:graphic>
              <a:graphicData uri="http://schemas.openxmlformats.org/drawingml/2006/picture">
                <pic:pic>
                  <pic:nvPicPr>
                    <pic:cNvPr id="6" name="Image 6"/>
                    <pic:cNvPicPr/>
                  </pic:nvPicPr>
                  <pic:blipFill>
                    <a:blip r:embed="rId12" cstate="print"/>
                    <a:stretch>
                      <a:fillRect/>
                    </a:stretch>
                  </pic:blipFill>
                  <pic:spPr>
                    <a:xfrm>
                      <a:off x="0" y="0"/>
                      <a:ext cx="5139221" cy="2928270"/>
                    </a:xfrm>
                    <a:prstGeom prst="rect">
                      <a:avLst/>
                    </a:prstGeom>
                  </pic:spPr>
                </pic:pic>
              </a:graphicData>
            </a:graphic>
          </wp:anchor>
        </w:drawing>
      </w:r>
    </w:p>
    <w:p>
      <w:pPr>
        <w:spacing w:before="7"/>
        <w:ind w:left="361" w:right="0" w:firstLine="0"/>
        <w:jc w:val="left"/>
        <w:rPr>
          <w:sz w:val="20"/>
        </w:rPr>
      </w:pPr>
      <w:r>
        <w:rPr>
          <w:spacing w:val="-2"/>
          <w:sz w:val="20"/>
        </w:rPr>
        <w:t>(Source:</w:t>
      </w:r>
      <w:r>
        <w:rPr>
          <w:spacing w:val="44"/>
          <w:sz w:val="20"/>
        </w:rPr>
        <w:t> </w:t>
      </w:r>
      <w:hyperlink r:id="rId13">
        <w:r>
          <w:rPr>
            <w:color w:val="000080"/>
            <w:spacing w:val="-2"/>
            <w:sz w:val="20"/>
            <w:u w:val="single" w:color="000080"/>
          </w:rPr>
          <w:t>https://www.coherentmarketinsights.com/market-insight/dairy-products-market-5036</w:t>
        </w:r>
      </w:hyperlink>
      <w:r>
        <w:rPr>
          <w:color w:val="000080"/>
          <w:spacing w:val="44"/>
          <w:sz w:val="20"/>
        </w:rPr>
        <w:t> </w:t>
      </w:r>
      <w:r>
        <w:rPr>
          <w:spacing w:val="-10"/>
          <w:sz w:val="20"/>
        </w:rPr>
        <w:t>)</w:t>
      </w:r>
    </w:p>
    <w:p>
      <w:pPr>
        <w:pStyle w:val="BodyText"/>
      </w:pPr>
    </w:p>
    <w:p>
      <w:pPr>
        <w:pStyle w:val="BodyText"/>
      </w:pPr>
    </w:p>
    <w:p>
      <w:pPr>
        <w:pStyle w:val="BodyText"/>
        <w:spacing w:before="116"/>
      </w:pPr>
    </w:p>
    <w:p>
      <w:pPr>
        <w:pStyle w:val="Heading1"/>
        <w:numPr>
          <w:ilvl w:val="1"/>
          <w:numId w:val="2"/>
        </w:numPr>
        <w:tabs>
          <w:tab w:pos="424" w:val="left" w:leader="none"/>
        </w:tabs>
        <w:spacing w:line="240" w:lineRule="auto" w:before="0" w:after="0"/>
        <w:ind w:left="424" w:right="0" w:hanging="401"/>
        <w:jc w:val="left"/>
      </w:pPr>
      <w:bookmarkStart w:name="1.2 Major Players and Relative Positioni" w:id="4"/>
      <w:bookmarkEnd w:id="4"/>
      <w:r>
        <w:rPr>
          <w:b w:val="0"/>
        </w:rPr>
      </w:r>
      <w:r>
        <w:rPr/>
        <w:t>Major</w:t>
      </w:r>
      <w:r>
        <w:rPr>
          <w:spacing w:val="-3"/>
        </w:rPr>
        <w:t> </w:t>
      </w:r>
      <w:r>
        <w:rPr/>
        <w:t>Players</w:t>
      </w:r>
      <w:r>
        <w:rPr>
          <w:spacing w:val="-3"/>
        </w:rPr>
        <w:t> </w:t>
      </w:r>
      <w:r>
        <w:rPr/>
        <w:t>and</w:t>
      </w:r>
      <w:r>
        <w:rPr>
          <w:spacing w:val="-3"/>
        </w:rPr>
        <w:t> </w:t>
      </w:r>
      <w:r>
        <w:rPr/>
        <w:t>Relative</w:t>
      </w:r>
      <w:r>
        <w:rPr>
          <w:spacing w:val="-2"/>
        </w:rPr>
        <w:t> Positioning</w:t>
      </w:r>
    </w:p>
    <w:p>
      <w:pPr>
        <w:pStyle w:val="BodyText"/>
        <w:spacing w:before="64"/>
        <w:rPr>
          <w:rFonts w:ascii="Arial"/>
          <w:b/>
        </w:rPr>
      </w:pPr>
    </w:p>
    <w:p>
      <w:pPr>
        <w:pStyle w:val="BodyText"/>
        <w:spacing w:line="367" w:lineRule="auto"/>
        <w:ind w:left="23" w:right="21"/>
        <w:jc w:val="both"/>
      </w:pPr>
      <w:r>
        <w:rPr/>
        <w:t>The competitive landscape of the Indian dairy sector is highly complex. There are deeply entrenched and politically supported entities and profit-driven corporate enterprises (Mordor Intelligence, 2026). For accurate evaluation, the major players must be categorized into three distinct operational models: cooperatives, private domestic firms and foreign multinational corporations (MNCs).</w:t>
      </w:r>
    </w:p>
    <w:p>
      <w:pPr>
        <w:pStyle w:val="BodyText"/>
        <w:spacing w:before="12"/>
        <w:rPr>
          <w:sz w:val="20"/>
        </w:rPr>
      </w:pPr>
      <w:r>
        <w:rPr>
          <w:sz w:val="20"/>
        </w:rPr>
        <w:drawing>
          <wp:anchor distT="0" distB="0" distL="0" distR="0" allowOverlap="1" layoutInCell="1" locked="0" behindDoc="1" simplePos="0" relativeHeight="487589376">
            <wp:simplePos x="0" y="0"/>
            <wp:positionH relativeFrom="page">
              <wp:posOffset>1585037</wp:posOffset>
            </wp:positionH>
            <wp:positionV relativeFrom="paragraph">
              <wp:posOffset>166883</wp:posOffset>
            </wp:positionV>
            <wp:extent cx="4301406" cy="1779651"/>
            <wp:effectExtent l="0" t="0" r="0" b="0"/>
            <wp:wrapTopAndBottom/>
            <wp:docPr id="7" name="Image 7"/>
            <wp:cNvGraphicFramePr>
              <a:graphicFrameLocks/>
            </wp:cNvGraphicFramePr>
            <a:graphic>
              <a:graphicData uri="http://schemas.openxmlformats.org/drawingml/2006/picture">
                <pic:pic>
                  <pic:nvPicPr>
                    <pic:cNvPr id="7" name="Image 7"/>
                    <pic:cNvPicPr/>
                  </pic:nvPicPr>
                  <pic:blipFill>
                    <a:blip r:embed="rId14" cstate="print"/>
                    <a:stretch>
                      <a:fillRect/>
                    </a:stretch>
                  </pic:blipFill>
                  <pic:spPr>
                    <a:xfrm>
                      <a:off x="0" y="0"/>
                      <a:ext cx="4301406" cy="1779651"/>
                    </a:xfrm>
                    <a:prstGeom prst="rect">
                      <a:avLst/>
                    </a:prstGeom>
                  </pic:spPr>
                </pic:pic>
              </a:graphicData>
            </a:graphic>
          </wp:anchor>
        </w:drawing>
      </w:r>
    </w:p>
    <w:p>
      <w:pPr>
        <w:spacing w:before="127"/>
        <w:ind w:left="580" w:right="0" w:firstLine="0"/>
        <w:jc w:val="left"/>
        <w:rPr>
          <w:sz w:val="22"/>
        </w:rPr>
      </w:pPr>
      <w:r>
        <w:rPr>
          <w:spacing w:val="-2"/>
          <w:sz w:val="22"/>
        </w:rPr>
        <w:t>(Source:</w:t>
      </w:r>
      <w:r>
        <w:rPr>
          <w:spacing w:val="42"/>
          <w:sz w:val="22"/>
        </w:rPr>
        <w:t> </w:t>
      </w:r>
      <w:hyperlink r:id="rId10">
        <w:r>
          <w:rPr>
            <w:color w:val="000080"/>
            <w:spacing w:val="-2"/>
            <w:sz w:val="22"/>
            <w:u w:val="single" w:color="000080"/>
          </w:rPr>
          <w:t>https://www.mordorintelligence.com/industry-reports/india-dairy-market</w:t>
        </w:r>
      </w:hyperlink>
      <w:r>
        <w:rPr>
          <w:color w:val="000080"/>
          <w:spacing w:val="37"/>
          <w:sz w:val="22"/>
        </w:rPr>
        <w:t> </w:t>
      </w:r>
      <w:r>
        <w:rPr>
          <w:spacing w:val="-10"/>
          <w:sz w:val="22"/>
        </w:rPr>
        <w:t>)</w:t>
      </w:r>
    </w:p>
    <w:p>
      <w:pPr>
        <w:spacing w:after="0"/>
        <w:jc w:val="left"/>
        <w:rPr>
          <w:sz w:val="22"/>
        </w:rPr>
        <w:sectPr>
          <w:pgSz w:w="11910" w:h="16840"/>
          <w:pgMar w:header="1066" w:footer="804" w:top="2000" w:bottom="1000" w:left="1417" w:right="1417"/>
        </w:sectPr>
      </w:pPr>
    </w:p>
    <w:p>
      <w:pPr>
        <w:pStyle w:val="Heading1"/>
        <w:numPr>
          <w:ilvl w:val="0"/>
          <w:numId w:val="3"/>
        </w:numPr>
        <w:tabs>
          <w:tab w:pos="236" w:val="left" w:leader="none"/>
        </w:tabs>
        <w:spacing w:line="240" w:lineRule="auto" w:before="246" w:after="0"/>
        <w:ind w:left="236" w:right="0" w:hanging="213"/>
        <w:jc w:val="left"/>
      </w:pPr>
      <w:r>
        <w:rPr/>
        <w:t>The</w:t>
      </w:r>
      <w:r>
        <w:rPr>
          <w:spacing w:val="-4"/>
        </w:rPr>
        <w:t> </w:t>
      </w:r>
      <w:r>
        <w:rPr/>
        <w:t>Cooperatives</w:t>
      </w:r>
      <w:r>
        <w:rPr>
          <w:spacing w:val="-2"/>
        </w:rPr>
        <w:t> </w:t>
      </w:r>
      <w:r>
        <w:rPr/>
        <w:t>(The</w:t>
      </w:r>
      <w:r>
        <w:rPr>
          <w:spacing w:val="-2"/>
        </w:rPr>
        <w:t> </w:t>
      </w:r>
      <w:r>
        <w:rPr/>
        <w:t>Socio-Economic</w:t>
      </w:r>
      <w:r>
        <w:rPr>
          <w:spacing w:val="-3"/>
        </w:rPr>
        <w:t> </w:t>
      </w:r>
      <w:r>
        <w:rPr>
          <w:spacing w:val="-2"/>
        </w:rPr>
        <w:t>Model)</w:t>
      </w:r>
    </w:p>
    <w:p>
      <w:pPr>
        <w:pStyle w:val="BodyText"/>
        <w:spacing w:before="64"/>
        <w:rPr>
          <w:rFonts w:ascii="Arial"/>
          <w:b/>
        </w:rPr>
      </w:pPr>
    </w:p>
    <w:p>
      <w:pPr>
        <w:pStyle w:val="BodyText"/>
        <w:spacing w:line="367" w:lineRule="auto"/>
        <w:ind w:left="23" w:right="16"/>
        <w:jc w:val="both"/>
      </w:pPr>
      <w:r>
        <w:rPr/>
        <w:t>The sector is overwhelmingly dominated by this massive state-level cooperatives. Among them the operator of Amul brand - ‘Gujarat Cooperative Milk Marketing Federation</w:t>
      </w:r>
      <w:r>
        <w:rPr>
          <w:spacing w:val="-8"/>
        </w:rPr>
        <w:t> </w:t>
      </w:r>
      <w:r>
        <w:rPr/>
        <w:t>(GCMMF)’</w:t>
      </w:r>
      <w:r>
        <w:rPr>
          <w:spacing w:val="-7"/>
        </w:rPr>
        <w:t> </w:t>
      </w:r>
      <w:r>
        <w:rPr/>
        <w:t>is</w:t>
      </w:r>
      <w:r>
        <w:rPr>
          <w:spacing w:val="-7"/>
        </w:rPr>
        <w:t> </w:t>
      </w:r>
      <w:r>
        <w:rPr/>
        <w:t>the</w:t>
      </w:r>
      <w:r>
        <w:rPr>
          <w:spacing w:val="-9"/>
        </w:rPr>
        <w:t> </w:t>
      </w:r>
      <w:r>
        <w:rPr/>
        <w:t>undisputed</w:t>
      </w:r>
      <w:r>
        <w:rPr>
          <w:spacing w:val="-8"/>
        </w:rPr>
        <w:t> </w:t>
      </w:r>
      <w:r>
        <w:rPr/>
        <w:t>market</w:t>
      </w:r>
      <w:r>
        <w:rPr>
          <w:spacing w:val="-7"/>
        </w:rPr>
        <w:t> </w:t>
      </w:r>
      <w:r>
        <w:rPr/>
        <w:t>leader</w:t>
      </w:r>
      <w:r>
        <w:rPr>
          <w:spacing w:val="-8"/>
        </w:rPr>
        <w:t> </w:t>
      </w:r>
      <w:r>
        <w:rPr/>
        <w:t>alongside</w:t>
      </w:r>
      <w:r>
        <w:rPr>
          <w:spacing w:val="-8"/>
        </w:rPr>
        <w:t> </w:t>
      </w:r>
      <w:r>
        <w:rPr/>
        <w:t>other</w:t>
      </w:r>
      <w:r>
        <w:rPr>
          <w:spacing w:val="-2"/>
        </w:rPr>
        <w:t> </w:t>
      </w:r>
      <w:r>
        <w:rPr/>
        <w:t>regional</w:t>
      </w:r>
      <w:r>
        <w:rPr>
          <w:spacing w:val="-10"/>
        </w:rPr>
        <w:t> </w:t>
      </w:r>
      <w:r>
        <w:rPr/>
        <w:t>giants like Mother Dairy (Scribd, 2023). These cooperatives do not operate on a traditional profit-maximization</w:t>
      </w:r>
      <w:r>
        <w:rPr>
          <w:spacing w:val="-15"/>
        </w:rPr>
        <w:t> </w:t>
      </w:r>
      <w:r>
        <w:rPr/>
        <w:t>model</w:t>
      </w:r>
      <w:r>
        <w:rPr>
          <w:spacing w:val="-14"/>
        </w:rPr>
        <w:t> </w:t>
      </w:r>
      <w:r>
        <w:rPr/>
        <w:t>of</w:t>
      </w:r>
      <w:r>
        <w:rPr>
          <w:spacing w:val="-13"/>
        </w:rPr>
        <w:t> </w:t>
      </w:r>
      <w:r>
        <w:rPr/>
        <w:t>the</w:t>
      </w:r>
      <w:r>
        <w:rPr>
          <w:spacing w:val="-12"/>
        </w:rPr>
        <w:t> </w:t>
      </w:r>
      <w:r>
        <w:rPr/>
        <w:t>west;</w:t>
      </w:r>
      <w:r>
        <w:rPr>
          <w:spacing w:val="-12"/>
        </w:rPr>
        <w:t> </w:t>
      </w:r>
      <w:r>
        <w:rPr/>
        <w:t>instead,</w:t>
      </w:r>
      <w:r>
        <w:rPr>
          <w:spacing w:val="-13"/>
        </w:rPr>
        <w:t> </w:t>
      </w:r>
      <w:r>
        <w:rPr/>
        <w:t>they</w:t>
      </w:r>
      <w:r>
        <w:rPr>
          <w:spacing w:val="-15"/>
        </w:rPr>
        <w:t> </w:t>
      </w:r>
      <w:r>
        <w:rPr/>
        <w:t>operate</w:t>
      </w:r>
      <w:r>
        <w:rPr>
          <w:spacing w:val="-14"/>
        </w:rPr>
        <w:t> </w:t>
      </w:r>
      <w:r>
        <w:rPr/>
        <w:t>on</w:t>
      </w:r>
      <w:r>
        <w:rPr>
          <w:spacing w:val="-15"/>
        </w:rPr>
        <w:t> </w:t>
      </w:r>
      <w:r>
        <w:rPr/>
        <w:t>razor-thin</w:t>
      </w:r>
      <w:r>
        <w:rPr>
          <w:spacing w:val="-15"/>
        </w:rPr>
        <w:t> </w:t>
      </w:r>
      <w:r>
        <w:rPr/>
        <w:t>margins</w:t>
      </w:r>
      <w:r>
        <w:rPr>
          <w:spacing w:val="-13"/>
        </w:rPr>
        <w:t> </w:t>
      </w:r>
      <w:r>
        <w:rPr/>
        <w:t>with primary strategic objective of farmer welfare and maximizing milk procurement from rural networks (Scribd, 2023). By operating on the same model and achieving unparallel</w:t>
      </w:r>
      <w:r>
        <w:rPr>
          <w:spacing w:val="-16"/>
        </w:rPr>
        <w:t> </w:t>
      </w:r>
      <w:r>
        <w:rPr/>
        <w:t>economies</w:t>
      </w:r>
      <w:r>
        <w:rPr>
          <w:spacing w:val="-16"/>
        </w:rPr>
        <w:t> </w:t>
      </w:r>
      <w:r>
        <w:rPr/>
        <w:t>of</w:t>
      </w:r>
      <w:r>
        <w:rPr>
          <w:spacing w:val="-16"/>
        </w:rPr>
        <w:t> </w:t>
      </w:r>
      <w:r>
        <w:rPr/>
        <w:t>scale</w:t>
      </w:r>
      <w:r>
        <w:rPr>
          <w:spacing w:val="-15"/>
        </w:rPr>
        <w:t> </w:t>
      </w:r>
      <w:r>
        <w:rPr/>
        <w:t>with</w:t>
      </w:r>
      <w:r>
        <w:rPr>
          <w:spacing w:val="-16"/>
        </w:rPr>
        <w:t> </w:t>
      </w:r>
      <w:r>
        <w:rPr/>
        <w:t>massive</w:t>
      </w:r>
      <w:r>
        <w:rPr>
          <w:spacing w:val="-15"/>
        </w:rPr>
        <w:t> </w:t>
      </w:r>
      <w:r>
        <w:rPr/>
        <w:t>turnover</w:t>
      </w:r>
      <w:r>
        <w:rPr>
          <w:spacing w:val="-16"/>
        </w:rPr>
        <w:t> </w:t>
      </w:r>
      <w:r>
        <w:rPr/>
        <w:t>of</w:t>
      </w:r>
      <w:r>
        <w:rPr>
          <w:spacing w:val="-15"/>
        </w:rPr>
        <w:t> </w:t>
      </w:r>
      <w:r>
        <w:rPr/>
        <w:t>₹1</w:t>
      </w:r>
      <w:r>
        <w:rPr>
          <w:spacing w:val="-15"/>
        </w:rPr>
        <w:t> </w:t>
      </w:r>
      <w:r>
        <w:rPr/>
        <w:t>lakh</w:t>
      </w:r>
      <w:r>
        <w:rPr>
          <w:spacing w:val="-15"/>
        </w:rPr>
        <w:t> </w:t>
      </w:r>
      <w:r>
        <w:rPr/>
        <w:t>crore</w:t>
      </w:r>
      <w:r>
        <w:rPr>
          <w:spacing w:val="-16"/>
        </w:rPr>
        <w:t> </w:t>
      </w:r>
      <w:r>
        <w:rPr/>
        <w:t>(USD</w:t>
      </w:r>
      <w:r>
        <w:rPr>
          <w:spacing w:val="-16"/>
        </w:rPr>
        <w:t> </w:t>
      </w:r>
      <w:r>
        <w:rPr/>
        <w:t>13.3</w:t>
      </w:r>
      <w:r>
        <w:rPr>
          <w:spacing w:val="-15"/>
        </w:rPr>
        <w:t> </w:t>
      </w:r>
      <w:r>
        <w:rPr/>
        <w:t>billion) in 2025 (Scribd, 2023). Their core strategy focuses heavily on mass-market penetration,</w:t>
      </w:r>
      <w:r>
        <w:rPr>
          <w:spacing w:val="-4"/>
        </w:rPr>
        <w:t> </w:t>
      </w:r>
      <w:r>
        <w:rPr/>
        <w:t>making</w:t>
      </w:r>
      <w:r>
        <w:rPr>
          <w:spacing w:val="-5"/>
        </w:rPr>
        <w:t> </w:t>
      </w:r>
      <w:r>
        <w:rPr/>
        <w:t>them</w:t>
      </w:r>
      <w:r>
        <w:rPr>
          <w:spacing w:val="-3"/>
        </w:rPr>
        <w:t> </w:t>
      </w:r>
      <w:r>
        <w:rPr/>
        <w:t>virtually</w:t>
      </w:r>
      <w:r>
        <w:rPr>
          <w:spacing w:val="-7"/>
        </w:rPr>
        <w:t> </w:t>
      </w:r>
      <w:r>
        <w:rPr/>
        <w:t>unbeatable</w:t>
      </w:r>
      <w:r>
        <w:rPr>
          <w:spacing w:val="-4"/>
        </w:rPr>
        <w:t> </w:t>
      </w:r>
      <w:r>
        <w:rPr/>
        <w:t>in</w:t>
      </w:r>
      <w:r>
        <w:rPr>
          <w:spacing w:val="-4"/>
        </w:rPr>
        <w:t> </w:t>
      </w:r>
      <w:r>
        <w:rPr/>
        <w:t>the</w:t>
      </w:r>
      <w:r>
        <w:rPr>
          <w:spacing w:val="-4"/>
        </w:rPr>
        <w:t> </w:t>
      </w:r>
      <w:r>
        <w:rPr/>
        <w:t>high-volume</w:t>
      </w:r>
      <w:r>
        <w:rPr>
          <w:spacing w:val="-4"/>
        </w:rPr>
        <w:t> </w:t>
      </w:r>
      <w:r>
        <w:rPr/>
        <w:t>liquid</w:t>
      </w:r>
      <w:r>
        <w:rPr>
          <w:spacing w:val="-4"/>
        </w:rPr>
        <w:t> </w:t>
      </w:r>
      <w:r>
        <w:rPr/>
        <w:t>milk</w:t>
      </w:r>
      <w:r>
        <w:rPr>
          <w:spacing w:val="-4"/>
        </w:rPr>
        <w:t> </w:t>
      </w:r>
      <w:r>
        <w:rPr/>
        <w:t>segment.</w:t>
      </w:r>
    </w:p>
    <w:p>
      <w:pPr>
        <w:pStyle w:val="BodyText"/>
        <w:rPr>
          <w:sz w:val="14"/>
        </w:rPr>
      </w:pPr>
      <w:r>
        <w:rPr>
          <w:sz w:val="14"/>
        </w:rPr>
        <w:drawing>
          <wp:anchor distT="0" distB="0" distL="0" distR="0" allowOverlap="1" layoutInCell="1" locked="0" behindDoc="1" simplePos="0" relativeHeight="487589888">
            <wp:simplePos x="0" y="0"/>
            <wp:positionH relativeFrom="page">
              <wp:posOffset>914400</wp:posOffset>
            </wp:positionH>
            <wp:positionV relativeFrom="paragraph">
              <wp:posOffset>116165</wp:posOffset>
            </wp:positionV>
            <wp:extent cx="5734669" cy="4610100"/>
            <wp:effectExtent l="0" t="0" r="0" b="0"/>
            <wp:wrapTopAndBottom/>
            <wp:docPr id="8" name="Image 8"/>
            <wp:cNvGraphicFramePr>
              <a:graphicFrameLocks/>
            </wp:cNvGraphicFramePr>
            <a:graphic>
              <a:graphicData uri="http://schemas.openxmlformats.org/drawingml/2006/picture">
                <pic:pic>
                  <pic:nvPicPr>
                    <pic:cNvPr id="8" name="Image 8"/>
                    <pic:cNvPicPr/>
                  </pic:nvPicPr>
                  <pic:blipFill>
                    <a:blip r:embed="rId15" cstate="print"/>
                    <a:stretch>
                      <a:fillRect/>
                    </a:stretch>
                  </pic:blipFill>
                  <pic:spPr>
                    <a:xfrm>
                      <a:off x="0" y="0"/>
                      <a:ext cx="5734669" cy="4610100"/>
                    </a:xfrm>
                    <a:prstGeom prst="rect">
                      <a:avLst/>
                    </a:prstGeom>
                  </pic:spPr>
                </pic:pic>
              </a:graphicData>
            </a:graphic>
          </wp:anchor>
        </w:drawing>
      </w:r>
    </w:p>
    <w:p>
      <w:pPr>
        <w:pStyle w:val="BodyText"/>
        <w:spacing w:before="2"/>
        <w:ind w:left="23"/>
        <w:jc w:val="both"/>
      </w:pPr>
      <w:r>
        <w:rPr>
          <w:spacing w:val="-2"/>
        </w:rPr>
        <w:t>(Source:</w:t>
      </w:r>
      <w:r>
        <w:rPr>
          <w:spacing w:val="50"/>
          <w:w w:val="150"/>
        </w:rPr>
        <w:t> </w:t>
      </w:r>
      <w:hyperlink r:id="rId8">
        <w:r>
          <w:rPr>
            <w:color w:val="000080"/>
            <w:spacing w:val="-2"/>
            <w:u w:val="single" w:color="000080"/>
          </w:rPr>
          <w:t>https://www.kotakmf.com/Information/blogs/india-dairy-industry-overview</w:t>
        </w:r>
      </w:hyperlink>
      <w:r>
        <w:rPr>
          <w:spacing w:val="-2"/>
        </w:rPr>
        <w:t>)</w:t>
      </w:r>
    </w:p>
    <w:p>
      <w:pPr>
        <w:pStyle w:val="BodyText"/>
        <w:spacing w:before="67"/>
      </w:pPr>
    </w:p>
    <w:p>
      <w:pPr>
        <w:pStyle w:val="Heading1"/>
        <w:numPr>
          <w:ilvl w:val="0"/>
          <w:numId w:val="3"/>
        </w:numPr>
        <w:tabs>
          <w:tab w:pos="302" w:val="left" w:leader="none"/>
        </w:tabs>
        <w:spacing w:line="240" w:lineRule="auto" w:before="0" w:after="0"/>
        <w:ind w:left="302" w:right="0" w:hanging="279"/>
        <w:jc w:val="left"/>
      </w:pPr>
      <w:r>
        <w:rPr/>
        <w:t>Private</w:t>
      </w:r>
      <w:r>
        <w:rPr>
          <w:spacing w:val="-2"/>
        </w:rPr>
        <w:t> </w:t>
      </w:r>
      <w:r>
        <w:rPr/>
        <w:t>Domestic</w:t>
      </w:r>
      <w:r>
        <w:rPr>
          <w:spacing w:val="-2"/>
        </w:rPr>
        <w:t> </w:t>
      </w:r>
      <w:r>
        <w:rPr/>
        <w:t>Firms</w:t>
      </w:r>
      <w:r>
        <w:rPr>
          <w:spacing w:val="-2"/>
        </w:rPr>
        <w:t> </w:t>
      </w:r>
      <w:r>
        <w:rPr/>
        <w:t>(The</w:t>
      </w:r>
      <w:r>
        <w:rPr>
          <w:spacing w:val="-2"/>
        </w:rPr>
        <w:t> </w:t>
      </w:r>
      <w:r>
        <w:rPr/>
        <w:t>Efficiency</w:t>
      </w:r>
      <w:r>
        <w:rPr>
          <w:spacing w:val="-5"/>
        </w:rPr>
        <w:t> </w:t>
      </w:r>
      <w:r>
        <w:rPr>
          <w:spacing w:val="-2"/>
        </w:rPr>
        <w:t>Model)</w:t>
      </w:r>
    </w:p>
    <w:p>
      <w:pPr>
        <w:pStyle w:val="Heading1"/>
        <w:spacing w:after="0" w:line="240" w:lineRule="auto"/>
        <w:jc w:val="left"/>
        <w:sectPr>
          <w:pgSz w:w="11910" w:h="16840"/>
          <w:pgMar w:header="1066" w:footer="804" w:top="2000" w:bottom="1000" w:left="1417" w:right="1417"/>
        </w:sectPr>
      </w:pPr>
    </w:p>
    <w:p>
      <w:pPr>
        <w:pStyle w:val="BodyText"/>
        <w:spacing w:line="364" w:lineRule="auto" w:before="247"/>
        <w:ind w:left="23" w:right="15"/>
        <w:jc w:val="both"/>
      </w:pPr>
      <w:r>
        <w:rPr/>
        <w:t>Occupying</w:t>
      </w:r>
      <w:r>
        <w:rPr>
          <w:spacing w:val="-2"/>
        </w:rPr>
        <w:t> </w:t>
      </w:r>
      <w:r>
        <w:rPr/>
        <w:t>the middle</w:t>
      </w:r>
      <w:r>
        <w:rPr>
          <w:spacing w:val="-2"/>
        </w:rPr>
        <w:t> </w:t>
      </w:r>
      <w:r>
        <w:rPr/>
        <w:t>ground are</w:t>
      </w:r>
      <w:r>
        <w:rPr>
          <w:spacing w:val="-1"/>
        </w:rPr>
        <w:t> </w:t>
      </w:r>
      <w:r>
        <w:rPr/>
        <w:t>private Indian enterprises</w:t>
      </w:r>
      <w:r>
        <w:rPr>
          <w:spacing w:val="-1"/>
        </w:rPr>
        <w:t> </w:t>
      </w:r>
      <w:r>
        <w:rPr/>
        <w:t>like Hatsun Agro</w:t>
      </w:r>
      <w:r>
        <w:rPr>
          <w:spacing w:val="-1"/>
        </w:rPr>
        <w:t> </w:t>
      </w:r>
      <w:r>
        <w:rPr/>
        <w:t>Product Ltd. - the largest private sector dairy in the country (CRISIL, 2024; StockAxis, 2020). Unlike many private firms, Hatsun does not rely on intermediaries for the milk procurement,</w:t>
      </w:r>
      <w:r>
        <w:rPr>
          <w:spacing w:val="-10"/>
        </w:rPr>
        <w:t> </w:t>
      </w:r>
      <w:r>
        <w:rPr/>
        <w:t>instead</w:t>
      </w:r>
      <w:r>
        <w:rPr>
          <w:spacing w:val="-10"/>
        </w:rPr>
        <w:t> </w:t>
      </w:r>
      <w:r>
        <w:rPr/>
        <w:t>they</w:t>
      </w:r>
      <w:r>
        <w:rPr>
          <w:spacing w:val="-13"/>
        </w:rPr>
        <w:t> </w:t>
      </w:r>
      <w:r>
        <w:rPr/>
        <w:t>directly</w:t>
      </w:r>
      <w:r>
        <w:rPr>
          <w:spacing w:val="-13"/>
        </w:rPr>
        <w:t> </w:t>
      </w:r>
      <w:r>
        <w:rPr/>
        <w:t>procure</w:t>
      </w:r>
      <w:r>
        <w:rPr>
          <w:spacing w:val="-13"/>
        </w:rPr>
        <w:t> </w:t>
      </w:r>
      <w:r>
        <w:rPr/>
        <w:t>from</w:t>
      </w:r>
      <w:r>
        <w:rPr>
          <w:spacing w:val="-12"/>
        </w:rPr>
        <w:t> </w:t>
      </w:r>
      <w:r>
        <w:rPr/>
        <w:t>a</w:t>
      </w:r>
      <w:r>
        <w:rPr>
          <w:spacing w:val="-10"/>
        </w:rPr>
        <w:t> </w:t>
      </w:r>
      <w:r>
        <w:rPr/>
        <w:t>sprawling</w:t>
      </w:r>
      <w:r>
        <w:rPr>
          <w:spacing w:val="-12"/>
        </w:rPr>
        <w:t> </w:t>
      </w:r>
      <w:r>
        <w:rPr/>
        <w:t>network</w:t>
      </w:r>
      <w:r>
        <w:rPr>
          <w:spacing w:val="-6"/>
        </w:rPr>
        <w:t> </w:t>
      </w:r>
      <w:r>
        <w:rPr/>
        <w:t>of</w:t>
      </w:r>
      <w:r>
        <w:rPr>
          <w:spacing w:val="-8"/>
        </w:rPr>
        <w:t> </w:t>
      </w:r>
      <w:r>
        <w:rPr/>
        <w:t>nearly</w:t>
      </w:r>
      <w:r>
        <w:rPr>
          <w:spacing w:val="-14"/>
        </w:rPr>
        <w:t> </w:t>
      </w:r>
      <w:r>
        <w:rPr/>
        <w:t>400,000 farmers via 10,000 milk banks. This ensures both quality control and lower procurement costs (CRISIL, 2024; StockAxis, 2020). Hatsun’s unique strategic positioning provides best of both worlds : the grassroots trust associated with cooperatives and the supply-chain efficiency of corporate entities. On the other side, Hatsun has heavily invested in an exclusive Business-to-Consumer (B2C) model. Hatsun derives 30 </w:t>
      </w:r>
      <w:r>
        <w:rPr>
          <w:w w:val="160"/>
        </w:rPr>
        <w:t>–</w:t>
      </w:r>
      <w:r>
        <w:rPr>
          <w:w w:val="160"/>
        </w:rPr>
        <w:t> </w:t>
      </w:r>
      <w:r>
        <w:rPr/>
        <w:t>43% of it’s revenue from value added products using this distribution network. Focusing on value added products (like Arun Icecreams and Hatsun</w:t>
      </w:r>
      <w:r>
        <w:rPr>
          <w:spacing w:val="-2"/>
        </w:rPr>
        <w:t> </w:t>
      </w:r>
      <w:r>
        <w:rPr/>
        <w:t>Curd)</w:t>
      </w:r>
      <w:r>
        <w:rPr>
          <w:spacing w:val="-3"/>
        </w:rPr>
        <w:t> </w:t>
      </w:r>
      <w:r>
        <w:rPr/>
        <w:t>insulate</w:t>
      </w:r>
      <w:r>
        <w:rPr>
          <w:spacing w:val="-4"/>
        </w:rPr>
        <w:t> </w:t>
      </w:r>
      <w:r>
        <w:rPr/>
        <w:t>hatsun</w:t>
      </w:r>
      <w:r>
        <w:rPr>
          <w:spacing w:val="-4"/>
        </w:rPr>
        <w:t> </w:t>
      </w:r>
      <w:r>
        <w:rPr/>
        <w:t>from</w:t>
      </w:r>
      <w:r>
        <w:rPr>
          <w:spacing w:val="-1"/>
        </w:rPr>
        <w:t> </w:t>
      </w:r>
      <w:r>
        <w:rPr/>
        <w:t>low</w:t>
      </w:r>
      <w:r>
        <w:rPr>
          <w:spacing w:val="-5"/>
        </w:rPr>
        <w:t> </w:t>
      </w:r>
      <w:r>
        <w:rPr/>
        <w:t>margins</w:t>
      </w:r>
      <w:r>
        <w:rPr>
          <w:spacing w:val="-2"/>
        </w:rPr>
        <w:t> </w:t>
      </w:r>
      <w:r>
        <w:rPr/>
        <w:t>of</w:t>
      </w:r>
      <w:r>
        <w:rPr>
          <w:spacing w:val="-2"/>
        </w:rPr>
        <w:t> </w:t>
      </w:r>
      <w:r>
        <w:rPr/>
        <w:t>raw</w:t>
      </w:r>
      <w:r>
        <w:rPr>
          <w:spacing w:val="-5"/>
        </w:rPr>
        <w:t> </w:t>
      </w:r>
      <w:r>
        <w:rPr/>
        <w:t>milk</w:t>
      </w:r>
      <w:r>
        <w:rPr>
          <w:spacing w:val="-2"/>
        </w:rPr>
        <w:t> </w:t>
      </w:r>
      <w:r>
        <w:rPr/>
        <w:t>(CRISIL,</w:t>
      </w:r>
      <w:r>
        <w:rPr>
          <w:spacing w:val="-4"/>
        </w:rPr>
        <w:t> </w:t>
      </w:r>
      <w:r>
        <w:rPr/>
        <w:t>2024;</w:t>
      </w:r>
      <w:r>
        <w:rPr>
          <w:spacing w:val="-4"/>
        </w:rPr>
        <w:t> </w:t>
      </w:r>
      <w:r>
        <w:rPr/>
        <w:t>StockAxis, </w:t>
      </w:r>
      <w:r>
        <w:rPr>
          <w:spacing w:val="-2"/>
        </w:rPr>
        <w:t>2020).</w:t>
      </w:r>
    </w:p>
    <w:p>
      <w:pPr>
        <w:pStyle w:val="BodyText"/>
        <w:spacing w:before="9"/>
        <w:rPr>
          <w:sz w:val="16"/>
        </w:rPr>
      </w:pPr>
      <w:r>
        <w:rPr>
          <w:sz w:val="16"/>
        </w:rPr>
        <w:drawing>
          <wp:anchor distT="0" distB="0" distL="0" distR="0" allowOverlap="1" layoutInCell="1" locked="0" behindDoc="1" simplePos="0" relativeHeight="487590400">
            <wp:simplePos x="0" y="0"/>
            <wp:positionH relativeFrom="page">
              <wp:posOffset>914400</wp:posOffset>
            </wp:positionH>
            <wp:positionV relativeFrom="paragraph">
              <wp:posOffset>135999</wp:posOffset>
            </wp:positionV>
            <wp:extent cx="5646485" cy="3216973"/>
            <wp:effectExtent l="0" t="0" r="0" b="0"/>
            <wp:wrapTopAndBottom/>
            <wp:docPr id="9" name="Image 9"/>
            <wp:cNvGraphicFramePr>
              <a:graphicFrameLocks/>
            </wp:cNvGraphicFramePr>
            <a:graphic>
              <a:graphicData uri="http://schemas.openxmlformats.org/drawingml/2006/picture">
                <pic:pic>
                  <pic:nvPicPr>
                    <pic:cNvPr id="9" name="Image 9"/>
                    <pic:cNvPicPr/>
                  </pic:nvPicPr>
                  <pic:blipFill>
                    <a:blip r:embed="rId16" cstate="print"/>
                    <a:stretch>
                      <a:fillRect/>
                    </a:stretch>
                  </pic:blipFill>
                  <pic:spPr>
                    <a:xfrm>
                      <a:off x="0" y="0"/>
                      <a:ext cx="5646485" cy="3216973"/>
                    </a:xfrm>
                    <a:prstGeom prst="rect">
                      <a:avLst/>
                    </a:prstGeom>
                  </pic:spPr>
                </pic:pic>
              </a:graphicData>
            </a:graphic>
          </wp:anchor>
        </w:drawing>
      </w:r>
    </w:p>
    <w:p>
      <w:pPr>
        <w:spacing w:before="69"/>
        <w:ind w:left="167" w:right="0" w:firstLine="0"/>
        <w:jc w:val="left"/>
        <w:rPr>
          <w:sz w:val="20"/>
        </w:rPr>
      </w:pPr>
      <w:r>
        <w:rPr>
          <w:spacing w:val="-2"/>
          <w:sz w:val="20"/>
        </w:rPr>
        <w:t>(Source:</w:t>
      </w:r>
      <w:r>
        <w:rPr>
          <w:spacing w:val="48"/>
          <w:sz w:val="20"/>
        </w:rPr>
        <w:t> </w:t>
      </w:r>
      <w:hyperlink r:id="rId17">
        <w:r>
          <w:rPr>
            <w:color w:val="000080"/>
            <w:spacing w:val="-2"/>
            <w:sz w:val="20"/>
            <w:u w:val="single" w:color="000080"/>
          </w:rPr>
          <w:t>https://stockaxis.com/Research-Reports/Hatsun-Agro-Products-Ltd-MB-08-09-2020.html</w:t>
        </w:r>
      </w:hyperlink>
      <w:r>
        <w:rPr>
          <w:color w:val="000080"/>
          <w:spacing w:val="46"/>
          <w:sz w:val="20"/>
        </w:rPr>
        <w:t> </w:t>
      </w:r>
      <w:r>
        <w:rPr>
          <w:spacing w:val="-10"/>
          <w:sz w:val="20"/>
        </w:rPr>
        <w:t>)</w:t>
      </w:r>
    </w:p>
    <w:p>
      <w:pPr>
        <w:pStyle w:val="BodyText"/>
      </w:pPr>
    </w:p>
    <w:p>
      <w:pPr>
        <w:pStyle w:val="BodyText"/>
      </w:pPr>
    </w:p>
    <w:p>
      <w:pPr>
        <w:pStyle w:val="BodyText"/>
      </w:pPr>
    </w:p>
    <w:p>
      <w:pPr>
        <w:pStyle w:val="BodyText"/>
      </w:pPr>
    </w:p>
    <w:p>
      <w:pPr>
        <w:pStyle w:val="BodyText"/>
        <w:spacing w:before="186"/>
      </w:pPr>
    </w:p>
    <w:p>
      <w:pPr>
        <w:pStyle w:val="Heading1"/>
        <w:numPr>
          <w:ilvl w:val="0"/>
          <w:numId w:val="3"/>
        </w:numPr>
        <w:tabs>
          <w:tab w:pos="369" w:val="left" w:leader="none"/>
        </w:tabs>
        <w:spacing w:line="240" w:lineRule="auto" w:before="0" w:after="0"/>
        <w:ind w:left="369" w:right="0" w:hanging="346"/>
        <w:jc w:val="left"/>
      </w:pPr>
      <w:r>
        <w:rPr/>
        <w:t>Foreign</w:t>
      </w:r>
      <w:r>
        <w:rPr>
          <w:spacing w:val="-2"/>
        </w:rPr>
        <w:t> </w:t>
      </w:r>
      <w:r>
        <w:rPr/>
        <w:t>MNCs</w:t>
      </w:r>
      <w:r>
        <w:rPr>
          <w:spacing w:val="-1"/>
        </w:rPr>
        <w:t> </w:t>
      </w:r>
      <w:r>
        <w:rPr/>
        <w:t>(The</w:t>
      </w:r>
      <w:r>
        <w:rPr>
          <w:spacing w:val="-1"/>
        </w:rPr>
        <w:t> </w:t>
      </w:r>
      <w:r>
        <w:rPr/>
        <w:t>Premiumization</w:t>
      </w:r>
      <w:r>
        <w:rPr>
          <w:spacing w:val="-1"/>
        </w:rPr>
        <w:t> </w:t>
      </w:r>
      <w:r>
        <w:rPr>
          <w:spacing w:val="-2"/>
        </w:rPr>
        <w:t>Model)</w:t>
      </w:r>
    </w:p>
    <w:p>
      <w:pPr>
        <w:pStyle w:val="Heading1"/>
        <w:spacing w:after="0" w:line="240" w:lineRule="auto"/>
        <w:jc w:val="left"/>
        <w:sectPr>
          <w:pgSz w:w="11910" w:h="16840"/>
          <w:pgMar w:header="1066" w:footer="804" w:top="2000" w:bottom="1000" w:left="1417" w:right="1417"/>
        </w:sectPr>
      </w:pPr>
    </w:p>
    <w:p>
      <w:pPr>
        <w:pStyle w:val="BodyText"/>
        <w:spacing w:line="367" w:lineRule="auto" w:before="247"/>
        <w:ind w:left="23" w:right="18"/>
        <w:jc w:val="both"/>
      </w:pPr>
      <w:r>
        <w:rPr/>
        <w:t>Foreign multinationals, such as Nestlé India and the French dairy giant Lactalis also operate in this market. Their strategy is ‘premiumization of milk’ as they can not compete with these cooperatives on volume and vast scale of raw milk procurement from rural India (SlideServe, 2014; Scribd, 2023). Nestlé strategically positions itself in</w:t>
      </w:r>
      <w:r>
        <w:rPr>
          <w:spacing w:val="-2"/>
        </w:rPr>
        <w:t> </w:t>
      </w:r>
      <w:r>
        <w:rPr/>
        <w:t>the</w:t>
      </w:r>
      <w:r>
        <w:rPr>
          <w:spacing w:val="-4"/>
        </w:rPr>
        <w:t> </w:t>
      </w:r>
      <w:r>
        <w:rPr/>
        <w:t>highly</w:t>
      </w:r>
      <w:r>
        <w:rPr>
          <w:spacing w:val="-5"/>
        </w:rPr>
        <w:t> </w:t>
      </w:r>
      <w:r>
        <w:rPr/>
        <w:t>highly</w:t>
      </w:r>
      <w:r>
        <w:rPr>
          <w:spacing w:val="-5"/>
        </w:rPr>
        <w:t> </w:t>
      </w:r>
      <w:r>
        <w:rPr/>
        <w:t>lucrative</w:t>
      </w:r>
      <w:r>
        <w:rPr>
          <w:spacing w:val="-2"/>
        </w:rPr>
        <w:t> </w:t>
      </w:r>
      <w:r>
        <w:rPr/>
        <w:t>and</w:t>
      </w:r>
      <w:r>
        <w:rPr>
          <w:spacing w:val="-2"/>
        </w:rPr>
        <w:t> </w:t>
      </w:r>
      <w:r>
        <w:rPr/>
        <w:t>rapidly</w:t>
      </w:r>
      <w:r>
        <w:rPr>
          <w:spacing w:val="-5"/>
        </w:rPr>
        <w:t> </w:t>
      </w:r>
      <w:r>
        <w:rPr/>
        <w:t>growing</w:t>
      </w:r>
      <w:r>
        <w:rPr>
          <w:spacing w:val="-4"/>
        </w:rPr>
        <w:t> </w:t>
      </w:r>
      <w:r>
        <w:rPr/>
        <w:t>VADP</w:t>
      </w:r>
      <w:r>
        <w:rPr>
          <w:spacing w:val="-2"/>
        </w:rPr>
        <w:t> </w:t>
      </w:r>
      <w:r>
        <w:rPr/>
        <w:t>segment</w:t>
      </w:r>
      <w:r>
        <w:rPr>
          <w:spacing w:val="-4"/>
        </w:rPr>
        <w:t> </w:t>
      </w:r>
      <w:r>
        <w:rPr/>
        <w:t>by</w:t>
      </w:r>
      <w:r>
        <w:rPr>
          <w:spacing w:val="-5"/>
        </w:rPr>
        <w:t> </w:t>
      </w:r>
      <w:r>
        <w:rPr/>
        <w:t>focusing</w:t>
      </w:r>
      <w:r>
        <w:rPr>
          <w:spacing w:val="-3"/>
        </w:rPr>
        <w:t> </w:t>
      </w:r>
      <w:r>
        <w:rPr/>
        <w:t>on</w:t>
      </w:r>
      <w:r>
        <w:rPr>
          <w:spacing w:val="-4"/>
        </w:rPr>
        <w:t> </w:t>
      </w:r>
      <w:r>
        <w:rPr/>
        <w:t>infant nutrition, specialized yogurts, fortified milk and branded condensed milk (Mordor Intelligence, 2026). These categories are growing at the annual rate of 20% to 25% (SlideServe, 2014). This shows that while the Indian market is fiercely competitive, there is ample strategic room for a multinationals like Nestlé to thrive using an innovation-driven VADP strategy.</w:t>
      </w:r>
    </w:p>
    <w:p>
      <w:pPr>
        <w:pStyle w:val="BodyText"/>
        <w:spacing w:before="41"/>
        <w:rPr>
          <w:sz w:val="20"/>
        </w:rPr>
      </w:pPr>
      <w:r>
        <w:rPr>
          <w:sz w:val="20"/>
        </w:rPr>
        <w:drawing>
          <wp:anchor distT="0" distB="0" distL="0" distR="0" allowOverlap="1" layoutInCell="1" locked="0" behindDoc="1" simplePos="0" relativeHeight="487590912">
            <wp:simplePos x="0" y="0"/>
            <wp:positionH relativeFrom="page">
              <wp:posOffset>1321435</wp:posOffset>
            </wp:positionH>
            <wp:positionV relativeFrom="paragraph">
              <wp:posOffset>185461</wp:posOffset>
            </wp:positionV>
            <wp:extent cx="4909484" cy="2674619"/>
            <wp:effectExtent l="0" t="0" r="0" b="0"/>
            <wp:wrapTopAndBottom/>
            <wp:docPr id="10" name="Image 10"/>
            <wp:cNvGraphicFramePr>
              <a:graphicFrameLocks/>
            </wp:cNvGraphicFramePr>
            <a:graphic>
              <a:graphicData uri="http://schemas.openxmlformats.org/drawingml/2006/picture">
                <pic:pic>
                  <pic:nvPicPr>
                    <pic:cNvPr id="10" name="Image 10"/>
                    <pic:cNvPicPr/>
                  </pic:nvPicPr>
                  <pic:blipFill>
                    <a:blip r:embed="rId18" cstate="print"/>
                    <a:stretch>
                      <a:fillRect/>
                    </a:stretch>
                  </pic:blipFill>
                  <pic:spPr>
                    <a:xfrm>
                      <a:off x="0" y="0"/>
                      <a:ext cx="4909484" cy="2674619"/>
                    </a:xfrm>
                    <a:prstGeom prst="rect">
                      <a:avLst/>
                    </a:prstGeom>
                  </pic:spPr>
                </pic:pic>
              </a:graphicData>
            </a:graphic>
          </wp:anchor>
        </w:drawing>
      </w:r>
    </w:p>
    <w:p>
      <w:pPr>
        <w:spacing w:before="11"/>
        <w:ind w:left="484" w:right="0" w:firstLine="0"/>
        <w:jc w:val="left"/>
        <w:rPr>
          <w:sz w:val="20"/>
        </w:rPr>
      </w:pPr>
      <w:r>
        <w:rPr>
          <w:sz w:val="20"/>
        </w:rPr>
        <w:t>(Source:</w:t>
      </w:r>
      <w:r>
        <w:rPr>
          <w:spacing w:val="-9"/>
          <w:sz w:val="20"/>
        </w:rPr>
        <w:t> </w:t>
      </w:r>
      <w:r>
        <w:rPr>
          <w:spacing w:val="-2"/>
          <w:sz w:val="20"/>
        </w:rPr>
        <w:t>https://</w:t>
      </w:r>
      <w:hyperlink r:id="rId19">
        <w:r>
          <w:rPr>
            <w:spacing w:val="-2"/>
            <w:sz w:val="20"/>
          </w:rPr>
          <w:t>www.brickworkratings.com/Research/Dairy_Sector_Report_23Apr2025.pdf)</w:t>
        </w:r>
      </w:hyperlink>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54"/>
        <w:rPr>
          <w:sz w:val="20"/>
        </w:rPr>
      </w:pPr>
    </w:p>
    <w:p>
      <w:pPr>
        <w:pStyle w:val="Heading1"/>
        <w:numPr>
          <w:ilvl w:val="0"/>
          <w:numId w:val="4"/>
        </w:numPr>
        <w:tabs>
          <w:tab w:pos="289" w:val="left" w:leader="none"/>
        </w:tabs>
        <w:spacing w:line="240" w:lineRule="auto" w:before="1" w:after="0"/>
        <w:ind w:left="289" w:right="0" w:hanging="266"/>
        <w:jc w:val="left"/>
      </w:pPr>
      <w:r>
        <w:rPr/>
        <w:t>Porter’s</w:t>
      </w:r>
      <w:r>
        <w:rPr>
          <w:spacing w:val="-2"/>
        </w:rPr>
        <w:t> </w:t>
      </w:r>
      <w:r>
        <w:rPr/>
        <w:t>Diamond</w:t>
      </w:r>
      <w:r>
        <w:rPr>
          <w:spacing w:val="-1"/>
        </w:rPr>
        <w:t> </w:t>
      </w:r>
      <w:r>
        <w:rPr/>
        <w:t>Model</w:t>
      </w:r>
      <w:r>
        <w:rPr>
          <w:spacing w:val="-2"/>
        </w:rPr>
        <w:t> </w:t>
      </w:r>
      <w:r>
        <w:rPr/>
        <w:t>of</w:t>
      </w:r>
      <w:r>
        <w:rPr>
          <w:spacing w:val="-2"/>
        </w:rPr>
        <w:t> </w:t>
      </w:r>
      <w:r>
        <w:rPr/>
        <w:t>National</w:t>
      </w:r>
      <w:r>
        <w:rPr>
          <w:spacing w:val="2"/>
        </w:rPr>
        <w:t> </w:t>
      </w:r>
      <w:r>
        <w:rPr>
          <w:spacing w:val="-2"/>
        </w:rPr>
        <w:t>Advantage</w:t>
      </w:r>
    </w:p>
    <w:p>
      <w:pPr>
        <w:pStyle w:val="Heading1"/>
        <w:spacing w:after="0" w:line="240" w:lineRule="auto"/>
        <w:jc w:val="left"/>
        <w:sectPr>
          <w:pgSz w:w="11910" w:h="16840"/>
          <w:pgMar w:header="1066" w:footer="804" w:top="2000" w:bottom="1000" w:left="1417" w:right="1417"/>
        </w:sectPr>
      </w:pPr>
    </w:p>
    <w:p>
      <w:pPr>
        <w:pStyle w:val="BodyText"/>
        <w:spacing w:line="367" w:lineRule="auto" w:before="247"/>
        <w:ind w:left="23" w:right="19"/>
        <w:jc w:val="both"/>
      </w:pPr>
      <w:r>
        <w:rPr/>
        <w:t>Michael Porter’s Diamond Model (1990) can be used as an analytical framework to critically evaluate the global competitiveness of the Indian dairy industry and the strategic environment.</w:t>
      </w:r>
    </w:p>
    <w:p>
      <w:pPr>
        <w:pStyle w:val="BodyText"/>
        <w:spacing w:before="1"/>
        <w:rPr>
          <w:sz w:val="15"/>
        </w:rPr>
      </w:pPr>
      <w:r>
        <w:rPr>
          <w:sz w:val="15"/>
        </w:rPr>
        <w:drawing>
          <wp:anchor distT="0" distB="0" distL="0" distR="0" allowOverlap="1" layoutInCell="1" locked="0" behindDoc="1" simplePos="0" relativeHeight="487591424">
            <wp:simplePos x="0" y="0"/>
            <wp:positionH relativeFrom="page">
              <wp:posOffset>1711325</wp:posOffset>
            </wp:positionH>
            <wp:positionV relativeFrom="paragraph">
              <wp:posOffset>124054</wp:posOffset>
            </wp:positionV>
            <wp:extent cx="4151528" cy="3475767"/>
            <wp:effectExtent l="0" t="0" r="0" b="0"/>
            <wp:wrapTopAndBottom/>
            <wp:docPr id="11" name="Image 11"/>
            <wp:cNvGraphicFramePr>
              <a:graphicFrameLocks/>
            </wp:cNvGraphicFramePr>
            <a:graphic>
              <a:graphicData uri="http://schemas.openxmlformats.org/drawingml/2006/picture">
                <pic:pic>
                  <pic:nvPicPr>
                    <pic:cNvPr id="11" name="Image 11"/>
                    <pic:cNvPicPr/>
                  </pic:nvPicPr>
                  <pic:blipFill>
                    <a:blip r:embed="rId20" cstate="print"/>
                    <a:stretch>
                      <a:fillRect/>
                    </a:stretch>
                  </pic:blipFill>
                  <pic:spPr>
                    <a:xfrm>
                      <a:off x="0" y="0"/>
                      <a:ext cx="4151528" cy="3475767"/>
                    </a:xfrm>
                    <a:prstGeom prst="rect">
                      <a:avLst/>
                    </a:prstGeom>
                  </pic:spPr>
                </pic:pic>
              </a:graphicData>
            </a:graphic>
          </wp:anchor>
        </w:drawing>
      </w:r>
    </w:p>
    <w:p>
      <w:pPr>
        <w:spacing w:before="0"/>
        <w:ind w:left="2" w:right="1" w:firstLine="0"/>
        <w:jc w:val="center"/>
        <w:rPr>
          <w:sz w:val="20"/>
        </w:rPr>
      </w:pPr>
      <w:r>
        <w:rPr>
          <w:spacing w:val="-2"/>
          <w:sz w:val="20"/>
        </w:rPr>
        <w:t>(Source:</w:t>
      </w:r>
      <w:r>
        <w:rPr>
          <w:spacing w:val="31"/>
          <w:sz w:val="20"/>
        </w:rPr>
        <w:t> </w:t>
      </w:r>
      <w:hyperlink r:id="rId21">
        <w:r>
          <w:rPr>
            <w:color w:val="000080"/>
            <w:spacing w:val="-2"/>
            <w:sz w:val="20"/>
            <w:u w:val="single" w:color="000080"/>
          </w:rPr>
          <w:t>https://drvidyahattangadi.com/what-is-porters-diamond-model/</w:t>
        </w:r>
      </w:hyperlink>
      <w:r>
        <w:rPr>
          <w:color w:val="000080"/>
          <w:spacing w:val="31"/>
          <w:sz w:val="20"/>
        </w:rPr>
        <w:t> </w:t>
      </w:r>
      <w:r>
        <w:rPr>
          <w:spacing w:val="-10"/>
          <w:sz w:val="20"/>
        </w:rPr>
        <w:t>)</w:t>
      </w:r>
    </w:p>
    <w:p>
      <w:pPr>
        <w:pStyle w:val="BodyText"/>
      </w:pPr>
    </w:p>
    <w:p>
      <w:pPr>
        <w:pStyle w:val="BodyText"/>
      </w:pPr>
    </w:p>
    <w:p>
      <w:pPr>
        <w:pStyle w:val="BodyText"/>
        <w:spacing w:before="90"/>
      </w:pPr>
    </w:p>
    <w:p>
      <w:pPr>
        <w:pStyle w:val="Heading1"/>
        <w:numPr>
          <w:ilvl w:val="1"/>
          <w:numId w:val="4"/>
        </w:numPr>
        <w:tabs>
          <w:tab w:pos="236" w:val="left" w:leader="none"/>
        </w:tabs>
        <w:spacing w:line="240" w:lineRule="auto" w:before="0" w:after="0"/>
        <w:ind w:left="236" w:right="0" w:hanging="213"/>
        <w:jc w:val="left"/>
      </w:pPr>
      <w:r>
        <w:rPr/>
        <w:t>Factor</w:t>
      </w:r>
      <w:r>
        <w:rPr>
          <w:spacing w:val="-1"/>
        </w:rPr>
        <w:t> </w:t>
      </w:r>
      <w:r>
        <w:rPr>
          <w:spacing w:val="-2"/>
        </w:rPr>
        <w:t>Conditions</w:t>
      </w:r>
    </w:p>
    <w:p>
      <w:pPr>
        <w:pStyle w:val="BodyText"/>
        <w:spacing w:before="64"/>
        <w:rPr>
          <w:rFonts w:ascii="Arial"/>
          <w:b/>
        </w:rPr>
      </w:pPr>
    </w:p>
    <w:p>
      <w:pPr>
        <w:pStyle w:val="BodyText"/>
        <w:spacing w:line="367" w:lineRule="auto"/>
        <w:ind w:left="23" w:right="25"/>
        <w:jc w:val="both"/>
      </w:pPr>
      <w:r>
        <w:rPr/>
        <w:t>Factor conditions includes a nation's position in factors of production : such as agricultural infrastructure or skilled labor; The Indian dairy sector shows a stark contrast</w:t>
      </w:r>
      <w:r>
        <w:rPr>
          <w:spacing w:val="-5"/>
        </w:rPr>
        <w:t> </w:t>
      </w:r>
      <w:r>
        <w:rPr/>
        <w:t>between</w:t>
      </w:r>
      <w:r>
        <w:rPr>
          <w:spacing w:val="-3"/>
        </w:rPr>
        <w:t> </w:t>
      </w:r>
      <w:r>
        <w:rPr/>
        <w:t>the</w:t>
      </w:r>
      <w:r>
        <w:rPr>
          <w:spacing w:val="-3"/>
        </w:rPr>
        <w:t> </w:t>
      </w:r>
      <w:r>
        <w:rPr/>
        <w:t>quantity</w:t>
      </w:r>
      <w:r>
        <w:rPr>
          <w:spacing w:val="-5"/>
        </w:rPr>
        <w:t> </w:t>
      </w:r>
      <w:r>
        <w:rPr/>
        <w:t>and</w:t>
      </w:r>
      <w:r>
        <w:rPr>
          <w:spacing w:val="-3"/>
        </w:rPr>
        <w:t> </w:t>
      </w:r>
      <w:r>
        <w:rPr/>
        <w:t>quality</w:t>
      </w:r>
      <w:r>
        <w:rPr>
          <w:spacing w:val="-5"/>
        </w:rPr>
        <w:t> </w:t>
      </w:r>
      <w:r>
        <w:rPr/>
        <w:t>of</w:t>
      </w:r>
      <w:r>
        <w:rPr>
          <w:spacing w:val="-2"/>
        </w:rPr>
        <w:t> </w:t>
      </w:r>
      <w:r>
        <w:rPr/>
        <w:t>its</w:t>
      </w:r>
      <w:r>
        <w:rPr>
          <w:spacing w:val="-6"/>
        </w:rPr>
        <w:t> </w:t>
      </w:r>
      <w:r>
        <w:rPr/>
        <w:t>factor</w:t>
      </w:r>
      <w:r>
        <w:rPr>
          <w:spacing w:val="-4"/>
        </w:rPr>
        <w:t> </w:t>
      </w:r>
      <w:r>
        <w:rPr/>
        <w:t>conditions</w:t>
      </w:r>
      <w:r>
        <w:rPr>
          <w:spacing w:val="-6"/>
        </w:rPr>
        <w:t> </w:t>
      </w:r>
      <w:r>
        <w:rPr/>
        <w:t>(Kabilai</w:t>
      </w:r>
      <w:r>
        <w:rPr>
          <w:spacing w:val="-4"/>
        </w:rPr>
        <w:t> </w:t>
      </w:r>
      <w:r>
        <w:rPr/>
        <w:t>Farm,</w:t>
      </w:r>
      <w:r>
        <w:rPr>
          <w:spacing w:val="-5"/>
        </w:rPr>
        <w:t> </w:t>
      </w:r>
      <w:r>
        <w:rPr/>
        <w:t>2026).</w:t>
      </w:r>
    </w:p>
    <w:p>
      <w:pPr>
        <w:pStyle w:val="BodyText"/>
        <w:spacing w:line="364" w:lineRule="auto" w:before="194"/>
        <w:ind w:left="23" w:right="16"/>
        <w:jc w:val="both"/>
      </w:pPr>
      <w:r>
        <w:rPr/>
        <w:t>Quantitatively</w:t>
      </w:r>
      <w:r>
        <w:rPr>
          <w:spacing w:val="-2"/>
        </w:rPr>
        <w:t> </w:t>
      </w:r>
      <w:r>
        <w:rPr/>
        <w:t>India</w:t>
      </w:r>
      <w:r>
        <w:rPr>
          <w:spacing w:val="-1"/>
        </w:rPr>
        <w:t> </w:t>
      </w:r>
      <w:r>
        <w:rPr/>
        <w:t>has an advantage :</w:t>
      </w:r>
      <w:r>
        <w:rPr>
          <w:spacing w:val="-1"/>
        </w:rPr>
        <w:t> </w:t>
      </w:r>
      <w:r>
        <w:rPr/>
        <w:t>India</w:t>
      </w:r>
      <w:r>
        <w:rPr>
          <w:spacing w:val="-3"/>
        </w:rPr>
        <w:t> </w:t>
      </w:r>
      <w:r>
        <w:rPr/>
        <w:t>has world’s largest bovine population of more than 307 million animals and abundant low-cost rural labor to support it(Kabilai Farm, 2026). However, the quality suffers because these basic factors are critically underdeveloped. Per animal mil yeild is approximately 5 liters per day in india, which is</w:t>
      </w:r>
      <w:r>
        <w:rPr>
          <w:spacing w:val="-1"/>
        </w:rPr>
        <w:t> </w:t>
      </w:r>
      <w:r>
        <w:rPr/>
        <w:t>significatly</w:t>
      </w:r>
      <w:r>
        <w:rPr>
          <w:spacing w:val="-3"/>
        </w:rPr>
        <w:t> </w:t>
      </w:r>
      <w:r>
        <w:rPr/>
        <w:t>lower when compared to united</w:t>
      </w:r>
      <w:r>
        <w:rPr>
          <w:spacing w:val="-2"/>
        </w:rPr>
        <w:t> </w:t>
      </w:r>
      <w:r>
        <w:rPr/>
        <w:t>nations</w:t>
      </w:r>
      <w:r>
        <w:rPr>
          <w:spacing w:val="-1"/>
        </w:rPr>
        <w:t> </w:t>
      </w:r>
      <w:r>
        <w:rPr/>
        <w:t>(28 to 33 liters)</w:t>
      </w:r>
      <w:r>
        <w:rPr>
          <w:spacing w:val="-1"/>
        </w:rPr>
        <w:t> </w:t>
      </w:r>
      <w:r>
        <w:rPr/>
        <w:t>and even global average</w:t>
      </w:r>
      <w:r>
        <w:rPr>
          <w:spacing w:val="-9"/>
        </w:rPr>
        <w:t> </w:t>
      </w:r>
      <w:r>
        <w:rPr/>
        <w:t>of</w:t>
      </w:r>
      <w:r>
        <w:rPr>
          <w:spacing w:val="-7"/>
        </w:rPr>
        <w:t> </w:t>
      </w:r>
      <w:r>
        <w:rPr/>
        <w:t>7</w:t>
      </w:r>
      <w:r>
        <w:rPr>
          <w:spacing w:val="-9"/>
        </w:rPr>
        <w:t> </w:t>
      </w:r>
      <w:r>
        <w:rPr/>
        <w:t>liters</w:t>
      </w:r>
      <w:r>
        <w:rPr>
          <w:spacing w:val="-10"/>
        </w:rPr>
        <w:t> </w:t>
      </w:r>
      <w:r>
        <w:rPr/>
        <w:t>(ResearchGate,</w:t>
      </w:r>
      <w:r>
        <w:rPr>
          <w:spacing w:val="-12"/>
        </w:rPr>
        <w:t> </w:t>
      </w:r>
      <w:r>
        <w:rPr/>
        <w:t>2026).</w:t>
      </w:r>
      <w:r>
        <w:rPr>
          <w:spacing w:val="-10"/>
        </w:rPr>
        <w:t> </w:t>
      </w:r>
      <w:r>
        <w:rPr/>
        <w:t>This</w:t>
      </w:r>
      <w:r>
        <w:rPr>
          <w:spacing w:val="-13"/>
        </w:rPr>
        <w:t> </w:t>
      </w:r>
      <w:r>
        <w:rPr/>
        <w:t>productivity</w:t>
      </w:r>
      <w:r>
        <w:rPr>
          <w:spacing w:val="-10"/>
        </w:rPr>
        <w:t> </w:t>
      </w:r>
      <w:r>
        <w:rPr/>
        <w:t>gap</w:t>
      </w:r>
      <w:r>
        <w:rPr>
          <w:spacing w:val="-9"/>
        </w:rPr>
        <w:t> </w:t>
      </w:r>
      <w:r>
        <w:rPr/>
        <w:t>becomes</w:t>
      </w:r>
      <w:r>
        <w:rPr>
          <w:spacing w:val="-12"/>
        </w:rPr>
        <w:t> </w:t>
      </w:r>
      <w:r>
        <w:rPr/>
        <w:t>more</w:t>
      </w:r>
      <w:r>
        <w:rPr>
          <w:spacing w:val="-9"/>
        </w:rPr>
        <w:t> </w:t>
      </w:r>
      <w:r>
        <w:rPr/>
        <w:t>severe because</w:t>
      </w:r>
      <w:r>
        <w:rPr>
          <w:spacing w:val="33"/>
        </w:rPr>
        <w:t> </w:t>
      </w:r>
      <w:r>
        <w:rPr/>
        <w:t>of</w:t>
      </w:r>
      <w:r>
        <w:rPr>
          <w:spacing w:val="33"/>
        </w:rPr>
        <w:t> </w:t>
      </w:r>
      <w:r>
        <w:rPr/>
        <w:t>highly</w:t>
      </w:r>
      <w:r>
        <w:rPr>
          <w:spacing w:val="30"/>
        </w:rPr>
        <w:t> </w:t>
      </w:r>
      <w:r>
        <w:rPr/>
        <w:t>fragmented</w:t>
      </w:r>
      <w:r>
        <w:rPr>
          <w:spacing w:val="33"/>
        </w:rPr>
        <w:t> </w:t>
      </w:r>
      <w:r>
        <w:rPr/>
        <w:t>landholdings</w:t>
      </w:r>
      <w:r>
        <w:rPr>
          <w:spacing w:val="30"/>
        </w:rPr>
        <w:t> </w:t>
      </w:r>
      <w:r>
        <w:rPr/>
        <w:t>and</w:t>
      </w:r>
      <w:r>
        <w:rPr>
          <w:spacing w:val="31"/>
        </w:rPr>
        <w:t> </w:t>
      </w:r>
      <w:r>
        <w:rPr/>
        <w:t>persistent</w:t>
      </w:r>
      <w:r>
        <w:rPr>
          <w:spacing w:val="33"/>
        </w:rPr>
        <w:t> </w:t>
      </w:r>
      <w:r>
        <w:rPr/>
        <w:t>shortage</w:t>
      </w:r>
      <w:r>
        <w:rPr>
          <w:spacing w:val="33"/>
        </w:rPr>
        <w:t> </w:t>
      </w:r>
      <w:r>
        <w:rPr/>
        <w:t>of</w:t>
      </w:r>
      <w:r>
        <w:rPr>
          <w:spacing w:val="35"/>
        </w:rPr>
        <w:t> </w:t>
      </w:r>
      <w:r>
        <w:rPr/>
        <w:t>high</w:t>
      </w:r>
      <w:r>
        <w:rPr>
          <w:spacing w:val="33"/>
        </w:rPr>
        <w:t> </w:t>
      </w:r>
      <w:r>
        <w:rPr/>
        <w:t>quality</w:t>
      </w:r>
    </w:p>
    <w:p>
      <w:pPr>
        <w:pStyle w:val="BodyText"/>
        <w:spacing w:after="0" w:line="364" w:lineRule="auto"/>
        <w:jc w:val="both"/>
        <w:sectPr>
          <w:pgSz w:w="11910" w:h="16840"/>
          <w:pgMar w:header="1066" w:footer="804" w:top="2000" w:bottom="1000" w:left="1417" w:right="1417"/>
        </w:sectPr>
      </w:pPr>
    </w:p>
    <w:p>
      <w:pPr>
        <w:pStyle w:val="BodyText"/>
        <w:spacing w:line="367" w:lineRule="auto" w:before="247"/>
        <w:ind w:left="23" w:right="25"/>
        <w:jc w:val="both"/>
      </w:pPr>
      <w:r>
        <w:rPr/>
        <w:t>cattle feed and advanced genetic breeding infrastructure (ResearchGate, 2026; Kabilai</w:t>
      </w:r>
      <w:r>
        <w:rPr>
          <w:spacing w:val="-3"/>
        </w:rPr>
        <w:t> </w:t>
      </w:r>
      <w:r>
        <w:rPr/>
        <w:t>Farm,</w:t>
      </w:r>
      <w:r>
        <w:rPr>
          <w:spacing w:val="-3"/>
        </w:rPr>
        <w:t> </w:t>
      </w:r>
      <w:r>
        <w:rPr/>
        <w:t>2026).</w:t>
      </w:r>
      <w:r>
        <w:rPr>
          <w:spacing w:val="-3"/>
        </w:rPr>
        <w:t> </w:t>
      </w:r>
      <w:r>
        <w:rPr/>
        <w:t>Most</w:t>
      </w:r>
      <w:r>
        <w:rPr>
          <w:spacing w:val="-3"/>
        </w:rPr>
        <w:t> </w:t>
      </w:r>
      <w:r>
        <w:rPr/>
        <w:t>of</w:t>
      </w:r>
      <w:r>
        <w:rPr>
          <w:spacing w:val="-3"/>
        </w:rPr>
        <w:t> </w:t>
      </w:r>
      <w:r>
        <w:rPr/>
        <w:t>the</w:t>
      </w:r>
      <w:r>
        <w:rPr>
          <w:spacing w:val="-4"/>
        </w:rPr>
        <w:t> </w:t>
      </w:r>
      <w:r>
        <w:rPr/>
        <w:t>80</w:t>
      </w:r>
      <w:r>
        <w:rPr>
          <w:spacing w:val="-4"/>
        </w:rPr>
        <w:t> </w:t>
      </w:r>
      <w:r>
        <w:rPr/>
        <w:t>million</w:t>
      </w:r>
      <w:r>
        <w:rPr>
          <w:spacing w:val="-3"/>
        </w:rPr>
        <w:t> </w:t>
      </w:r>
      <w:r>
        <w:rPr/>
        <w:t>dairy</w:t>
      </w:r>
      <w:r>
        <w:rPr>
          <w:spacing w:val="-5"/>
        </w:rPr>
        <w:t> </w:t>
      </w:r>
      <w:r>
        <w:rPr/>
        <w:t>farmers</w:t>
      </w:r>
      <w:r>
        <w:rPr>
          <w:spacing w:val="-3"/>
        </w:rPr>
        <w:t> </w:t>
      </w:r>
      <w:r>
        <w:rPr/>
        <w:t>own</w:t>
      </w:r>
      <w:r>
        <w:rPr>
          <w:spacing w:val="-3"/>
        </w:rPr>
        <w:t> </w:t>
      </w:r>
      <w:r>
        <w:rPr/>
        <w:t>just</w:t>
      </w:r>
      <w:r>
        <w:rPr>
          <w:spacing w:val="-3"/>
        </w:rPr>
        <w:t> </w:t>
      </w:r>
      <w:r>
        <w:rPr/>
        <w:t>one</w:t>
      </w:r>
      <w:r>
        <w:rPr>
          <w:spacing w:val="-3"/>
        </w:rPr>
        <w:t> </w:t>
      </w:r>
      <w:r>
        <w:rPr/>
        <w:t>or</w:t>
      </w:r>
      <w:r>
        <w:rPr>
          <w:spacing w:val="-3"/>
        </w:rPr>
        <w:t> </w:t>
      </w:r>
      <w:r>
        <w:rPr/>
        <w:t>two</w:t>
      </w:r>
      <w:r>
        <w:rPr>
          <w:spacing w:val="-3"/>
        </w:rPr>
        <w:t> </w:t>
      </w:r>
      <w:r>
        <w:rPr/>
        <w:t>animals. Hence, while the sheer volume of basic factors provides domestic scale, the lack of advanced factor conditions severely hampers India's cost competitiveness on the global export stage.</w:t>
      </w:r>
    </w:p>
    <w:p>
      <w:pPr>
        <w:pStyle w:val="BodyText"/>
        <w:spacing w:before="9"/>
        <w:rPr>
          <w:sz w:val="14"/>
        </w:rPr>
      </w:pPr>
      <w:r>
        <w:rPr>
          <w:sz w:val="14"/>
        </w:rPr>
        <w:drawing>
          <wp:anchor distT="0" distB="0" distL="0" distR="0" allowOverlap="1" layoutInCell="1" locked="0" behindDoc="1" simplePos="0" relativeHeight="487591936">
            <wp:simplePos x="0" y="0"/>
            <wp:positionH relativeFrom="page">
              <wp:posOffset>1016317</wp:posOffset>
            </wp:positionH>
            <wp:positionV relativeFrom="paragraph">
              <wp:posOffset>122009</wp:posOffset>
            </wp:positionV>
            <wp:extent cx="5487030" cy="3086100"/>
            <wp:effectExtent l="0" t="0" r="0" b="0"/>
            <wp:wrapTopAndBottom/>
            <wp:docPr id="12" name="Image 12"/>
            <wp:cNvGraphicFramePr>
              <a:graphicFrameLocks/>
            </wp:cNvGraphicFramePr>
            <a:graphic>
              <a:graphicData uri="http://schemas.openxmlformats.org/drawingml/2006/picture">
                <pic:pic>
                  <pic:nvPicPr>
                    <pic:cNvPr id="12" name="Image 12"/>
                    <pic:cNvPicPr/>
                  </pic:nvPicPr>
                  <pic:blipFill>
                    <a:blip r:embed="rId22" cstate="print"/>
                    <a:stretch>
                      <a:fillRect/>
                    </a:stretch>
                  </pic:blipFill>
                  <pic:spPr>
                    <a:xfrm>
                      <a:off x="0" y="0"/>
                      <a:ext cx="5487030" cy="3086100"/>
                    </a:xfrm>
                    <a:prstGeom prst="rect">
                      <a:avLst/>
                    </a:prstGeom>
                  </pic:spPr>
                </pic:pic>
              </a:graphicData>
            </a:graphic>
          </wp:anchor>
        </w:drawing>
      </w:r>
    </w:p>
    <w:p>
      <w:pPr>
        <w:spacing w:before="41"/>
        <w:ind w:left="1" w:right="2" w:firstLine="0"/>
        <w:jc w:val="center"/>
        <w:rPr>
          <w:sz w:val="20"/>
        </w:rPr>
      </w:pPr>
      <w:r>
        <w:rPr>
          <w:spacing w:val="-2"/>
          <w:sz w:val="20"/>
        </w:rPr>
        <w:t>(Source:</w:t>
      </w:r>
      <w:r>
        <w:rPr>
          <w:spacing w:val="29"/>
          <w:sz w:val="20"/>
        </w:rPr>
        <w:t> </w:t>
      </w:r>
      <w:hyperlink r:id="rId23">
        <w:r>
          <w:rPr>
            <w:color w:val="000080"/>
            <w:spacing w:val="-2"/>
            <w:sz w:val="20"/>
            <w:u w:val="single" w:color="000080"/>
          </w:rPr>
          <w:t>https://www.imarcgroup.com/dairy-industry-in-india</w:t>
        </w:r>
      </w:hyperlink>
      <w:r>
        <w:rPr>
          <w:color w:val="000080"/>
          <w:spacing w:val="29"/>
          <w:sz w:val="20"/>
        </w:rPr>
        <w:t> </w:t>
      </w:r>
      <w:r>
        <w:rPr>
          <w:spacing w:val="-10"/>
          <w:sz w:val="20"/>
        </w:rPr>
        <w:t>)</w:t>
      </w:r>
    </w:p>
    <w:p>
      <w:pPr>
        <w:pStyle w:val="BodyText"/>
      </w:pPr>
    </w:p>
    <w:p>
      <w:pPr>
        <w:pStyle w:val="BodyText"/>
      </w:pPr>
    </w:p>
    <w:p>
      <w:pPr>
        <w:pStyle w:val="BodyText"/>
        <w:spacing w:before="113"/>
      </w:pPr>
    </w:p>
    <w:p>
      <w:pPr>
        <w:pStyle w:val="Heading1"/>
        <w:numPr>
          <w:ilvl w:val="1"/>
          <w:numId w:val="4"/>
        </w:numPr>
        <w:tabs>
          <w:tab w:pos="302" w:val="left" w:leader="none"/>
        </w:tabs>
        <w:spacing w:line="240" w:lineRule="auto" w:before="0" w:after="0"/>
        <w:ind w:left="302" w:right="0" w:hanging="279"/>
        <w:jc w:val="left"/>
      </w:pPr>
      <w:r>
        <w:rPr/>
        <w:t>Demand</w:t>
      </w:r>
      <w:r>
        <w:rPr>
          <w:spacing w:val="-1"/>
        </w:rPr>
        <w:t> </w:t>
      </w:r>
      <w:r>
        <w:rPr>
          <w:spacing w:val="-2"/>
        </w:rPr>
        <w:t>Conditions</w:t>
      </w:r>
    </w:p>
    <w:p>
      <w:pPr>
        <w:pStyle w:val="BodyText"/>
        <w:spacing w:before="64"/>
        <w:rPr>
          <w:rFonts w:ascii="Arial"/>
          <w:b/>
        </w:rPr>
      </w:pPr>
    </w:p>
    <w:p>
      <w:pPr>
        <w:pStyle w:val="BodyText"/>
        <w:spacing w:line="367" w:lineRule="auto"/>
        <w:ind w:left="23" w:right="20"/>
        <w:jc w:val="both"/>
      </w:pPr>
      <w:r>
        <w:rPr/>
        <w:t>Demand conditions describe the nature of home-market demand for the industry's product. Here multinational corporations directly benefit becase this colossal market is going through a massive structural transformation (Research and Markets, 2025). India has 394 grams/day of per capita milk consumption, which is significantly higher than global average. The demand for raw milk accounts for 65% of overall product segment (IMARC Group, 2025). Domestic demand for high margin VADPs is rising and dairy processors are forced to innovate and adapt advance processing technologies to setisfy it </w:t>
      </w:r>
      <w:r>
        <w:rPr>
          <w:w w:val="160"/>
        </w:rPr>
        <w:t>–</w:t>
      </w:r>
      <w:r>
        <w:rPr>
          <w:w w:val="160"/>
        </w:rPr>
        <w:t> </w:t>
      </w:r>
      <w:r>
        <w:rPr/>
        <w:t>this presents a massive opportunity for MNCs (IMARC Group, 2025; Coherent Market Insights, 2026).</w:t>
      </w:r>
    </w:p>
    <w:p>
      <w:pPr>
        <w:pStyle w:val="BodyText"/>
        <w:spacing w:after="0" w:line="367" w:lineRule="auto"/>
        <w:jc w:val="both"/>
        <w:sectPr>
          <w:pgSz w:w="11910" w:h="16840"/>
          <w:pgMar w:header="1066" w:footer="804" w:top="2000" w:bottom="1000" w:left="1417" w:right="1417"/>
        </w:sectPr>
      </w:pPr>
    </w:p>
    <w:p>
      <w:pPr>
        <w:pStyle w:val="BodyText"/>
        <w:spacing w:line="369" w:lineRule="auto" w:before="247"/>
        <w:ind w:left="23" w:right="23"/>
      </w:pPr>
      <w:r>
        <w:rPr/>
        <w:t>(probiotic drinks, A2 milk, organic dairy, and fortified yogurts (IMARC Group,</w:t>
      </w:r>
      <w:r>
        <w:rPr>
          <w:spacing w:val="33"/>
        </w:rPr>
        <w:t> </w:t>
      </w:r>
      <w:r>
        <w:rPr/>
        <w:t>2025;</w:t>
      </w:r>
      <w:r>
        <w:rPr>
          <w:spacing w:val="40"/>
        </w:rPr>
        <w:t> </w:t>
      </w:r>
      <w:r>
        <w:rPr/>
        <w:t>Coherent Market Insights, 2026)</w:t>
      </w:r>
    </w:p>
    <w:p>
      <w:pPr>
        <w:pStyle w:val="BodyText"/>
        <w:spacing w:before="9"/>
        <w:rPr>
          <w:sz w:val="14"/>
        </w:rPr>
      </w:pPr>
      <w:r>
        <w:rPr>
          <w:sz w:val="14"/>
        </w:rPr>
        <w:drawing>
          <wp:anchor distT="0" distB="0" distL="0" distR="0" allowOverlap="1" layoutInCell="1" locked="0" behindDoc="1" simplePos="0" relativeHeight="487592448">
            <wp:simplePos x="0" y="0"/>
            <wp:positionH relativeFrom="page">
              <wp:posOffset>1129030</wp:posOffset>
            </wp:positionH>
            <wp:positionV relativeFrom="paragraph">
              <wp:posOffset>121626</wp:posOffset>
            </wp:positionV>
            <wp:extent cx="5298638" cy="2794635"/>
            <wp:effectExtent l="0" t="0" r="0" b="0"/>
            <wp:wrapTopAndBottom/>
            <wp:docPr id="13" name="Image 13"/>
            <wp:cNvGraphicFramePr>
              <a:graphicFrameLocks/>
            </wp:cNvGraphicFramePr>
            <a:graphic>
              <a:graphicData uri="http://schemas.openxmlformats.org/drawingml/2006/picture">
                <pic:pic>
                  <pic:nvPicPr>
                    <pic:cNvPr id="13" name="Image 13"/>
                    <pic:cNvPicPr/>
                  </pic:nvPicPr>
                  <pic:blipFill>
                    <a:blip r:embed="rId24" cstate="print"/>
                    <a:stretch>
                      <a:fillRect/>
                    </a:stretch>
                  </pic:blipFill>
                  <pic:spPr>
                    <a:xfrm>
                      <a:off x="0" y="0"/>
                      <a:ext cx="5298638" cy="2794635"/>
                    </a:xfrm>
                    <a:prstGeom prst="rect">
                      <a:avLst/>
                    </a:prstGeom>
                  </pic:spPr>
                </pic:pic>
              </a:graphicData>
            </a:graphic>
          </wp:anchor>
        </w:drawing>
      </w:r>
    </w:p>
    <w:p>
      <w:pPr>
        <w:pStyle w:val="BodyText"/>
        <w:spacing w:before="8"/>
        <w:ind w:left="373"/>
      </w:pPr>
      <w:r>
        <w:rPr>
          <w:spacing w:val="-2"/>
        </w:rPr>
        <w:t>(Source:</w:t>
      </w:r>
      <w:r>
        <w:rPr>
          <w:spacing w:val="40"/>
        </w:rPr>
        <w:t> </w:t>
      </w:r>
      <w:hyperlink r:id="rId25">
        <w:r>
          <w:rPr>
            <w:color w:val="000080"/>
            <w:spacing w:val="-2"/>
            <w:u w:val="single" w:color="000080"/>
          </w:rPr>
          <w:t>https://www.fortunebusinessinsights.com/india-dairy-market-107416</w:t>
        </w:r>
      </w:hyperlink>
      <w:r>
        <w:rPr>
          <w:color w:val="000080"/>
          <w:spacing w:val="45"/>
        </w:rPr>
        <w:t> </w:t>
      </w:r>
      <w:r>
        <w:rPr>
          <w:spacing w:val="-10"/>
        </w:rPr>
        <w:t>)</w:t>
      </w:r>
    </w:p>
    <w:p>
      <w:pPr>
        <w:pStyle w:val="BodyText"/>
      </w:pPr>
    </w:p>
    <w:p>
      <w:pPr>
        <w:pStyle w:val="BodyText"/>
      </w:pPr>
    </w:p>
    <w:p>
      <w:pPr>
        <w:pStyle w:val="BodyText"/>
        <w:spacing w:before="138"/>
      </w:pPr>
    </w:p>
    <w:p>
      <w:pPr>
        <w:pStyle w:val="Heading1"/>
        <w:numPr>
          <w:ilvl w:val="1"/>
          <w:numId w:val="4"/>
        </w:numPr>
        <w:tabs>
          <w:tab w:pos="369" w:val="left" w:leader="none"/>
        </w:tabs>
        <w:spacing w:line="240" w:lineRule="auto" w:before="1" w:after="0"/>
        <w:ind w:left="369" w:right="0" w:hanging="346"/>
        <w:jc w:val="left"/>
      </w:pPr>
      <w:r>
        <w:rPr/>
        <w:t>Related</w:t>
      </w:r>
      <w:r>
        <w:rPr>
          <w:spacing w:val="-6"/>
        </w:rPr>
        <w:t> </w:t>
      </w:r>
      <w:r>
        <w:rPr/>
        <w:t>and</w:t>
      </w:r>
      <w:r>
        <w:rPr>
          <w:spacing w:val="-1"/>
        </w:rPr>
        <w:t> </w:t>
      </w:r>
      <w:r>
        <w:rPr/>
        <w:t>Supporting</w:t>
      </w:r>
      <w:r>
        <w:rPr>
          <w:spacing w:val="-2"/>
        </w:rPr>
        <w:t> Industries</w:t>
      </w:r>
    </w:p>
    <w:p>
      <w:pPr>
        <w:pStyle w:val="BodyText"/>
        <w:spacing w:before="63"/>
        <w:rPr>
          <w:rFonts w:ascii="Arial"/>
          <w:b/>
        </w:rPr>
      </w:pPr>
    </w:p>
    <w:p>
      <w:pPr>
        <w:pStyle w:val="BodyText"/>
        <w:spacing w:line="364" w:lineRule="auto" w:before="1"/>
        <w:ind w:left="23" w:right="18"/>
        <w:jc w:val="both"/>
      </w:pPr>
      <w:r>
        <w:rPr/>
        <w:t>National</w:t>
      </w:r>
      <w:r>
        <w:rPr>
          <w:spacing w:val="-4"/>
        </w:rPr>
        <w:t> </w:t>
      </w:r>
      <w:r>
        <w:rPr/>
        <w:t>advantage</w:t>
      </w:r>
      <w:r>
        <w:rPr>
          <w:spacing w:val="-3"/>
        </w:rPr>
        <w:t> </w:t>
      </w:r>
      <w:r>
        <w:rPr/>
        <w:t>can</w:t>
      </w:r>
      <w:r>
        <w:rPr>
          <w:spacing w:val="-3"/>
        </w:rPr>
        <w:t> </w:t>
      </w:r>
      <w:r>
        <w:rPr/>
        <w:t>be</w:t>
      </w:r>
      <w:r>
        <w:rPr>
          <w:spacing w:val="-3"/>
        </w:rPr>
        <w:t> </w:t>
      </w:r>
      <w:r>
        <w:rPr/>
        <w:t>determined</w:t>
      </w:r>
      <w:r>
        <w:rPr>
          <w:spacing w:val="-6"/>
        </w:rPr>
        <w:t> </w:t>
      </w:r>
      <w:r>
        <w:rPr/>
        <w:t>by</w:t>
      </w:r>
      <w:r>
        <w:rPr>
          <w:spacing w:val="-6"/>
        </w:rPr>
        <w:t> </w:t>
      </w:r>
      <w:r>
        <w:rPr/>
        <w:t>the</w:t>
      </w:r>
      <w:r>
        <w:rPr>
          <w:spacing w:val="-3"/>
        </w:rPr>
        <w:t> </w:t>
      </w:r>
      <w:r>
        <w:rPr/>
        <w:t>presence</w:t>
      </w:r>
      <w:r>
        <w:rPr>
          <w:spacing w:val="-6"/>
        </w:rPr>
        <w:t> </w:t>
      </w:r>
      <w:r>
        <w:rPr/>
        <w:t>or</w:t>
      </w:r>
      <w:r>
        <w:rPr>
          <w:spacing w:val="-5"/>
        </w:rPr>
        <w:t> </w:t>
      </w:r>
      <w:r>
        <w:rPr/>
        <w:t>absencec</w:t>
      </w:r>
      <w:r>
        <w:rPr>
          <w:spacing w:val="-6"/>
        </w:rPr>
        <w:t> </w:t>
      </w:r>
      <w:r>
        <w:rPr/>
        <w:t>of</w:t>
      </w:r>
      <w:r>
        <w:rPr>
          <w:spacing w:val="-4"/>
        </w:rPr>
        <w:t> </w:t>
      </w:r>
      <w:r>
        <w:rPr/>
        <w:t>upstream</w:t>
      </w:r>
      <w:r>
        <w:rPr>
          <w:spacing w:val="-5"/>
        </w:rPr>
        <w:t> </w:t>
      </w:r>
      <w:r>
        <w:rPr/>
        <w:t>and downstream</w:t>
      </w:r>
      <w:r>
        <w:rPr>
          <w:spacing w:val="-7"/>
        </w:rPr>
        <w:t> </w:t>
      </w:r>
      <w:r>
        <w:rPr/>
        <w:t>industries</w:t>
      </w:r>
      <w:r>
        <w:rPr>
          <w:spacing w:val="-8"/>
        </w:rPr>
        <w:t> </w:t>
      </w:r>
      <w:r>
        <w:rPr/>
        <w:t>that</w:t>
      </w:r>
      <w:r>
        <w:rPr>
          <w:spacing w:val="-8"/>
        </w:rPr>
        <w:t> </w:t>
      </w:r>
      <w:r>
        <w:rPr/>
        <w:t>strengthen</w:t>
      </w:r>
      <w:r>
        <w:rPr>
          <w:spacing w:val="-8"/>
        </w:rPr>
        <w:t> </w:t>
      </w:r>
      <w:r>
        <w:rPr/>
        <w:t>a</w:t>
      </w:r>
      <w:r>
        <w:rPr>
          <w:spacing w:val="-5"/>
        </w:rPr>
        <w:t> </w:t>
      </w:r>
      <w:r>
        <w:rPr/>
        <w:t>particular</w:t>
      </w:r>
      <w:r>
        <w:rPr>
          <w:spacing w:val="-6"/>
        </w:rPr>
        <w:t> </w:t>
      </w:r>
      <w:r>
        <w:rPr/>
        <w:t>industry.</w:t>
      </w:r>
      <w:r>
        <w:rPr>
          <w:spacing w:val="-5"/>
        </w:rPr>
        <w:t> </w:t>
      </w:r>
      <w:r>
        <w:rPr/>
        <w:t>This</w:t>
      </w:r>
      <w:r>
        <w:rPr>
          <w:spacing w:val="-6"/>
        </w:rPr>
        <w:t> </w:t>
      </w:r>
      <w:r>
        <w:rPr/>
        <w:t>is</w:t>
      </w:r>
      <w:r>
        <w:rPr>
          <w:spacing w:val="-6"/>
        </w:rPr>
        <w:t> </w:t>
      </w:r>
      <w:r>
        <w:rPr/>
        <w:t>the</w:t>
      </w:r>
      <w:r>
        <w:rPr>
          <w:spacing w:val="-5"/>
        </w:rPr>
        <w:t> </w:t>
      </w:r>
      <w:r>
        <w:rPr/>
        <w:t>weakest</w:t>
      </w:r>
      <w:r>
        <w:rPr>
          <w:spacing w:val="-5"/>
        </w:rPr>
        <w:t> </w:t>
      </w:r>
      <w:r>
        <w:rPr/>
        <w:t>link</w:t>
      </w:r>
      <w:r>
        <w:rPr>
          <w:spacing w:val="-8"/>
        </w:rPr>
        <w:t> </w:t>
      </w:r>
      <w:r>
        <w:rPr/>
        <w:t>in the indian dairy sector because of the absence of cruicial supporting industries such as cold chain logistics and specialized packaging. India’s 60% of the cold chain capacity is concentrated in just 10 major cities, leaving vast agricultural areas underserved and leading to higher spoilage rates (IMARC Group, 2026). This also limits the reach of short shelf life Value added dairy products. Nevertheless, this vulnerability</w:t>
      </w:r>
      <w:r>
        <w:rPr>
          <w:spacing w:val="-4"/>
        </w:rPr>
        <w:t> </w:t>
      </w:r>
      <w:r>
        <w:rPr/>
        <w:t>has</w:t>
      </w:r>
      <w:r>
        <w:rPr>
          <w:spacing w:val="-2"/>
        </w:rPr>
        <w:t> </w:t>
      </w:r>
      <w:r>
        <w:rPr/>
        <w:t>accelerated</w:t>
      </w:r>
      <w:r>
        <w:rPr>
          <w:spacing w:val="-3"/>
        </w:rPr>
        <w:t> </w:t>
      </w:r>
      <w:r>
        <w:rPr/>
        <w:t>India’s</w:t>
      </w:r>
      <w:r>
        <w:rPr>
          <w:spacing w:val="-3"/>
        </w:rPr>
        <w:t> </w:t>
      </w:r>
      <w:r>
        <w:rPr/>
        <w:t>dynamic</w:t>
      </w:r>
      <w:r>
        <w:rPr>
          <w:spacing w:val="-4"/>
        </w:rPr>
        <w:t> </w:t>
      </w:r>
      <w:r>
        <w:rPr/>
        <w:t>agri-tech</w:t>
      </w:r>
      <w:r>
        <w:rPr>
          <w:spacing w:val="-2"/>
        </w:rPr>
        <w:t> </w:t>
      </w:r>
      <w:r>
        <w:rPr/>
        <w:t>startup</w:t>
      </w:r>
      <w:r>
        <w:rPr>
          <w:spacing w:val="-4"/>
        </w:rPr>
        <w:t> </w:t>
      </w:r>
      <w:r>
        <w:rPr/>
        <w:t>ecosystem.</w:t>
      </w:r>
      <w:r>
        <w:rPr>
          <w:spacing w:val="-3"/>
        </w:rPr>
        <w:t> </w:t>
      </w:r>
      <w:r>
        <w:rPr/>
        <w:t>The</w:t>
      </w:r>
      <w:r>
        <w:rPr>
          <w:spacing w:val="-1"/>
        </w:rPr>
        <w:t> </w:t>
      </w:r>
      <w:r>
        <w:rPr/>
        <w:t>sector is rapidly adopting of the Internet of Things (IoT) for real-time monitoring, automated milking systems and solar integrated cold storage solutions. These</w:t>
      </w:r>
      <w:r>
        <w:rPr>
          <w:spacing w:val="40"/>
        </w:rPr>
        <w:t> </w:t>
      </w:r>
      <w:r>
        <w:rPr/>
        <w:t>infrastructure adoption</w:t>
      </w:r>
      <w:r>
        <w:rPr>
          <w:spacing w:val="-2"/>
        </w:rPr>
        <w:t> </w:t>
      </w:r>
      <w:r>
        <w:rPr/>
        <w:t>is</w:t>
      </w:r>
      <w:r>
        <w:rPr>
          <w:spacing w:val="-1"/>
        </w:rPr>
        <w:t> </w:t>
      </w:r>
      <w:r>
        <w:rPr/>
        <w:t>heavily</w:t>
      </w:r>
      <w:r>
        <w:rPr>
          <w:spacing w:val="-3"/>
        </w:rPr>
        <w:t> </w:t>
      </w:r>
      <w:r>
        <w:rPr/>
        <w:t>backed</w:t>
      </w:r>
      <w:r>
        <w:rPr>
          <w:spacing w:val="-2"/>
        </w:rPr>
        <w:t> </w:t>
      </w:r>
      <w:r>
        <w:rPr/>
        <w:t>by</w:t>
      </w:r>
      <w:r>
        <w:rPr>
          <w:spacing w:val="-3"/>
        </w:rPr>
        <w:t> </w:t>
      </w:r>
      <w:r>
        <w:rPr/>
        <w:t>government through</w:t>
      </w:r>
      <w:r>
        <w:rPr>
          <w:spacing w:val="40"/>
        </w:rPr>
        <w:t> </w:t>
      </w:r>
      <w:r>
        <w:rPr/>
        <w:t>PM</w:t>
      </w:r>
      <w:r>
        <w:rPr>
          <w:spacing w:val="-1"/>
        </w:rPr>
        <w:t> </w:t>
      </w:r>
      <w:r>
        <w:rPr/>
        <w:t>Kisan SAMPADA Yojana</w:t>
      </w:r>
      <w:r>
        <w:rPr>
          <w:spacing w:val="-2"/>
        </w:rPr>
        <w:t> </w:t>
      </w:r>
      <w:r>
        <w:rPr/>
        <w:t>and other such initiatives (IMARC Group, 2026; Kabilai Farm, 2026). These investments are resolgin the infrastructure bottlenecks aand slowly modernizing India’s dairy supply chain that can support dairy portfolios of premium MNCs.</w:t>
      </w:r>
    </w:p>
    <w:p>
      <w:pPr>
        <w:pStyle w:val="BodyText"/>
        <w:spacing w:after="0" w:line="364" w:lineRule="auto"/>
        <w:jc w:val="both"/>
        <w:sectPr>
          <w:pgSz w:w="11910" w:h="16840"/>
          <w:pgMar w:header="1066" w:footer="804" w:top="2000" w:bottom="1000" w:left="1417" w:right="1417"/>
        </w:sectPr>
      </w:pPr>
    </w:p>
    <w:p>
      <w:pPr>
        <w:pStyle w:val="BodyText"/>
        <w:spacing w:before="21"/>
        <w:rPr>
          <w:sz w:val="20"/>
        </w:rPr>
      </w:pPr>
    </w:p>
    <w:p>
      <w:pPr>
        <w:pStyle w:val="BodyText"/>
        <w:ind w:left="321"/>
        <w:rPr>
          <w:sz w:val="20"/>
        </w:rPr>
      </w:pPr>
      <w:r>
        <w:rPr>
          <w:sz w:val="20"/>
        </w:rPr>
        <w:drawing>
          <wp:inline distT="0" distB="0" distL="0" distR="0">
            <wp:extent cx="5364833" cy="3017520"/>
            <wp:effectExtent l="0" t="0" r="0" b="0"/>
            <wp:docPr id="14" name="Image 14"/>
            <wp:cNvGraphicFramePr>
              <a:graphicFrameLocks/>
            </wp:cNvGraphicFramePr>
            <a:graphic>
              <a:graphicData uri="http://schemas.openxmlformats.org/drawingml/2006/picture">
                <pic:pic>
                  <pic:nvPicPr>
                    <pic:cNvPr id="14" name="Image 14"/>
                    <pic:cNvPicPr/>
                  </pic:nvPicPr>
                  <pic:blipFill>
                    <a:blip r:embed="rId26" cstate="print"/>
                    <a:stretch>
                      <a:fillRect/>
                    </a:stretch>
                  </pic:blipFill>
                  <pic:spPr>
                    <a:xfrm>
                      <a:off x="0" y="0"/>
                      <a:ext cx="5364833" cy="3017520"/>
                    </a:xfrm>
                    <a:prstGeom prst="rect">
                      <a:avLst/>
                    </a:prstGeom>
                  </pic:spPr>
                </pic:pic>
              </a:graphicData>
            </a:graphic>
          </wp:inline>
        </w:drawing>
      </w:r>
      <w:r>
        <w:rPr>
          <w:sz w:val="20"/>
        </w:rPr>
      </w:r>
    </w:p>
    <w:p>
      <w:pPr>
        <w:spacing w:before="0"/>
        <w:ind w:left="1" w:right="2" w:firstLine="0"/>
        <w:jc w:val="center"/>
        <w:rPr>
          <w:sz w:val="20"/>
        </w:rPr>
      </w:pPr>
      <w:r>
        <w:rPr>
          <w:spacing w:val="-2"/>
          <w:sz w:val="20"/>
        </w:rPr>
        <w:t>(Source:</w:t>
      </w:r>
      <w:r>
        <w:rPr>
          <w:spacing w:val="29"/>
          <w:sz w:val="20"/>
        </w:rPr>
        <w:t> </w:t>
      </w:r>
      <w:hyperlink r:id="rId23">
        <w:r>
          <w:rPr>
            <w:color w:val="000080"/>
            <w:spacing w:val="-2"/>
            <w:sz w:val="20"/>
            <w:u w:val="single" w:color="000080"/>
          </w:rPr>
          <w:t>https://www.imarcgroup.com/dairy-industry-in-india</w:t>
        </w:r>
      </w:hyperlink>
      <w:r>
        <w:rPr>
          <w:color w:val="000080"/>
          <w:spacing w:val="29"/>
          <w:sz w:val="20"/>
        </w:rPr>
        <w:t> </w:t>
      </w:r>
      <w:r>
        <w:rPr>
          <w:spacing w:val="-10"/>
          <w:sz w:val="20"/>
        </w:rPr>
        <w:t>)</w:t>
      </w:r>
    </w:p>
    <w:p>
      <w:pPr>
        <w:pStyle w:val="BodyText"/>
      </w:pPr>
    </w:p>
    <w:p>
      <w:pPr>
        <w:pStyle w:val="BodyText"/>
      </w:pPr>
    </w:p>
    <w:p>
      <w:pPr>
        <w:pStyle w:val="BodyText"/>
        <w:spacing w:before="74"/>
      </w:pPr>
    </w:p>
    <w:p>
      <w:pPr>
        <w:pStyle w:val="Heading1"/>
        <w:numPr>
          <w:ilvl w:val="1"/>
          <w:numId w:val="4"/>
        </w:numPr>
        <w:tabs>
          <w:tab w:pos="368" w:val="left" w:leader="none"/>
        </w:tabs>
        <w:spacing w:line="240" w:lineRule="auto" w:before="0" w:after="0"/>
        <w:ind w:left="368" w:right="0" w:hanging="345"/>
        <w:jc w:val="left"/>
      </w:pPr>
      <w:r>
        <w:rPr/>
        <w:t>Firm</w:t>
      </w:r>
      <w:r>
        <w:rPr>
          <w:spacing w:val="-4"/>
        </w:rPr>
        <w:t> </w:t>
      </w:r>
      <w:r>
        <w:rPr/>
        <w:t>Strategy,</w:t>
      </w:r>
      <w:r>
        <w:rPr>
          <w:spacing w:val="-1"/>
        </w:rPr>
        <w:t> </w:t>
      </w:r>
      <w:r>
        <w:rPr/>
        <w:t>Structure,</w:t>
      </w:r>
      <w:r>
        <w:rPr>
          <w:spacing w:val="-1"/>
        </w:rPr>
        <w:t> </w:t>
      </w:r>
      <w:r>
        <w:rPr/>
        <w:t>and</w:t>
      </w:r>
      <w:r>
        <w:rPr>
          <w:spacing w:val="-1"/>
        </w:rPr>
        <w:t> </w:t>
      </w:r>
      <w:r>
        <w:rPr/>
        <w:t>Rivalry</w:t>
      </w:r>
      <w:r>
        <w:rPr>
          <w:spacing w:val="-7"/>
        </w:rPr>
        <w:t> </w:t>
      </w:r>
      <w:r>
        <w:rPr/>
        <w:t>(including</w:t>
      </w:r>
      <w:r>
        <w:rPr>
          <w:spacing w:val="-1"/>
        </w:rPr>
        <w:t> </w:t>
      </w:r>
      <w:r>
        <w:rPr>
          <w:spacing w:val="-2"/>
        </w:rPr>
        <w:t>Government)</w:t>
      </w:r>
    </w:p>
    <w:p>
      <w:pPr>
        <w:pStyle w:val="BodyText"/>
        <w:spacing w:before="64"/>
        <w:rPr>
          <w:rFonts w:ascii="Arial"/>
          <w:b/>
        </w:rPr>
      </w:pPr>
    </w:p>
    <w:p>
      <w:pPr>
        <w:pStyle w:val="BodyText"/>
        <w:spacing w:line="364" w:lineRule="auto"/>
        <w:ind w:left="23" w:right="17"/>
        <w:jc w:val="both"/>
      </w:pPr>
      <w:r>
        <w:rPr/>
        <w:t>Indian dairy market presents unique and structurally asymmetric rivalry for foreign MNCs where profit-driven foreign MNCs must compete directly against massive cooperatives like Amul, whose primary objective is rural socio-economic welfare and maximum milk procurement rather than pure corporate profit maximization (Kabilai Farm, 2026). As a result, MNCs are forced to avoid volume-based price wars and compete purely on product differentiation and premiumization. Here Porter's external modifier of Government plays a Crucial protectionist role in this rivalry because the Indian government views dairy as a critical pillar of rural employment and heavily shields it’s domestic producers from external shocks through tariffs. India maintains some of the highest agricultural import tariffs globally with an average Most Favored Nation</w:t>
      </w:r>
      <w:r>
        <w:rPr>
          <w:spacing w:val="-16"/>
        </w:rPr>
        <w:t> </w:t>
      </w:r>
      <w:r>
        <w:rPr/>
        <w:t>(MFN)</w:t>
      </w:r>
      <w:r>
        <w:rPr>
          <w:spacing w:val="-16"/>
        </w:rPr>
        <w:t> </w:t>
      </w:r>
      <w:r>
        <w:rPr/>
        <w:t>tariff</w:t>
      </w:r>
      <w:r>
        <w:rPr>
          <w:spacing w:val="-16"/>
        </w:rPr>
        <w:t> </w:t>
      </w:r>
      <w:r>
        <w:rPr/>
        <w:t>hovering</w:t>
      </w:r>
      <w:r>
        <w:rPr>
          <w:spacing w:val="-16"/>
        </w:rPr>
        <w:t> </w:t>
      </w:r>
      <w:r>
        <w:rPr/>
        <w:t>around</w:t>
      </w:r>
      <w:r>
        <w:rPr>
          <w:spacing w:val="-16"/>
        </w:rPr>
        <w:t> </w:t>
      </w:r>
      <w:r>
        <w:rPr/>
        <w:t>15.9%</w:t>
      </w:r>
      <w:r>
        <w:rPr>
          <w:spacing w:val="-16"/>
        </w:rPr>
        <w:t> </w:t>
      </w:r>
      <w:r>
        <w:rPr/>
        <w:t>to</w:t>
      </w:r>
      <w:r>
        <w:rPr>
          <w:spacing w:val="-16"/>
        </w:rPr>
        <w:t> </w:t>
      </w:r>
      <w:r>
        <w:rPr/>
        <w:t>and</w:t>
      </w:r>
      <w:r>
        <w:rPr>
          <w:spacing w:val="-16"/>
        </w:rPr>
        <w:t> </w:t>
      </w:r>
      <w:r>
        <w:rPr/>
        <w:t>excluding</w:t>
      </w:r>
      <w:r>
        <w:rPr>
          <w:spacing w:val="-16"/>
        </w:rPr>
        <w:t> </w:t>
      </w:r>
      <w:r>
        <w:rPr/>
        <w:t>it’s</w:t>
      </w:r>
      <w:r>
        <w:rPr>
          <w:spacing w:val="-16"/>
        </w:rPr>
        <w:t> </w:t>
      </w:r>
      <w:r>
        <w:rPr/>
        <w:t>dairy</w:t>
      </w:r>
      <w:r>
        <w:rPr>
          <w:spacing w:val="-16"/>
        </w:rPr>
        <w:t> </w:t>
      </w:r>
      <w:r>
        <w:rPr/>
        <w:t>concessions</w:t>
      </w:r>
      <w:r>
        <w:rPr>
          <w:spacing w:val="-16"/>
        </w:rPr>
        <w:t> </w:t>
      </w:r>
      <w:r>
        <w:rPr/>
        <w:t>from major</w:t>
      </w:r>
      <w:r>
        <w:rPr>
          <w:spacing w:val="-7"/>
        </w:rPr>
        <w:t> </w:t>
      </w:r>
      <w:r>
        <w:rPr/>
        <w:t>Free</w:t>
      </w:r>
      <w:r>
        <w:rPr>
          <w:spacing w:val="-10"/>
        </w:rPr>
        <w:t> </w:t>
      </w:r>
      <w:r>
        <w:rPr/>
        <w:t>Trade</w:t>
      </w:r>
      <w:r>
        <w:rPr>
          <w:spacing w:val="-8"/>
        </w:rPr>
        <w:t> </w:t>
      </w:r>
      <w:r>
        <w:rPr/>
        <w:t>Agreements</w:t>
      </w:r>
      <w:r>
        <w:rPr>
          <w:spacing w:val="-7"/>
        </w:rPr>
        <w:t> </w:t>
      </w:r>
      <w:r>
        <w:rPr/>
        <w:t>(IISS,</w:t>
      </w:r>
      <w:r>
        <w:rPr>
          <w:spacing w:val="-8"/>
        </w:rPr>
        <w:t> </w:t>
      </w:r>
      <w:r>
        <w:rPr/>
        <w:t>2026).</w:t>
      </w:r>
      <w:r>
        <w:rPr>
          <w:spacing w:val="-7"/>
        </w:rPr>
        <w:t> </w:t>
      </w:r>
      <w:r>
        <w:rPr/>
        <w:t>It</w:t>
      </w:r>
      <w:r>
        <w:rPr>
          <w:spacing w:val="-10"/>
        </w:rPr>
        <w:t> </w:t>
      </w:r>
      <w:r>
        <w:rPr/>
        <w:t>creates</w:t>
      </w:r>
      <w:r>
        <w:rPr>
          <w:spacing w:val="-9"/>
        </w:rPr>
        <w:t> </w:t>
      </w:r>
      <w:r>
        <w:rPr/>
        <w:t>a</w:t>
      </w:r>
      <w:r>
        <w:rPr>
          <w:spacing w:val="-7"/>
        </w:rPr>
        <w:t> </w:t>
      </w:r>
      <w:r>
        <w:rPr/>
        <w:t>defensive</w:t>
      </w:r>
      <w:r>
        <w:rPr>
          <w:spacing w:val="-7"/>
        </w:rPr>
        <w:t> </w:t>
      </w:r>
      <w:r>
        <w:rPr/>
        <w:t>barrier</w:t>
      </w:r>
      <w:r>
        <w:rPr>
          <w:spacing w:val="-7"/>
        </w:rPr>
        <w:t> </w:t>
      </w:r>
      <w:r>
        <w:rPr/>
        <w:t>around</w:t>
      </w:r>
      <w:r>
        <w:rPr>
          <w:spacing w:val="-7"/>
        </w:rPr>
        <w:t> </w:t>
      </w:r>
      <w:r>
        <w:rPr/>
        <w:t>local industry via subsidies and initiates</w:t>
      </w:r>
      <w:r>
        <w:rPr>
          <w:spacing w:val="-1"/>
        </w:rPr>
        <w:t> </w:t>
      </w:r>
      <w:r>
        <w:rPr/>
        <w:t>mentioned earlier (Kabilai Farm, 2026; PIB, 2025) Foreign MNCs like Nestle can not rely on cheap dairy imports in heavily regulated environment</w:t>
      </w:r>
      <w:r>
        <w:rPr>
          <w:spacing w:val="-16"/>
        </w:rPr>
        <w:t> </w:t>
      </w:r>
      <w:r>
        <w:rPr/>
        <w:t>like</w:t>
      </w:r>
      <w:r>
        <w:rPr>
          <w:spacing w:val="-16"/>
        </w:rPr>
        <w:t> </w:t>
      </w:r>
      <w:r>
        <w:rPr/>
        <w:t>this,</w:t>
      </w:r>
      <w:r>
        <w:rPr>
          <w:spacing w:val="-16"/>
        </w:rPr>
        <w:t> </w:t>
      </w:r>
      <w:r>
        <w:rPr/>
        <w:t>hence</w:t>
      </w:r>
      <w:r>
        <w:rPr>
          <w:spacing w:val="-16"/>
        </w:rPr>
        <w:t> </w:t>
      </w:r>
      <w:r>
        <w:rPr/>
        <w:t>it</w:t>
      </w:r>
      <w:r>
        <w:rPr>
          <w:spacing w:val="-16"/>
        </w:rPr>
        <w:t> </w:t>
      </w:r>
      <w:r>
        <w:rPr/>
        <w:t>must</w:t>
      </w:r>
      <w:r>
        <w:rPr>
          <w:spacing w:val="-16"/>
        </w:rPr>
        <w:t> </w:t>
      </w:r>
      <w:r>
        <w:rPr/>
        <w:t>make</w:t>
      </w:r>
      <w:r>
        <w:rPr>
          <w:spacing w:val="-16"/>
        </w:rPr>
        <w:t> </w:t>
      </w:r>
      <w:r>
        <w:rPr/>
        <w:t>capital</w:t>
      </w:r>
      <w:r>
        <w:rPr>
          <w:spacing w:val="-16"/>
        </w:rPr>
        <w:t> </w:t>
      </w:r>
      <w:r>
        <w:rPr/>
        <w:t>investment</w:t>
      </w:r>
      <w:r>
        <w:rPr>
          <w:spacing w:val="-16"/>
        </w:rPr>
        <w:t> </w:t>
      </w:r>
      <w:r>
        <w:rPr/>
        <w:t>to</w:t>
      </w:r>
      <w:r>
        <w:rPr>
          <w:spacing w:val="-16"/>
        </w:rPr>
        <w:t> </w:t>
      </w:r>
      <w:r>
        <w:rPr/>
        <w:t>build</w:t>
      </w:r>
      <w:r>
        <w:rPr>
          <w:spacing w:val="-16"/>
        </w:rPr>
        <w:t> </w:t>
      </w:r>
      <w:r>
        <w:rPr/>
        <w:t>indigenous</w:t>
      </w:r>
      <w:r>
        <w:rPr>
          <w:spacing w:val="-16"/>
        </w:rPr>
        <w:t> </w:t>
      </w:r>
      <w:r>
        <w:rPr/>
        <w:t>supply chain domesticly.</w:t>
      </w:r>
    </w:p>
    <w:p>
      <w:pPr>
        <w:pStyle w:val="BodyText"/>
        <w:spacing w:after="0" w:line="364" w:lineRule="auto"/>
        <w:jc w:val="both"/>
        <w:sectPr>
          <w:pgSz w:w="11910" w:h="16840"/>
          <w:pgMar w:header="1066" w:footer="804" w:top="2000" w:bottom="1000" w:left="1417" w:right="1417"/>
        </w:sectPr>
      </w:pPr>
    </w:p>
    <w:p>
      <w:pPr>
        <w:pStyle w:val="BodyText"/>
        <w:spacing w:before="80"/>
        <w:rPr>
          <w:sz w:val="20"/>
        </w:rPr>
      </w:pPr>
    </w:p>
    <w:p>
      <w:pPr>
        <w:pStyle w:val="BodyText"/>
        <w:ind w:left="213"/>
        <w:rPr>
          <w:sz w:val="20"/>
        </w:rPr>
      </w:pPr>
      <w:r>
        <w:rPr>
          <w:sz w:val="20"/>
        </w:rPr>
        <w:drawing>
          <wp:inline distT="0" distB="0" distL="0" distR="0">
            <wp:extent cx="5493126" cy="5899404"/>
            <wp:effectExtent l="0" t="0" r="0" b="0"/>
            <wp:docPr id="15" name="Image 15"/>
            <wp:cNvGraphicFramePr>
              <a:graphicFrameLocks/>
            </wp:cNvGraphicFramePr>
            <a:graphic>
              <a:graphicData uri="http://schemas.openxmlformats.org/drawingml/2006/picture">
                <pic:pic>
                  <pic:nvPicPr>
                    <pic:cNvPr id="15" name="Image 15"/>
                    <pic:cNvPicPr/>
                  </pic:nvPicPr>
                  <pic:blipFill>
                    <a:blip r:embed="rId27" cstate="print"/>
                    <a:stretch>
                      <a:fillRect/>
                    </a:stretch>
                  </pic:blipFill>
                  <pic:spPr>
                    <a:xfrm>
                      <a:off x="0" y="0"/>
                      <a:ext cx="5493126" cy="5899404"/>
                    </a:xfrm>
                    <a:prstGeom prst="rect">
                      <a:avLst/>
                    </a:prstGeom>
                  </pic:spPr>
                </pic:pic>
              </a:graphicData>
            </a:graphic>
          </wp:inline>
        </w:drawing>
      </w:r>
      <w:r>
        <w:rPr>
          <w:sz w:val="20"/>
        </w:rPr>
      </w:r>
    </w:p>
    <w:p>
      <w:pPr>
        <w:spacing w:before="77"/>
        <w:ind w:left="1" w:right="2" w:firstLine="0"/>
        <w:jc w:val="center"/>
        <w:rPr>
          <w:sz w:val="20"/>
        </w:rPr>
      </w:pPr>
      <w:r>
        <w:rPr>
          <w:spacing w:val="-2"/>
          <w:sz w:val="20"/>
        </w:rPr>
        <w:t>(Source:</w:t>
      </w:r>
      <w:r>
        <w:rPr>
          <w:spacing w:val="29"/>
          <w:sz w:val="20"/>
        </w:rPr>
        <w:t> </w:t>
      </w:r>
      <w:hyperlink r:id="rId23">
        <w:r>
          <w:rPr>
            <w:color w:val="000080"/>
            <w:spacing w:val="-2"/>
            <w:sz w:val="20"/>
            <w:u w:val="single" w:color="000080"/>
          </w:rPr>
          <w:t>https://www.imarcgroup.com/dairy-industry-in-india</w:t>
        </w:r>
      </w:hyperlink>
      <w:r>
        <w:rPr>
          <w:color w:val="000080"/>
          <w:spacing w:val="29"/>
          <w:sz w:val="20"/>
        </w:rPr>
        <w:t> </w:t>
      </w:r>
      <w:r>
        <w:rPr>
          <w:spacing w:val="-10"/>
          <w:sz w:val="20"/>
        </w:rPr>
        <w:t>)</w:t>
      </w:r>
    </w:p>
    <w:p>
      <w:pPr>
        <w:pStyle w:val="BodyText"/>
      </w:pPr>
    </w:p>
    <w:p>
      <w:pPr>
        <w:pStyle w:val="BodyText"/>
      </w:pPr>
    </w:p>
    <w:p>
      <w:pPr>
        <w:pStyle w:val="BodyText"/>
      </w:pPr>
    </w:p>
    <w:p>
      <w:pPr>
        <w:pStyle w:val="BodyText"/>
      </w:pPr>
    </w:p>
    <w:p>
      <w:pPr>
        <w:pStyle w:val="BodyText"/>
        <w:spacing w:before="187"/>
      </w:pPr>
    </w:p>
    <w:p>
      <w:pPr>
        <w:pStyle w:val="Heading1"/>
        <w:numPr>
          <w:ilvl w:val="0"/>
          <w:numId w:val="4"/>
        </w:numPr>
        <w:tabs>
          <w:tab w:pos="289" w:val="left" w:leader="none"/>
        </w:tabs>
        <w:spacing w:line="535" w:lineRule="auto" w:before="0" w:after="0"/>
        <w:ind w:left="23" w:right="4459" w:firstLine="0"/>
        <w:jc w:val="left"/>
      </w:pPr>
      <w:r>
        <w:rPr/>
        <w:t>Foreign</w:t>
      </w:r>
      <w:r>
        <w:rPr>
          <w:spacing w:val="-7"/>
        </w:rPr>
        <w:t> </w:t>
      </w:r>
      <w:r>
        <w:rPr/>
        <w:t>MNC</w:t>
      </w:r>
      <w:r>
        <w:rPr>
          <w:spacing w:val="-5"/>
        </w:rPr>
        <w:t> </w:t>
      </w:r>
      <w:r>
        <w:rPr/>
        <w:t>Analysis:</w:t>
      </w:r>
      <w:r>
        <w:rPr>
          <w:spacing w:val="-6"/>
        </w:rPr>
        <w:t> </w:t>
      </w:r>
      <w:r>
        <w:rPr/>
        <w:t>Nestlé</w:t>
      </w:r>
      <w:r>
        <w:rPr>
          <w:spacing w:val="-9"/>
        </w:rPr>
        <w:t> </w:t>
      </w:r>
      <w:r>
        <w:rPr/>
        <w:t>in</w:t>
      </w:r>
      <w:r>
        <w:rPr>
          <w:spacing w:val="-7"/>
        </w:rPr>
        <w:t> </w:t>
      </w:r>
      <w:r>
        <w:rPr/>
        <w:t>India Introduction to Nestlé's Dairy Strategy</w:t>
      </w:r>
    </w:p>
    <w:p>
      <w:pPr>
        <w:pStyle w:val="BodyText"/>
        <w:spacing w:line="364" w:lineRule="auto"/>
        <w:ind w:left="23"/>
      </w:pPr>
      <w:r>
        <w:rPr/>
        <w:t>Nestlé</w:t>
      </w:r>
      <w:r>
        <w:rPr>
          <w:spacing w:val="80"/>
        </w:rPr>
        <w:t> </w:t>
      </w:r>
      <w:r>
        <w:rPr/>
        <w:t>has</w:t>
      </w:r>
      <w:r>
        <w:rPr>
          <w:spacing w:val="80"/>
        </w:rPr>
        <w:t> </w:t>
      </w:r>
      <w:r>
        <w:rPr/>
        <w:t>been</w:t>
      </w:r>
      <w:r>
        <w:rPr>
          <w:spacing w:val="80"/>
        </w:rPr>
        <w:t> </w:t>
      </w:r>
      <w:r>
        <w:rPr/>
        <w:t>operating</w:t>
      </w:r>
      <w:r>
        <w:rPr>
          <w:spacing w:val="80"/>
        </w:rPr>
        <w:t> </w:t>
      </w:r>
      <w:r>
        <w:rPr/>
        <w:t>in</w:t>
      </w:r>
      <w:r>
        <w:rPr>
          <w:spacing w:val="80"/>
        </w:rPr>
        <w:t> </w:t>
      </w:r>
      <w:r>
        <w:rPr/>
        <w:t>Indian</w:t>
      </w:r>
      <w:r>
        <w:rPr>
          <w:spacing w:val="80"/>
        </w:rPr>
        <w:t> </w:t>
      </w:r>
      <w:r>
        <w:rPr/>
        <w:t>dairy</w:t>
      </w:r>
      <w:r>
        <w:rPr>
          <w:spacing w:val="80"/>
        </w:rPr>
        <w:t> </w:t>
      </w:r>
      <w:r>
        <w:rPr/>
        <w:t>industry</w:t>
      </w:r>
      <w:r>
        <w:rPr>
          <w:spacing w:val="80"/>
        </w:rPr>
        <w:t> </w:t>
      </w:r>
      <w:r>
        <w:rPr/>
        <w:t>from</w:t>
      </w:r>
      <w:r>
        <w:rPr>
          <w:spacing w:val="80"/>
        </w:rPr>
        <w:t> </w:t>
      </w:r>
      <w:r>
        <w:rPr/>
        <w:t>1961</w:t>
      </w:r>
      <w:r>
        <w:rPr>
          <w:spacing w:val="80"/>
        </w:rPr>
        <w:t> </w:t>
      </w:r>
      <w:r>
        <w:rPr/>
        <w:t>after</w:t>
      </w:r>
      <w:r>
        <w:rPr>
          <w:spacing w:val="80"/>
        </w:rPr>
        <w:t> </w:t>
      </w:r>
      <w:r>
        <w:rPr/>
        <w:t>it’s</w:t>
      </w:r>
      <w:r>
        <w:rPr>
          <w:spacing w:val="80"/>
        </w:rPr>
        <w:t> </w:t>
      </w:r>
      <w:r>
        <w:rPr/>
        <w:t>first</w:t>
      </w:r>
      <w:r>
        <w:rPr>
          <w:spacing w:val="80"/>
        </w:rPr>
        <w:t> </w:t>
      </w:r>
      <w:r>
        <w:rPr/>
        <w:t>manufacturing</w:t>
      </w:r>
      <w:r>
        <w:rPr>
          <w:spacing w:val="33"/>
        </w:rPr>
        <w:t> </w:t>
      </w:r>
      <w:r>
        <w:rPr/>
        <w:t>facility</w:t>
      </w:r>
      <w:r>
        <w:rPr>
          <w:spacing w:val="36"/>
        </w:rPr>
        <w:t> </w:t>
      </w:r>
      <w:r>
        <w:rPr/>
        <w:t>in</w:t>
      </w:r>
      <w:r>
        <w:rPr>
          <w:spacing w:val="38"/>
        </w:rPr>
        <w:t> </w:t>
      </w:r>
      <w:r>
        <w:rPr/>
        <w:t>Moga,</w:t>
      </w:r>
      <w:r>
        <w:rPr>
          <w:spacing w:val="36"/>
        </w:rPr>
        <w:t> </w:t>
      </w:r>
      <w:r>
        <w:rPr/>
        <w:t>Punjab</w:t>
      </w:r>
      <w:r>
        <w:rPr>
          <w:spacing w:val="37"/>
        </w:rPr>
        <w:t> </w:t>
      </w:r>
      <w:r>
        <w:rPr/>
        <w:t>(Nestlé</w:t>
      </w:r>
      <w:r>
        <w:rPr>
          <w:spacing w:val="38"/>
        </w:rPr>
        <w:t> </w:t>
      </w:r>
      <w:r>
        <w:rPr/>
        <w:t>India,</w:t>
      </w:r>
      <w:r>
        <w:rPr>
          <w:spacing w:val="37"/>
        </w:rPr>
        <w:t> </w:t>
      </w:r>
      <w:r>
        <w:rPr/>
        <w:t>2026).</w:t>
      </w:r>
      <w:r>
        <w:rPr>
          <w:spacing w:val="37"/>
        </w:rPr>
        <w:t> </w:t>
      </w:r>
      <w:r>
        <w:rPr/>
        <w:t>Nestlé</w:t>
      </w:r>
      <w:r>
        <w:rPr>
          <w:spacing w:val="38"/>
        </w:rPr>
        <w:t> </w:t>
      </w:r>
      <w:r>
        <w:rPr/>
        <w:t>developed</w:t>
      </w:r>
      <w:r>
        <w:rPr>
          <w:spacing w:val="37"/>
        </w:rPr>
        <w:t> </w:t>
      </w:r>
      <w:r>
        <w:rPr>
          <w:spacing w:val="-5"/>
        </w:rPr>
        <w:t>the</w:t>
      </w:r>
    </w:p>
    <w:p>
      <w:pPr>
        <w:pStyle w:val="BodyText"/>
        <w:spacing w:after="0" w:line="364" w:lineRule="auto"/>
        <w:sectPr>
          <w:pgSz w:w="11910" w:h="16840"/>
          <w:pgMar w:header="1066" w:footer="804" w:top="2000" w:bottom="1000" w:left="1417" w:right="1417"/>
        </w:sectPr>
      </w:pPr>
    </w:p>
    <w:p>
      <w:pPr>
        <w:pStyle w:val="BodyText"/>
        <w:spacing w:line="367" w:lineRule="auto" w:before="247"/>
        <w:ind w:left="23" w:right="18"/>
        <w:jc w:val="both"/>
      </w:pPr>
      <w:r>
        <w:rPr/>
        <w:t>"Moga Model" based on the creating shared value philosophy </w:t>
      </w:r>
      <w:r>
        <w:rPr>
          <w:w w:val="160"/>
        </w:rPr>
        <w:t>–</w:t>
      </w:r>
      <w:r>
        <w:rPr>
          <w:w w:val="160"/>
        </w:rPr>
        <w:t> </w:t>
      </w:r>
      <w:r>
        <w:rPr/>
        <w:t>which was an agricultural extension initiative that transformed the regional milk economy. Nestlé educated rural</w:t>
      </w:r>
      <w:r>
        <w:rPr>
          <w:spacing w:val="-1"/>
        </w:rPr>
        <w:t> </w:t>
      </w:r>
      <w:r>
        <w:rPr/>
        <w:t>farmers and established reliable, direct procurement networks (Nestlé India, 2026). However, Nestlé soon recognized that competing purely on basic fluid milk volume is financially unviable against entrenched domestic players and aggressively shifted its core focus toward premium Value-Added Dairy Products (VADP) (ICICI Direct, 2025). By continuously innovating in high-margin categories such as specialized infant nutrition, probiotic yogurts (e.g., Nestlé a+) and fortified dairy, Nestlé strategically exploits the rising health consciousness and purchasing power of the urban Indian middle class, ensuring robust profitability amidst intense domestic rivalry (Nestlé India, 2026).</w:t>
      </w:r>
    </w:p>
    <w:p>
      <w:pPr>
        <w:pStyle w:val="BodyText"/>
        <w:spacing w:before="11"/>
        <w:rPr>
          <w:sz w:val="13"/>
        </w:rPr>
      </w:pPr>
      <w:r>
        <w:rPr>
          <w:sz w:val="13"/>
        </w:rPr>
        <w:drawing>
          <wp:anchor distT="0" distB="0" distL="0" distR="0" allowOverlap="1" layoutInCell="1" locked="0" behindDoc="1" simplePos="0" relativeHeight="487592960">
            <wp:simplePos x="0" y="0"/>
            <wp:positionH relativeFrom="page">
              <wp:posOffset>1393189</wp:posOffset>
            </wp:positionH>
            <wp:positionV relativeFrom="paragraph">
              <wp:posOffset>115747</wp:posOffset>
            </wp:positionV>
            <wp:extent cx="4754739" cy="2674619"/>
            <wp:effectExtent l="0" t="0" r="0" b="0"/>
            <wp:wrapTopAndBottom/>
            <wp:docPr id="16" name="Image 16"/>
            <wp:cNvGraphicFramePr>
              <a:graphicFrameLocks/>
            </wp:cNvGraphicFramePr>
            <a:graphic>
              <a:graphicData uri="http://schemas.openxmlformats.org/drawingml/2006/picture">
                <pic:pic>
                  <pic:nvPicPr>
                    <pic:cNvPr id="16" name="Image 16"/>
                    <pic:cNvPicPr/>
                  </pic:nvPicPr>
                  <pic:blipFill>
                    <a:blip r:embed="rId28" cstate="print"/>
                    <a:stretch>
                      <a:fillRect/>
                    </a:stretch>
                  </pic:blipFill>
                  <pic:spPr>
                    <a:xfrm>
                      <a:off x="0" y="0"/>
                      <a:ext cx="4754739" cy="2674619"/>
                    </a:xfrm>
                    <a:prstGeom prst="rect">
                      <a:avLst/>
                    </a:prstGeom>
                  </pic:spPr>
                </pic:pic>
              </a:graphicData>
            </a:graphic>
          </wp:anchor>
        </w:drawing>
      </w:r>
    </w:p>
    <w:p>
      <w:pPr>
        <w:spacing w:before="22"/>
        <w:ind w:left="1" w:right="2" w:firstLine="0"/>
        <w:jc w:val="center"/>
        <w:rPr>
          <w:sz w:val="20"/>
        </w:rPr>
      </w:pPr>
      <w:r>
        <w:rPr>
          <w:spacing w:val="-2"/>
          <w:sz w:val="20"/>
        </w:rPr>
        <w:t>(Source:</w:t>
      </w:r>
      <w:r>
        <w:rPr>
          <w:spacing w:val="29"/>
          <w:sz w:val="20"/>
        </w:rPr>
        <w:t> </w:t>
      </w:r>
      <w:hyperlink r:id="rId23">
        <w:r>
          <w:rPr>
            <w:color w:val="000080"/>
            <w:spacing w:val="-2"/>
            <w:sz w:val="20"/>
            <w:u w:val="single" w:color="000080"/>
          </w:rPr>
          <w:t>https://www.imarcgroup.com/dairy-industry-in-india</w:t>
        </w:r>
      </w:hyperlink>
      <w:r>
        <w:rPr>
          <w:color w:val="000080"/>
          <w:spacing w:val="29"/>
          <w:sz w:val="20"/>
        </w:rPr>
        <w:t> </w:t>
      </w:r>
      <w:r>
        <w:rPr>
          <w:spacing w:val="-10"/>
          <w:sz w:val="20"/>
        </w:rPr>
        <w:t>)</w:t>
      </w:r>
    </w:p>
    <w:p>
      <w:pPr>
        <w:pStyle w:val="BodyText"/>
      </w:pPr>
    </w:p>
    <w:p>
      <w:pPr>
        <w:pStyle w:val="BodyText"/>
      </w:pPr>
    </w:p>
    <w:p>
      <w:pPr>
        <w:pStyle w:val="BodyText"/>
        <w:spacing w:before="115"/>
      </w:pPr>
    </w:p>
    <w:p>
      <w:pPr>
        <w:pStyle w:val="BodyText"/>
        <w:spacing w:line="367" w:lineRule="auto"/>
        <w:ind w:left="23" w:right="22"/>
        <w:jc w:val="both"/>
      </w:pPr>
      <w:r>
        <w:rPr/>
        <w:t>To further evaluate the macro-environmental factors and their impact on Nestlé’s operational strategy, this report uses PESTLE analysis framework. With the help of Hofstede’s</w:t>
      </w:r>
      <w:r>
        <w:rPr>
          <w:spacing w:val="-4"/>
        </w:rPr>
        <w:t> </w:t>
      </w:r>
      <w:r>
        <w:rPr/>
        <w:t>Cultural</w:t>
      </w:r>
      <w:r>
        <w:rPr>
          <w:spacing w:val="-4"/>
        </w:rPr>
        <w:t> </w:t>
      </w:r>
      <w:r>
        <w:rPr/>
        <w:t>Dimensions</w:t>
      </w:r>
      <w:r>
        <w:rPr>
          <w:spacing w:val="-5"/>
        </w:rPr>
        <w:t> </w:t>
      </w:r>
      <w:r>
        <w:rPr/>
        <w:t>Table</w:t>
      </w:r>
      <w:r>
        <w:rPr>
          <w:spacing w:val="-5"/>
        </w:rPr>
        <w:t> </w:t>
      </w:r>
      <w:r>
        <w:rPr/>
        <w:t>1</w:t>
      </w:r>
      <w:r>
        <w:rPr>
          <w:spacing w:val="-5"/>
        </w:rPr>
        <w:t> </w:t>
      </w:r>
      <w:r>
        <w:rPr/>
        <w:t>illustrates</w:t>
      </w:r>
      <w:r>
        <w:rPr>
          <w:spacing w:val="-4"/>
        </w:rPr>
        <w:t> </w:t>
      </w:r>
      <w:r>
        <w:rPr/>
        <w:t>Nestlé</w:t>
      </w:r>
      <w:r>
        <w:rPr>
          <w:spacing w:val="-3"/>
        </w:rPr>
        <w:t> </w:t>
      </w:r>
      <w:r>
        <w:rPr/>
        <w:t>India’s</w:t>
      </w:r>
      <w:r>
        <w:rPr>
          <w:spacing w:val="-4"/>
        </w:rPr>
        <w:t> </w:t>
      </w:r>
      <w:r>
        <w:rPr/>
        <w:t>strategic</w:t>
      </w:r>
      <w:r>
        <w:rPr>
          <w:spacing w:val="-4"/>
        </w:rPr>
        <w:t> </w:t>
      </w:r>
      <w:r>
        <w:rPr/>
        <w:t>adpatation.</w:t>
      </w:r>
    </w:p>
    <w:p>
      <w:pPr>
        <w:pStyle w:val="BodyText"/>
        <w:spacing w:after="0" w:line="367" w:lineRule="auto"/>
        <w:jc w:val="both"/>
        <w:sectPr>
          <w:pgSz w:w="11910" w:h="16840"/>
          <w:pgMar w:header="1066" w:footer="804" w:top="2000" w:bottom="1000" w:left="1417" w:right="1417"/>
        </w:sectPr>
      </w:pPr>
    </w:p>
    <w:p>
      <w:pPr>
        <w:pStyle w:val="BodyText"/>
        <w:spacing w:before="21"/>
        <w:rPr>
          <w:sz w:val="20"/>
        </w:rPr>
      </w:pPr>
    </w:p>
    <w:p>
      <w:pPr>
        <w:pStyle w:val="BodyText"/>
        <w:ind w:left="23"/>
        <w:rPr>
          <w:sz w:val="20"/>
        </w:rPr>
      </w:pPr>
      <w:r>
        <w:rPr>
          <w:sz w:val="20"/>
        </w:rPr>
        <w:drawing>
          <wp:inline distT="0" distB="0" distL="0" distR="0">
            <wp:extent cx="5709539" cy="3803618"/>
            <wp:effectExtent l="0" t="0" r="0" b="0"/>
            <wp:docPr id="17" name="Image 17"/>
            <wp:cNvGraphicFramePr>
              <a:graphicFrameLocks/>
            </wp:cNvGraphicFramePr>
            <a:graphic>
              <a:graphicData uri="http://schemas.openxmlformats.org/drawingml/2006/picture">
                <pic:pic>
                  <pic:nvPicPr>
                    <pic:cNvPr id="17" name="Image 17"/>
                    <pic:cNvPicPr/>
                  </pic:nvPicPr>
                  <pic:blipFill>
                    <a:blip r:embed="rId29" cstate="print"/>
                    <a:stretch>
                      <a:fillRect/>
                    </a:stretch>
                  </pic:blipFill>
                  <pic:spPr>
                    <a:xfrm>
                      <a:off x="0" y="0"/>
                      <a:ext cx="5709539" cy="3803618"/>
                    </a:xfrm>
                    <a:prstGeom prst="rect">
                      <a:avLst/>
                    </a:prstGeom>
                  </pic:spPr>
                </pic:pic>
              </a:graphicData>
            </a:graphic>
          </wp:inline>
        </w:drawing>
      </w:r>
      <w:r>
        <w:rPr>
          <w:sz w:val="20"/>
        </w:rPr>
      </w:r>
    </w:p>
    <w:p>
      <w:pPr>
        <w:spacing w:line="367" w:lineRule="auto" w:before="26"/>
        <w:ind w:left="76" w:right="77" w:hanging="1"/>
        <w:jc w:val="center"/>
        <w:rPr>
          <w:sz w:val="20"/>
        </w:rPr>
      </w:pPr>
      <w:r>
        <w:rPr>
          <w:sz w:val="20"/>
        </w:rPr>
        <w:t>(Source: </w:t>
      </w:r>
      <w:hyperlink r:id="rId30">
        <w:r>
          <w:rPr>
            <w:color w:val="000080"/>
            <w:sz w:val="20"/>
            <w:u w:val="single" w:color="000080"/>
          </w:rPr>
          <w:t>https://www.freepik.com/free-vector/pestel-infographic-design-</w:t>
        </w:r>
      </w:hyperlink>
      <w:r>
        <w:rPr>
          <w:color w:val="000080"/>
          <w:sz w:val="20"/>
        </w:rPr>
        <w:t> </w:t>
      </w:r>
      <w:hyperlink r:id="rId30">
        <w:r>
          <w:rPr>
            <w:color w:val="000080"/>
            <w:spacing w:val="-2"/>
            <w:sz w:val="20"/>
            <w:u w:val="single" w:color="000080"/>
          </w:rPr>
          <w:t>template_29760082.htm#fromView=keyword&amp;page=1&amp;position=0&amp;uuid=ebdb6d8e-11ec-4524-804c-</w:t>
        </w:r>
      </w:hyperlink>
      <w:r>
        <w:rPr>
          <w:color w:val="000080"/>
          <w:spacing w:val="-2"/>
          <w:sz w:val="20"/>
        </w:rPr>
        <w:t> </w:t>
      </w:r>
      <w:hyperlink r:id="rId30">
        <w:r>
          <w:rPr>
            <w:color w:val="000080"/>
            <w:sz w:val="20"/>
            <w:u w:val="single" w:color="000080"/>
          </w:rPr>
          <w:t>9dc12ec42ddb&amp;query=Pestle+analysis+diagram</w:t>
        </w:r>
      </w:hyperlink>
      <w:r>
        <w:rPr>
          <w:color w:val="000080"/>
          <w:sz w:val="20"/>
        </w:rPr>
        <w:t> </w:t>
      </w:r>
      <w:r>
        <w:rPr>
          <w:sz w:val="20"/>
        </w:rPr>
        <w:t>)</w:t>
      </w:r>
    </w:p>
    <w:p>
      <w:pPr>
        <w:pStyle w:val="Heading1"/>
        <w:spacing w:before="195"/>
        <w:jc w:val="both"/>
      </w:pPr>
      <w:r>
        <w:rPr/>
        <w:t>Political</w:t>
      </w:r>
      <w:r>
        <w:rPr>
          <w:spacing w:val="-1"/>
        </w:rPr>
        <w:t> </w:t>
      </w:r>
      <w:r>
        <w:rPr>
          <w:spacing w:val="-2"/>
        </w:rPr>
        <w:t>Factors</w:t>
      </w:r>
    </w:p>
    <w:p>
      <w:pPr>
        <w:pStyle w:val="BodyText"/>
        <w:spacing w:before="64"/>
        <w:rPr>
          <w:rFonts w:ascii="Arial"/>
          <w:b/>
        </w:rPr>
      </w:pPr>
    </w:p>
    <w:p>
      <w:pPr>
        <w:pStyle w:val="BodyText"/>
        <w:spacing w:line="364" w:lineRule="auto"/>
        <w:ind w:left="23" w:right="19"/>
        <w:jc w:val="both"/>
      </w:pPr>
      <w:r>
        <w:rPr/>
        <w:t>Indian government heavily intervenes and protects it’s dairy sector to safeguard the livelihoods of it’s 80 million rural farmers. It imposes high import terrifs on dairy products to shield it’s farmers from cheap international competition (USDA/FAS, 2025).The Union Budget of 2025–26 allocated ₹48.4 billion in allocation for the Department of Animal Husbandry and Dairying (DAHD)</w:t>
      </w:r>
      <w:r>
        <w:rPr/>
        <w:t> which is 7% increase. Cruicially, these resources are funneling into government-backed cooperatives and initiatives like "White Revolution 2.0" (USDA/FAS, 2025). This political environment creates barrier for entery as foreign MNC like</w:t>
      </w:r>
      <w:r>
        <w:rPr>
          <w:spacing w:val="40"/>
        </w:rPr>
        <w:t> </w:t>
      </w:r>
      <w:r>
        <w:rPr/>
        <w:t>Nestlé can not compete with government</w:t>
      </w:r>
      <w:r>
        <w:rPr>
          <w:spacing w:val="-13"/>
        </w:rPr>
        <w:t> </w:t>
      </w:r>
      <w:r>
        <w:rPr/>
        <w:t>backed</w:t>
      </w:r>
      <w:r>
        <w:rPr>
          <w:spacing w:val="-15"/>
        </w:rPr>
        <w:t> </w:t>
      </w:r>
      <w:r>
        <w:rPr/>
        <w:t>domestic</w:t>
      </w:r>
      <w:r>
        <w:rPr>
          <w:spacing w:val="-13"/>
        </w:rPr>
        <w:t> </w:t>
      </w:r>
      <w:r>
        <w:rPr/>
        <w:t>cooperatives</w:t>
      </w:r>
      <w:r>
        <w:rPr>
          <w:spacing w:val="-13"/>
        </w:rPr>
        <w:t> </w:t>
      </w:r>
      <w:r>
        <w:rPr/>
        <w:t>for</w:t>
      </w:r>
      <w:r>
        <w:rPr>
          <w:spacing w:val="-14"/>
        </w:rPr>
        <w:t> </w:t>
      </w:r>
      <w:r>
        <w:rPr/>
        <w:t>raw</w:t>
      </w:r>
      <w:r>
        <w:rPr>
          <w:spacing w:val="-16"/>
        </w:rPr>
        <w:t> </w:t>
      </w:r>
      <w:r>
        <w:rPr/>
        <w:t>milk</w:t>
      </w:r>
      <w:r>
        <w:rPr>
          <w:spacing w:val="-13"/>
        </w:rPr>
        <w:t> </w:t>
      </w:r>
      <w:r>
        <w:rPr/>
        <w:t>collection</w:t>
      </w:r>
      <w:r>
        <w:rPr>
          <w:spacing w:val="-6"/>
        </w:rPr>
        <w:t> </w:t>
      </w:r>
      <w:r>
        <w:rPr/>
        <w:t>and</w:t>
      </w:r>
      <w:r>
        <w:rPr>
          <w:spacing w:val="-15"/>
        </w:rPr>
        <w:t> </w:t>
      </w:r>
      <w:r>
        <w:rPr/>
        <w:t>it</w:t>
      </w:r>
      <w:r>
        <w:rPr>
          <w:spacing w:val="-13"/>
        </w:rPr>
        <w:t> </w:t>
      </w:r>
      <w:r>
        <w:rPr/>
        <w:t>can</w:t>
      </w:r>
      <w:r>
        <w:rPr>
          <w:spacing w:val="-12"/>
        </w:rPr>
        <w:t> </w:t>
      </w:r>
      <w:r>
        <w:rPr/>
        <w:t>not</w:t>
      </w:r>
      <w:r>
        <w:rPr>
          <w:spacing w:val="-13"/>
        </w:rPr>
        <w:t> </w:t>
      </w:r>
      <w:r>
        <w:rPr/>
        <w:t>import either. Instead, it must navigate a politically sensitive, localized procurement network while</w:t>
      </w:r>
      <w:r>
        <w:rPr>
          <w:spacing w:val="-9"/>
        </w:rPr>
        <w:t> </w:t>
      </w:r>
      <w:r>
        <w:rPr/>
        <w:t>competing</w:t>
      </w:r>
      <w:r>
        <w:rPr>
          <w:spacing w:val="-11"/>
        </w:rPr>
        <w:t> </w:t>
      </w:r>
      <w:r>
        <w:rPr/>
        <w:t>against</w:t>
      </w:r>
      <w:r>
        <w:rPr>
          <w:spacing w:val="-9"/>
        </w:rPr>
        <w:t> </w:t>
      </w:r>
      <w:r>
        <w:rPr/>
        <w:t>state-subsidized</w:t>
      </w:r>
      <w:r>
        <w:rPr>
          <w:spacing w:val="-9"/>
        </w:rPr>
        <w:t> </w:t>
      </w:r>
      <w:r>
        <w:rPr/>
        <w:t>cooperatives</w:t>
      </w:r>
      <w:r>
        <w:rPr>
          <w:spacing w:val="-9"/>
        </w:rPr>
        <w:t> </w:t>
      </w:r>
      <w:r>
        <w:rPr/>
        <w:t>like</w:t>
      </w:r>
      <w:r>
        <w:rPr>
          <w:spacing w:val="-9"/>
        </w:rPr>
        <w:t> </w:t>
      </w:r>
      <w:r>
        <w:rPr/>
        <w:t>Amul,</w:t>
      </w:r>
      <w:r>
        <w:rPr>
          <w:spacing w:val="-9"/>
        </w:rPr>
        <w:t> </w:t>
      </w:r>
      <w:r>
        <w:rPr/>
        <w:t>which</w:t>
      </w:r>
      <w:r>
        <w:rPr>
          <w:spacing w:val="-9"/>
        </w:rPr>
        <w:t> </w:t>
      </w:r>
      <w:r>
        <w:rPr/>
        <w:t>has</w:t>
      </w:r>
      <w:r>
        <w:rPr>
          <w:spacing w:val="-9"/>
        </w:rPr>
        <w:t> </w:t>
      </w:r>
      <w:r>
        <w:rPr/>
        <w:t>structural </w:t>
      </w:r>
      <w:r>
        <w:rPr>
          <w:spacing w:val="-2"/>
        </w:rPr>
        <w:t>advantages.</w:t>
      </w:r>
    </w:p>
    <w:p>
      <w:pPr>
        <w:pStyle w:val="BodyText"/>
        <w:spacing w:after="0" w:line="364" w:lineRule="auto"/>
        <w:jc w:val="both"/>
        <w:sectPr>
          <w:pgSz w:w="11910" w:h="16840"/>
          <w:pgMar w:header="1066" w:footer="804" w:top="2000" w:bottom="1000" w:left="1417" w:right="1417"/>
        </w:sectPr>
      </w:pPr>
    </w:p>
    <w:p>
      <w:pPr>
        <w:pStyle w:val="BodyText"/>
        <w:spacing w:before="21"/>
        <w:rPr>
          <w:sz w:val="20"/>
        </w:rPr>
      </w:pPr>
    </w:p>
    <w:p>
      <w:pPr>
        <w:pStyle w:val="BodyText"/>
        <w:ind w:left="23" w:right="-58"/>
        <w:rPr>
          <w:sz w:val="20"/>
        </w:rPr>
      </w:pPr>
      <w:r>
        <w:rPr>
          <w:sz w:val="20"/>
        </w:rPr>
        <w:drawing>
          <wp:inline distT="0" distB="0" distL="0" distR="0">
            <wp:extent cx="5749337" cy="3266408"/>
            <wp:effectExtent l="0" t="0" r="0" b="0"/>
            <wp:docPr id="18" name="Image 18"/>
            <wp:cNvGraphicFramePr>
              <a:graphicFrameLocks/>
            </wp:cNvGraphicFramePr>
            <a:graphic>
              <a:graphicData uri="http://schemas.openxmlformats.org/drawingml/2006/picture">
                <pic:pic>
                  <pic:nvPicPr>
                    <pic:cNvPr id="18" name="Image 18"/>
                    <pic:cNvPicPr/>
                  </pic:nvPicPr>
                  <pic:blipFill>
                    <a:blip r:embed="rId31" cstate="print"/>
                    <a:stretch>
                      <a:fillRect/>
                    </a:stretch>
                  </pic:blipFill>
                  <pic:spPr>
                    <a:xfrm>
                      <a:off x="0" y="0"/>
                      <a:ext cx="5749337" cy="3266408"/>
                    </a:xfrm>
                    <a:prstGeom prst="rect">
                      <a:avLst/>
                    </a:prstGeom>
                  </pic:spPr>
                </pic:pic>
              </a:graphicData>
            </a:graphic>
          </wp:inline>
        </w:drawing>
      </w:r>
      <w:r>
        <w:rPr>
          <w:sz w:val="20"/>
        </w:rPr>
      </w:r>
    </w:p>
    <w:p>
      <w:pPr>
        <w:pStyle w:val="BodyText"/>
        <w:rPr>
          <w:sz w:val="20"/>
        </w:rPr>
      </w:pPr>
    </w:p>
    <w:p>
      <w:pPr>
        <w:pStyle w:val="BodyText"/>
        <w:spacing w:before="148"/>
        <w:rPr>
          <w:sz w:val="20"/>
        </w:rPr>
      </w:pPr>
    </w:p>
    <w:p>
      <w:pPr>
        <w:spacing w:line="367" w:lineRule="auto" w:before="0"/>
        <w:ind w:left="2474" w:right="77" w:hanging="2396"/>
        <w:jc w:val="left"/>
        <w:rPr>
          <w:sz w:val="20"/>
        </w:rPr>
      </w:pPr>
      <w:r>
        <w:rPr>
          <w:sz w:val="20"/>
        </w:rPr>
        <w:t>(Source:</w:t>
      </w:r>
      <w:r>
        <w:rPr>
          <w:spacing w:val="-14"/>
          <w:sz w:val="20"/>
        </w:rPr>
        <w:t> </w:t>
      </w:r>
      <w:hyperlink r:id="rId32">
        <w:r>
          <w:rPr>
            <w:color w:val="000080"/>
            <w:sz w:val="20"/>
            <w:u w:val="single" w:color="000080"/>
          </w:rPr>
          <w:t>https://www.researchgate.net/figure/Bridging-the-challenges-and-potential-benefits-through-</w:t>
        </w:r>
      </w:hyperlink>
      <w:r>
        <w:rPr>
          <w:color w:val="000080"/>
          <w:sz w:val="20"/>
        </w:rPr>
        <w:t> </w:t>
      </w:r>
      <w:hyperlink r:id="rId32">
        <w:r>
          <w:rPr>
            <w:color w:val="000080"/>
            <w:spacing w:val="-2"/>
            <w:sz w:val="20"/>
            <w:u w:val="single" w:color="000080"/>
          </w:rPr>
          <w:t>White-Revolution-20-Source_fig3_378905417</w:t>
        </w:r>
      </w:hyperlink>
      <w:r>
        <w:rPr>
          <w:spacing w:val="-2"/>
          <w:sz w:val="20"/>
        </w:rPr>
        <w:t>)</w:t>
      </w:r>
    </w:p>
    <w:p>
      <w:pPr>
        <w:pStyle w:val="Heading1"/>
        <w:spacing w:before="196"/>
        <w:jc w:val="both"/>
      </w:pPr>
      <w:r>
        <w:rPr/>
        <w:t>Economic </w:t>
      </w:r>
      <w:r>
        <w:rPr>
          <w:spacing w:val="-2"/>
        </w:rPr>
        <w:t>Factors</w:t>
      </w:r>
    </w:p>
    <w:p>
      <w:pPr>
        <w:pStyle w:val="BodyText"/>
        <w:spacing w:before="63"/>
        <w:rPr>
          <w:rFonts w:ascii="Arial"/>
          <w:b/>
        </w:rPr>
      </w:pPr>
    </w:p>
    <w:p>
      <w:pPr>
        <w:pStyle w:val="BodyText"/>
        <w:spacing w:line="367" w:lineRule="auto" w:before="1"/>
        <w:ind w:left="23" w:right="17"/>
        <w:jc w:val="both"/>
      </w:pPr>
      <w:r>
        <w:rPr/>
        <w:t>Despite</w:t>
      </w:r>
      <w:r>
        <w:rPr>
          <w:spacing w:val="-16"/>
        </w:rPr>
        <w:t> </w:t>
      </w:r>
      <w:r>
        <w:rPr/>
        <w:t>facing</w:t>
      </w:r>
      <w:r>
        <w:rPr>
          <w:spacing w:val="-16"/>
        </w:rPr>
        <w:t> </w:t>
      </w:r>
      <w:r>
        <w:rPr/>
        <w:t>high</w:t>
      </w:r>
      <w:r>
        <w:rPr>
          <w:spacing w:val="-15"/>
        </w:rPr>
        <w:t> </w:t>
      </w:r>
      <w:r>
        <w:rPr/>
        <w:t>supply-side</w:t>
      </w:r>
      <w:r>
        <w:rPr>
          <w:spacing w:val="-13"/>
        </w:rPr>
        <w:t> </w:t>
      </w:r>
      <w:r>
        <w:rPr/>
        <w:t>inflation,</w:t>
      </w:r>
      <w:r>
        <w:rPr>
          <w:spacing w:val="-15"/>
        </w:rPr>
        <w:t> </w:t>
      </w:r>
      <w:r>
        <w:rPr/>
        <w:t>Nestlé</w:t>
      </w:r>
      <w:r>
        <w:rPr>
          <w:spacing w:val="-15"/>
        </w:rPr>
        <w:t> </w:t>
      </w:r>
      <w:r>
        <w:rPr/>
        <w:t>is</w:t>
      </w:r>
      <w:r>
        <w:rPr>
          <w:spacing w:val="-16"/>
        </w:rPr>
        <w:t> </w:t>
      </w:r>
      <w:r>
        <w:rPr/>
        <w:t>benefiting</w:t>
      </w:r>
      <w:r>
        <w:rPr>
          <w:spacing w:val="-16"/>
        </w:rPr>
        <w:t> </w:t>
      </w:r>
      <w:r>
        <w:rPr/>
        <w:t>from</w:t>
      </w:r>
      <w:r>
        <w:rPr>
          <w:spacing w:val="-14"/>
        </w:rPr>
        <w:t> </w:t>
      </w:r>
      <w:r>
        <w:rPr/>
        <w:t>significant</w:t>
      </w:r>
      <w:r>
        <w:rPr>
          <w:spacing w:val="-16"/>
        </w:rPr>
        <w:t> </w:t>
      </w:r>
      <w:r>
        <w:rPr/>
        <w:t>economic factors. While traditional profit margins across the industry are thinning because of rising</w:t>
      </w:r>
      <w:r>
        <w:rPr>
          <w:spacing w:val="-13"/>
        </w:rPr>
        <w:t> </w:t>
      </w:r>
      <w:r>
        <w:rPr/>
        <w:t>raw</w:t>
      </w:r>
      <w:r>
        <w:rPr>
          <w:spacing w:val="-15"/>
        </w:rPr>
        <w:t> </w:t>
      </w:r>
      <w:r>
        <w:rPr/>
        <w:t>milk</w:t>
      </w:r>
      <w:r>
        <w:rPr>
          <w:spacing w:val="-12"/>
        </w:rPr>
        <w:t> </w:t>
      </w:r>
      <w:r>
        <w:rPr/>
        <w:t>prices</w:t>
      </w:r>
      <w:r>
        <w:rPr>
          <w:spacing w:val="-12"/>
        </w:rPr>
        <w:t> </w:t>
      </w:r>
      <w:r>
        <w:rPr/>
        <w:t>due</w:t>
      </w:r>
      <w:r>
        <w:rPr>
          <w:spacing w:val="-11"/>
        </w:rPr>
        <w:t> </w:t>
      </w:r>
      <w:r>
        <w:rPr/>
        <w:t>to</w:t>
      </w:r>
      <w:r>
        <w:rPr>
          <w:spacing w:val="-11"/>
        </w:rPr>
        <w:t> </w:t>
      </w:r>
      <w:r>
        <w:rPr/>
        <w:t>supply</w:t>
      </w:r>
      <w:r>
        <w:rPr>
          <w:spacing w:val="-15"/>
        </w:rPr>
        <w:t> </w:t>
      </w:r>
      <w:r>
        <w:rPr/>
        <w:t>side</w:t>
      </w:r>
      <w:r>
        <w:rPr>
          <w:spacing w:val="-11"/>
        </w:rPr>
        <w:t> </w:t>
      </w:r>
      <w:r>
        <w:rPr/>
        <w:t>issues</w:t>
      </w:r>
      <w:r>
        <w:rPr>
          <w:spacing w:val="-12"/>
        </w:rPr>
        <w:t> </w:t>
      </w:r>
      <w:r>
        <w:rPr/>
        <w:t>like</w:t>
      </w:r>
      <w:r>
        <w:rPr>
          <w:spacing w:val="40"/>
        </w:rPr>
        <w:t> </w:t>
      </w:r>
      <w:r>
        <w:rPr/>
        <w:t>rising</w:t>
      </w:r>
      <w:r>
        <w:rPr>
          <w:spacing w:val="-13"/>
        </w:rPr>
        <w:t> </w:t>
      </w:r>
      <w:r>
        <w:rPr/>
        <w:t>costs</w:t>
      </w:r>
      <w:r>
        <w:rPr>
          <w:spacing w:val="-12"/>
        </w:rPr>
        <w:t> </w:t>
      </w:r>
      <w:r>
        <w:rPr/>
        <w:t>of</w:t>
      </w:r>
      <w:r>
        <w:rPr>
          <w:spacing w:val="-12"/>
        </w:rPr>
        <w:t> </w:t>
      </w:r>
      <w:r>
        <w:rPr/>
        <w:t>labor,</w:t>
      </w:r>
      <w:r>
        <w:rPr>
          <w:spacing w:val="-15"/>
        </w:rPr>
        <w:t> </w:t>
      </w:r>
      <w:r>
        <w:rPr/>
        <w:t>fuel</w:t>
      </w:r>
      <w:r>
        <w:rPr>
          <w:spacing w:val="-13"/>
        </w:rPr>
        <w:t> </w:t>
      </w:r>
      <w:r>
        <w:rPr/>
        <w:t>and</w:t>
      </w:r>
      <w:r>
        <w:rPr>
          <w:spacing w:val="-11"/>
        </w:rPr>
        <w:t> </w:t>
      </w:r>
      <w:r>
        <w:rPr/>
        <w:t>cattle feed; the demand side is creating highly lucrative market due to India’s macroeconomic</w:t>
      </w:r>
      <w:r>
        <w:rPr>
          <w:spacing w:val="-8"/>
        </w:rPr>
        <w:t> </w:t>
      </w:r>
      <w:r>
        <w:rPr/>
        <w:t>growth</w:t>
      </w:r>
      <w:r>
        <w:rPr>
          <w:spacing w:val="-6"/>
        </w:rPr>
        <w:t> </w:t>
      </w:r>
      <w:r>
        <w:rPr/>
        <w:t>(USDA/FAS,</w:t>
      </w:r>
      <w:r>
        <w:rPr>
          <w:spacing w:val="-9"/>
        </w:rPr>
        <w:t> </w:t>
      </w:r>
      <w:r>
        <w:rPr/>
        <w:t>2025).</w:t>
      </w:r>
      <w:r>
        <w:rPr>
          <w:spacing w:val="-7"/>
        </w:rPr>
        <w:t> </w:t>
      </w:r>
      <w:r>
        <w:rPr/>
        <w:t>Indian</w:t>
      </w:r>
      <w:r>
        <w:rPr>
          <w:spacing w:val="-8"/>
        </w:rPr>
        <w:t> </w:t>
      </w:r>
      <w:r>
        <w:rPr/>
        <w:t>dairy</w:t>
      </w:r>
      <w:r>
        <w:rPr>
          <w:spacing w:val="-10"/>
        </w:rPr>
        <w:t> </w:t>
      </w:r>
      <w:r>
        <w:rPr/>
        <w:t>market</w:t>
      </w:r>
      <w:r>
        <w:rPr>
          <w:spacing w:val="-7"/>
        </w:rPr>
        <w:t> </w:t>
      </w:r>
      <w:r>
        <w:rPr/>
        <w:t>is</w:t>
      </w:r>
      <w:r>
        <w:rPr>
          <w:spacing w:val="-10"/>
        </w:rPr>
        <w:t> </w:t>
      </w:r>
      <w:r>
        <w:rPr/>
        <w:t>projected</w:t>
      </w:r>
      <w:r>
        <w:rPr>
          <w:spacing w:val="-9"/>
        </w:rPr>
        <w:t> </w:t>
      </w:r>
      <w:r>
        <w:rPr/>
        <w:t>to</w:t>
      </w:r>
      <w:r>
        <w:rPr>
          <w:spacing w:val="-8"/>
        </w:rPr>
        <w:t> </w:t>
      </w:r>
      <w:r>
        <w:rPr/>
        <w:t>double in value from USD 146.80 billion in 2025 to USD 274.09 billion by 2032 (Fortune Business Insights, 2025). Nestlé strategically navigates these inflationary pressures by exploiting the rising purchasing power of the Indian middle class. Nestlé India reported</w:t>
      </w:r>
      <w:r>
        <w:rPr>
          <w:spacing w:val="-9"/>
        </w:rPr>
        <w:t> </w:t>
      </w:r>
      <w:r>
        <w:rPr/>
        <w:t>a</w:t>
      </w:r>
      <w:r>
        <w:rPr>
          <w:spacing w:val="-11"/>
        </w:rPr>
        <w:t> </w:t>
      </w:r>
      <w:r>
        <w:rPr/>
        <w:t>26%</w:t>
      </w:r>
      <w:r>
        <w:rPr>
          <w:spacing w:val="-12"/>
        </w:rPr>
        <w:t> </w:t>
      </w:r>
      <w:r>
        <w:rPr/>
        <w:t>year-over-year</w:t>
      </w:r>
      <w:r>
        <w:rPr>
          <w:spacing w:val="-10"/>
        </w:rPr>
        <w:t> </w:t>
      </w:r>
      <w:r>
        <w:rPr/>
        <w:t>surge</w:t>
      </w:r>
      <w:r>
        <w:rPr>
          <w:spacing w:val="-9"/>
        </w:rPr>
        <w:t> </w:t>
      </w:r>
      <w:r>
        <w:rPr/>
        <w:t>in</w:t>
      </w:r>
      <w:r>
        <w:rPr>
          <w:spacing w:val="-9"/>
        </w:rPr>
        <w:t> </w:t>
      </w:r>
      <w:r>
        <w:rPr/>
        <w:t>net</w:t>
      </w:r>
      <w:r>
        <w:rPr>
          <w:spacing w:val="-12"/>
        </w:rPr>
        <w:t> </w:t>
      </w:r>
      <w:r>
        <w:rPr/>
        <w:t>profit</w:t>
      </w:r>
      <w:r>
        <w:rPr>
          <w:spacing w:val="-10"/>
        </w:rPr>
        <w:t> </w:t>
      </w:r>
      <w:r>
        <w:rPr/>
        <w:t>in</w:t>
      </w:r>
      <w:r>
        <w:rPr>
          <w:spacing w:val="-9"/>
        </w:rPr>
        <w:t> </w:t>
      </w:r>
      <w:r>
        <w:rPr/>
        <w:t>its</w:t>
      </w:r>
      <w:r>
        <w:rPr>
          <w:spacing w:val="-12"/>
        </w:rPr>
        <w:t> </w:t>
      </w:r>
      <w:r>
        <w:rPr/>
        <w:t>Q4</w:t>
      </w:r>
      <w:r>
        <w:rPr>
          <w:spacing w:val="-11"/>
        </w:rPr>
        <w:t> </w:t>
      </w:r>
      <w:r>
        <w:rPr/>
        <w:t>FY26</w:t>
      </w:r>
      <w:r>
        <w:rPr>
          <w:spacing w:val="-9"/>
        </w:rPr>
        <w:t> </w:t>
      </w:r>
      <w:r>
        <w:rPr/>
        <w:t>earnings</w:t>
      </w:r>
      <w:r>
        <w:rPr>
          <w:spacing w:val="-10"/>
        </w:rPr>
        <w:t> </w:t>
      </w:r>
      <w:r>
        <w:rPr/>
        <w:t>and</w:t>
      </w:r>
      <w:r>
        <w:rPr>
          <w:spacing w:val="-11"/>
        </w:rPr>
        <w:t> </w:t>
      </w:r>
      <w:r>
        <w:rPr/>
        <w:t>EBITDA margins of roughly 26% despite the high input costs; which was mainly driven by double-digit volume growth in premium categories (JM Financial, 2026)</w:t>
      </w:r>
    </w:p>
    <w:p>
      <w:pPr>
        <w:pStyle w:val="BodyText"/>
        <w:spacing w:after="0" w:line="367" w:lineRule="auto"/>
        <w:jc w:val="both"/>
        <w:sectPr>
          <w:pgSz w:w="11910" w:h="16840"/>
          <w:pgMar w:header="1066" w:footer="804" w:top="2000" w:bottom="1000" w:left="1417" w:right="1417"/>
        </w:sectPr>
      </w:pPr>
    </w:p>
    <w:p>
      <w:pPr>
        <w:pStyle w:val="BodyText"/>
        <w:spacing w:before="153" w:after="1"/>
        <w:rPr>
          <w:sz w:val="20"/>
        </w:rPr>
      </w:pPr>
    </w:p>
    <w:p>
      <w:pPr>
        <w:pStyle w:val="BodyText"/>
        <w:ind w:left="711"/>
        <w:rPr>
          <w:sz w:val="20"/>
        </w:rPr>
      </w:pPr>
      <w:r>
        <w:rPr>
          <w:sz w:val="20"/>
        </w:rPr>
        <w:drawing>
          <wp:inline distT="0" distB="0" distL="0" distR="0">
            <wp:extent cx="4782993" cy="3750468"/>
            <wp:effectExtent l="0" t="0" r="0" b="0"/>
            <wp:docPr id="19" name="Image 19"/>
            <wp:cNvGraphicFramePr>
              <a:graphicFrameLocks/>
            </wp:cNvGraphicFramePr>
            <a:graphic>
              <a:graphicData uri="http://schemas.openxmlformats.org/drawingml/2006/picture">
                <pic:pic>
                  <pic:nvPicPr>
                    <pic:cNvPr id="19" name="Image 19"/>
                    <pic:cNvPicPr/>
                  </pic:nvPicPr>
                  <pic:blipFill>
                    <a:blip r:embed="rId33" cstate="print"/>
                    <a:stretch>
                      <a:fillRect/>
                    </a:stretch>
                  </pic:blipFill>
                  <pic:spPr>
                    <a:xfrm>
                      <a:off x="0" y="0"/>
                      <a:ext cx="4782993" cy="3750468"/>
                    </a:xfrm>
                    <a:prstGeom prst="rect">
                      <a:avLst/>
                    </a:prstGeom>
                  </pic:spPr>
                </pic:pic>
              </a:graphicData>
            </a:graphic>
          </wp:inline>
        </w:drawing>
      </w:r>
      <w:r>
        <w:rPr>
          <w:sz w:val="20"/>
        </w:rPr>
      </w:r>
    </w:p>
    <w:p>
      <w:pPr>
        <w:spacing w:before="84"/>
        <w:ind w:left="813" w:right="0" w:firstLine="0"/>
        <w:jc w:val="left"/>
        <w:rPr>
          <w:sz w:val="20"/>
        </w:rPr>
      </w:pPr>
      <w:r>
        <w:rPr>
          <w:sz w:val="20"/>
        </w:rPr>
        <w:t>(Source:</w:t>
      </w:r>
      <w:r>
        <w:rPr>
          <w:spacing w:val="-8"/>
          <w:sz w:val="20"/>
        </w:rPr>
        <w:t> </w:t>
      </w:r>
      <w:hyperlink r:id="rId34">
        <w:r>
          <w:rPr>
            <w:color w:val="000080"/>
            <w:spacing w:val="-2"/>
            <w:sz w:val="20"/>
            <w:u w:val="single" w:color="000080"/>
          </w:rPr>
          <w:t>https://journals.nasspublishing.com/index.php/rwae/article/view/2527/1228</w:t>
        </w:r>
      </w:hyperlink>
      <w:r>
        <w:rPr>
          <w:spacing w:val="-2"/>
          <w:sz w:val="20"/>
        </w:rPr>
        <w:t>)</w:t>
      </w:r>
    </w:p>
    <w:p>
      <w:pPr>
        <w:pStyle w:val="BodyText"/>
        <w:spacing w:before="45"/>
      </w:pPr>
    </w:p>
    <w:p>
      <w:pPr>
        <w:pStyle w:val="Heading1"/>
        <w:jc w:val="both"/>
      </w:pPr>
      <w:r>
        <w:rPr/>
        <w:t>Socio-Cultural</w:t>
      </w:r>
      <w:r>
        <w:rPr>
          <w:spacing w:val="-2"/>
        </w:rPr>
        <w:t> Factors</w:t>
      </w:r>
    </w:p>
    <w:p>
      <w:pPr>
        <w:pStyle w:val="BodyText"/>
        <w:spacing w:before="64"/>
        <w:rPr>
          <w:rFonts w:ascii="Arial"/>
          <w:b/>
        </w:rPr>
      </w:pPr>
    </w:p>
    <w:p>
      <w:pPr>
        <w:pStyle w:val="BodyText"/>
        <w:spacing w:line="364" w:lineRule="auto"/>
        <w:ind w:left="23" w:right="17"/>
        <w:jc w:val="both"/>
      </w:pPr>
      <w:r>
        <w:rPr/>
        <w:t>Dairy</w:t>
      </w:r>
      <w:r>
        <w:rPr>
          <w:spacing w:val="-6"/>
        </w:rPr>
        <w:t> </w:t>
      </w:r>
      <w:r>
        <w:rPr/>
        <w:t>consumption</w:t>
      </w:r>
      <w:r>
        <w:rPr>
          <w:spacing w:val="-2"/>
        </w:rPr>
        <w:t> </w:t>
      </w:r>
      <w:r>
        <w:rPr/>
        <w:t>in</w:t>
      </w:r>
      <w:r>
        <w:rPr>
          <w:spacing w:val="-4"/>
        </w:rPr>
        <w:t> </w:t>
      </w:r>
      <w:r>
        <w:rPr/>
        <w:t>India</w:t>
      </w:r>
      <w:r>
        <w:rPr>
          <w:spacing w:val="-2"/>
        </w:rPr>
        <w:t> </w:t>
      </w:r>
      <w:r>
        <w:rPr/>
        <w:t>is</w:t>
      </w:r>
      <w:r>
        <w:rPr>
          <w:spacing w:val="-5"/>
        </w:rPr>
        <w:t> </w:t>
      </w:r>
      <w:r>
        <w:rPr/>
        <w:t>dictated</w:t>
      </w:r>
      <w:r>
        <w:rPr>
          <w:spacing w:val="-4"/>
        </w:rPr>
        <w:t> </w:t>
      </w:r>
      <w:r>
        <w:rPr/>
        <w:t>more</w:t>
      </w:r>
      <w:r>
        <w:rPr>
          <w:spacing w:val="-5"/>
        </w:rPr>
        <w:t> </w:t>
      </w:r>
      <w:r>
        <w:rPr/>
        <w:t>heavily</w:t>
      </w:r>
      <w:r>
        <w:rPr>
          <w:spacing w:val="-5"/>
        </w:rPr>
        <w:t> </w:t>
      </w:r>
      <w:r>
        <w:rPr/>
        <w:t>by</w:t>
      </w:r>
      <w:r>
        <w:rPr>
          <w:spacing w:val="-5"/>
        </w:rPr>
        <w:t> </w:t>
      </w:r>
      <w:r>
        <w:rPr/>
        <w:t>cultural</w:t>
      </w:r>
      <w:r>
        <w:rPr>
          <w:spacing w:val="-3"/>
        </w:rPr>
        <w:t> </w:t>
      </w:r>
      <w:r>
        <w:rPr/>
        <w:t>and</w:t>
      </w:r>
      <w:r>
        <w:rPr>
          <w:spacing w:val="-4"/>
        </w:rPr>
        <w:t> </w:t>
      </w:r>
      <w:r>
        <w:rPr/>
        <w:t>dietary</w:t>
      </w:r>
      <w:r>
        <w:rPr>
          <w:spacing w:val="-6"/>
        </w:rPr>
        <w:t> </w:t>
      </w:r>
      <w:r>
        <w:rPr/>
        <w:t>habits</w:t>
      </w:r>
      <w:r>
        <w:rPr>
          <w:spacing w:val="-2"/>
        </w:rPr>
        <w:t> </w:t>
      </w:r>
      <w:r>
        <w:rPr/>
        <w:t>than in</w:t>
      </w:r>
      <w:r>
        <w:rPr>
          <w:spacing w:val="-7"/>
        </w:rPr>
        <w:t> </w:t>
      </w:r>
      <w:r>
        <w:rPr/>
        <w:t>almost</w:t>
      </w:r>
      <w:r>
        <w:rPr>
          <w:spacing w:val="-7"/>
        </w:rPr>
        <w:t> </w:t>
      </w:r>
      <w:r>
        <w:rPr/>
        <w:t>any</w:t>
      </w:r>
      <w:r>
        <w:rPr>
          <w:spacing w:val="-10"/>
        </w:rPr>
        <w:t> </w:t>
      </w:r>
      <w:r>
        <w:rPr/>
        <w:t>other</w:t>
      </w:r>
      <w:r>
        <w:rPr>
          <w:spacing w:val="-8"/>
        </w:rPr>
        <w:t> </w:t>
      </w:r>
      <w:r>
        <w:rPr/>
        <w:t>global</w:t>
      </w:r>
      <w:r>
        <w:rPr>
          <w:spacing w:val="-8"/>
        </w:rPr>
        <w:t> </w:t>
      </w:r>
      <w:r>
        <w:rPr/>
        <w:t>market.</w:t>
      </w:r>
      <w:r>
        <w:rPr>
          <w:spacing w:val="-7"/>
        </w:rPr>
        <w:t> </w:t>
      </w:r>
      <w:r>
        <w:rPr/>
        <w:t>As</w:t>
      </w:r>
      <w:r>
        <w:rPr>
          <w:spacing w:val="-7"/>
        </w:rPr>
        <w:t> </w:t>
      </w:r>
      <w:r>
        <w:rPr/>
        <w:t>world’s</w:t>
      </w:r>
      <w:r>
        <w:rPr>
          <w:spacing w:val="-8"/>
        </w:rPr>
        <w:t> </w:t>
      </w:r>
      <w:r>
        <w:rPr/>
        <w:t>largest</w:t>
      </w:r>
      <w:r>
        <w:rPr>
          <w:spacing w:val="-7"/>
        </w:rPr>
        <w:t> </w:t>
      </w:r>
      <w:r>
        <w:rPr/>
        <w:t>vegeterian</w:t>
      </w:r>
      <w:r>
        <w:rPr>
          <w:spacing w:val="-7"/>
        </w:rPr>
        <w:t> </w:t>
      </w:r>
      <w:r>
        <w:rPr/>
        <w:t>population,</w:t>
      </w:r>
      <w:r>
        <w:rPr>
          <w:spacing w:val="-7"/>
        </w:rPr>
        <w:t> </w:t>
      </w:r>
      <w:r>
        <w:rPr/>
        <w:t>Milk</w:t>
      </w:r>
      <w:r>
        <w:rPr>
          <w:spacing w:val="-7"/>
        </w:rPr>
        <w:t> </w:t>
      </w:r>
      <w:r>
        <w:rPr/>
        <w:t>is</w:t>
      </w:r>
      <w:r>
        <w:rPr>
          <w:spacing w:val="-8"/>
        </w:rPr>
        <w:t> </w:t>
      </w:r>
      <w:r>
        <w:rPr/>
        <w:t>the primary and culturally revered source of animal protein for Indian population. However,Indian consumers prefer fresh and locally rooted dairy products such as paneer, dahi (curd) and ghee rather than over aged Western cheeses or heavily processed foreign dairy products (Patvardhan et al., 2025).</w:t>
      </w:r>
      <w:r>
        <w:rPr>
          <w:spacing w:val="-3"/>
        </w:rPr>
        <w:t> </w:t>
      </w:r>
      <w:r>
        <w:rPr/>
        <w:t>To overcome this</w:t>
      </w:r>
      <w:r>
        <w:rPr>
          <w:spacing w:val="-1"/>
        </w:rPr>
        <w:t> </w:t>
      </w:r>
      <w:r>
        <w:rPr/>
        <w:t>cultural liability and resonate with these Indian culinary traditions, Nestlé has had to deeply localize its product portfolio. For example, rather than forcing Western product lines, Nestlé successfully introduced products like Nestlé a+ Dahi and Milkmaid, which integrate seamlessly into traditional Indian dessert preparation. Furthermore, an accelerating</w:t>
      </w:r>
      <w:r>
        <w:rPr>
          <w:spacing w:val="-16"/>
        </w:rPr>
        <w:t> </w:t>
      </w:r>
      <w:r>
        <w:rPr/>
        <w:t>socio-cultural</w:t>
      </w:r>
      <w:r>
        <w:rPr>
          <w:spacing w:val="-16"/>
        </w:rPr>
        <w:t> </w:t>
      </w:r>
      <w:r>
        <w:rPr/>
        <w:t>shift</w:t>
      </w:r>
      <w:r>
        <w:rPr>
          <w:spacing w:val="-16"/>
        </w:rPr>
        <w:t> </w:t>
      </w:r>
      <w:r>
        <w:rPr/>
        <w:t>toward</w:t>
      </w:r>
      <w:r>
        <w:rPr>
          <w:spacing w:val="-16"/>
        </w:rPr>
        <w:t> </w:t>
      </w:r>
      <w:r>
        <w:rPr/>
        <w:t>health</w:t>
      </w:r>
      <w:r>
        <w:rPr>
          <w:spacing w:val="-16"/>
        </w:rPr>
        <w:t> </w:t>
      </w:r>
      <w:r>
        <w:rPr/>
        <w:t>consciousness</w:t>
      </w:r>
      <w:r>
        <w:rPr>
          <w:spacing w:val="-16"/>
        </w:rPr>
        <w:t> </w:t>
      </w:r>
      <w:r>
        <w:rPr/>
        <w:t>among</w:t>
      </w:r>
      <w:r>
        <w:rPr>
          <w:spacing w:val="-16"/>
        </w:rPr>
        <w:t> </w:t>
      </w:r>
      <w:r>
        <w:rPr/>
        <w:t>urban</w:t>
      </w:r>
      <w:r>
        <w:rPr>
          <w:spacing w:val="-16"/>
        </w:rPr>
        <w:t> </w:t>
      </w:r>
      <w:r>
        <w:rPr/>
        <w:t>consumers has driven massive demand for fortified and probiotic dairy, perfectly aligning with Nestlé’s strategic pivot toward high-margin, specialized nutritional products (Fortune Business Insights, 2025).</w:t>
      </w:r>
    </w:p>
    <w:p>
      <w:pPr>
        <w:pStyle w:val="BodyText"/>
        <w:spacing w:after="0" w:line="364" w:lineRule="auto"/>
        <w:jc w:val="both"/>
        <w:sectPr>
          <w:pgSz w:w="11910" w:h="16840"/>
          <w:pgMar w:header="1066" w:footer="804" w:top="2000" w:bottom="1000" w:left="1417" w:right="1417"/>
        </w:sectPr>
      </w:pPr>
    </w:p>
    <w:p>
      <w:pPr>
        <w:pStyle w:val="BodyText"/>
        <w:spacing w:before="21"/>
        <w:rPr>
          <w:sz w:val="20"/>
        </w:rPr>
      </w:pPr>
    </w:p>
    <w:p>
      <w:pPr>
        <w:pStyle w:val="BodyText"/>
        <w:ind w:left="23" w:right="-29"/>
        <w:rPr>
          <w:sz w:val="20"/>
        </w:rPr>
      </w:pPr>
      <w:r>
        <w:rPr>
          <w:sz w:val="20"/>
        </w:rPr>
        <w:drawing>
          <wp:inline distT="0" distB="0" distL="0" distR="0">
            <wp:extent cx="5730381" cy="3223260"/>
            <wp:effectExtent l="0" t="0" r="0" b="0"/>
            <wp:docPr id="20" name="Image 20"/>
            <wp:cNvGraphicFramePr>
              <a:graphicFrameLocks/>
            </wp:cNvGraphicFramePr>
            <a:graphic>
              <a:graphicData uri="http://schemas.openxmlformats.org/drawingml/2006/picture">
                <pic:pic>
                  <pic:nvPicPr>
                    <pic:cNvPr id="20" name="Image 20"/>
                    <pic:cNvPicPr/>
                  </pic:nvPicPr>
                  <pic:blipFill>
                    <a:blip r:embed="rId35" cstate="print"/>
                    <a:stretch>
                      <a:fillRect/>
                    </a:stretch>
                  </pic:blipFill>
                  <pic:spPr>
                    <a:xfrm>
                      <a:off x="0" y="0"/>
                      <a:ext cx="5730381" cy="3223260"/>
                    </a:xfrm>
                    <a:prstGeom prst="rect">
                      <a:avLst/>
                    </a:prstGeom>
                  </pic:spPr>
                </pic:pic>
              </a:graphicData>
            </a:graphic>
          </wp:inline>
        </w:drawing>
      </w:r>
      <w:r>
        <w:rPr>
          <w:sz w:val="20"/>
        </w:rPr>
      </w:r>
    </w:p>
    <w:p>
      <w:pPr>
        <w:spacing w:before="4"/>
        <w:ind w:left="1" w:right="2" w:firstLine="0"/>
        <w:jc w:val="center"/>
        <w:rPr>
          <w:sz w:val="20"/>
        </w:rPr>
      </w:pPr>
      <w:r>
        <w:rPr>
          <w:spacing w:val="-2"/>
          <w:sz w:val="20"/>
        </w:rPr>
        <w:t>(Source:</w:t>
      </w:r>
      <w:r>
        <w:rPr>
          <w:spacing w:val="29"/>
          <w:sz w:val="20"/>
        </w:rPr>
        <w:t> </w:t>
      </w:r>
      <w:hyperlink r:id="rId23">
        <w:r>
          <w:rPr>
            <w:color w:val="000080"/>
            <w:spacing w:val="-2"/>
            <w:sz w:val="20"/>
            <w:u w:val="single" w:color="000080"/>
          </w:rPr>
          <w:t>https://www.imarcgroup.com/dairy-industry-in-india</w:t>
        </w:r>
      </w:hyperlink>
      <w:r>
        <w:rPr>
          <w:color w:val="000080"/>
          <w:spacing w:val="29"/>
          <w:sz w:val="20"/>
        </w:rPr>
        <w:t> </w:t>
      </w:r>
      <w:r>
        <w:rPr>
          <w:spacing w:val="-10"/>
          <w:sz w:val="20"/>
        </w:rPr>
        <w:t>)</w:t>
      </w:r>
    </w:p>
    <w:p>
      <w:pPr>
        <w:pStyle w:val="BodyText"/>
      </w:pPr>
    </w:p>
    <w:p>
      <w:pPr>
        <w:pStyle w:val="BodyText"/>
      </w:pPr>
    </w:p>
    <w:p>
      <w:pPr>
        <w:pStyle w:val="BodyText"/>
        <w:spacing w:before="115"/>
      </w:pPr>
    </w:p>
    <w:p>
      <w:pPr>
        <w:pStyle w:val="Heading1"/>
        <w:jc w:val="both"/>
      </w:pPr>
      <w:r>
        <w:rPr/>
        <w:t>Technological</w:t>
      </w:r>
      <w:r>
        <w:rPr>
          <w:spacing w:val="-2"/>
        </w:rPr>
        <w:t> Factors</w:t>
      </w:r>
    </w:p>
    <w:p>
      <w:pPr>
        <w:pStyle w:val="BodyText"/>
        <w:spacing w:before="65"/>
        <w:rPr>
          <w:rFonts w:ascii="Arial"/>
          <w:b/>
        </w:rPr>
      </w:pPr>
    </w:p>
    <w:p>
      <w:pPr>
        <w:pStyle w:val="BodyText"/>
        <w:spacing w:line="364" w:lineRule="auto"/>
        <w:ind w:left="23" w:right="16"/>
        <w:jc w:val="both"/>
      </w:pPr>
      <w:r>
        <w:rPr/>
        <w:t>Historically, the lack of robust cold-chain logistics resulted in massive spoilage rates. Hence</w:t>
      </w:r>
      <w:r>
        <w:rPr/>
        <w:t> technological integration and rapid traceability are becoming the critical differentiator in India's highly fragmented dairy supply chain.</w:t>
      </w:r>
      <w:r>
        <w:rPr>
          <w:spacing w:val="40"/>
        </w:rPr>
        <w:t> </w:t>
      </w:r>
      <w:r>
        <w:rPr/>
        <w:t>As a result, Nestlé has been forced to make massive capital investments in village-level chilling centers, automated processing plants and advanced veterinary care technology through its upgraded</w:t>
      </w:r>
      <w:r>
        <w:rPr>
          <w:spacing w:val="-12"/>
        </w:rPr>
        <w:t> </w:t>
      </w:r>
      <w:r>
        <w:rPr/>
        <w:t>"Moga</w:t>
      </w:r>
      <w:r>
        <w:rPr>
          <w:spacing w:val="-10"/>
        </w:rPr>
        <w:t> </w:t>
      </w:r>
      <w:r>
        <w:rPr/>
        <w:t>Model"</w:t>
      </w:r>
      <w:r>
        <w:rPr>
          <w:spacing w:val="-10"/>
        </w:rPr>
        <w:t> </w:t>
      </w:r>
      <w:r>
        <w:rPr/>
        <w:t>to</w:t>
      </w:r>
      <w:r>
        <w:rPr>
          <w:spacing w:val="-12"/>
        </w:rPr>
        <w:t> </w:t>
      </w:r>
      <w:r>
        <w:rPr/>
        <w:t>ensure</w:t>
      </w:r>
      <w:r>
        <w:rPr>
          <w:spacing w:val="-10"/>
        </w:rPr>
        <w:t> </w:t>
      </w:r>
      <w:r>
        <w:rPr/>
        <w:t>the</w:t>
      </w:r>
      <w:r>
        <w:rPr>
          <w:spacing w:val="-12"/>
        </w:rPr>
        <w:t> </w:t>
      </w:r>
      <w:r>
        <w:rPr/>
        <w:t>ultra-high</w:t>
      </w:r>
      <w:r>
        <w:rPr>
          <w:spacing w:val="-10"/>
        </w:rPr>
        <w:t> </w:t>
      </w:r>
      <w:r>
        <w:rPr/>
        <w:t>quality</w:t>
      </w:r>
      <w:r>
        <w:rPr>
          <w:spacing w:val="-13"/>
        </w:rPr>
        <w:t> </w:t>
      </w:r>
      <w:r>
        <w:rPr/>
        <w:t>supply</w:t>
      </w:r>
      <w:r>
        <w:rPr>
          <w:spacing w:val="-14"/>
        </w:rPr>
        <w:t> </w:t>
      </w:r>
      <w:r>
        <w:rPr/>
        <w:t>chain</w:t>
      </w:r>
      <w:r>
        <w:rPr>
          <w:spacing w:val="-13"/>
        </w:rPr>
        <w:t> </w:t>
      </w:r>
      <w:r>
        <w:rPr/>
        <w:t>logistics</w:t>
      </w:r>
      <w:r>
        <w:rPr>
          <w:spacing w:val="-11"/>
        </w:rPr>
        <w:t> </w:t>
      </w:r>
      <w:r>
        <w:rPr/>
        <w:t>required for</w:t>
      </w:r>
      <w:r>
        <w:rPr>
          <w:spacing w:val="-3"/>
        </w:rPr>
        <w:t> </w:t>
      </w:r>
      <w:r>
        <w:rPr/>
        <w:t>its</w:t>
      </w:r>
      <w:r>
        <w:rPr>
          <w:spacing w:val="-2"/>
        </w:rPr>
        <w:t> </w:t>
      </w:r>
      <w:r>
        <w:rPr/>
        <w:t>premium</w:t>
      </w:r>
      <w:r>
        <w:rPr>
          <w:spacing w:val="-1"/>
        </w:rPr>
        <w:t> </w:t>
      </w:r>
      <w:r>
        <w:rPr/>
        <w:t>VADP</w:t>
      </w:r>
      <w:r>
        <w:rPr>
          <w:spacing w:val="-5"/>
        </w:rPr>
        <w:t> </w:t>
      </w:r>
      <w:r>
        <w:rPr/>
        <w:t>portfolio.</w:t>
      </w:r>
      <w:r>
        <w:rPr>
          <w:spacing w:val="-4"/>
        </w:rPr>
        <w:t> </w:t>
      </w:r>
      <w:r>
        <w:rPr/>
        <w:t>Dairy</w:t>
      </w:r>
      <w:r>
        <w:rPr>
          <w:spacing w:val="-6"/>
        </w:rPr>
        <w:t> </w:t>
      </w:r>
      <w:r>
        <w:rPr/>
        <w:t>operators</w:t>
      </w:r>
      <w:r>
        <w:rPr>
          <w:spacing w:val="-3"/>
        </w:rPr>
        <w:t> </w:t>
      </w:r>
      <w:r>
        <w:rPr/>
        <w:t>are</w:t>
      </w:r>
      <w:r>
        <w:rPr>
          <w:spacing w:val="-2"/>
        </w:rPr>
        <w:t> </w:t>
      </w:r>
      <w:r>
        <w:rPr/>
        <w:t>strictly</w:t>
      </w:r>
      <w:r>
        <w:rPr>
          <w:spacing w:val="-5"/>
        </w:rPr>
        <w:t> </w:t>
      </w:r>
      <w:r>
        <w:rPr/>
        <w:t>required</w:t>
      </w:r>
      <w:r>
        <w:rPr>
          <w:spacing w:val="-2"/>
        </w:rPr>
        <w:t> </w:t>
      </w:r>
      <w:r>
        <w:rPr/>
        <w:t>by</w:t>
      </w:r>
      <w:r>
        <w:rPr>
          <w:spacing w:val="-5"/>
        </w:rPr>
        <w:t> </w:t>
      </w:r>
      <w:r>
        <w:rPr/>
        <w:t>new</w:t>
      </w:r>
      <w:r>
        <w:rPr>
          <w:spacing w:val="-5"/>
        </w:rPr>
        <w:t> </w:t>
      </w:r>
      <w:r>
        <w:rPr/>
        <w:t>mendates to deploy advanced technological solutions, such as AI-powered image analysis and rapid colorimetric testing kits (e.g., MilkTrak), at collection centers and automated vending machines to instantly detect milk adulterants like urea or hydrogen peroxide (Chadha</w:t>
      </w:r>
      <w:r>
        <w:rPr>
          <w:spacing w:val="-4"/>
        </w:rPr>
        <w:t> </w:t>
      </w:r>
      <w:r>
        <w:rPr/>
        <w:t>Sales,</w:t>
      </w:r>
      <w:r>
        <w:rPr>
          <w:spacing w:val="-2"/>
        </w:rPr>
        <w:t> </w:t>
      </w:r>
      <w:r>
        <w:rPr/>
        <w:t>2025).</w:t>
      </w:r>
      <w:r>
        <w:rPr>
          <w:spacing w:val="-5"/>
        </w:rPr>
        <w:t> </w:t>
      </w:r>
      <w:r>
        <w:rPr/>
        <w:t>Nestlé</w:t>
      </w:r>
      <w:r>
        <w:rPr>
          <w:spacing w:val="-2"/>
        </w:rPr>
        <w:t> </w:t>
      </w:r>
      <w:r>
        <w:rPr/>
        <w:t>has</w:t>
      </w:r>
      <w:r>
        <w:rPr>
          <w:spacing w:val="-2"/>
        </w:rPr>
        <w:t> </w:t>
      </w:r>
      <w:r>
        <w:rPr/>
        <w:t>secured</w:t>
      </w:r>
      <w:r>
        <w:rPr>
          <w:spacing w:val="-4"/>
        </w:rPr>
        <w:t> </w:t>
      </w:r>
      <w:r>
        <w:rPr/>
        <w:t>a</w:t>
      </w:r>
      <w:r>
        <w:rPr>
          <w:spacing w:val="-4"/>
        </w:rPr>
        <w:t> </w:t>
      </w:r>
      <w:r>
        <w:rPr/>
        <w:t>clean,</w:t>
      </w:r>
      <w:r>
        <w:rPr>
          <w:spacing w:val="-2"/>
        </w:rPr>
        <w:t> </w:t>
      </w:r>
      <w:r>
        <w:rPr/>
        <w:t>reliable</w:t>
      </w:r>
      <w:r>
        <w:rPr>
          <w:spacing w:val="-4"/>
        </w:rPr>
        <w:t> </w:t>
      </w:r>
      <w:r>
        <w:rPr/>
        <w:t>milk</w:t>
      </w:r>
      <w:r>
        <w:rPr>
          <w:spacing w:val="-2"/>
        </w:rPr>
        <w:t> </w:t>
      </w:r>
      <w:r>
        <w:rPr/>
        <w:t>supply</w:t>
      </w:r>
      <w:r>
        <w:rPr>
          <w:spacing w:val="-5"/>
        </w:rPr>
        <w:t> </w:t>
      </w:r>
      <w:r>
        <w:rPr/>
        <w:t>and</w:t>
      </w:r>
      <w:r>
        <w:rPr>
          <w:spacing w:val="-2"/>
        </w:rPr>
        <w:t> </w:t>
      </w:r>
      <w:r>
        <w:rPr/>
        <w:t>created a massive</w:t>
      </w:r>
      <w:r>
        <w:rPr>
          <w:spacing w:val="-4"/>
        </w:rPr>
        <w:t> </w:t>
      </w:r>
      <w:r>
        <w:rPr/>
        <w:t>technological</w:t>
      </w:r>
      <w:r>
        <w:rPr>
          <w:spacing w:val="-7"/>
        </w:rPr>
        <w:t> </w:t>
      </w:r>
      <w:r>
        <w:rPr/>
        <w:t>moat</w:t>
      </w:r>
      <w:r>
        <w:rPr>
          <w:spacing w:val="-6"/>
        </w:rPr>
        <w:t> </w:t>
      </w:r>
      <w:r>
        <w:rPr/>
        <w:t>against</w:t>
      </w:r>
      <w:r>
        <w:rPr>
          <w:spacing w:val="-6"/>
        </w:rPr>
        <w:t> </w:t>
      </w:r>
      <w:r>
        <w:rPr/>
        <w:t>unorganized</w:t>
      </w:r>
      <w:r>
        <w:rPr>
          <w:spacing w:val="-4"/>
        </w:rPr>
        <w:t> </w:t>
      </w:r>
      <w:r>
        <w:rPr/>
        <w:t>local</w:t>
      </w:r>
      <w:r>
        <w:rPr>
          <w:spacing w:val="-5"/>
        </w:rPr>
        <w:t> </w:t>
      </w:r>
      <w:r>
        <w:rPr/>
        <w:t>vendors</w:t>
      </w:r>
      <w:r>
        <w:rPr>
          <w:spacing w:val="-5"/>
        </w:rPr>
        <w:t> </w:t>
      </w:r>
      <w:r>
        <w:rPr/>
        <w:t>by</w:t>
      </w:r>
      <w:r>
        <w:rPr>
          <w:spacing w:val="-7"/>
        </w:rPr>
        <w:t> </w:t>
      </w:r>
      <w:r>
        <w:rPr/>
        <w:t>heavily</w:t>
      </w:r>
      <w:r>
        <w:rPr>
          <w:spacing w:val="-7"/>
        </w:rPr>
        <w:t> </w:t>
      </w:r>
      <w:r>
        <w:rPr/>
        <w:t>investing</w:t>
      </w:r>
      <w:r>
        <w:rPr>
          <w:spacing w:val="-6"/>
        </w:rPr>
        <w:t> </w:t>
      </w:r>
      <w:r>
        <w:rPr/>
        <w:t>in advance</w:t>
      </w:r>
      <w:r>
        <w:rPr>
          <w:spacing w:val="-6"/>
        </w:rPr>
        <w:t> </w:t>
      </w:r>
      <w:r>
        <w:rPr/>
        <w:t>proprietary</w:t>
      </w:r>
      <w:r>
        <w:rPr>
          <w:spacing w:val="-8"/>
        </w:rPr>
        <w:t> </w:t>
      </w:r>
      <w:r>
        <w:rPr/>
        <w:t>supply</w:t>
      </w:r>
      <w:r>
        <w:rPr>
          <w:spacing w:val="-8"/>
        </w:rPr>
        <w:t> </w:t>
      </w:r>
      <w:r>
        <w:rPr/>
        <w:t>chain</w:t>
      </w:r>
      <w:r>
        <w:rPr>
          <w:spacing w:val="-7"/>
        </w:rPr>
        <w:t> </w:t>
      </w:r>
      <w:r>
        <w:rPr/>
        <w:t>technology</w:t>
      </w:r>
      <w:r>
        <w:rPr>
          <w:spacing w:val="-7"/>
        </w:rPr>
        <w:t> </w:t>
      </w:r>
      <w:r>
        <w:rPr/>
        <w:t>and</w:t>
      </w:r>
      <w:r>
        <w:rPr>
          <w:spacing w:val="-6"/>
        </w:rPr>
        <w:t> </w:t>
      </w:r>
      <w:r>
        <w:rPr/>
        <w:t>Internet</w:t>
      </w:r>
      <w:r>
        <w:rPr>
          <w:spacing w:val="-7"/>
        </w:rPr>
        <w:t> </w:t>
      </w:r>
      <w:r>
        <w:rPr/>
        <w:t>of</w:t>
      </w:r>
      <w:r>
        <w:rPr>
          <w:spacing w:val="-7"/>
        </w:rPr>
        <w:t> </w:t>
      </w:r>
      <w:r>
        <w:rPr/>
        <w:t>Things</w:t>
      </w:r>
      <w:r>
        <w:rPr>
          <w:spacing w:val="-7"/>
        </w:rPr>
        <w:t> </w:t>
      </w:r>
      <w:r>
        <w:rPr/>
        <w:t>(IoT)</w:t>
      </w:r>
      <w:r>
        <w:rPr>
          <w:spacing w:val="-9"/>
        </w:rPr>
        <w:t> </w:t>
      </w:r>
      <w:r>
        <w:rPr/>
        <w:t>temperature </w:t>
      </w:r>
      <w:r>
        <w:rPr>
          <w:spacing w:val="-2"/>
        </w:rPr>
        <w:t>monitoring.</w:t>
      </w:r>
    </w:p>
    <w:p>
      <w:pPr>
        <w:pStyle w:val="BodyText"/>
        <w:spacing w:after="0" w:line="364" w:lineRule="auto"/>
        <w:jc w:val="both"/>
        <w:sectPr>
          <w:pgSz w:w="11910" w:h="16840"/>
          <w:pgMar w:header="1066" w:footer="804" w:top="2000" w:bottom="1000" w:left="1417" w:right="1417"/>
        </w:sectPr>
      </w:pPr>
    </w:p>
    <w:p>
      <w:pPr>
        <w:pStyle w:val="BodyText"/>
        <w:spacing w:before="123"/>
        <w:rPr>
          <w:sz w:val="20"/>
        </w:rPr>
      </w:pPr>
    </w:p>
    <w:p>
      <w:pPr>
        <w:pStyle w:val="BodyText"/>
        <w:ind w:left="51"/>
        <w:rPr>
          <w:sz w:val="20"/>
        </w:rPr>
      </w:pPr>
      <w:r>
        <w:rPr>
          <w:sz w:val="20"/>
        </w:rPr>
        <w:drawing>
          <wp:inline distT="0" distB="0" distL="0" distR="0">
            <wp:extent cx="5686549" cy="2638615"/>
            <wp:effectExtent l="0" t="0" r="0" b="0"/>
            <wp:docPr id="21" name="Image 21"/>
            <wp:cNvGraphicFramePr>
              <a:graphicFrameLocks/>
            </wp:cNvGraphicFramePr>
            <a:graphic>
              <a:graphicData uri="http://schemas.openxmlformats.org/drawingml/2006/picture">
                <pic:pic>
                  <pic:nvPicPr>
                    <pic:cNvPr id="21" name="Image 21"/>
                    <pic:cNvPicPr/>
                  </pic:nvPicPr>
                  <pic:blipFill>
                    <a:blip r:embed="rId36" cstate="print"/>
                    <a:stretch>
                      <a:fillRect/>
                    </a:stretch>
                  </pic:blipFill>
                  <pic:spPr>
                    <a:xfrm>
                      <a:off x="0" y="0"/>
                      <a:ext cx="5686549" cy="2638615"/>
                    </a:xfrm>
                    <a:prstGeom prst="rect">
                      <a:avLst/>
                    </a:prstGeom>
                  </pic:spPr>
                </pic:pic>
              </a:graphicData>
            </a:graphic>
          </wp:inline>
        </w:drawing>
      </w:r>
      <w:r>
        <w:rPr>
          <w:sz w:val="20"/>
        </w:rPr>
      </w:r>
    </w:p>
    <w:p>
      <w:pPr>
        <w:spacing w:before="119"/>
        <w:ind w:left="78" w:right="0" w:firstLine="0"/>
        <w:jc w:val="left"/>
        <w:rPr>
          <w:sz w:val="22"/>
        </w:rPr>
      </w:pPr>
      <w:r>
        <w:rPr>
          <w:sz w:val="22"/>
        </w:rPr>
        <w:t>(Source:</w:t>
      </w:r>
      <w:r>
        <w:rPr>
          <w:spacing w:val="-4"/>
          <w:sz w:val="22"/>
        </w:rPr>
        <w:t> </w:t>
      </w:r>
      <w:hyperlink r:id="rId37">
        <w:r>
          <w:rPr>
            <w:color w:val="000080"/>
            <w:spacing w:val="-2"/>
            <w:sz w:val="22"/>
            <w:u w:val="single" w:color="000080"/>
          </w:rPr>
          <w:t>https://www.brickworkratings.com/Research/Dairy_Sector_Report_23Apr2025.pdf</w:t>
        </w:r>
      </w:hyperlink>
      <w:r>
        <w:rPr>
          <w:spacing w:val="-2"/>
          <w:sz w:val="22"/>
        </w:rPr>
        <w:t>)</w:t>
      </w:r>
    </w:p>
    <w:p>
      <w:pPr>
        <w:pStyle w:val="BodyText"/>
      </w:pPr>
    </w:p>
    <w:p>
      <w:pPr>
        <w:pStyle w:val="BodyText"/>
      </w:pPr>
    </w:p>
    <w:p>
      <w:pPr>
        <w:pStyle w:val="BodyText"/>
        <w:spacing w:before="128"/>
      </w:pPr>
    </w:p>
    <w:p>
      <w:pPr>
        <w:pStyle w:val="Heading1"/>
        <w:jc w:val="both"/>
      </w:pPr>
      <w:r>
        <w:rPr/>
        <w:t>Legal </w:t>
      </w:r>
      <w:r>
        <w:rPr>
          <w:spacing w:val="-2"/>
        </w:rPr>
        <w:t>Factors</w:t>
      </w:r>
    </w:p>
    <w:p>
      <w:pPr>
        <w:pStyle w:val="BodyText"/>
        <w:spacing w:before="64"/>
        <w:rPr>
          <w:rFonts w:ascii="Arial"/>
          <w:b/>
        </w:rPr>
      </w:pPr>
    </w:p>
    <w:p>
      <w:pPr>
        <w:pStyle w:val="BodyText"/>
        <w:spacing w:line="364" w:lineRule="auto"/>
        <w:ind w:left="23" w:right="17"/>
        <w:jc w:val="both"/>
      </w:pPr>
      <w:r>
        <w:rPr/>
        <w:t>The legal environment of Indian dairy sector is exceptionally stringent and heavily dominated by the regulatory body ‘Food Safety and Standards Authority of India (FSSAI)’. FSSAI launched aggressive, nationwide special enforcement drives in late 2025</w:t>
      </w:r>
      <w:r>
        <w:rPr>
          <w:spacing w:val="-4"/>
        </w:rPr>
        <w:t> </w:t>
      </w:r>
      <w:r>
        <w:rPr/>
        <w:t>and</w:t>
      </w:r>
      <w:r>
        <w:rPr>
          <w:spacing w:val="-7"/>
        </w:rPr>
        <w:t> </w:t>
      </w:r>
      <w:r>
        <w:rPr/>
        <w:t>early</w:t>
      </w:r>
      <w:r>
        <w:rPr>
          <w:spacing w:val="-7"/>
        </w:rPr>
        <w:t> </w:t>
      </w:r>
      <w:r>
        <w:rPr/>
        <w:t>2026</w:t>
      </w:r>
      <w:r>
        <w:rPr>
          <w:spacing w:val="-4"/>
        </w:rPr>
        <w:t> </w:t>
      </w:r>
      <w:r>
        <w:rPr/>
        <w:t>under</w:t>
      </w:r>
      <w:r>
        <w:rPr>
          <w:spacing w:val="-8"/>
        </w:rPr>
        <w:t> </w:t>
      </w:r>
      <w:r>
        <w:rPr/>
        <w:t>Section</w:t>
      </w:r>
      <w:r>
        <w:rPr>
          <w:spacing w:val="-4"/>
        </w:rPr>
        <w:t> </w:t>
      </w:r>
      <w:r>
        <w:rPr/>
        <w:t>16(5)</w:t>
      </w:r>
      <w:r>
        <w:rPr>
          <w:spacing w:val="-5"/>
        </w:rPr>
        <w:t> </w:t>
      </w:r>
      <w:r>
        <w:rPr/>
        <w:t>of</w:t>
      </w:r>
      <w:r>
        <w:rPr>
          <w:spacing w:val="-4"/>
        </w:rPr>
        <w:t> </w:t>
      </w:r>
      <w:r>
        <w:rPr/>
        <w:t>the</w:t>
      </w:r>
      <w:r>
        <w:rPr>
          <w:spacing w:val="-4"/>
        </w:rPr>
        <w:t> </w:t>
      </w:r>
      <w:r>
        <w:rPr/>
        <w:t>Food</w:t>
      </w:r>
      <w:r>
        <w:rPr>
          <w:spacing w:val="-6"/>
        </w:rPr>
        <w:t> </w:t>
      </w:r>
      <w:r>
        <w:rPr/>
        <w:t>Safety</w:t>
      </w:r>
      <w:r>
        <w:rPr>
          <w:spacing w:val="-7"/>
        </w:rPr>
        <w:t> </w:t>
      </w:r>
      <w:r>
        <w:rPr/>
        <w:t>and</w:t>
      </w:r>
      <w:r>
        <w:rPr>
          <w:spacing w:val="-4"/>
        </w:rPr>
        <w:t> </w:t>
      </w:r>
      <w:r>
        <w:rPr/>
        <w:t>Standards</w:t>
      </w:r>
      <w:r>
        <w:rPr>
          <w:spacing w:val="-5"/>
        </w:rPr>
        <w:t> </w:t>
      </w:r>
      <w:r>
        <w:rPr/>
        <w:t>Act,</w:t>
      </w:r>
      <w:r>
        <w:rPr>
          <w:spacing w:val="-7"/>
        </w:rPr>
        <w:t> </w:t>
      </w:r>
      <w:r>
        <w:rPr/>
        <w:t>2006 (Corpbiz, 2025; FSSAI, 2026) to tackle the issue of milk adulteration using synthetic solids, starch, or chemicals in unorganized sector. These strict regulations require rigorous licensing, frequent lab testing and absolute traceability</w:t>
      </w:r>
      <w:r>
        <w:rPr>
          <w:spacing w:val="-1"/>
        </w:rPr>
        <w:t> </w:t>
      </w:r>
      <w:r>
        <w:rPr/>
        <w:t>for all dairy</w:t>
      </w:r>
      <w:r>
        <w:rPr>
          <w:spacing w:val="-1"/>
        </w:rPr>
        <w:t> </w:t>
      </w:r>
      <w:r>
        <w:rPr/>
        <w:t>products. While these legal burdens increase operational costs, they act as a major strategic advantage for Nestlé because this tightening legal landscape forces unorganized sector’s non-compliant players out of the market and drive the safety-conscious consumers toward trusted, highly regulated multinational brands like Nestlé. Nestlé operates</w:t>
      </w:r>
      <w:r>
        <w:rPr>
          <w:spacing w:val="-15"/>
        </w:rPr>
        <w:t> </w:t>
      </w:r>
      <w:r>
        <w:rPr/>
        <w:t>with</w:t>
      </w:r>
      <w:r>
        <w:rPr>
          <w:spacing w:val="-14"/>
        </w:rPr>
        <w:t> </w:t>
      </w:r>
      <w:r>
        <w:rPr/>
        <w:t>these</w:t>
      </w:r>
      <w:r>
        <w:rPr>
          <w:spacing w:val="-14"/>
        </w:rPr>
        <w:t> </w:t>
      </w:r>
      <w:r>
        <w:rPr/>
        <w:t>global</w:t>
      </w:r>
      <w:r>
        <w:rPr>
          <w:spacing w:val="-15"/>
        </w:rPr>
        <w:t> </w:t>
      </w:r>
      <w:r>
        <w:rPr/>
        <w:t>compliance</w:t>
      </w:r>
      <w:r>
        <w:rPr>
          <w:spacing w:val="-14"/>
        </w:rPr>
        <w:t> </w:t>
      </w:r>
      <w:r>
        <w:rPr/>
        <w:t>standards</w:t>
      </w:r>
      <w:r>
        <w:rPr>
          <w:spacing w:val="-14"/>
        </w:rPr>
        <w:t> </w:t>
      </w:r>
      <w:r>
        <w:rPr/>
        <w:t>and</w:t>
      </w:r>
      <w:r>
        <w:rPr>
          <w:spacing w:val="-16"/>
        </w:rPr>
        <w:t> </w:t>
      </w:r>
      <w:r>
        <w:rPr/>
        <w:t>uses</w:t>
      </w:r>
      <w:r>
        <w:rPr>
          <w:spacing w:val="-14"/>
        </w:rPr>
        <w:t> </w:t>
      </w:r>
      <w:r>
        <w:rPr/>
        <w:t>it</w:t>
      </w:r>
      <w:r>
        <w:rPr>
          <w:spacing w:val="-16"/>
        </w:rPr>
        <w:t> </w:t>
      </w:r>
      <w:r>
        <w:rPr/>
        <w:t>as</w:t>
      </w:r>
      <w:r>
        <w:rPr>
          <w:spacing w:val="-14"/>
        </w:rPr>
        <w:t> </w:t>
      </w:r>
      <w:r>
        <w:rPr/>
        <w:t>a</w:t>
      </w:r>
      <w:r>
        <w:rPr>
          <w:spacing w:val="-14"/>
        </w:rPr>
        <w:t> </w:t>
      </w:r>
      <w:r>
        <w:rPr/>
        <w:t>competitive</w:t>
      </w:r>
      <w:r>
        <w:rPr>
          <w:spacing w:val="-14"/>
        </w:rPr>
        <w:t> </w:t>
      </w:r>
      <w:r>
        <w:rPr/>
        <w:t>weapon. The tightening legal landscape forces non-compliant, unorganized players out of the market, effectively driving safety-conscious consumers toward trusted, highly regulated multinational brands like Nestlé.</w:t>
      </w:r>
    </w:p>
    <w:p>
      <w:pPr>
        <w:pStyle w:val="Heading1"/>
        <w:spacing w:before="216"/>
        <w:jc w:val="both"/>
      </w:pPr>
      <w:r>
        <w:rPr/>
        <w:t>Environmental</w:t>
      </w:r>
      <w:r>
        <w:rPr>
          <w:spacing w:val="-5"/>
        </w:rPr>
        <w:t> </w:t>
      </w:r>
      <w:r>
        <w:rPr>
          <w:spacing w:val="-2"/>
        </w:rPr>
        <w:t>Factors</w:t>
      </w:r>
    </w:p>
    <w:p>
      <w:pPr>
        <w:pStyle w:val="Heading1"/>
        <w:spacing w:after="0"/>
        <w:jc w:val="both"/>
        <w:sectPr>
          <w:pgSz w:w="11910" w:h="16840"/>
          <w:pgMar w:header="1066" w:footer="804" w:top="2000" w:bottom="1000" w:left="1417" w:right="1417"/>
        </w:sectPr>
      </w:pPr>
    </w:p>
    <w:p>
      <w:pPr>
        <w:pStyle w:val="BodyText"/>
        <w:spacing w:line="364" w:lineRule="auto" w:before="247"/>
        <w:ind w:left="23" w:right="15"/>
        <w:jc w:val="both"/>
      </w:pPr>
      <w:r>
        <w:rPr/>
        <w:t>India's agricultural sector is facing severe climate risks because of erratic monsoon patterns and escalating water stress that directly impact fodder availability, which in turn threatens raw milk yields and drives up procurement costs. As a result, environmental sustainability has transitioned from a corporate social responsibility initiative</w:t>
      </w:r>
      <w:r>
        <w:rPr>
          <w:spacing w:val="-13"/>
        </w:rPr>
        <w:t> </w:t>
      </w:r>
      <w:r>
        <w:rPr/>
        <w:t>to</w:t>
      </w:r>
      <w:r>
        <w:rPr>
          <w:spacing w:val="-15"/>
        </w:rPr>
        <w:t> </w:t>
      </w:r>
      <w:r>
        <w:rPr/>
        <w:t>a</w:t>
      </w:r>
      <w:r>
        <w:rPr>
          <w:spacing w:val="-13"/>
        </w:rPr>
        <w:t> </w:t>
      </w:r>
      <w:r>
        <w:rPr/>
        <w:t>critical</w:t>
      </w:r>
      <w:r>
        <w:rPr>
          <w:spacing w:val="-15"/>
        </w:rPr>
        <w:t> </w:t>
      </w:r>
      <w:r>
        <w:rPr/>
        <w:t>operational</w:t>
      </w:r>
      <w:r>
        <w:rPr>
          <w:spacing w:val="-15"/>
        </w:rPr>
        <w:t> </w:t>
      </w:r>
      <w:r>
        <w:rPr/>
        <w:t>necessity.</w:t>
      </w:r>
      <w:r>
        <w:rPr>
          <w:spacing w:val="-14"/>
        </w:rPr>
        <w:t> </w:t>
      </w:r>
      <w:r>
        <w:rPr/>
        <w:t>(USDA/FAS,</w:t>
      </w:r>
      <w:r>
        <w:rPr>
          <w:spacing w:val="-16"/>
        </w:rPr>
        <w:t> </w:t>
      </w:r>
      <w:r>
        <w:rPr/>
        <w:t>2025).</w:t>
      </w:r>
      <w:r>
        <w:rPr>
          <w:spacing w:val="-16"/>
        </w:rPr>
        <w:t> </w:t>
      </w:r>
      <w:r>
        <w:rPr/>
        <w:t>Indian</w:t>
      </w:r>
      <w:r>
        <w:rPr>
          <w:spacing w:val="-13"/>
        </w:rPr>
        <w:t> </w:t>
      </w:r>
      <w:r>
        <w:rPr/>
        <w:t>dairy</w:t>
      </w:r>
      <w:r>
        <w:rPr>
          <w:spacing w:val="-16"/>
        </w:rPr>
        <w:t> </w:t>
      </w:r>
      <w:r>
        <w:rPr/>
        <w:t>sector</w:t>
      </w:r>
      <w:r>
        <w:rPr>
          <w:spacing w:val="-15"/>
        </w:rPr>
        <w:t> </w:t>
      </w:r>
      <w:r>
        <w:rPr/>
        <w:t>also struggles with a massive carbon footprint because of significant methane emissions generated by its vast bovine population. Here environmental factors present an opportunity for Nestlé as</w:t>
      </w:r>
      <w:r>
        <w:rPr>
          <w:spacing w:val="40"/>
        </w:rPr>
        <w:t> </w:t>
      </w:r>
      <w:r>
        <w:rPr/>
        <w:t>it has implemented aggressive sustainability protocols to mitigate these environmental risks and align more with global ESG (Environmental, Social, and Governance) mandates. Nestlé is investing heavily in water conservation techniques in it’s parched procurement regions, educating farmers on sustainable grazing practices and optimizing energy use in its own processing facilities (JM Financial,</w:t>
      </w:r>
      <w:r>
        <w:rPr>
          <w:spacing w:val="-16"/>
        </w:rPr>
        <w:t> </w:t>
      </w:r>
      <w:r>
        <w:rPr/>
        <w:t>2026).</w:t>
      </w:r>
      <w:r>
        <w:rPr>
          <w:spacing w:val="-16"/>
        </w:rPr>
        <w:t> </w:t>
      </w:r>
      <w:r>
        <w:rPr/>
        <w:t>These</w:t>
      </w:r>
      <w:r>
        <w:rPr>
          <w:spacing w:val="-16"/>
        </w:rPr>
        <w:t> </w:t>
      </w:r>
      <w:r>
        <w:rPr/>
        <w:t>environmental</w:t>
      </w:r>
      <w:r>
        <w:rPr>
          <w:spacing w:val="-16"/>
        </w:rPr>
        <w:t> </w:t>
      </w:r>
      <w:r>
        <w:rPr/>
        <w:t>initiatives</w:t>
      </w:r>
      <w:r>
        <w:rPr>
          <w:spacing w:val="-16"/>
        </w:rPr>
        <w:t> </w:t>
      </w:r>
      <w:r>
        <w:rPr/>
        <w:t>not</w:t>
      </w:r>
      <w:r>
        <w:rPr>
          <w:spacing w:val="-16"/>
        </w:rPr>
        <w:t> </w:t>
      </w:r>
      <w:r>
        <w:rPr/>
        <w:t>only</w:t>
      </w:r>
      <w:r>
        <w:rPr>
          <w:spacing w:val="-16"/>
        </w:rPr>
        <w:t> </w:t>
      </w:r>
      <w:r>
        <w:rPr/>
        <w:t>ensure</w:t>
      </w:r>
      <w:r>
        <w:rPr>
          <w:spacing w:val="-16"/>
        </w:rPr>
        <w:t> </w:t>
      </w:r>
      <w:r>
        <w:rPr/>
        <w:t>the</w:t>
      </w:r>
      <w:r>
        <w:rPr>
          <w:spacing w:val="-16"/>
        </w:rPr>
        <w:t> </w:t>
      </w:r>
      <w:r>
        <w:rPr/>
        <w:t>long-term</w:t>
      </w:r>
      <w:r>
        <w:rPr>
          <w:spacing w:val="-16"/>
        </w:rPr>
        <w:t> </w:t>
      </w:r>
      <w:r>
        <w:rPr/>
        <w:t>viability of Nestlé's supply chain but also bolster brand loyalty among environmentally conscious urban consumers.</w:t>
      </w:r>
    </w:p>
    <w:p>
      <w:pPr>
        <w:pStyle w:val="BodyText"/>
      </w:pPr>
    </w:p>
    <w:p>
      <w:pPr>
        <w:pStyle w:val="BodyText"/>
      </w:pPr>
    </w:p>
    <w:p>
      <w:pPr>
        <w:pStyle w:val="BodyText"/>
        <w:spacing w:before="16"/>
      </w:pPr>
    </w:p>
    <w:p>
      <w:pPr>
        <w:pStyle w:val="Heading1"/>
        <w:jc w:val="both"/>
      </w:pPr>
      <w:bookmarkStart w:name="_TOC_250002" w:id="5"/>
      <w:r>
        <w:rPr/>
        <w:t>Cultural</w:t>
      </w:r>
      <w:r>
        <w:rPr>
          <w:spacing w:val="-7"/>
        </w:rPr>
        <w:t> </w:t>
      </w:r>
      <w:r>
        <w:rPr/>
        <w:t>Framework:</w:t>
      </w:r>
      <w:r>
        <w:rPr>
          <w:spacing w:val="-8"/>
        </w:rPr>
        <w:t> </w:t>
      </w:r>
      <w:r>
        <w:rPr/>
        <w:t>Hofstede’s</w:t>
      </w:r>
      <w:r>
        <w:rPr>
          <w:spacing w:val="-5"/>
        </w:rPr>
        <w:t> </w:t>
      </w:r>
      <w:bookmarkEnd w:id="5"/>
      <w:r>
        <w:rPr>
          <w:spacing w:val="-2"/>
        </w:rPr>
        <w:t>Dimensions</w:t>
      </w:r>
    </w:p>
    <w:p>
      <w:pPr>
        <w:pStyle w:val="Heading1"/>
        <w:spacing w:after="0"/>
        <w:jc w:val="both"/>
        <w:sectPr>
          <w:pgSz w:w="11910" w:h="16840"/>
          <w:pgMar w:header="1066" w:footer="804" w:top="2000" w:bottom="1000" w:left="1417" w:right="1417"/>
        </w:sectPr>
      </w:pPr>
    </w:p>
    <w:p>
      <w:pPr>
        <w:pStyle w:val="BodyText"/>
        <w:spacing w:before="205"/>
        <w:rPr>
          <w:rFonts w:ascii="Arial"/>
          <w:b/>
          <w:sz w:val="20"/>
        </w:rPr>
      </w:pPr>
    </w:p>
    <w:p>
      <w:pPr>
        <w:pStyle w:val="BodyText"/>
        <w:ind w:left="1432"/>
        <w:rPr>
          <w:rFonts w:ascii="Arial"/>
          <w:sz w:val="20"/>
        </w:rPr>
      </w:pPr>
      <w:r>
        <w:rPr>
          <w:rFonts w:ascii="Arial"/>
          <w:sz w:val="20"/>
        </w:rPr>
        <w:drawing>
          <wp:inline distT="0" distB="0" distL="0" distR="0">
            <wp:extent cx="2793221" cy="3287077"/>
            <wp:effectExtent l="0" t="0" r="0" b="0"/>
            <wp:docPr id="22" name="Image 22"/>
            <wp:cNvGraphicFramePr>
              <a:graphicFrameLocks/>
            </wp:cNvGraphicFramePr>
            <a:graphic>
              <a:graphicData uri="http://schemas.openxmlformats.org/drawingml/2006/picture">
                <pic:pic>
                  <pic:nvPicPr>
                    <pic:cNvPr id="22" name="Image 22"/>
                    <pic:cNvPicPr/>
                  </pic:nvPicPr>
                  <pic:blipFill>
                    <a:blip r:embed="rId38" cstate="print"/>
                    <a:stretch>
                      <a:fillRect/>
                    </a:stretch>
                  </pic:blipFill>
                  <pic:spPr>
                    <a:xfrm>
                      <a:off x="0" y="0"/>
                      <a:ext cx="2793221" cy="3287077"/>
                    </a:xfrm>
                    <a:prstGeom prst="rect">
                      <a:avLst/>
                    </a:prstGeom>
                  </pic:spPr>
                </pic:pic>
              </a:graphicData>
            </a:graphic>
          </wp:inline>
        </w:drawing>
      </w:r>
      <w:r>
        <w:rPr>
          <w:rFonts w:ascii="Arial"/>
          <w:sz w:val="20"/>
        </w:rPr>
      </w:r>
    </w:p>
    <w:p>
      <w:pPr>
        <w:pStyle w:val="BodyText"/>
        <w:rPr>
          <w:rFonts w:ascii="Arial"/>
          <w:b/>
        </w:rPr>
      </w:pPr>
    </w:p>
    <w:p>
      <w:pPr>
        <w:pStyle w:val="BodyText"/>
        <w:spacing w:before="76"/>
        <w:rPr>
          <w:rFonts w:ascii="Arial"/>
          <w:b/>
        </w:rPr>
      </w:pPr>
    </w:p>
    <w:p>
      <w:pPr>
        <w:pStyle w:val="BodyText"/>
        <w:spacing w:line="367" w:lineRule="auto"/>
        <w:ind w:left="23" w:right="23"/>
        <w:jc w:val="both"/>
      </w:pPr>
      <w:r>
        <w:rPr/>
        <w:t>Nestlé India</w:t>
      </w:r>
      <w:r>
        <w:rPr>
          <w:spacing w:val="40"/>
        </w:rPr>
        <w:t> </w:t>
      </w:r>
      <w:r>
        <w:rPr/>
        <w:t>navigates significant cultural differences between Western corporate models and Indian socio-cultural realities to successfully operate a supply chain that is deeply rooted in rural agriculture while marketing to urban consumers at the same time.</w:t>
      </w:r>
      <w:r>
        <w:rPr>
          <w:spacing w:val="-8"/>
        </w:rPr>
        <w:t> </w:t>
      </w:r>
      <w:r>
        <w:rPr/>
        <w:t>This</w:t>
      </w:r>
      <w:r>
        <w:rPr>
          <w:spacing w:val="-6"/>
        </w:rPr>
        <w:t> </w:t>
      </w:r>
      <w:r>
        <w:rPr/>
        <w:t>report</w:t>
      </w:r>
      <w:r>
        <w:rPr>
          <w:spacing w:val="-8"/>
        </w:rPr>
        <w:t> </w:t>
      </w:r>
      <w:r>
        <w:rPr/>
        <w:t>uses</w:t>
      </w:r>
      <w:r>
        <w:rPr>
          <w:spacing w:val="-8"/>
        </w:rPr>
        <w:t> </w:t>
      </w:r>
      <w:r>
        <w:rPr/>
        <w:t>Hofstede’s</w:t>
      </w:r>
      <w:r>
        <w:rPr>
          <w:spacing w:val="-6"/>
        </w:rPr>
        <w:t> </w:t>
      </w:r>
      <w:r>
        <w:rPr/>
        <w:t>Cultural</w:t>
      </w:r>
      <w:r>
        <w:rPr>
          <w:spacing w:val="-6"/>
        </w:rPr>
        <w:t> </w:t>
      </w:r>
      <w:r>
        <w:rPr/>
        <w:t>Dimensions</w:t>
      </w:r>
      <w:r>
        <w:rPr>
          <w:spacing w:val="-8"/>
        </w:rPr>
        <w:t> </w:t>
      </w:r>
      <w:r>
        <w:rPr/>
        <w:t>framework</w:t>
      </w:r>
      <w:r>
        <w:rPr>
          <w:spacing w:val="-7"/>
        </w:rPr>
        <w:t> </w:t>
      </w:r>
      <w:r>
        <w:rPr/>
        <w:t>to</w:t>
      </w:r>
      <w:r>
        <w:rPr>
          <w:spacing w:val="-5"/>
        </w:rPr>
        <w:t> </w:t>
      </w:r>
      <w:r>
        <w:rPr/>
        <w:t>critically</w:t>
      </w:r>
      <w:r>
        <w:rPr>
          <w:spacing w:val="-8"/>
        </w:rPr>
        <w:t> </w:t>
      </w:r>
      <w:r>
        <w:rPr/>
        <w:t>evaluate how</w:t>
      </w:r>
      <w:r>
        <w:rPr>
          <w:spacing w:val="-3"/>
        </w:rPr>
        <w:t> </w:t>
      </w:r>
      <w:r>
        <w:rPr/>
        <w:t>Nestlé India adapts</w:t>
      </w:r>
      <w:r>
        <w:rPr>
          <w:spacing w:val="-1"/>
        </w:rPr>
        <w:t> </w:t>
      </w:r>
      <w:r>
        <w:rPr/>
        <w:t>its operational</w:t>
      </w:r>
      <w:r>
        <w:rPr>
          <w:spacing w:val="-1"/>
        </w:rPr>
        <w:t> </w:t>
      </w:r>
      <w:r>
        <w:rPr/>
        <w:t>strategy</w:t>
      </w:r>
      <w:r>
        <w:rPr>
          <w:spacing w:val="-3"/>
        </w:rPr>
        <w:t> </w:t>
      </w:r>
      <w:r>
        <w:rPr/>
        <w:t>to bridge this</w:t>
      </w:r>
      <w:r>
        <w:rPr>
          <w:spacing w:val="-1"/>
        </w:rPr>
        <w:t> </w:t>
      </w:r>
      <w:r>
        <w:rPr/>
        <w:t>gap (Hofstede Insights, </w:t>
      </w:r>
      <w:r>
        <w:rPr>
          <w:spacing w:val="-2"/>
        </w:rPr>
        <w:t>2024).</w:t>
      </w:r>
    </w:p>
    <w:p>
      <w:pPr>
        <w:pStyle w:val="BodyText"/>
        <w:spacing w:before="7"/>
        <w:rPr>
          <w:sz w:val="16"/>
        </w:rPr>
      </w:pPr>
    </w:p>
    <w:tbl>
      <w:tblPr>
        <w:tblW w:w="0" w:type="auto"/>
        <w:jc w:val="left"/>
        <w:tblInd w:w="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840"/>
        <w:gridCol w:w="3171"/>
        <w:gridCol w:w="3008"/>
      </w:tblGrid>
      <w:tr>
        <w:trPr>
          <w:trHeight w:val="702" w:hRule="atLeast"/>
        </w:trPr>
        <w:tc>
          <w:tcPr>
            <w:tcW w:w="2840" w:type="dxa"/>
          </w:tcPr>
          <w:p>
            <w:pPr>
              <w:pStyle w:val="TableParagraph"/>
              <w:spacing w:before="50"/>
              <w:ind w:left="355"/>
              <w:rPr>
                <w:rFonts w:ascii="Arial"/>
                <w:b/>
                <w:sz w:val="22"/>
              </w:rPr>
            </w:pPr>
            <w:r>
              <w:rPr>
                <w:rFonts w:ascii="Arial"/>
                <w:b/>
                <w:sz w:val="22"/>
              </w:rPr>
              <w:t>Hofstede</w:t>
            </w:r>
            <w:r>
              <w:rPr>
                <w:rFonts w:ascii="Arial"/>
                <w:b/>
                <w:spacing w:val="-3"/>
                <w:sz w:val="22"/>
              </w:rPr>
              <w:t> </w:t>
            </w:r>
            <w:r>
              <w:rPr>
                <w:rFonts w:ascii="Arial"/>
                <w:b/>
                <w:spacing w:val="-2"/>
                <w:sz w:val="22"/>
              </w:rPr>
              <w:t>Dimension</w:t>
            </w:r>
          </w:p>
        </w:tc>
        <w:tc>
          <w:tcPr>
            <w:tcW w:w="3171" w:type="dxa"/>
          </w:tcPr>
          <w:p>
            <w:pPr>
              <w:pStyle w:val="TableParagraph"/>
              <w:spacing w:before="50"/>
              <w:ind w:left="73"/>
              <w:rPr>
                <w:rFonts w:ascii="Arial" w:hAnsi="Arial"/>
                <w:b/>
                <w:sz w:val="22"/>
              </w:rPr>
            </w:pPr>
            <w:r>
              <w:rPr>
                <w:rFonts w:ascii="Arial" w:hAnsi="Arial"/>
                <w:b/>
                <w:sz w:val="22"/>
              </w:rPr>
              <w:t>India’s</w:t>
            </w:r>
            <w:r>
              <w:rPr>
                <w:rFonts w:ascii="Arial" w:hAnsi="Arial"/>
                <w:b/>
                <w:spacing w:val="-6"/>
                <w:sz w:val="22"/>
              </w:rPr>
              <w:t> </w:t>
            </w:r>
            <w:r>
              <w:rPr>
                <w:rFonts w:ascii="Arial" w:hAnsi="Arial"/>
                <w:b/>
                <w:sz w:val="22"/>
              </w:rPr>
              <w:t>Cultural</w:t>
            </w:r>
            <w:r>
              <w:rPr>
                <w:rFonts w:ascii="Arial" w:hAnsi="Arial"/>
                <w:b/>
                <w:spacing w:val="-2"/>
                <w:sz w:val="22"/>
              </w:rPr>
              <w:t> </w:t>
            </w:r>
            <w:r>
              <w:rPr>
                <w:rFonts w:ascii="Arial" w:hAnsi="Arial"/>
                <w:b/>
                <w:sz w:val="22"/>
              </w:rPr>
              <w:t>Trait</w:t>
            </w:r>
            <w:r>
              <w:rPr>
                <w:rFonts w:ascii="Arial" w:hAnsi="Arial"/>
                <w:b/>
                <w:spacing w:val="-4"/>
                <w:sz w:val="22"/>
              </w:rPr>
              <w:t> </w:t>
            </w:r>
            <w:r>
              <w:rPr>
                <w:rFonts w:ascii="Arial" w:hAnsi="Arial"/>
                <w:b/>
                <w:sz w:val="22"/>
              </w:rPr>
              <w:t>&amp;</w:t>
            </w:r>
            <w:r>
              <w:rPr>
                <w:rFonts w:ascii="Arial" w:hAnsi="Arial"/>
                <w:b/>
                <w:spacing w:val="-8"/>
                <w:sz w:val="22"/>
              </w:rPr>
              <w:t> </w:t>
            </w:r>
            <w:r>
              <w:rPr>
                <w:rFonts w:ascii="Arial" w:hAnsi="Arial"/>
                <w:b/>
                <w:spacing w:val="-4"/>
                <w:sz w:val="22"/>
              </w:rPr>
              <w:t>Score</w:t>
            </w:r>
          </w:p>
        </w:tc>
        <w:tc>
          <w:tcPr>
            <w:tcW w:w="3008" w:type="dxa"/>
          </w:tcPr>
          <w:p>
            <w:pPr>
              <w:pStyle w:val="TableParagraph"/>
              <w:spacing w:line="278" w:lineRule="auto" w:before="50"/>
              <w:ind w:left="928" w:right="52" w:hanging="351"/>
              <w:rPr>
                <w:rFonts w:ascii="Arial" w:hAnsi="Arial"/>
                <w:b/>
                <w:sz w:val="22"/>
              </w:rPr>
            </w:pPr>
            <w:r>
              <w:rPr>
                <w:rFonts w:ascii="Arial" w:hAnsi="Arial"/>
                <w:b/>
                <w:sz w:val="22"/>
              </w:rPr>
              <w:t>Nestlé’s</w:t>
            </w:r>
            <w:r>
              <w:rPr>
                <w:rFonts w:ascii="Arial" w:hAnsi="Arial"/>
                <w:b/>
                <w:spacing w:val="-16"/>
                <w:sz w:val="22"/>
              </w:rPr>
              <w:t> </w:t>
            </w:r>
            <w:r>
              <w:rPr>
                <w:rFonts w:ascii="Arial" w:hAnsi="Arial"/>
                <w:b/>
                <w:sz w:val="22"/>
              </w:rPr>
              <w:t>Strategic </w:t>
            </w:r>
            <w:r>
              <w:rPr>
                <w:rFonts w:ascii="Arial" w:hAnsi="Arial"/>
                <w:b/>
                <w:spacing w:val="-2"/>
                <w:sz w:val="22"/>
              </w:rPr>
              <w:t>Adaptation</w:t>
            </w:r>
          </w:p>
        </w:tc>
      </w:tr>
      <w:tr>
        <w:trPr>
          <w:trHeight w:val="3045" w:hRule="atLeast"/>
        </w:trPr>
        <w:tc>
          <w:tcPr>
            <w:tcW w:w="2840" w:type="dxa"/>
          </w:tcPr>
          <w:p>
            <w:pPr>
              <w:pStyle w:val="TableParagraph"/>
              <w:ind w:left="55"/>
              <w:rPr>
                <w:sz w:val="22"/>
              </w:rPr>
            </w:pPr>
            <w:r>
              <w:rPr>
                <w:sz w:val="22"/>
              </w:rPr>
              <w:t>Power</w:t>
            </w:r>
            <w:r>
              <w:rPr>
                <w:spacing w:val="-4"/>
                <w:sz w:val="22"/>
              </w:rPr>
              <w:t> </w:t>
            </w:r>
            <w:r>
              <w:rPr>
                <w:sz w:val="22"/>
              </w:rPr>
              <w:t>Distance</w:t>
            </w:r>
            <w:r>
              <w:rPr>
                <w:spacing w:val="-5"/>
                <w:sz w:val="22"/>
              </w:rPr>
              <w:t> </w:t>
            </w:r>
            <w:r>
              <w:rPr>
                <w:spacing w:val="-4"/>
                <w:sz w:val="22"/>
              </w:rPr>
              <w:t>(PDI)</w:t>
            </w:r>
          </w:p>
        </w:tc>
        <w:tc>
          <w:tcPr>
            <w:tcW w:w="3171" w:type="dxa"/>
          </w:tcPr>
          <w:p>
            <w:pPr>
              <w:pStyle w:val="TableParagraph"/>
              <w:rPr>
                <w:sz w:val="22"/>
              </w:rPr>
            </w:pPr>
            <w:r>
              <w:rPr>
                <w:sz w:val="22"/>
              </w:rPr>
              <w:t>77</w:t>
            </w:r>
            <w:r>
              <w:rPr>
                <w:spacing w:val="1"/>
                <w:sz w:val="22"/>
              </w:rPr>
              <w:t> </w:t>
            </w:r>
            <w:r>
              <w:rPr>
                <w:spacing w:val="-2"/>
                <w:sz w:val="22"/>
              </w:rPr>
              <w:t>(High):</w:t>
            </w:r>
          </w:p>
          <w:p>
            <w:pPr>
              <w:pStyle w:val="TableParagraph"/>
              <w:spacing w:before="80"/>
              <w:ind w:left="0"/>
              <w:rPr>
                <w:sz w:val="22"/>
              </w:rPr>
            </w:pPr>
          </w:p>
          <w:p>
            <w:pPr>
              <w:pStyle w:val="TableParagraph"/>
              <w:numPr>
                <w:ilvl w:val="0"/>
                <w:numId w:val="5"/>
              </w:numPr>
              <w:tabs>
                <w:tab w:pos="774" w:val="left" w:leader="none"/>
              </w:tabs>
              <w:spacing w:line="276" w:lineRule="auto" w:before="0" w:after="0"/>
              <w:ind w:left="774" w:right="229" w:hanging="360"/>
              <w:jc w:val="left"/>
              <w:rPr>
                <w:sz w:val="22"/>
              </w:rPr>
            </w:pPr>
            <w:r>
              <w:rPr>
                <w:sz w:val="22"/>
              </w:rPr>
              <w:t>Because of Deep hierarchical</w:t>
            </w:r>
            <w:r>
              <w:rPr>
                <w:spacing w:val="-15"/>
                <w:sz w:val="22"/>
              </w:rPr>
              <w:t> </w:t>
            </w:r>
            <w:r>
              <w:rPr>
                <w:sz w:val="22"/>
              </w:rPr>
              <w:t>structures</w:t>
            </w:r>
          </w:p>
          <w:p>
            <w:pPr>
              <w:pStyle w:val="TableParagraph"/>
              <w:numPr>
                <w:ilvl w:val="0"/>
                <w:numId w:val="5"/>
              </w:numPr>
              <w:tabs>
                <w:tab w:pos="774" w:val="left" w:leader="none"/>
              </w:tabs>
              <w:spacing w:line="240" w:lineRule="auto" w:before="1" w:after="0"/>
              <w:ind w:left="774" w:right="0" w:hanging="360"/>
              <w:jc w:val="left"/>
              <w:rPr>
                <w:sz w:val="22"/>
              </w:rPr>
            </w:pPr>
            <w:r>
              <w:rPr>
                <w:sz w:val="22"/>
              </w:rPr>
              <w:t>top-down</w:t>
            </w:r>
            <w:r>
              <w:rPr>
                <w:spacing w:val="-6"/>
                <w:sz w:val="22"/>
              </w:rPr>
              <w:t> </w:t>
            </w:r>
            <w:r>
              <w:rPr>
                <w:spacing w:val="-2"/>
                <w:sz w:val="22"/>
              </w:rPr>
              <w:t>authority</w:t>
            </w:r>
          </w:p>
          <w:p>
            <w:pPr>
              <w:pStyle w:val="TableParagraph"/>
              <w:numPr>
                <w:ilvl w:val="0"/>
                <w:numId w:val="5"/>
              </w:numPr>
              <w:tabs>
                <w:tab w:pos="774" w:val="left" w:leader="none"/>
              </w:tabs>
              <w:spacing w:line="278" w:lineRule="auto" w:before="35" w:after="0"/>
              <w:ind w:left="774" w:right="512" w:hanging="360"/>
              <w:jc w:val="left"/>
              <w:rPr>
                <w:sz w:val="22"/>
              </w:rPr>
            </w:pPr>
            <w:r>
              <w:rPr>
                <w:sz w:val="22"/>
              </w:rPr>
              <w:t>and</w:t>
            </w:r>
            <w:r>
              <w:rPr>
                <w:spacing w:val="-15"/>
                <w:sz w:val="22"/>
              </w:rPr>
              <w:t> </w:t>
            </w:r>
            <w:r>
              <w:rPr>
                <w:sz w:val="22"/>
              </w:rPr>
              <w:t>unequal</w:t>
            </w:r>
            <w:r>
              <w:rPr>
                <w:spacing w:val="-15"/>
                <w:sz w:val="22"/>
              </w:rPr>
              <w:t> </w:t>
            </w:r>
            <w:r>
              <w:rPr>
                <w:sz w:val="22"/>
              </w:rPr>
              <w:t>power distribution in rural </w:t>
            </w:r>
            <w:r>
              <w:rPr>
                <w:spacing w:val="-2"/>
                <w:sz w:val="22"/>
              </w:rPr>
              <w:t>settings.</w:t>
            </w:r>
          </w:p>
        </w:tc>
        <w:tc>
          <w:tcPr>
            <w:tcW w:w="3008" w:type="dxa"/>
          </w:tcPr>
          <w:p>
            <w:pPr>
              <w:pStyle w:val="TableParagraph"/>
              <w:spacing w:line="280" w:lineRule="auto"/>
              <w:ind w:right="52"/>
              <w:rPr>
                <w:sz w:val="22"/>
              </w:rPr>
            </w:pPr>
            <w:r>
              <w:rPr>
                <w:sz w:val="22"/>
              </w:rPr>
              <w:t>Nestlé</w:t>
            </w:r>
            <w:r>
              <w:rPr>
                <w:spacing w:val="-8"/>
                <w:sz w:val="22"/>
              </w:rPr>
              <w:t> </w:t>
            </w:r>
            <w:r>
              <w:rPr>
                <w:sz w:val="22"/>
              </w:rPr>
              <w:t>abandons</w:t>
            </w:r>
            <w:r>
              <w:rPr>
                <w:spacing w:val="-10"/>
                <w:sz w:val="22"/>
              </w:rPr>
              <w:t> </w:t>
            </w:r>
            <w:r>
              <w:rPr>
                <w:sz w:val="22"/>
              </w:rPr>
              <w:t>flat</w:t>
            </w:r>
            <w:r>
              <w:rPr>
                <w:spacing w:val="-13"/>
                <w:sz w:val="22"/>
              </w:rPr>
              <w:t> </w:t>
            </w:r>
            <w:r>
              <w:rPr>
                <w:sz w:val="22"/>
              </w:rPr>
              <w:t>Western supply-chain models to integrate itself into hierarchy through it’s "Moga Model.</w:t>
            </w:r>
          </w:p>
          <w:p>
            <w:pPr>
              <w:pStyle w:val="TableParagraph"/>
              <w:spacing w:before="41"/>
              <w:ind w:left="0"/>
              <w:rPr>
                <w:sz w:val="22"/>
              </w:rPr>
            </w:pPr>
          </w:p>
          <w:p>
            <w:pPr>
              <w:pStyle w:val="TableParagraph"/>
              <w:spacing w:line="280" w:lineRule="auto" w:before="0"/>
              <w:ind w:right="126"/>
              <w:rPr>
                <w:sz w:val="22"/>
              </w:rPr>
            </w:pPr>
            <w:r>
              <w:rPr>
                <w:sz w:val="22"/>
              </w:rPr>
              <w:t>They procure milk by respectfully</w:t>
            </w:r>
            <w:r>
              <w:rPr>
                <w:spacing w:val="-15"/>
                <w:sz w:val="22"/>
              </w:rPr>
              <w:t> </w:t>
            </w:r>
            <w:r>
              <w:rPr>
                <w:sz w:val="22"/>
              </w:rPr>
              <w:t>engaging</w:t>
            </w:r>
            <w:r>
              <w:rPr>
                <w:spacing w:val="-15"/>
                <w:sz w:val="22"/>
              </w:rPr>
              <w:t> </w:t>
            </w:r>
            <w:r>
              <w:rPr>
                <w:sz w:val="22"/>
              </w:rPr>
              <w:t>with established village </w:t>
            </w:r>
            <w:r>
              <w:rPr>
                <w:spacing w:val="-2"/>
                <w:sz w:val="22"/>
              </w:rPr>
              <w:t>leaderships</w:t>
            </w:r>
          </w:p>
        </w:tc>
      </w:tr>
    </w:tbl>
    <w:p>
      <w:pPr>
        <w:pStyle w:val="TableParagraph"/>
        <w:spacing w:after="0" w:line="280" w:lineRule="auto"/>
        <w:rPr>
          <w:sz w:val="22"/>
        </w:rPr>
        <w:sectPr>
          <w:pgSz w:w="11910" w:h="16840"/>
          <w:pgMar w:header="1066" w:footer="804" w:top="2000" w:bottom="1000" w:left="1417" w:right="1417"/>
        </w:sectPr>
      </w:pPr>
    </w:p>
    <w:p>
      <w:pPr>
        <w:pStyle w:val="BodyText"/>
        <w:spacing w:before="14"/>
        <w:rPr>
          <w:sz w:val="20"/>
        </w:rPr>
      </w:pPr>
    </w:p>
    <w:tbl>
      <w:tblPr>
        <w:tblW w:w="0" w:type="auto"/>
        <w:jc w:val="left"/>
        <w:tblInd w:w="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840"/>
        <w:gridCol w:w="3171"/>
        <w:gridCol w:w="3008"/>
      </w:tblGrid>
      <w:tr>
        <w:trPr>
          <w:trHeight w:val="3312" w:hRule="atLeast"/>
        </w:trPr>
        <w:tc>
          <w:tcPr>
            <w:tcW w:w="2840" w:type="dxa"/>
            <w:tcBorders>
              <w:top w:val="nil"/>
            </w:tcBorders>
          </w:tcPr>
          <w:p>
            <w:pPr>
              <w:pStyle w:val="TableParagraph"/>
              <w:spacing w:line="283" w:lineRule="auto" w:before="56"/>
              <w:ind w:left="55" w:right="1019"/>
              <w:rPr>
                <w:sz w:val="22"/>
              </w:rPr>
            </w:pPr>
            <w:r>
              <w:rPr>
                <w:sz w:val="22"/>
              </w:rPr>
              <w:t>Individualism vs. Collectivism</w:t>
            </w:r>
            <w:r>
              <w:rPr>
                <w:spacing w:val="-15"/>
                <w:sz w:val="22"/>
              </w:rPr>
              <w:t> </w:t>
            </w:r>
            <w:r>
              <w:rPr>
                <w:sz w:val="22"/>
              </w:rPr>
              <w:t>(IDV)</w:t>
            </w:r>
          </w:p>
        </w:tc>
        <w:tc>
          <w:tcPr>
            <w:tcW w:w="3171" w:type="dxa"/>
            <w:tcBorders>
              <w:top w:val="nil"/>
            </w:tcBorders>
          </w:tcPr>
          <w:p>
            <w:pPr>
              <w:pStyle w:val="TableParagraph"/>
              <w:spacing w:before="56"/>
              <w:rPr>
                <w:sz w:val="22"/>
              </w:rPr>
            </w:pPr>
            <w:r>
              <w:rPr>
                <w:sz w:val="22"/>
              </w:rPr>
              <w:t>48</w:t>
            </w:r>
            <w:r>
              <w:rPr>
                <w:spacing w:val="1"/>
                <w:sz w:val="22"/>
              </w:rPr>
              <w:t> </w:t>
            </w:r>
            <w:r>
              <w:rPr>
                <w:spacing w:val="-2"/>
                <w:sz w:val="22"/>
              </w:rPr>
              <w:t>(Collectivistic):</w:t>
            </w:r>
          </w:p>
          <w:p>
            <w:pPr>
              <w:pStyle w:val="TableParagraph"/>
              <w:spacing w:before="81"/>
              <w:ind w:left="0"/>
              <w:rPr>
                <w:sz w:val="22"/>
              </w:rPr>
            </w:pPr>
          </w:p>
          <w:p>
            <w:pPr>
              <w:pStyle w:val="TableParagraph"/>
              <w:numPr>
                <w:ilvl w:val="0"/>
                <w:numId w:val="6"/>
              </w:numPr>
              <w:tabs>
                <w:tab w:pos="774" w:val="left" w:leader="none"/>
              </w:tabs>
              <w:spacing w:line="278" w:lineRule="auto" w:before="0" w:after="0"/>
              <w:ind w:left="774" w:right="72" w:hanging="360"/>
              <w:jc w:val="left"/>
              <w:rPr>
                <w:sz w:val="22"/>
              </w:rPr>
            </w:pPr>
            <w:r>
              <w:rPr>
                <w:sz w:val="22"/>
              </w:rPr>
              <w:t>High prioritization of community, extended family</w:t>
            </w:r>
            <w:r>
              <w:rPr>
                <w:spacing w:val="-12"/>
                <w:sz w:val="22"/>
              </w:rPr>
              <w:t> </w:t>
            </w:r>
            <w:r>
              <w:rPr>
                <w:sz w:val="22"/>
              </w:rPr>
              <w:t>and</w:t>
            </w:r>
            <w:r>
              <w:rPr>
                <w:spacing w:val="-12"/>
                <w:sz w:val="22"/>
              </w:rPr>
              <w:t> </w:t>
            </w:r>
            <w:r>
              <w:rPr>
                <w:sz w:val="22"/>
              </w:rPr>
              <w:t>group</w:t>
            </w:r>
            <w:r>
              <w:rPr>
                <w:spacing w:val="-11"/>
                <w:sz w:val="22"/>
              </w:rPr>
              <w:t> </w:t>
            </w:r>
            <w:r>
              <w:rPr>
                <w:sz w:val="22"/>
              </w:rPr>
              <w:t>loyalty over individual </w:t>
            </w:r>
            <w:r>
              <w:rPr>
                <w:spacing w:val="-2"/>
                <w:sz w:val="22"/>
              </w:rPr>
              <w:t>transactions.</w:t>
            </w:r>
          </w:p>
        </w:tc>
        <w:tc>
          <w:tcPr>
            <w:tcW w:w="3008" w:type="dxa"/>
            <w:tcBorders>
              <w:top w:val="nil"/>
            </w:tcBorders>
          </w:tcPr>
          <w:p>
            <w:pPr>
              <w:pStyle w:val="TableParagraph"/>
              <w:spacing w:line="280" w:lineRule="auto" w:before="56"/>
              <w:ind w:right="52"/>
              <w:rPr>
                <w:sz w:val="22"/>
              </w:rPr>
            </w:pPr>
            <w:r>
              <w:rPr>
                <w:spacing w:val="-2"/>
                <w:sz w:val="22"/>
              </w:rPr>
              <w:t>Community-Centric </w:t>
            </w:r>
            <w:r>
              <w:rPr>
                <w:sz w:val="22"/>
              </w:rPr>
              <w:t>Procurement: To compete with farmer-owned cooperatives (like Amul), Nestlé</w:t>
            </w:r>
            <w:r>
              <w:rPr>
                <w:spacing w:val="-5"/>
                <w:sz w:val="22"/>
              </w:rPr>
              <w:t> </w:t>
            </w:r>
            <w:r>
              <w:rPr>
                <w:sz w:val="22"/>
              </w:rPr>
              <w:t>treats</w:t>
            </w:r>
            <w:r>
              <w:rPr>
                <w:spacing w:val="-9"/>
                <w:sz w:val="22"/>
              </w:rPr>
              <w:t> </w:t>
            </w:r>
            <w:r>
              <w:rPr>
                <w:sz w:val="22"/>
              </w:rPr>
              <w:t>farmers</w:t>
            </w:r>
            <w:r>
              <w:rPr>
                <w:spacing w:val="-7"/>
                <w:sz w:val="22"/>
              </w:rPr>
              <w:t> </w:t>
            </w:r>
            <w:r>
              <w:rPr>
                <w:sz w:val="22"/>
              </w:rPr>
              <w:t>as</w:t>
            </w:r>
            <w:r>
              <w:rPr>
                <w:spacing w:val="-7"/>
                <w:sz w:val="22"/>
              </w:rPr>
              <w:t> </w:t>
            </w:r>
            <w:r>
              <w:rPr>
                <w:sz w:val="22"/>
              </w:rPr>
              <w:t>an extention of the corporate.</w:t>
            </w:r>
          </w:p>
          <w:p>
            <w:pPr>
              <w:pStyle w:val="TableParagraph"/>
              <w:spacing w:before="40"/>
              <w:ind w:left="0"/>
              <w:rPr>
                <w:sz w:val="22"/>
              </w:rPr>
            </w:pPr>
          </w:p>
          <w:p>
            <w:pPr>
              <w:pStyle w:val="TableParagraph"/>
              <w:spacing w:line="280" w:lineRule="auto" w:before="1"/>
              <w:ind w:right="126"/>
              <w:rPr>
                <w:sz w:val="22"/>
              </w:rPr>
            </w:pPr>
            <w:r>
              <w:rPr>
                <w:sz w:val="22"/>
              </w:rPr>
              <w:t>Nestlé</w:t>
            </w:r>
            <w:r>
              <w:rPr>
                <w:spacing w:val="-12"/>
                <w:sz w:val="22"/>
              </w:rPr>
              <w:t> </w:t>
            </w:r>
            <w:r>
              <w:rPr>
                <w:sz w:val="22"/>
              </w:rPr>
              <w:t>fosters</w:t>
            </w:r>
            <w:r>
              <w:rPr>
                <w:spacing w:val="-11"/>
                <w:sz w:val="22"/>
              </w:rPr>
              <w:t> </w:t>
            </w:r>
            <w:r>
              <w:rPr>
                <w:sz w:val="22"/>
              </w:rPr>
              <w:t>group</w:t>
            </w:r>
            <w:r>
              <w:rPr>
                <w:spacing w:val="-11"/>
                <w:sz w:val="22"/>
              </w:rPr>
              <w:t> </w:t>
            </w:r>
            <w:r>
              <w:rPr>
                <w:sz w:val="22"/>
              </w:rPr>
              <w:t>loyalty by investing back in village welfare rather than being purely transactional.</w:t>
            </w:r>
          </w:p>
        </w:tc>
      </w:tr>
      <w:tr>
        <w:trPr>
          <w:trHeight w:val="2440" w:hRule="atLeast"/>
        </w:trPr>
        <w:tc>
          <w:tcPr>
            <w:tcW w:w="2840" w:type="dxa"/>
          </w:tcPr>
          <w:p>
            <w:pPr>
              <w:pStyle w:val="TableParagraph"/>
              <w:spacing w:line="280" w:lineRule="auto"/>
              <w:ind w:left="55" w:right="556"/>
              <w:rPr>
                <w:sz w:val="22"/>
              </w:rPr>
            </w:pPr>
            <w:r>
              <w:rPr>
                <w:sz w:val="22"/>
              </w:rPr>
              <w:t>Long-Term</w:t>
            </w:r>
            <w:r>
              <w:rPr>
                <w:spacing w:val="-15"/>
                <w:sz w:val="22"/>
              </w:rPr>
              <w:t> </w:t>
            </w:r>
            <w:r>
              <w:rPr>
                <w:sz w:val="22"/>
              </w:rPr>
              <w:t>Orientation </w:t>
            </w:r>
            <w:r>
              <w:rPr>
                <w:spacing w:val="-2"/>
                <w:sz w:val="22"/>
              </w:rPr>
              <w:t>(LTO)</w:t>
            </w:r>
          </w:p>
        </w:tc>
        <w:tc>
          <w:tcPr>
            <w:tcW w:w="3171" w:type="dxa"/>
          </w:tcPr>
          <w:p>
            <w:pPr>
              <w:pStyle w:val="TableParagraph"/>
              <w:rPr>
                <w:sz w:val="22"/>
              </w:rPr>
            </w:pPr>
            <w:r>
              <w:rPr>
                <w:sz w:val="22"/>
              </w:rPr>
              <w:t>51-61</w:t>
            </w:r>
            <w:r>
              <w:rPr>
                <w:spacing w:val="-2"/>
                <w:sz w:val="22"/>
              </w:rPr>
              <w:t> (Pragmatic):</w:t>
            </w:r>
          </w:p>
          <w:p>
            <w:pPr>
              <w:pStyle w:val="TableParagraph"/>
              <w:spacing w:before="79"/>
              <w:ind w:left="0"/>
              <w:rPr>
                <w:sz w:val="22"/>
              </w:rPr>
            </w:pPr>
          </w:p>
          <w:p>
            <w:pPr>
              <w:pStyle w:val="TableParagraph"/>
              <w:numPr>
                <w:ilvl w:val="0"/>
                <w:numId w:val="7"/>
              </w:numPr>
              <w:tabs>
                <w:tab w:pos="774" w:val="left" w:leader="none"/>
              </w:tabs>
              <w:spacing w:line="278" w:lineRule="auto" w:before="0" w:after="0"/>
              <w:ind w:left="774" w:right="206" w:hanging="360"/>
              <w:jc w:val="left"/>
              <w:rPr>
                <w:sz w:val="22"/>
              </w:rPr>
            </w:pPr>
            <w:r>
              <w:rPr>
                <w:sz w:val="22"/>
              </w:rPr>
              <w:t>A patient culture that values perseverance, </w:t>
            </w:r>
            <w:r>
              <w:rPr>
                <w:spacing w:val="-2"/>
                <w:sz w:val="22"/>
              </w:rPr>
              <w:t>relationship-building </w:t>
            </w:r>
            <w:r>
              <w:rPr>
                <w:sz w:val="22"/>
              </w:rPr>
              <w:t>and</w:t>
            </w:r>
            <w:r>
              <w:rPr>
                <w:spacing w:val="-15"/>
                <w:sz w:val="22"/>
              </w:rPr>
              <w:t> </w:t>
            </w:r>
            <w:r>
              <w:rPr>
                <w:sz w:val="22"/>
              </w:rPr>
              <w:t>long-term</w:t>
            </w:r>
            <w:r>
              <w:rPr>
                <w:spacing w:val="-15"/>
                <w:sz w:val="22"/>
              </w:rPr>
              <w:t> </w:t>
            </w:r>
            <w:r>
              <w:rPr>
                <w:sz w:val="22"/>
              </w:rPr>
              <w:t>security over short-term, opportunistic gains.</w:t>
            </w:r>
          </w:p>
        </w:tc>
        <w:tc>
          <w:tcPr>
            <w:tcW w:w="3008" w:type="dxa"/>
          </w:tcPr>
          <w:p>
            <w:pPr>
              <w:pStyle w:val="TableParagraph"/>
              <w:spacing w:line="280" w:lineRule="auto"/>
              <w:ind w:right="92"/>
              <w:rPr>
                <w:sz w:val="22"/>
              </w:rPr>
            </w:pPr>
            <w:r>
              <w:rPr>
                <w:sz w:val="22"/>
              </w:rPr>
              <w:t>Patient Capital Investment: Nestlé</w:t>
            </w:r>
            <w:r>
              <w:rPr>
                <w:spacing w:val="-11"/>
                <w:sz w:val="22"/>
              </w:rPr>
              <w:t> </w:t>
            </w:r>
            <w:r>
              <w:rPr>
                <w:sz w:val="22"/>
              </w:rPr>
              <w:t>built</w:t>
            </w:r>
            <w:r>
              <w:rPr>
                <w:spacing w:val="-12"/>
                <w:sz w:val="22"/>
              </w:rPr>
              <w:t> </w:t>
            </w:r>
            <w:r>
              <w:rPr>
                <w:sz w:val="22"/>
              </w:rPr>
              <w:t>generational</w:t>
            </w:r>
            <w:r>
              <w:rPr>
                <w:spacing w:val="-14"/>
                <w:sz w:val="22"/>
              </w:rPr>
              <w:t> </w:t>
            </w:r>
            <w:r>
              <w:rPr>
                <w:sz w:val="22"/>
              </w:rPr>
              <w:t>trust and relationships to secure a reliable, long-term milk supply</w:t>
            </w:r>
            <w:r>
              <w:rPr>
                <w:spacing w:val="-8"/>
                <w:sz w:val="22"/>
              </w:rPr>
              <w:t> </w:t>
            </w:r>
            <w:r>
              <w:rPr>
                <w:sz w:val="22"/>
              </w:rPr>
              <w:t>through</w:t>
            </w:r>
            <w:r>
              <w:rPr>
                <w:spacing w:val="-8"/>
                <w:sz w:val="22"/>
              </w:rPr>
              <w:t> </w:t>
            </w:r>
            <w:r>
              <w:rPr>
                <w:sz w:val="22"/>
              </w:rPr>
              <w:t>providing</w:t>
            </w:r>
            <w:r>
              <w:rPr>
                <w:spacing w:val="-7"/>
                <w:sz w:val="22"/>
              </w:rPr>
              <w:t> </w:t>
            </w:r>
            <w:r>
              <w:rPr>
                <w:sz w:val="22"/>
              </w:rPr>
              <w:t>free veterinary care, agronomy education and guaranteed payments for</w:t>
            </w:r>
            <w:r>
              <w:rPr>
                <w:spacing w:val="40"/>
                <w:sz w:val="22"/>
              </w:rPr>
              <w:t> </w:t>
            </w:r>
            <w:r>
              <w:rPr>
                <w:sz w:val="22"/>
              </w:rPr>
              <w:t>decades.</w:t>
            </w:r>
          </w:p>
        </w:tc>
      </w:tr>
      <w:tr>
        <w:trPr>
          <w:trHeight w:val="3592" w:hRule="atLeast"/>
        </w:trPr>
        <w:tc>
          <w:tcPr>
            <w:tcW w:w="2840" w:type="dxa"/>
          </w:tcPr>
          <w:p>
            <w:pPr>
              <w:pStyle w:val="TableParagraph"/>
              <w:spacing w:line="283" w:lineRule="auto"/>
              <w:ind w:left="55" w:right="568"/>
              <w:rPr>
                <w:sz w:val="22"/>
              </w:rPr>
            </w:pPr>
            <w:r>
              <w:rPr>
                <w:sz w:val="22"/>
              </w:rPr>
              <w:t>Uncertainty</w:t>
            </w:r>
            <w:r>
              <w:rPr>
                <w:spacing w:val="-15"/>
                <w:sz w:val="22"/>
              </w:rPr>
              <w:t> </w:t>
            </w:r>
            <w:r>
              <w:rPr>
                <w:sz w:val="22"/>
              </w:rPr>
              <w:t>Avoidance </w:t>
            </w:r>
            <w:r>
              <w:rPr>
                <w:spacing w:val="-2"/>
                <w:sz w:val="22"/>
              </w:rPr>
              <w:t>(UAI)</w:t>
            </w:r>
          </w:p>
        </w:tc>
        <w:tc>
          <w:tcPr>
            <w:tcW w:w="3171" w:type="dxa"/>
          </w:tcPr>
          <w:p>
            <w:pPr>
              <w:pStyle w:val="TableParagraph"/>
              <w:rPr>
                <w:sz w:val="22"/>
              </w:rPr>
            </w:pPr>
            <w:r>
              <w:rPr>
                <w:sz w:val="22"/>
              </w:rPr>
              <w:t>40</w:t>
            </w:r>
            <w:r>
              <w:rPr>
                <w:spacing w:val="3"/>
                <w:sz w:val="22"/>
              </w:rPr>
              <w:t> </w:t>
            </w:r>
            <w:r>
              <w:rPr>
                <w:spacing w:val="-2"/>
                <w:sz w:val="22"/>
              </w:rPr>
              <w:t>(Low):</w:t>
            </w:r>
          </w:p>
          <w:p>
            <w:pPr>
              <w:pStyle w:val="TableParagraph"/>
              <w:spacing w:before="86"/>
              <w:ind w:left="0"/>
              <w:rPr>
                <w:sz w:val="22"/>
              </w:rPr>
            </w:pPr>
          </w:p>
          <w:p>
            <w:pPr>
              <w:pStyle w:val="TableParagraph"/>
              <w:spacing w:line="280" w:lineRule="auto" w:before="0"/>
              <w:rPr>
                <w:sz w:val="22"/>
              </w:rPr>
            </w:pPr>
            <w:r>
              <w:rPr>
                <w:sz w:val="22"/>
              </w:rPr>
              <w:t>High societal tolerance for ambiguity, informality, and unstructured environments (which manifests as the unorganized,</w:t>
            </w:r>
            <w:r>
              <w:rPr>
                <w:spacing w:val="-15"/>
                <w:sz w:val="22"/>
              </w:rPr>
              <w:t> </w:t>
            </w:r>
            <w:r>
              <w:rPr>
                <w:sz w:val="22"/>
              </w:rPr>
              <w:t>fragmented</w:t>
            </w:r>
            <w:r>
              <w:rPr>
                <w:spacing w:val="-15"/>
                <w:sz w:val="22"/>
              </w:rPr>
              <w:t> </w:t>
            </w:r>
            <w:r>
              <w:rPr>
                <w:sz w:val="22"/>
              </w:rPr>
              <w:t>dairy </w:t>
            </w:r>
            <w:r>
              <w:rPr>
                <w:spacing w:val="-2"/>
                <w:sz w:val="22"/>
              </w:rPr>
              <w:t>market).</w:t>
            </w:r>
          </w:p>
        </w:tc>
        <w:tc>
          <w:tcPr>
            <w:tcW w:w="3008" w:type="dxa"/>
          </w:tcPr>
          <w:p>
            <w:pPr>
              <w:pStyle w:val="TableParagraph"/>
              <w:spacing w:line="280" w:lineRule="auto"/>
              <w:ind w:right="126"/>
              <w:rPr>
                <w:sz w:val="22"/>
              </w:rPr>
            </w:pPr>
            <w:r>
              <w:rPr>
                <w:sz w:val="22"/>
              </w:rPr>
              <w:t>Imposing Structural Certainty: Nestlé enforces rigid Swiss quality-control standards</w:t>
            </w:r>
            <w:r>
              <w:rPr>
                <w:spacing w:val="-11"/>
                <w:sz w:val="22"/>
              </w:rPr>
              <w:t> </w:t>
            </w:r>
            <w:r>
              <w:rPr>
                <w:sz w:val="22"/>
              </w:rPr>
              <w:t>to</w:t>
            </w:r>
            <w:r>
              <w:rPr>
                <w:spacing w:val="-11"/>
                <w:sz w:val="22"/>
              </w:rPr>
              <w:t> </w:t>
            </w:r>
            <w:r>
              <w:rPr>
                <w:sz w:val="22"/>
              </w:rPr>
              <w:t>counters</w:t>
            </w:r>
            <w:r>
              <w:rPr>
                <w:spacing w:val="-10"/>
                <w:sz w:val="22"/>
              </w:rPr>
              <w:t> </w:t>
            </w:r>
            <w:r>
              <w:rPr>
                <w:sz w:val="22"/>
              </w:rPr>
              <w:t>rural </w:t>
            </w:r>
            <w:r>
              <w:rPr>
                <w:spacing w:val="-2"/>
                <w:sz w:val="22"/>
              </w:rPr>
              <w:t>ambiguity.</w:t>
            </w:r>
          </w:p>
          <w:p>
            <w:pPr>
              <w:pStyle w:val="TableParagraph"/>
              <w:spacing w:before="42"/>
              <w:ind w:left="0"/>
              <w:rPr>
                <w:sz w:val="22"/>
              </w:rPr>
            </w:pPr>
          </w:p>
          <w:p>
            <w:pPr>
              <w:pStyle w:val="TableParagraph"/>
              <w:spacing w:line="280" w:lineRule="auto" w:before="0"/>
              <w:ind w:right="126"/>
              <w:rPr>
                <w:sz w:val="22"/>
              </w:rPr>
            </w:pPr>
            <w:r>
              <w:rPr>
                <w:sz w:val="22"/>
              </w:rPr>
              <w:t>They market their Value- Added Dairy Products (VADP)</w:t>
            </w:r>
            <w:r>
              <w:rPr>
                <w:spacing w:val="-5"/>
                <w:sz w:val="22"/>
              </w:rPr>
              <w:t> </w:t>
            </w:r>
            <w:r>
              <w:rPr>
                <w:sz w:val="22"/>
              </w:rPr>
              <w:t>as</w:t>
            </w:r>
            <w:r>
              <w:rPr>
                <w:spacing w:val="-9"/>
                <w:sz w:val="22"/>
              </w:rPr>
              <w:t> </w:t>
            </w:r>
            <w:r>
              <w:rPr>
                <w:sz w:val="22"/>
              </w:rPr>
              <w:t>the</w:t>
            </w:r>
            <w:r>
              <w:rPr>
                <w:spacing w:val="-9"/>
                <w:sz w:val="22"/>
              </w:rPr>
              <w:t> </w:t>
            </w:r>
            <w:r>
              <w:rPr>
                <w:sz w:val="22"/>
              </w:rPr>
              <w:t>premium</w:t>
            </w:r>
            <w:r>
              <w:rPr>
                <w:spacing w:val="-9"/>
                <w:sz w:val="22"/>
              </w:rPr>
              <w:t> </w:t>
            </w:r>
            <w:r>
              <w:rPr>
                <w:sz w:val="22"/>
              </w:rPr>
              <w:t>and safe alternative to adulterated, unorganized </w:t>
            </w:r>
            <w:r>
              <w:rPr>
                <w:spacing w:val="-2"/>
                <w:sz w:val="22"/>
              </w:rPr>
              <w:t>milk.</w:t>
            </w:r>
          </w:p>
        </w:tc>
      </w:tr>
    </w:tbl>
    <w:p>
      <w:pPr>
        <w:pStyle w:val="BodyText"/>
      </w:pPr>
    </w:p>
    <w:p>
      <w:pPr>
        <w:pStyle w:val="BodyText"/>
      </w:pPr>
    </w:p>
    <w:p>
      <w:pPr>
        <w:pStyle w:val="BodyText"/>
      </w:pPr>
    </w:p>
    <w:p>
      <w:pPr>
        <w:pStyle w:val="BodyText"/>
        <w:spacing w:before="149"/>
      </w:pPr>
    </w:p>
    <w:p>
      <w:pPr>
        <w:pStyle w:val="Heading1"/>
        <w:numPr>
          <w:ilvl w:val="0"/>
          <w:numId w:val="4"/>
        </w:numPr>
        <w:tabs>
          <w:tab w:pos="289" w:val="left" w:leader="none"/>
        </w:tabs>
        <w:spacing w:line="240" w:lineRule="auto" w:before="0" w:after="0"/>
        <w:ind w:left="289" w:right="0" w:hanging="266"/>
        <w:jc w:val="left"/>
      </w:pPr>
      <w:bookmarkStart w:name="_TOC_250001" w:id="6"/>
      <w:r>
        <w:rPr/>
        <w:t>Conclusion</w:t>
      </w:r>
      <w:r>
        <w:rPr>
          <w:spacing w:val="-2"/>
        </w:rPr>
        <w:t> </w:t>
      </w:r>
      <w:r>
        <w:rPr/>
        <w:t>to</w:t>
      </w:r>
      <w:r>
        <w:rPr>
          <w:spacing w:val="-1"/>
        </w:rPr>
        <w:t> </w:t>
      </w:r>
      <w:r>
        <w:rPr/>
        <w:t>the</w:t>
      </w:r>
      <w:r>
        <w:rPr>
          <w:spacing w:val="-3"/>
        </w:rPr>
        <w:t> </w:t>
      </w:r>
      <w:bookmarkEnd w:id="6"/>
      <w:r>
        <w:rPr>
          <w:spacing w:val="-2"/>
        </w:rPr>
        <w:t>Report</w:t>
      </w:r>
    </w:p>
    <w:p>
      <w:pPr>
        <w:pStyle w:val="BodyText"/>
        <w:spacing w:before="64"/>
        <w:rPr>
          <w:rFonts w:ascii="Arial"/>
          <w:b/>
        </w:rPr>
      </w:pPr>
    </w:p>
    <w:p>
      <w:pPr>
        <w:pStyle w:val="BodyText"/>
        <w:spacing w:line="364" w:lineRule="auto"/>
        <w:ind w:left="23" w:right="18"/>
        <w:jc w:val="both"/>
      </w:pPr>
      <w:r>
        <w:rPr/>
        <w:t>The Indian dairy sector displays a striking paradox: it has unparalleled natural advantages in production volume and domestic market size. Yet it is severely constrained by structural inefficiencies, fragmented cold-chain infrastructure and low yeilds/animal.</w:t>
      </w:r>
      <w:r>
        <w:rPr>
          <w:spacing w:val="40"/>
        </w:rPr>
        <w:t>  </w:t>
      </w:r>
      <w:r>
        <w:rPr/>
        <w:t>The</w:t>
      </w:r>
      <w:r>
        <w:rPr>
          <w:spacing w:val="40"/>
        </w:rPr>
        <w:t>  </w:t>
      </w:r>
      <w:r>
        <w:rPr/>
        <w:t>market</w:t>
      </w:r>
      <w:r>
        <w:rPr>
          <w:spacing w:val="40"/>
        </w:rPr>
        <w:t>  </w:t>
      </w:r>
      <w:r>
        <w:rPr/>
        <w:t>is</w:t>
      </w:r>
      <w:r>
        <w:rPr>
          <w:spacing w:val="40"/>
        </w:rPr>
        <w:t>  </w:t>
      </w:r>
      <w:r>
        <w:rPr/>
        <w:t>fiercely</w:t>
      </w:r>
      <w:r>
        <w:rPr>
          <w:spacing w:val="40"/>
        </w:rPr>
        <w:t>  </w:t>
      </w:r>
      <w:r>
        <w:rPr/>
        <w:t>protected</w:t>
      </w:r>
      <w:r>
        <w:rPr>
          <w:spacing w:val="40"/>
        </w:rPr>
        <w:t>  </w:t>
      </w:r>
      <w:r>
        <w:rPr/>
        <w:t>by</w:t>
      </w:r>
      <w:r>
        <w:rPr>
          <w:spacing w:val="40"/>
        </w:rPr>
        <w:t>  </w:t>
      </w:r>
      <w:r>
        <w:rPr/>
        <w:t>government</w:t>
      </w:r>
      <w:r>
        <w:rPr>
          <w:spacing w:val="40"/>
        </w:rPr>
        <w:t>  </w:t>
      </w:r>
      <w:r>
        <w:rPr/>
        <w:t>tariffs</w:t>
      </w:r>
      <w:r>
        <w:rPr>
          <w:spacing w:val="40"/>
        </w:rPr>
        <w:t>  </w:t>
      </w:r>
      <w:r>
        <w:rPr/>
        <w:t>and</w:t>
      </w:r>
    </w:p>
    <w:p>
      <w:pPr>
        <w:pStyle w:val="BodyText"/>
        <w:spacing w:after="0" w:line="364" w:lineRule="auto"/>
        <w:jc w:val="both"/>
        <w:sectPr>
          <w:pgSz w:w="11910" w:h="16840"/>
          <w:pgMar w:header="1066" w:footer="804" w:top="2000" w:bottom="1000" w:left="1417" w:right="1417"/>
        </w:sectPr>
      </w:pPr>
    </w:p>
    <w:p>
      <w:pPr>
        <w:pStyle w:val="BodyText"/>
        <w:spacing w:line="367" w:lineRule="auto" w:before="247"/>
        <w:ind w:left="23" w:right="17"/>
        <w:jc w:val="both"/>
      </w:pPr>
      <w:r>
        <w:rPr/>
        <w:t>overwhelmingly</w:t>
      </w:r>
      <w:r>
        <w:rPr>
          <w:spacing w:val="-4"/>
        </w:rPr>
        <w:t> </w:t>
      </w:r>
      <w:r>
        <w:rPr/>
        <w:t>dominated</w:t>
      </w:r>
      <w:r>
        <w:rPr>
          <w:spacing w:val="-3"/>
        </w:rPr>
        <w:t> </w:t>
      </w:r>
      <w:r>
        <w:rPr/>
        <w:t>by</w:t>
      </w:r>
      <w:r>
        <w:rPr>
          <w:spacing w:val="-4"/>
        </w:rPr>
        <w:t> </w:t>
      </w:r>
      <w:r>
        <w:rPr/>
        <w:t>massive,</w:t>
      </w:r>
      <w:r>
        <w:rPr>
          <w:spacing w:val="-1"/>
        </w:rPr>
        <w:t> </w:t>
      </w:r>
      <w:r>
        <w:rPr/>
        <w:t>politically</w:t>
      </w:r>
      <w:r>
        <w:rPr>
          <w:spacing w:val="-4"/>
        </w:rPr>
        <w:t> </w:t>
      </w:r>
      <w:r>
        <w:rPr/>
        <w:t>entrenched</w:t>
      </w:r>
      <w:r>
        <w:rPr>
          <w:spacing w:val="-1"/>
        </w:rPr>
        <w:t> </w:t>
      </w:r>
      <w:r>
        <w:rPr/>
        <w:t>cooperatives</w:t>
      </w:r>
      <w:r>
        <w:rPr>
          <w:spacing w:val="-2"/>
        </w:rPr>
        <w:t> </w:t>
      </w:r>
      <w:r>
        <w:rPr/>
        <w:t>like</w:t>
      </w:r>
      <w:r>
        <w:rPr>
          <w:spacing w:val="-1"/>
        </w:rPr>
        <w:t> </w:t>
      </w:r>
      <w:r>
        <w:rPr/>
        <w:t>Amul. Which operate on a socio-economic model of volume maximization rather than traditional western model corporate profit. This environment presents significant challenges and liabilities of foreignness to foreign multi national corporations. Hence competing solely on the basis of basic fluid milk is strategically unviable for a foreign </w:t>
      </w:r>
      <w:r>
        <w:rPr>
          <w:spacing w:val="-4"/>
        </w:rPr>
        <w:t>MNC.</w:t>
      </w:r>
    </w:p>
    <w:p>
      <w:pPr>
        <w:pStyle w:val="BodyText"/>
        <w:spacing w:line="367" w:lineRule="auto" w:before="192"/>
        <w:ind w:left="23" w:right="19"/>
        <w:jc w:val="both"/>
      </w:pPr>
      <w:r>
        <w:rPr/>
        <w:t>Despite these factors, the market is extraordinarily attractive because of rapidly growing</w:t>
      </w:r>
      <w:r>
        <w:rPr>
          <w:spacing w:val="-8"/>
        </w:rPr>
        <w:t> </w:t>
      </w:r>
      <w:r>
        <w:rPr/>
        <w:t>economy</w:t>
      </w:r>
      <w:r>
        <w:rPr>
          <w:spacing w:val="-10"/>
        </w:rPr>
        <w:t> </w:t>
      </w:r>
      <w:r>
        <w:rPr/>
        <w:t>and</w:t>
      </w:r>
      <w:r>
        <w:rPr>
          <w:spacing w:val="-7"/>
        </w:rPr>
        <w:t> </w:t>
      </w:r>
      <w:r>
        <w:rPr/>
        <w:t>changing</w:t>
      </w:r>
      <w:r>
        <w:rPr>
          <w:spacing w:val="-8"/>
        </w:rPr>
        <w:t> </w:t>
      </w:r>
      <w:r>
        <w:rPr/>
        <w:t>tastes</w:t>
      </w:r>
      <w:r>
        <w:rPr>
          <w:spacing w:val="-7"/>
        </w:rPr>
        <w:t> </w:t>
      </w:r>
      <w:r>
        <w:rPr/>
        <w:t>of</w:t>
      </w:r>
      <w:r>
        <w:rPr>
          <w:spacing w:val="-7"/>
        </w:rPr>
        <w:t> </w:t>
      </w:r>
      <w:r>
        <w:rPr/>
        <w:t>middle</w:t>
      </w:r>
      <w:r>
        <w:rPr>
          <w:spacing w:val="-7"/>
        </w:rPr>
        <w:t> </w:t>
      </w:r>
      <w:r>
        <w:rPr/>
        <w:t>class</w:t>
      </w:r>
      <w:r>
        <w:rPr>
          <w:spacing w:val="-2"/>
        </w:rPr>
        <w:t> </w:t>
      </w:r>
      <w:r>
        <w:rPr/>
        <w:t>-</w:t>
      </w:r>
      <w:r>
        <w:rPr>
          <w:spacing w:val="-8"/>
        </w:rPr>
        <w:t> </w:t>
      </w:r>
      <w:r>
        <w:rPr/>
        <w:t>as</w:t>
      </w:r>
      <w:r>
        <w:rPr>
          <w:spacing w:val="-7"/>
        </w:rPr>
        <w:t> </w:t>
      </w:r>
      <w:r>
        <w:rPr/>
        <w:t>evaluated</w:t>
      </w:r>
      <w:r>
        <w:rPr>
          <w:spacing w:val="-7"/>
        </w:rPr>
        <w:t> </w:t>
      </w:r>
      <w:r>
        <w:rPr/>
        <w:t>through</w:t>
      </w:r>
      <w:r>
        <w:rPr>
          <w:spacing w:val="-4"/>
        </w:rPr>
        <w:t> </w:t>
      </w:r>
      <w:r>
        <w:rPr/>
        <w:t>Porter’s Diamond and PESTLE frameworks. Analysis suggests that foreign corporations should follow the strategy of localization and premiumization to exploit these newly emerging opportunities. Nestlé India has successfully proven this paradigm for decades by operating and thriving in such conditions despite being foreign MNC.</w:t>
      </w:r>
    </w:p>
    <w:p>
      <w:pPr>
        <w:pStyle w:val="BodyText"/>
        <w:spacing w:line="367" w:lineRule="auto" w:before="191"/>
        <w:ind w:left="23" w:right="20"/>
        <w:jc w:val="both"/>
      </w:pPr>
      <w:r>
        <w:rPr/>
        <w:t>Nestlé made</w:t>
      </w:r>
      <w:r>
        <w:rPr>
          <w:spacing w:val="-2"/>
        </w:rPr>
        <w:t> </w:t>
      </w:r>
      <w:r>
        <w:rPr/>
        <w:t>massive capital</w:t>
      </w:r>
      <w:r>
        <w:rPr>
          <w:spacing w:val="-1"/>
        </w:rPr>
        <w:t> </w:t>
      </w:r>
      <w:r>
        <w:rPr/>
        <w:t>and technological</w:t>
      </w:r>
      <w:r>
        <w:rPr>
          <w:spacing w:val="-1"/>
        </w:rPr>
        <w:t> </w:t>
      </w:r>
      <w:r>
        <w:rPr/>
        <w:t>investments such as</w:t>
      </w:r>
      <w:r>
        <w:rPr>
          <w:spacing w:val="-3"/>
        </w:rPr>
        <w:t> </w:t>
      </w:r>
      <w:r>
        <w:rPr/>
        <w:t>the Moga Model and advanced traceability systems to overcome those infrastructural bottlenecks and secure a robust, long term local supply chain. Nestlé</w:t>
      </w:r>
      <w:r>
        <w:rPr>
          <w:spacing w:val="40"/>
        </w:rPr>
        <w:t> </w:t>
      </w:r>
      <w:r>
        <w:rPr/>
        <w:t>capitalized on cultural and economical</w:t>
      </w:r>
      <w:r>
        <w:rPr>
          <w:spacing w:val="-7"/>
        </w:rPr>
        <w:t> </w:t>
      </w:r>
      <w:r>
        <w:rPr/>
        <w:t>changes</w:t>
      </w:r>
      <w:r>
        <w:rPr>
          <w:spacing w:val="-4"/>
        </w:rPr>
        <w:t> </w:t>
      </w:r>
      <w:r>
        <w:rPr/>
        <w:t>by</w:t>
      </w:r>
      <w:r>
        <w:rPr>
          <w:spacing w:val="-7"/>
        </w:rPr>
        <w:t> </w:t>
      </w:r>
      <w:r>
        <w:rPr/>
        <w:t>recognizing</w:t>
      </w:r>
      <w:r>
        <w:rPr>
          <w:spacing w:val="-5"/>
        </w:rPr>
        <w:t> </w:t>
      </w:r>
      <w:r>
        <w:rPr/>
        <w:t>rising</w:t>
      </w:r>
      <w:r>
        <w:rPr>
          <w:spacing w:val="-6"/>
        </w:rPr>
        <w:t> </w:t>
      </w:r>
      <w:r>
        <w:rPr/>
        <w:t>purchasing</w:t>
      </w:r>
      <w:r>
        <w:rPr>
          <w:spacing w:val="-5"/>
        </w:rPr>
        <w:t> </w:t>
      </w:r>
      <w:r>
        <w:rPr/>
        <w:t>power</w:t>
      </w:r>
      <w:r>
        <w:rPr>
          <w:spacing w:val="-5"/>
        </w:rPr>
        <w:t> </w:t>
      </w:r>
      <w:r>
        <w:rPr/>
        <w:t>of</w:t>
      </w:r>
      <w:r>
        <w:rPr>
          <w:spacing w:val="-4"/>
        </w:rPr>
        <w:t> </w:t>
      </w:r>
      <w:r>
        <w:rPr/>
        <w:t>middle</w:t>
      </w:r>
      <w:r>
        <w:rPr>
          <w:spacing w:val="-4"/>
        </w:rPr>
        <w:t> </w:t>
      </w:r>
      <w:r>
        <w:rPr/>
        <w:t>class</w:t>
      </w:r>
      <w:r>
        <w:rPr>
          <w:spacing w:val="-6"/>
        </w:rPr>
        <w:t> </w:t>
      </w:r>
      <w:r>
        <w:rPr/>
        <w:t>and</w:t>
      </w:r>
      <w:r>
        <w:rPr>
          <w:spacing w:val="-4"/>
        </w:rPr>
        <w:t> </w:t>
      </w:r>
      <w:r>
        <w:rPr/>
        <w:t>their changing taste in dairy products to pivot entirely toward high-margin Value-Added Dairy</w:t>
      </w:r>
      <w:r>
        <w:rPr>
          <w:spacing w:val="-16"/>
        </w:rPr>
        <w:t> </w:t>
      </w:r>
      <w:r>
        <w:rPr/>
        <w:t>Products.</w:t>
      </w:r>
      <w:r>
        <w:rPr>
          <w:spacing w:val="-16"/>
        </w:rPr>
        <w:t> </w:t>
      </w:r>
      <w:r>
        <w:rPr/>
        <w:t>Ultimately,</w:t>
      </w:r>
      <w:r>
        <w:rPr>
          <w:spacing w:val="-16"/>
        </w:rPr>
        <w:t> </w:t>
      </w:r>
      <w:r>
        <w:rPr/>
        <w:t>Indian</w:t>
      </w:r>
      <w:r>
        <w:rPr>
          <w:spacing w:val="-16"/>
        </w:rPr>
        <w:t> </w:t>
      </w:r>
      <w:r>
        <w:rPr/>
        <w:t>dairy</w:t>
      </w:r>
      <w:r>
        <w:rPr>
          <w:spacing w:val="-16"/>
        </w:rPr>
        <w:t> </w:t>
      </w:r>
      <w:r>
        <w:rPr/>
        <w:t>industry</w:t>
      </w:r>
      <w:r>
        <w:rPr>
          <w:spacing w:val="-16"/>
        </w:rPr>
        <w:t> </w:t>
      </w:r>
      <w:r>
        <w:rPr/>
        <w:t>has</w:t>
      </w:r>
      <w:r>
        <w:rPr>
          <w:spacing w:val="-16"/>
        </w:rPr>
        <w:t> </w:t>
      </w:r>
      <w:r>
        <w:rPr/>
        <w:t>immense</w:t>
      </w:r>
      <w:r>
        <w:rPr>
          <w:spacing w:val="-16"/>
        </w:rPr>
        <w:t> </w:t>
      </w:r>
      <w:r>
        <w:rPr/>
        <w:t>barriers</w:t>
      </w:r>
      <w:r>
        <w:rPr>
          <w:spacing w:val="-16"/>
        </w:rPr>
        <w:t> </w:t>
      </w:r>
      <w:r>
        <w:rPr/>
        <w:t>to</w:t>
      </w:r>
      <w:r>
        <w:rPr>
          <w:spacing w:val="-16"/>
        </w:rPr>
        <w:t> </w:t>
      </w:r>
      <w:r>
        <w:rPr/>
        <w:t>entry</w:t>
      </w:r>
      <w:r>
        <w:rPr>
          <w:spacing w:val="-16"/>
        </w:rPr>
        <w:t> </w:t>
      </w:r>
      <w:r>
        <w:rPr/>
        <w:t>in</w:t>
      </w:r>
      <w:r>
        <w:rPr>
          <w:spacing w:val="-14"/>
        </w:rPr>
        <w:t> </w:t>
      </w:r>
      <w:r>
        <w:rPr/>
        <w:t>terms of rural procurements but it is highly profitable for MNCs that avoids volume wars, integrates respectfully into the collectivist rural supply chain and strictly targets the sophisticated, health-conscious urban consumer segment.</w:t>
      </w:r>
    </w:p>
    <w:p>
      <w:pPr>
        <w:pStyle w:val="BodyText"/>
        <w:spacing w:after="0" w:line="367" w:lineRule="auto"/>
        <w:jc w:val="both"/>
        <w:sectPr>
          <w:pgSz w:w="11910" w:h="16840"/>
          <w:pgMar w:header="1066" w:footer="804" w:top="2000" w:bottom="1000" w:left="1417" w:right="1417"/>
        </w:sectPr>
      </w:pPr>
    </w:p>
    <w:p>
      <w:pPr>
        <w:pStyle w:val="BodyText"/>
        <w:spacing w:before="7"/>
        <w:rPr>
          <w:sz w:val="17"/>
        </w:rPr>
      </w:pPr>
    </w:p>
    <w:p>
      <w:pPr>
        <w:pStyle w:val="BodyText"/>
        <w:spacing w:after="0"/>
        <w:rPr>
          <w:sz w:val="17"/>
        </w:rPr>
        <w:sectPr>
          <w:pgSz w:w="11910" w:h="16840"/>
          <w:pgMar w:header="1066" w:footer="804" w:top="2000" w:bottom="1000" w:left="1417" w:right="1417"/>
        </w:sectPr>
      </w:pPr>
    </w:p>
    <w:p>
      <w:pPr>
        <w:pStyle w:val="Heading1"/>
        <w:spacing w:before="246"/>
        <w:jc w:val="both"/>
      </w:pPr>
      <w:r>
        <w:rPr/>
        <w:t>Section</w:t>
      </w:r>
      <w:r>
        <w:rPr>
          <w:spacing w:val="-4"/>
        </w:rPr>
        <w:t> </w:t>
      </w:r>
      <w:r>
        <w:rPr/>
        <w:t>2:</w:t>
      </w:r>
      <w:r>
        <w:rPr>
          <w:spacing w:val="-2"/>
        </w:rPr>
        <w:t> </w:t>
      </w:r>
      <w:r>
        <w:rPr/>
        <w:t>Reflective</w:t>
      </w:r>
      <w:r>
        <w:rPr>
          <w:spacing w:val="-3"/>
        </w:rPr>
        <w:t> </w:t>
      </w:r>
      <w:r>
        <w:rPr>
          <w:spacing w:val="-2"/>
        </w:rPr>
        <w:t>Account</w:t>
      </w:r>
    </w:p>
    <w:p>
      <w:pPr>
        <w:pStyle w:val="BodyText"/>
        <w:spacing w:before="64"/>
        <w:rPr>
          <w:rFonts w:ascii="Arial"/>
          <w:b/>
        </w:rPr>
      </w:pPr>
    </w:p>
    <w:p>
      <w:pPr>
        <w:pStyle w:val="BodyText"/>
        <w:spacing w:line="367" w:lineRule="auto"/>
        <w:ind w:left="23" w:right="18"/>
        <w:jc w:val="both"/>
      </w:pPr>
      <w:r>
        <w:rPr/>
        <w:t>I have chosen to structure my reflection using David Kolb’s (1984) Experiential Learning Cycle (Concrete Experience, Reflective Observation, Abstract Conceptualisation, and Active Experimentation) to critically evaluate my learning journey throughout this business report.</w:t>
      </w:r>
      <w:r>
        <w:rPr>
          <w:spacing w:val="40"/>
        </w:rPr>
        <w:t> </w:t>
      </w:r>
      <w:r>
        <w:rPr/>
        <w:t>This study has not only improved my reasearch and analytical skills but presented opportunities for personal and professional development. Using the rigorous - iterative methods provided in this framework, I will try to better understand the process rather than surface-level observations regarding international business concepts.</w:t>
      </w:r>
    </w:p>
    <w:p>
      <w:pPr>
        <w:pStyle w:val="BodyText"/>
        <w:spacing w:before="3"/>
        <w:rPr>
          <w:sz w:val="14"/>
        </w:rPr>
      </w:pPr>
      <w:r>
        <w:rPr>
          <w:sz w:val="14"/>
        </w:rPr>
        <w:drawing>
          <wp:anchor distT="0" distB="0" distL="0" distR="0" allowOverlap="1" layoutInCell="1" locked="0" behindDoc="1" simplePos="0" relativeHeight="487593472">
            <wp:simplePos x="0" y="0"/>
            <wp:positionH relativeFrom="page">
              <wp:posOffset>1693164</wp:posOffset>
            </wp:positionH>
            <wp:positionV relativeFrom="paragraph">
              <wp:posOffset>118209</wp:posOffset>
            </wp:positionV>
            <wp:extent cx="4194048" cy="4194048"/>
            <wp:effectExtent l="0" t="0" r="0" b="0"/>
            <wp:wrapTopAndBottom/>
            <wp:docPr id="23" name="Image 23"/>
            <wp:cNvGraphicFramePr>
              <a:graphicFrameLocks/>
            </wp:cNvGraphicFramePr>
            <a:graphic>
              <a:graphicData uri="http://schemas.openxmlformats.org/drawingml/2006/picture">
                <pic:pic>
                  <pic:nvPicPr>
                    <pic:cNvPr id="23" name="Image 23"/>
                    <pic:cNvPicPr/>
                  </pic:nvPicPr>
                  <pic:blipFill>
                    <a:blip r:embed="rId39" cstate="print"/>
                    <a:stretch>
                      <a:fillRect/>
                    </a:stretch>
                  </pic:blipFill>
                  <pic:spPr>
                    <a:xfrm>
                      <a:off x="0" y="0"/>
                      <a:ext cx="4194048" cy="4194048"/>
                    </a:xfrm>
                    <a:prstGeom prst="rect">
                      <a:avLst/>
                    </a:prstGeom>
                  </pic:spPr>
                </pic:pic>
              </a:graphicData>
            </a:graphic>
          </wp:anchor>
        </w:drawing>
      </w:r>
    </w:p>
    <w:p>
      <w:pPr>
        <w:pStyle w:val="BodyText"/>
        <w:ind w:left="3"/>
        <w:jc w:val="center"/>
      </w:pPr>
      <w:r>
        <w:rPr>
          <w:spacing w:val="-2"/>
        </w:rPr>
        <w:t>(Source:</w:t>
      </w:r>
      <w:r>
        <w:rPr>
          <w:spacing w:val="61"/>
        </w:rPr>
        <w:t> </w:t>
      </w:r>
      <w:hyperlink r:id="rId40">
        <w:r>
          <w:rPr>
            <w:color w:val="000080"/>
            <w:spacing w:val="-2"/>
            <w:u w:val="single" w:color="000080"/>
          </w:rPr>
          <w:t>https://www.simplypsychology.org/learning-kolb.html</w:t>
        </w:r>
      </w:hyperlink>
      <w:r>
        <w:rPr>
          <w:spacing w:val="-2"/>
        </w:rPr>
        <w:t>)</w:t>
      </w:r>
    </w:p>
    <w:p>
      <w:pPr>
        <w:pStyle w:val="BodyText"/>
        <w:spacing w:after="0"/>
        <w:jc w:val="center"/>
        <w:sectPr>
          <w:pgSz w:w="11910" w:h="16840"/>
          <w:pgMar w:header="1066" w:footer="804" w:top="2000" w:bottom="1000" w:left="1417" w:right="1417"/>
        </w:sectPr>
      </w:pPr>
    </w:p>
    <w:p>
      <w:pPr>
        <w:pStyle w:val="Heading1"/>
        <w:numPr>
          <w:ilvl w:val="0"/>
          <w:numId w:val="8"/>
        </w:numPr>
        <w:tabs>
          <w:tab w:pos="289" w:val="left" w:leader="none"/>
        </w:tabs>
        <w:spacing w:line="240" w:lineRule="auto" w:before="246" w:after="0"/>
        <w:ind w:left="289" w:right="0" w:hanging="266"/>
        <w:jc w:val="left"/>
      </w:pPr>
      <w:r>
        <w:rPr/>
        <w:t>Concrete</w:t>
      </w:r>
      <w:r>
        <w:rPr>
          <w:spacing w:val="-4"/>
        </w:rPr>
        <w:t> </w:t>
      </w:r>
      <w:r>
        <w:rPr>
          <w:spacing w:val="-2"/>
        </w:rPr>
        <w:t>Experience</w:t>
      </w:r>
    </w:p>
    <w:p>
      <w:pPr>
        <w:pStyle w:val="BodyText"/>
        <w:spacing w:before="64"/>
        <w:rPr>
          <w:rFonts w:ascii="Arial"/>
          <w:b/>
        </w:rPr>
      </w:pPr>
    </w:p>
    <w:p>
      <w:pPr>
        <w:pStyle w:val="BodyText"/>
        <w:spacing w:line="364" w:lineRule="auto"/>
        <w:ind w:left="23" w:right="15"/>
        <w:jc w:val="both"/>
      </w:pPr>
      <w:r>
        <w:rPr/>
        <w:t>My</w:t>
      </w:r>
      <w:r>
        <w:rPr/>
        <w:t> first concrete experience was related to macro-economic and industry specific analytical work. In the beginning, I assumed it would be a straightforward task of evaluating</w:t>
      </w:r>
      <w:r>
        <w:rPr>
          <w:spacing w:val="-3"/>
        </w:rPr>
        <w:t> </w:t>
      </w:r>
      <w:r>
        <w:rPr/>
        <w:t>the</w:t>
      </w:r>
      <w:r>
        <w:rPr>
          <w:spacing w:val="-2"/>
        </w:rPr>
        <w:t> </w:t>
      </w:r>
      <w:r>
        <w:rPr/>
        <w:t>size</w:t>
      </w:r>
      <w:r>
        <w:rPr>
          <w:spacing w:val="-2"/>
        </w:rPr>
        <w:t> </w:t>
      </w:r>
      <w:r>
        <w:rPr/>
        <w:t>and</w:t>
      </w:r>
      <w:r>
        <w:rPr>
          <w:spacing w:val="-4"/>
        </w:rPr>
        <w:t> </w:t>
      </w:r>
      <w:r>
        <w:rPr/>
        <w:t>export</w:t>
      </w:r>
      <w:r>
        <w:rPr>
          <w:spacing w:val="-3"/>
        </w:rPr>
        <w:t> </w:t>
      </w:r>
      <w:r>
        <w:rPr/>
        <w:t>dominance</w:t>
      </w:r>
      <w:r>
        <w:rPr>
          <w:spacing w:val="-2"/>
        </w:rPr>
        <w:t> </w:t>
      </w:r>
      <w:r>
        <w:rPr/>
        <w:t>of</w:t>
      </w:r>
      <w:r>
        <w:rPr>
          <w:spacing w:val="-2"/>
        </w:rPr>
        <w:t> </w:t>
      </w:r>
      <w:r>
        <w:rPr/>
        <w:t>world’s</w:t>
      </w:r>
      <w:r>
        <w:rPr>
          <w:spacing w:val="-1"/>
        </w:rPr>
        <w:t> </w:t>
      </w:r>
      <w:r>
        <w:rPr/>
        <w:t>largest</w:t>
      </w:r>
      <w:r>
        <w:rPr>
          <w:spacing w:val="-2"/>
        </w:rPr>
        <w:t> </w:t>
      </w:r>
      <w:r>
        <w:rPr/>
        <w:t>milk</w:t>
      </w:r>
      <w:r>
        <w:rPr>
          <w:spacing w:val="-2"/>
        </w:rPr>
        <w:t> </w:t>
      </w:r>
      <w:r>
        <w:rPr/>
        <w:t>producing</w:t>
      </w:r>
      <w:r>
        <w:rPr>
          <w:spacing w:val="-3"/>
        </w:rPr>
        <w:t> </w:t>
      </w:r>
      <w:r>
        <w:rPr/>
        <w:t>nation.</w:t>
      </w:r>
      <w:r>
        <w:rPr>
          <w:spacing w:val="-2"/>
        </w:rPr>
        <w:t> </w:t>
      </w:r>
      <w:r>
        <w:rPr/>
        <w:t>As I</w:t>
      </w:r>
      <w:r>
        <w:rPr>
          <w:spacing w:val="-9"/>
        </w:rPr>
        <w:t> </w:t>
      </w:r>
      <w:r>
        <w:rPr/>
        <w:t>was</w:t>
      </w:r>
      <w:r>
        <w:rPr>
          <w:spacing w:val="-10"/>
        </w:rPr>
        <w:t> </w:t>
      </w:r>
      <w:r>
        <w:rPr/>
        <w:t>going</w:t>
      </w:r>
      <w:r>
        <w:rPr>
          <w:spacing w:val="-11"/>
        </w:rPr>
        <w:t> </w:t>
      </w:r>
      <w:r>
        <w:rPr/>
        <w:t>through</w:t>
      </w:r>
      <w:r>
        <w:rPr>
          <w:spacing w:val="-11"/>
        </w:rPr>
        <w:t> </w:t>
      </w:r>
      <w:r>
        <w:rPr/>
        <w:t>the</w:t>
      </w:r>
      <w:r>
        <w:rPr>
          <w:spacing w:val="-11"/>
        </w:rPr>
        <w:t> </w:t>
      </w:r>
      <w:r>
        <w:rPr/>
        <w:t>data</w:t>
      </w:r>
      <w:r>
        <w:rPr>
          <w:spacing w:val="-9"/>
        </w:rPr>
        <w:t> </w:t>
      </w:r>
      <w:r>
        <w:rPr/>
        <w:t>that</w:t>
      </w:r>
      <w:r>
        <w:rPr>
          <w:spacing w:val="-12"/>
        </w:rPr>
        <w:t> </w:t>
      </w:r>
      <w:r>
        <w:rPr/>
        <w:t>i</w:t>
      </w:r>
      <w:r>
        <w:rPr>
          <w:spacing w:val="-10"/>
        </w:rPr>
        <w:t> </w:t>
      </w:r>
      <w:r>
        <w:rPr/>
        <w:t>collected</w:t>
      </w:r>
      <w:r>
        <w:rPr>
          <w:spacing w:val="-14"/>
        </w:rPr>
        <w:t> </w:t>
      </w:r>
      <w:r>
        <w:rPr/>
        <w:t>from</w:t>
      </w:r>
      <w:r>
        <w:rPr>
          <w:spacing w:val="-11"/>
        </w:rPr>
        <w:t> </w:t>
      </w:r>
      <w:r>
        <w:rPr/>
        <w:t>ministry</w:t>
      </w:r>
      <w:r>
        <w:rPr>
          <w:spacing w:val="-12"/>
        </w:rPr>
        <w:t> </w:t>
      </w:r>
      <w:r>
        <w:rPr/>
        <w:t>of</w:t>
      </w:r>
      <w:r>
        <w:rPr>
          <w:spacing w:val="-9"/>
        </w:rPr>
        <w:t> </w:t>
      </w:r>
      <w:r>
        <w:rPr/>
        <w:t>food</w:t>
      </w:r>
      <w:r>
        <w:rPr>
          <w:spacing w:val="-9"/>
        </w:rPr>
        <w:t> </w:t>
      </w:r>
      <w:r>
        <w:rPr/>
        <w:t>processing</w:t>
      </w:r>
      <w:r>
        <w:rPr>
          <w:spacing w:val="-11"/>
        </w:rPr>
        <w:t> </w:t>
      </w:r>
      <w:r>
        <w:rPr/>
        <w:t>and</w:t>
      </w:r>
      <w:r>
        <w:rPr>
          <w:spacing w:val="-9"/>
        </w:rPr>
        <w:t> </w:t>
      </w:r>
      <w:r>
        <w:rPr/>
        <w:t>other industry reports for Indian dairy sector, I encountered a highly fragmented landscape that was highly fragmented and overwhelmingly difficult to analyze. The dichotomy between Massive unorganized sector controls the vast majority of the volume and formal corporate sector was a particular challenge. Then came another challenge of specifically isolating Nestlé India’s dairy-related strategic data from its broader Fast- Moving Consumer Goods (FMCG) portfolio during the MNC analysis. This proved to be exceptionally difficult as I also felt frustrated trying to benchmark a foreign MNC like Nestlé against domestic giants like Amul. I tried to use traditional KPIs like pure market share in liquid milk and other such KPIs but it was not working out; Because both fundamentally operate on entirely different business models. While Nestlé operates on a traditional western model of corporate profit-maximization, Amul operates</w:t>
      </w:r>
      <w:r>
        <w:rPr>
          <w:spacing w:val="-1"/>
        </w:rPr>
        <w:t> </w:t>
      </w:r>
      <w:r>
        <w:rPr/>
        <w:t>as</w:t>
      </w:r>
      <w:r>
        <w:rPr>
          <w:spacing w:val="-1"/>
        </w:rPr>
        <w:t> </w:t>
      </w:r>
      <w:r>
        <w:rPr/>
        <w:t>a socio-economic cooperative designed to operate on a razor think profit margins and maximize farmer welfare. This clash was the core concrete challenge of my research.</w:t>
      </w:r>
    </w:p>
    <w:p>
      <w:pPr>
        <w:pStyle w:val="Heading1"/>
        <w:numPr>
          <w:ilvl w:val="0"/>
          <w:numId w:val="8"/>
        </w:numPr>
        <w:tabs>
          <w:tab w:pos="289" w:val="left" w:leader="none"/>
        </w:tabs>
        <w:spacing w:line="240" w:lineRule="auto" w:before="219" w:after="0"/>
        <w:ind w:left="289" w:right="0" w:hanging="266"/>
        <w:jc w:val="left"/>
      </w:pPr>
      <w:r>
        <w:rPr/>
        <w:t>Reflective</w:t>
      </w:r>
      <w:r>
        <w:rPr>
          <w:spacing w:val="-8"/>
        </w:rPr>
        <w:t> </w:t>
      </w:r>
      <w:r>
        <w:rPr>
          <w:spacing w:val="-2"/>
        </w:rPr>
        <w:t>Observation</w:t>
      </w:r>
    </w:p>
    <w:p>
      <w:pPr>
        <w:pStyle w:val="BodyText"/>
        <w:spacing w:before="63"/>
        <w:rPr>
          <w:rFonts w:ascii="Arial"/>
          <w:b/>
        </w:rPr>
      </w:pPr>
    </w:p>
    <w:p>
      <w:pPr>
        <w:pStyle w:val="BodyText"/>
        <w:spacing w:line="364" w:lineRule="auto"/>
        <w:ind w:left="23" w:right="16"/>
        <w:jc w:val="both"/>
      </w:pPr>
      <w:r>
        <w:rPr/>
        <w:t>Now that I step back and observe this experience, I realized that my initial frustration was coming from my own assumptions and cognitive biases; Because I was attempting to apply western-centric, profit-driven models and KPIs to a deeply localized, socio-economic market. I realized how traditional international business education</w:t>
      </w:r>
      <w:r>
        <w:rPr>
          <w:spacing w:val="-7"/>
        </w:rPr>
        <w:t> </w:t>
      </w:r>
      <w:r>
        <w:rPr/>
        <w:t>often</w:t>
      </w:r>
      <w:r>
        <w:rPr>
          <w:spacing w:val="-8"/>
        </w:rPr>
        <w:t> </w:t>
      </w:r>
      <w:r>
        <w:rPr/>
        <w:t>emphasizes</w:t>
      </w:r>
      <w:r>
        <w:rPr>
          <w:spacing w:val="-6"/>
        </w:rPr>
        <w:t> </w:t>
      </w:r>
      <w:r>
        <w:rPr/>
        <w:t>‘market</w:t>
      </w:r>
      <w:r>
        <w:rPr>
          <w:spacing w:val="-7"/>
        </w:rPr>
        <w:t> </w:t>
      </w:r>
      <w:r>
        <w:rPr/>
        <w:t>size’</w:t>
      </w:r>
      <w:r>
        <w:rPr>
          <w:spacing w:val="-6"/>
        </w:rPr>
        <w:t> </w:t>
      </w:r>
      <w:r>
        <w:rPr/>
        <w:t>and</w:t>
      </w:r>
      <w:r>
        <w:rPr>
          <w:spacing w:val="-7"/>
        </w:rPr>
        <w:t> </w:t>
      </w:r>
      <w:r>
        <w:rPr/>
        <w:t>‘demographic</w:t>
      </w:r>
      <w:r>
        <w:rPr>
          <w:spacing w:val="-9"/>
        </w:rPr>
        <w:t> </w:t>
      </w:r>
      <w:r>
        <w:rPr/>
        <w:t>dividends’</w:t>
      </w:r>
      <w:r>
        <w:rPr>
          <w:spacing w:val="-6"/>
        </w:rPr>
        <w:t> </w:t>
      </w:r>
      <w:r>
        <w:rPr/>
        <w:t>as</w:t>
      </w:r>
      <w:r>
        <w:rPr>
          <w:spacing w:val="-8"/>
        </w:rPr>
        <w:t> </w:t>
      </w:r>
      <w:r>
        <w:rPr/>
        <w:t>the</w:t>
      </w:r>
      <w:r>
        <w:rPr>
          <w:spacing w:val="-8"/>
        </w:rPr>
        <w:t> </w:t>
      </w:r>
      <w:r>
        <w:rPr/>
        <w:t>primary indicators or KPIs of market attractiveness. Initially India seemed very attractive market</w:t>
      </w:r>
      <w:r>
        <w:rPr>
          <w:spacing w:val="-5"/>
        </w:rPr>
        <w:t> </w:t>
      </w:r>
      <w:r>
        <w:rPr/>
        <w:t>for</w:t>
      </w:r>
      <w:r>
        <w:rPr>
          <w:spacing w:val="-2"/>
        </w:rPr>
        <w:t> </w:t>
      </w:r>
      <w:r>
        <w:rPr/>
        <w:t>MNC</w:t>
      </w:r>
      <w:r>
        <w:rPr>
          <w:spacing w:val="-3"/>
        </w:rPr>
        <w:t> </w:t>
      </w:r>
      <w:r>
        <w:rPr/>
        <w:t>like</w:t>
      </w:r>
      <w:r>
        <w:rPr>
          <w:spacing w:val="-1"/>
        </w:rPr>
        <w:t> </w:t>
      </w:r>
      <w:r>
        <w:rPr/>
        <w:t>Nestlé</w:t>
      </w:r>
      <w:r>
        <w:rPr>
          <w:spacing w:val="-3"/>
        </w:rPr>
        <w:t> </w:t>
      </w:r>
      <w:r>
        <w:rPr/>
        <w:t>because</w:t>
      </w:r>
      <w:r>
        <w:rPr>
          <w:spacing w:val="-3"/>
        </w:rPr>
        <w:t> </w:t>
      </w:r>
      <w:r>
        <w:rPr/>
        <w:t>of it’s</w:t>
      </w:r>
      <w:r>
        <w:rPr>
          <w:spacing w:val="-4"/>
        </w:rPr>
        <w:t> </w:t>
      </w:r>
      <w:r>
        <w:rPr/>
        <w:t>massive</w:t>
      </w:r>
      <w:r>
        <w:rPr>
          <w:spacing w:val="-1"/>
        </w:rPr>
        <w:t> </w:t>
      </w:r>
      <w:r>
        <w:rPr/>
        <w:t>bovine population</w:t>
      </w:r>
      <w:r>
        <w:rPr>
          <w:spacing w:val="-3"/>
        </w:rPr>
        <w:t> </w:t>
      </w:r>
      <w:r>
        <w:rPr/>
        <w:t>and</w:t>
      </w:r>
      <w:r>
        <w:rPr>
          <w:spacing w:val="-3"/>
        </w:rPr>
        <w:t> </w:t>
      </w:r>
      <w:r>
        <w:rPr/>
        <w:t>billion-plus consumer base; but as I researched deeper and reviewed the literature, my perspective shifted. I found that</w:t>
      </w:r>
      <w:r>
        <w:rPr>
          <w:spacing w:val="40"/>
        </w:rPr>
        <w:t> </w:t>
      </w:r>
      <w:r>
        <w:rPr/>
        <w:t>Nestlé’s strategy was not about absolute market domination in traditional</w:t>
      </w:r>
      <w:r>
        <w:rPr>
          <w:spacing w:val="-1"/>
        </w:rPr>
        <w:t> </w:t>
      </w:r>
      <w:r>
        <w:rPr/>
        <w:t>sense,</w:t>
      </w:r>
      <w:r>
        <w:rPr>
          <w:spacing w:val="-2"/>
        </w:rPr>
        <w:t> </w:t>
      </w:r>
      <w:r>
        <w:rPr/>
        <w:t>but it was</w:t>
      </w:r>
      <w:r>
        <w:rPr>
          <w:spacing w:val="-1"/>
        </w:rPr>
        <w:t> </w:t>
      </w:r>
      <w:r>
        <w:rPr/>
        <w:t>more</w:t>
      </w:r>
      <w:r>
        <w:rPr>
          <w:spacing w:val="-1"/>
        </w:rPr>
        <w:t> </w:t>
      </w:r>
      <w:r>
        <w:rPr/>
        <w:t>about surviving</w:t>
      </w:r>
      <w:r>
        <w:rPr>
          <w:spacing w:val="-2"/>
        </w:rPr>
        <w:t> </w:t>
      </w:r>
      <w:r>
        <w:rPr/>
        <w:t>in the market through</w:t>
      </w:r>
    </w:p>
    <w:p>
      <w:pPr>
        <w:pStyle w:val="BodyText"/>
        <w:spacing w:after="0" w:line="364" w:lineRule="auto"/>
        <w:jc w:val="both"/>
        <w:sectPr>
          <w:pgSz w:w="11910" w:h="16840"/>
          <w:pgMar w:header="1066" w:footer="804" w:top="2000" w:bottom="1000" w:left="1417" w:right="1417"/>
        </w:sectPr>
      </w:pPr>
    </w:p>
    <w:p>
      <w:pPr>
        <w:pStyle w:val="BodyText"/>
        <w:spacing w:line="367" w:lineRule="auto" w:before="247"/>
        <w:ind w:left="23" w:right="19"/>
        <w:jc w:val="both"/>
      </w:pPr>
      <w:r>
        <w:rPr/>
        <w:t>hyper specialization because it’s domestic competitors are not playing by the same rules. I observed that Amul is winning on ‘Volume and Rural Trust’ while</w:t>
      </w:r>
      <w:r>
        <w:rPr>
          <w:spacing w:val="40"/>
        </w:rPr>
        <w:t> </w:t>
      </w:r>
      <w:r>
        <w:rPr/>
        <w:t>Nestlé is winning on ‘premiumization ( through it’s Value-Added</w:t>
      </w:r>
      <w:r>
        <w:rPr/>
        <w:t> Dairy Products) and urban health consciousness’. This realization was a turning point as it taught me that "competitiveness" is not always a zero-sum game of direct confrontation in complex international markets; it is often about finding structural gaps in the industry and exploiting</w:t>
      </w:r>
      <w:r>
        <w:rPr>
          <w:spacing w:val="-16"/>
        </w:rPr>
        <w:t> </w:t>
      </w:r>
      <w:r>
        <w:rPr/>
        <w:t>specialized</w:t>
      </w:r>
      <w:r>
        <w:rPr>
          <w:spacing w:val="-16"/>
        </w:rPr>
        <w:t> </w:t>
      </w:r>
      <w:r>
        <w:rPr/>
        <w:t>niches</w:t>
      </w:r>
      <w:r>
        <w:rPr>
          <w:spacing w:val="-16"/>
        </w:rPr>
        <w:t> </w:t>
      </w:r>
      <w:r>
        <w:rPr/>
        <w:t>that</w:t>
      </w:r>
      <w:r>
        <w:rPr>
          <w:spacing w:val="-16"/>
        </w:rPr>
        <w:t> </w:t>
      </w:r>
      <w:r>
        <w:rPr/>
        <w:t>deeply</w:t>
      </w:r>
      <w:r>
        <w:rPr>
          <w:spacing w:val="-16"/>
        </w:rPr>
        <w:t> </w:t>
      </w:r>
      <w:r>
        <w:rPr/>
        <w:t>entrenched</w:t>
      </w:r>
      <w:r>
        <w:rPr>
          <w:spacing w:val="-13"/>
        </w:rPr>
        <w:t> </w:t>
      </w:r>
      <w:r>
        <w:rPr/>
        <w:t>local</w:t>
      </w:r>
      <w:r>
        <w:rPr>
          <w:spacing w:val="-16"/>
        </w:rPr>
        <w:t> </w:t>
      </w:r>
      <w:r>
        <w:rPr/>
        <w:t>players(competitors)</w:t>
      </w:r>
      <w:r>
        <w:rPr>
          <w:spacing w:val="-16"/>
        </w:rPr>
        <w:t> </w:t>
      </w:r>
      <w:r>
        <w:rPr/>
        <w:t>cannot or will not serve.</w:t>
      </w:r>
    </w:p>
    <w:p>
      <w:pPr>
        <w:pStyle w:val="ListParagraph"/>
        <w:numPr>
          <w:ilvl w:val="0"/>
          <w:numId w:val="8"/>
        </w:numPr>
        <w:tabs>
          <w:tab w:pos="289" w:val="left" w:leader="none"/>
        </w:tabs>
        <w:spacing w:line="240" w:lineRule="auto" w:before="192" w:after="0"/>
        <w:ind w:left="289" w:right="0" w:hanging="266"/>
        <w:jc w:val="both"/>
        <w:rPr>
          <w:sz w:val="24"/>
        </w:rPr>
      </w:pPr>
      <w:r>
        <w:rPr>
          <w:sz w:val="24"/>
        </w:rPr>
        <w:t>Abstract</w:t>
      </w:r>
      <w:r>
        <w:rPr>
          <w:spacing w:val="-2"/>
          <w:sz w:val="24"/>
        </w:rPr>
        <w:t> Conceptualisation</w:t>
      </w:r>
    </w:p>
    <w:p>
      <w:pPr>
        <w:pStyle w:val="BodyText"/>
        <w:spacing w:before="66"/>
      </w:pPr>
    </w:p>
    <w:p>
      <w:pPr>
        <w:pStyle w:val="BodyText"/>
        <w:spacing w:line="364" w:lineRule="auto"/>
        <w:ind w:left="23" w:right="15"/>
        <w:jc w:val="both"/>
      </w:pPr>
      <w:r>
        <w:rPr/>
        <w:t>The</w:t>
      </w:r>
      <w:r>
        <w:rPr>
          <w:spacing w:val="-2"/>
        </w:rPr>
        <w:t> </w:t>
      </w:r>
      <w:r>
        <w:rPr/>
        <w:t>process</w:t>
      </w:r>
      <w:r>
        <w:rPr>
          <w:spacing w:val="-3"/>
        </w:rPr>
        <w:t> </w:t>
      </w:r>
      <w:r>
        <w:rPr/>
        <w:t>of linking</w:t>
      </w:r>
      <w:r>
        <w:rPr>
          <w:spacing w:val="-3"/>
        </w:rPr>
        <w:t> </w:t>
      </w:r>
      <w:r>
        <w:rPr/>
        <w:t>my</w:t>
      </w:r>
      <w:r>
        <w:rPr>
          <w:spacing w:val="-4"/>
        </w:rPr>
        <w:t> </w:t>
      </w:r>
      <w:r>
        <w:rPr/>
        <w:t>critical</w:t>
      </w:r>
      <w:r>
        <w:rPr>
          <w:spacing w:val="-3"/>
        </w:rPr>
        <w:t> </w:t>
      </w:r>
      <w:r>
        <w:rPr/>
        <w:t>observations</w:t>
      </w:r>
      <w:r>
        <w:rPr>
          <w:spacing w:val="-3"/>
        </w:rPr>
        <w:t> </w:t>
      </w:r>
      <w:r>
        <w:rPr/>
        <w:t>and</w:t>
      </w:r>
      <w:r>
        <w:rPr>
          <w:spacing w:val="-2"/>
        </w:rPr>
        <w:t> </w:t>
      </w:r>
      <w:r>
        <w:rPr/>
        <w:t>established</w:t>
      </w:r>
      <w:r>
        <w:rPr>
          <w:spacing w:val="-3"/>
        </w:rPr>
        <w:t> </w:t>
      </w:r>
      <w:r>
        <w:rPr/>
        <w:t>international</w:t>
      </w:r>
      <w:r>
        <w:rPr>
          <w:spacing w:val="-4"/>
        </w:rPr>
        <w:t> </w:t>
      </w:r>
      <w:r>
        <w:rPr/>
        <w:t>business theories like ‘Michael Porter’s Diamond Model (1990)’ and ‘Geert Hofstede’s Cultural Dimensions’</w:t>
      </w:r>
      <w:r>
        <w:rPr>
          <w:spacing w:val="-16"/>
        </w:rPr>
        <w:t> </w:t>
      </w:r>
      <w:r>
        <w:rPr/>
        <w:t>elevated</w:t>
      </w:r>
      <w:r>
        <w:rPr>
          <w:spacing w:val="-16"/>
        </w:rPr>
        <w:t> </w:t>
      </w:r>
      <w:r>
        <w:rPr/>
        <w:t>my</w:t>
      </w:r>
      <w:r>
        <w:rPr>
          <w:spacing w:val="-16"/>
        </w:rPr>
        <w:t> </w:t>
      </w:r>
      <w:r>
        <w:rPr/>
        <w:t>theoretical</w:t>
      </w:r>
      <w:r>
        <w:rPr>
          <w:spacing w:val="-16"/>
        </w:rPr>
        <w:t> </w:t>
      </w:r>
      <w:r>
        <w:rPr/>
        <w:t>understanding.</w:t>
      </w:r>
      <w:r>
        <w:rPr>
          <w:spacing w:val="-16"/>
        </w:rPr>
        <w:t> </w:t>
      </w:r>
      <w:r>
        <w:rPr/>
        <w:t>More</w:t>
      </w:r>
      <w:r>
        <w:rPr>
          <w:spacing w:val="-16"/>
        </w:rPr>
        <w:t> </w:t>
      </w:r>
      <w:r>
        <w:rPr/>
        <w:t>pecifically,</w:t>
      </w:r>
      <w:r>
        <w:rPr>
          <w:spacing w:val="-15"/>
        </w:rPr>
        <w:t> </w:t>
      </w:r>
      <w:r>
        <w:rPr/>
        <w:t>applying</w:t>
      </w:r>
      <w:r>
        <w:rPr>
          <w:spacing w:val="-15"/>
        </w:rPr>
        <w:t> </w:t>
      </w:r>
      <w:r>
        <w:rPr/>
        <w:t>Porter's Diamond was a revelation to me. Previously, I had more simpler understanding of ‘Factor</w:t>
      </w:r>
      <w:r>
        <w:rPr>
          <w:spacing w:val="-8"/>
        </w:rPr>
        <w:t> </w:t>
      </w:r>
      <w:r>
        <w:rPr/>
        <w:t>Conditions’</w:t>
      </w:r>
      <w:r>
        <w:rPr>
          <w:spacing w:val="-8"/>
        </w:rPr>
        <w:t> </w:t>
      </w:r>
      <w:r>
        <w:rPr/>
        <w:t>as</w:t>
      </w:r>
      <w:r>
        <w:rPr>
          <w:spacing w:val="-7"/>
        </w:rPr>
        <w:t> </w:t>
      </w:r>
      <w:r>
        <w:rPr/>
        <w:t>I</w:t>
      </w:r>
      <w:r>
        <w:rPr>
          <w:spacing w:val="-8"/>
        </w:rPr>
        <w:t> </w:t>
      </w:r>
      <w:r>
        <w:rPr/>
        <w:t>was</w:t>
      </w:r>
      <w:r>
        <w:rPr>
          <w:spacing w:val="-7"/>
        </w:rPr>
        <w:t> </w:t>
      </w:r>
      <w:r>
        <w:rPr/>
        <w:t>equating</w:t>
      </w:r>
      <w:r>
        <w:rPr>
          <w:spacing w:val="-8"/>
        </w:rPr>
        <w:t> </w:t>
      </w:r>
      <w:r>
        <w:rPr/>
        <w:t>them</w:t>
      </w:r>
      <w:r>
        <w:rPr>
          <w:spacing w:val="-6"/>
        </w:rPr>
        <w:t> </w:t>
      </w:r>
      <w:r>
        <w:rPr/>
        <w:t>simply</w:t>
      </w:r>
      <w:r>
        <w:rPr>
          <w:spacing w:val="-9"/>
        </w:rPr>
        <w:t> </w:t>
      </w:r>
      <w:r>
        <w:rPr/>
        <w:t>with</w:t>
      </w:r>
      <w:r>
        <w:rPr>
          <w:spacing w:val="-6"/>
        </w:rPr>
        <w:t> </w:t>
      </w:r>
      <w:r>
        <w:rPr/>
        <w:t>an</w:t>
      </w:r>
      <w:r>
        <w:rPr>
          <w:spacing w:val="-7"/>
        </w:rPr>
        <w:t> </w:t>
      </w:r>
      <w:r>
        <w:rPr/>
        <w:t>abundance</w:t>
      </w:r>
      <w:r>
        <w:rPr>
          <w:spacing w:val="-7"/>
        </w:rPr>
        <w:t> </w:t>
      </w:r>
      <w:r>
        <w:rPr/>
        <w:t>of</w:t>
      </w:r>
      <w:r>
        <w:rPr>
          <w:spacing w:val="-5"/>
        </w:rPr>
        <w:t> </w:t>
      </w:r>
      <w:r>
        <w:rPr/>
        <w:t>raw</w:t>
      </w:r>
      <w:r>
        <w:rPr>
          <w:spacing w:val="-9"/>
        </w:rPr>
        <w:t> </w:t>
      </w:r>
      <w:r>
        <w:rPr/>
        <w:t>materials or labor. It’s application to the Indian dairy sector taught me the critical distinction between the quantity and the quality of factor conditions. This became clear to me when</w:t>
      </w:r>
      <w:r>
        <w:rPr>
          <w:spacing w:val="-2"/>
        </w:rPr>
        <w:t> </w:t>
      </w:r>
      <w:r>
        <w:rPr/>
        <w:t>I</w:t>
      </w:r>
      <w:r>
        <w:rPr>
          <w:spacing w:val="-2"/>
        </w:rPr>
        <w:t> </w:t>
      </w:r>
      <w:r>
        <w:rPr/>
        <w:t>observed</w:t>
      </w:r>
      <w:r>
        <w:rPr>
          <w:spacing w:val="-2"/>
        </w:rPr>
        <w:t> </w:t>
      </w:r>
      <w:r>
        <w:rPr/>
        <w:t>that</w:t>
      </w:r>
      <w:r>
        <w:rPr>
          <w:spacing w:val="-4"/>
        </w:rPr>
        <w:t> </w:t>
      </w:r>
      <w:r>
        <w:rPr/>
        <w:t>India</w:t>
      </w:r>
      <w:r>
        <w:rPr>
          <w:spacing w:val="-2"/>
        </w:rPr>
        <w:t> </w:t>
      </w:r>
      <w:r>
        <w:rPr/>
        <w:t>possesses</w:t>
      </w:r>
      <w:r>
        <w:rPr>
          <w:spacing w:val="-2"/>
        </w:rPr>
        <w:t> </w:t>
      </w:r>
      <w:r>
        <w:rPr/>
        <w:t>the</w:t>
      </w:r>
      <w:r>
        <w:rPr>
          <w:spacing w:val="-4"/>
        </w:rPr>
        <w:t> </w:t>
      </w:r>
      <w:r>
        <w:rPr/>
        <w:t>most</w:t>
      </w:r>
      <w:r>
        <w:rPr>
          <w:spacing w:val="-2"/>
        </w:rPr>
        <w:t> </w:t>
      </w:r>
      <w:r>
        <w:rPr/>
        <w:t>cattle</w:t>
      </w:r>
      <w:r>
        <w:rPr>
          <w:spacing w:val="-4"/>
        </w:rPr>
        <w:t> </w:t>
      </w:r>
      <w:r>
        <w:rPr/>
        <w:t>globally,</w:t>
      </w:r>
      <w:r>
        <w:rPr>
          <w:spacing w:val="-2"/>
        </w:rPr>
        <w:t> </w:t>
      </w:r>
      <w:r>
        <w:rPr/>
        <w:t>but</w:t>
      </w:r>
      <w:r>
        <w:rPr>
          <w:spacing w:val="-2"/>
        </w:rPr>
        <w:t> </w:t>
      </w:r>
      <w:r>
        <w:rPr/>
        <w:t>because</w:t>
      </w:r>
      <w:r>
        <w:rPr>
          <w:spacing w:val="-2"/>
        </w:rPr>
        <w:t> </w:t>
      </w:r>
      <w:r>
        <w:rPr/>
        <w:t>of</w:t>
      </w:r>
      <w:r>
        <w:rPr>
          <w:spacing w:val="-2"/>
        </w:rPr>
        <w:t> </w:t>
      </w:r>
      <w:r>
        <w:rPr/>
        <w:t>the</w:t>
      </w:r>
      <w:r>
        <w:rPr>
          <w:spacing w:val="-4"/>
        </w:rPr>
        <w:t> </w:t>
      </w:r>
      <w:r>
        <w:rPr/>
        <w:t>low yield</w:t>
      </w:r>
      <w:r>
        <w:rPr>
          <w:spacing w:val="-5"/>
        </w:rPr>
        <w:t> </w:t>
      </w:r>
      <w:r>
        <w:rPr/>
        <w:t>per-animal</w:t>
      </w:r>
      <w:r>
        <w:rPr>
          <w:spacing w:val="-6"/>
        </w:rPr>
        <w:t> </w:t>
      </w:r>
      <w:r>
        <w:rPr/>
        <w:t>yield</w:t>
      </w:r>
      <w:r>
        <w:rPr>
          <w:spacing w:val="-5"/>
        </w:rPr>
        <w:t> </w:t>
      </w:r>
      <w:r>
        <w:rPr/>
        <w:t>and</w:t>
      </w:r>
      <w:r>
        <w:rPr>
          <w:spacing w:val="-5"/>
        </w:rPr>
        <w:t> </w:t>
      </w:r>
      <w:r>
        <w:rPr/>
        <w:t>the</w:t>
      </w:r>
      <w:r>
        <w:rPr>
          <w:spacing w:val="-5"/>
        </w:rPr>
        <w:t> </w:t>
      </w:r>
      <w:r>
        <w:rPr/>
        <w:t>severly</w:t>
      </w:r>
      <w:r>
        <w:rPr>
          <w:spacing w:val="-8"/>
        </w:rPr>
        <w:t> </w:t>
      </w:r>
      <w:r>
        <w:rPr/>
        <w:t>fragmented</w:t>
      </w:r>
      <w:r>
        <w:rPr>
          <w:spacing w:val="-5"/>
        </w:rPr>
        <w:t> </w:t>
      </w:r>
      <w:r>
        <w:rPr/>
        <w:t>and</w:t>
      </w:r>
      <w:r>
        <w:rPr>
          <w:spacing w:val="-8"/>
        </w:rPr>
        <w:t> </w:t>
      </w:r>
      <w:r>
        <w:rPr/>
        <w:t>highly</w:t>
      </w:r>
      <w:r>
        <w:rPr>
          <w:spacing w:val="-9"/>
        </w:rPr>
        <w:t> </w:t>
      </w:r>
      <w:r>
        <w:rPr/>
        <w:t>concentrated</w:t>
      </w:r>
      <w:r>
        <w:rPr>
          <w:spacing w:val="-5"/>
        </w:rPr>
        <w:t> </w:t>
      </w:r>
      <w:r>
        <w:rPr/>
        <w:t>Supporting Industries (cold-chain logistics), this sheer volume of raw milk does not automatically translate</w:t>
      </w:r>
      <w:r>
        <w:rPr>
          <w:spacing w:val="-4"/>
        </w:rPr>
        <w:t> </w:t>
      </w:r>
      <w:r>
        <w:rPr/>
        <w:t>into</w:t>
      </w:r>
      <w:r>
        <w:rPr>
          <w:spacing w:val="-3"/>
        </w:rPr>
        <w:t> </w:t>
      </w:r>
      <w:r>
        <w:rPr/>
        <w:t>global</w:t>
      </w:r>
      <w:r>
        <w:rPr>
          <w:spacing w:val="-4"/>
        </w:rPr>
        <w:t> </w:t>
      </w:r>
      <w:r>
        <w:rPr/>
        <w:t>competitive</w:t>
      </w:r>
      <w:r>
        <w:rPr>
          <w:spacing w:val="-3"/>
        </w:rPr>
        <w:t> </w:t>
      </w:r>
      <w:r>
        <w:rPr/>
        <w:t>advantage.</w:t>
      </w:r>
      <w:r>
        <w:rPr>
          <w:spacing w:val="-4"/>
        </w:rPr>
        <w:t> </w:t>
      </w:r>
      <w:r>
        <w:rPr/>
        <w:t>I</w:t>
      </w:r>
      <w:r>
        <w:rPr>
          <w:spacing w:val="-4"/>
        </w:rPr>
        <w:t> </w:t>
      </w:r>
      <w:r>
        <w:rPr/>
        <w:t>also</w:t>
      </w:r>
      <w:r>
        <w:rPr>
          <w:spacing w:val="-3"/>
        </w:rPr>
        <w:t> </w:t>
      </w:r>
      <w:r>
        <w:rPr/>
        <w:t>understood</w:t>
      </w:r>
      <w:r>
        <w:rPr>
          <w:spacing w:val="-4"/>
        </w:rPr>
        <w:t> </w:t>
      </w:r>
      <w:r>
        <w:rPr/>
        <w:t>why</w:t>
      </w:r>
      <w:r>
        <w:rPr>
          <w:spacing w:val="-5"/>
        </w:rPr>
        <w:t> </w:t>
      </w:r>
      <w:r>
        <w:rPr/>
        <w:t>a</w:t>
      </w:r>
      <w:r>
        <w:rPr>
          <w:spacing w:val="-4"/>
        </w:rPr>
        <w:t> </w:t>
      </w:r>
      <w:r>
        <w:rPr/>
        <w:t>foreign</w:t>
      </w:r>
      <w:r>
        <w:rPr>
          <w:spacing w:val="-3"/>
        </w:rPr>
        <w:t> </w:t>
      </w:r>
      <w:r>
        <w:rPr/>
        <w:t>MNC</w:t>
      </w:r>
      <w:r>
        <w:rPr>
          <w:spacing w:val="-4"/>
        </w:rPr>
        <w:t> </w:t>
      </w:r>
      <w:r>
        <w:rPr/>
        <w:t>like Nestlé</w:t>
      </w:r>
      <w:r>
        <w:rPr>
          <w:spacing w:val="-9"/>
        </w:rPr>
        <w:t> </w:t>
      </w:r>
      <w:r>
        <w:rPr/>
        <w:t>must</w:t>
      </w:r>
      <w:r>
        <w:rPr>
          <w:spacing w:val="-9"/>
        </w:rPr>
        <w:t> </w:t>
      </w:r>
      <w:r>
        <w:rPr/>
        <w:t>invest</w:t>
      </w:r>
      <w:r>
        <w:rPr>
          <w:spacing w:val="-6"/>
        </w:rPr>
        <w:t> </w:t>
      </w:r>
      <w:r>
        <w:rPr/>
        <w:t>heavily</w:t>
      </w:r>
      <w:r>
        <w:rPr>
          <w:spacing w:val="-9"/>
        </w:rPr>
        <w:t> </w:t>
      </w:r>
      <w:r>
        <w:rPr/>
        <w:t>in</w:t>
      </w:r>
      <w:r>
        <w:rPr>
          <w:spacing w:val="-6"/>
        </w:rPr>
        <w:t> </w:t>
      </w:r>
      <w:r>
        <w:rPr/>
        <w:t>localized</w:t>
      </w:r>
      <w:r>
        <w:rPr>
          <w:spacing w:val="-6"/>
        </w:rPr>
        <w:t> </w:t>
      </w:r>
      <w:r>
        <w:rPr/>
        <w:t>infrastructure</w:t>
      </w:r>
      <w:r>
        <w:rPr>
          <w:spacing w:val="-7"/>
        </w:rPr>
        <w:t> </w:t>
      </w:r>
      <w:r>
        <w:rPr/>
        <w:t>(like</w:t>
      </w:r>
      <w:r>
        <w:rPr>
          <w:spacing w:val="-6"/>
        </w:rPr>
        <w:t> </w:t>
      </w:r>
      <w:r>
        <w:rPr/>
        <w:t>Nestlé’s</w:t>
      </w:r>
      <w:r>
        <w:rPr>
          <w:spacing w:val="-7"/>
        </w:rPr>
        <w:t> </w:t>
      </w:r>
      <w:r>
        <w:rPr/>
        <w:t>Moga</w:t>
      </w:r>
      <w:r>
        <w:rPr>
          <w:spacing w:val="-6"/>
        </w:rPr>
        <w:t> </w:t>
      </w:r>
      <w:r>
        <w:rPr/>
        <w:t>Model)</w:t>
      </w:r>
      <w:r>
        <w:rPr>
          <w:spacing w:val="-8"/>
        </w:rPr>
        <w:t> </w:t>
      </w:r>
      <w:r>
        <w:rPr/>
        <w:t>rather than relying on the host nation's existing supply chain.</w:t>
      </w:r>
    </w:p>
    <w:p>
      <w:pPr>
        <w:pStyle w:val="BodyText"/>
        <w:spacing w:line="364" w:lineRule="auto" w:before="216"/>
        <w:ind w:left="23" w:right="22"/>
        <w:jc w:val="both"/>
      </w:pPr>
      <w:r>
        <w:rPr/>
        <w:t>Furthermore, I also realized that</w:t>
      </w:r>
      <w:r>
        <w:rPr>
          <w:spacing w:val="40"/>
        </w:rPr>
        <w:t> </w:t>
      </w:r>
      <w:r>
        <w:rPr/>
        <w:t>cultural frameworks are not just abstract human resource</w:t>
      </w:r>
      <w:r>
        <w:rPr>
          <w:spacing w:val="-9"/>
        </w:rPr>
        <w:t> </w:t>
      </w:r>
      <w:r>
        <w:rPr/>
        <w:t>concepts</w:t>
      </w:r>
      <w:r>
        <w:rPr>
          <w:spacing w:val="-9"/>
        </w:rPr>
        <w:t> </w:t>
      </w:r>
      <w:r>
        <w:rPr/>
        <w:t>but</w:t>
      </w:r>
      <w:r>
        <w:rPr>
          <w:spacing w:val="-11"/>
        </w:rPr>
        <w:t> </w:t>
      </w:r>
      <w:r>
        <w:rPr/>
        <w:t>hard,</w:t>
      </w:r>
      <w:r>
        <w:rPr>
          <w:spacing w:val="-9"/>
        </w:rPr>
        <w:t> </w:t>
      </w:r>
      <w:r>
        <w:rPr/>
        <w:t>strategic</w:t>
      </w:r>
      <w:r>
        <w:rPr>
          <w:spacing w:val="-10"/>
        </w:rPr>
        <w:t> </w:t>
      </w:r>
      <w:r>
        <w:rPr/>
        <w:t>business</w:t>
      </w:r>
      <w:r>
        <w:rPr>
          <w:spacing w:val="-9"/>
        </w:rPr>
        <w:t> </w:t>
      </w:r>
      <w:r>
        <w:rPr/>
        <w:t>emperatives.</w:t>
      </w:r>
      <w:r>
        <w:rPr>
          <w:spacing w:val="-9"/>
        </w:rPr>
        <w:t> </w:t>
      </w:r>
      <w:r>
        <w:rPr/>
        <w:t>This</w:t>
      </w:r>
      <w:r>
        <w:rPr>
          <w:spacing w:val="-10"/>
        </w:rPr>
        <w:t> </w:t>
      </w:r>
      <w:r>
        <w:rPr/>
        <w:t>particular</w:t>
      </w:r>
      <w:r>
        <w:rPr>
          <w:spacing w:val="-9"/>
        </w:rPr>
        <w:t> </w:t>
      </w:r>
      <w:r>
        <w:rPr/>
        <w:t>revelation happened after I integrated</w:t>
      </w:r>
      <w:r>
        <w:rPr>
          <w:spacing w:val="40"/>
        </w:rPr>
        <w:t> </w:t>
      </w:r>
      <w:r>
        <w:rPr/>
        <w:t>Hofstede's Cultural Dimensions with my analysis. After analyzing</w:t>
      </w:r>
      <w:r>
        <w:rPr>
          <w:spacing w:val="-4"/>
        </w:rPr>
        <w:t> </w:t>
      </w:r>
      <w:r>
        <w:rPr/>
        <w:t>India’s</w:t>
      </w:r>
      <w:r>
        <w:rPr>
          <w:spacing w:val="-3"/>
        </w:rPr>
        <w:t> </w:t>
      </w:r>
      <w:r>
        <w:rPr/>
        <w:t>high</w:t>
      </w:r>
      <w:r>
        <w:rPr>
          <w:spacing w:val="-5"/>
        </w:rPr>
        <w:t> </w:t>
      </w:r>
      <w:r>
        <w:rPr/>
        <w:t>power</w:t>
      </w:r>
      <w:r>
        <w:rPr>
          <w:spacing w:val="-4"/>
        </w:rPr>
        <w:t> </w:t>
      </w:r>
      <w:r>
        <w:rPr/>
        <w:t>distance</w:t>
      </w:r>
      <w:r>
        <w:rPr>
          <w:spacing w:val="-5"/>
        </w:rPr>
        <w:t> </w:t>
      </w:r>
      <w:r>
        <w:rPr/>
        <w:t>and</w:t>
      </w:r>
      <w:r>
        <w:rPr>
          <w:spacing w:val="-3"/>
        </w:rPr>
        <w:t> </w:t>
      </w:r>
      <w:r>
        <w:rPr/>
        <w:t>collectivism</w:t>
      </w:r>
      <w:r>
        <w:rPr>
          <w:spacing w:val="-2"/>
        </w:rPr>
        <w:t> </w:t>
      </w:r>
      <w:r>
        <w:rPr/>
        <w:t>scores,</w:t>
      </w:r>
      <w:r>
        <w:rPr>
          <w:spacing w:val="-3"/>
        </w:rPr>
        <w:t> </w:t>
      </w:r>
      <w:r>
        <w:rPr/>
        <w:t>I</w:t>
      </w:r>
      <w:r>
        <w:rPr>
          <w:spacing w:val="-5"/>
        </w:rPr>
        <w:t> </w:t>
      </w:r>
      <w:r>
        <w:rPr/>
        <w:t>also</w:t>
      </w:r>
      <w:r>
        <w:rPr>
          <w:spacing w:val="-5"/>
        </w:rPr>
        <w:t> </w:t>
      </w:r>
      <w:r>
        <w:rPr/>
        <w:t>got</w:t>
      </w:r>
      <w:r>
        <w:rPr>
          <w:spacing w:val="-3"/>
        </w:rPr>
        <w:t> </w:t>
      </w:r>
      <w:r>
        <w:rPr/>
        <w:t>an</w:t>
      </w:r>
      <w:r>
        <w:rPr>
          <w:spacing w:val="-5"/>
        </w:rPr>
        <w:t> </w:t>
      </w:r>
      <w:r>
        <w:rPr/>
        <w:t>answer</w:t>
      </w:r>
      <w:r>
        <w:rPr>
          <w:spacing w:val="-4"/>
        </w:rPr>
        <w:t> </w:t>
      </w:r>
      <w:r>
        <w:rPr/>
        <w:t>to one crucian question that I had from the beginning : “why Nestlé could not utilize a transactional, Western supply chain model in Indian dairy sector?” I conceptualized that</w:t>
      </w:r>
      <w:r>
        <w:rPr>
          <w:spacing w:val="-14"/>
        </w:rPr>
        <w:t> </w:t>
      </w:r>
      <w:r>
        <w:rPr/>
        <w:t>in</w:t>
      </w:r>
      <w:r>
        <w:rPr>
          <w:spacing w:val="-14"/>
        </w:rPr>
        <w:t> </w:t>
      </w:r>
      <w:r>
        <w:rPr/>
        <w:t>collectivist</w:t>
      </w:r>
      <w:r>
        <w:rPr>
          <w:spacing w:val="-14"/>
        </w:rPr>
        <w:t> </w:t>
      </w:r>
      <w:r>
        <w:rPr/>
        <w:t>rural</w:t>
      </w:r>
      <w:r>
        <w:rPr>
          <w:spacing w:val="-14"/>
        </w:rPr>
        <w:t> </w:t>
      </w:r>
      <w:r>
        <w:rPr/>
        <w:t>economies,</w:t>
      </w:r>
      <w:r>
        <w:rPr>
          <w:spacing w:val="-14"/>
        </w:rPr>
        <w:t> </w:t>
      </w:r>
      <w:r>
        <w:rPr/>
        <w:t>a</w:t>
      </w:r>
      <w:r>
        <w:rPr>
          <w:spacing w:val="-13"/>
        </w:rPr>
        <w:t> </w:t>
      </w:r>
      <w:r>
        <w:rPr/>
        <w:t>corporation</w:t>
      </w:r>
      <w:r>
        <w:rPr>
          <w:spacing w:val="-13"/>
        </w:rPr>
        <w:t> </w:t>
      </w:r>
      <w:r>
        <w:rPr/>
        <w:t>must</w:t>
      </w:r>
      <w:r>
        <w:rPr>
          <w:spacing w:val="-14"/>
        </w:rPr>
        <w:t> </w:t>
      </w:r>
      <w:r>
        <w:rPr/>
        <w:t>integrate</w:t>
      </w:r>
      <w:r>
        <w:rPr>
          <w:spacing w:val="-13"/>
        </w:rPr>
        <w:t> </w:t>
      </w:r>
      <w:r>
        <w:rPr/>
        <w:t>itself</w:t>
      </w:r>
      <w:r>
        <w:rPr>
          <w:spacing w:val="-14"/>
        </w:rPr>
        <w:t> </w:t>
      </w:r>
      <w:r>
        <w:rPr/>
        <w:t>within</w:t>
      </w:r>
      <w:r>
        <w:rPr>
          <w:spacing w:val="-14"/>
        </w:rPr>
        <w:t> </w:t>
      </w:r>
      <w:r>
        <w:rPr/>
        <w:t>these</w:t>
      </w:r>
      <w:r>
        <w:rPr>
          <w:spacing w:val="-13"/>
        </w:rPr>
        <w:t> </w:t>
      </w:r>
      <w:r>
        <w:rPr/>
        <w:t>local hierarchies and community structures to secure raw materials.</w:t>
      </w:r>
    </w:p>
    <w:p>
      <w:pPr>
        <w:pStyle w:val="BodyText"/>
        <w:spacing w:after="0" w:line="364" w:lineRule="auto"/>
        <w:jc w:val="both"/>
        <w:sectPr>
          <w:pgSz w:w="11910" w:h="16840"/>
          <w:pgMar w:header="1066" w:footer="804" w:top="2000" w:bottom="1000" w:left="1417" w:right="1417"/>
        </w:sectPr>
      </w:pPr>
    </w:p>
    <w:p>
      <w:pPr>
        <w:pStyle w:val="BodyText"/>
      </w:pPr>
    </w:p>
    <w:p>
      <w:pPr>
        <w:pStyle w:val="BodyText"/>
      </w:pPr>
    </w:p>
    <w:p>
      <w:pPr>
        <w:pStyle w:val="BodyText"/>
        <w:spacing w:before="45"/>
      </w:pPr>
    </w:p>
    <w:p>
      <w:pPr>
        <w:pStyle w:val="Heading1"/>
        <w:numPr>
          <w:ilvl w:val="0"/>
          <w:numId w:val="8"/>
        </w:numPr>
        <w:tabs>
          <w:tab w:pos="292" w:val="left" w:leader="none"/>
        </w:tabs>
        <w:spacing w:line="240" w:lineRule="auto" w:before="0" w:after="0"/>
        <w:ind w:left="292" w:right="0" w:hanging="269"/>
        <w:jc w:val="left"/>
      </w:pPr>
      <w:r>
        <w:rPr/>
        <w:t>Active</w:t>
      </w:r>
      <w:r>
        <w:rPr>
          <w:spacing w:val="-11"/>
        </w:rPr>
        <w:t> </w:t>
      </w:r>
      <w:r>
        <w:rPr>
          <w:spacing w:val="-2"/>
        </w:rPr>
        <w:t>Experimentation</w:t>
      </w:r>
    </w:p>
    <w:p>
      <w:pPr>
        <w:pStyle w:val="BodyText"/>
        <w:spacing w:before="64"/>
        <w:rPr>
          <w:rFonts w:ascii="Arial"/>
          <w:b/>
        </w:rPr>
      </w:pPr>
    </w:p>
    <w:p>
      <w:pPr>
        <w:pStyle w:val="BodyText"/>
        <w:spacing w:line="364" w:lineRule="auto"/>
        <w:ind w:left="23" w:right="22"/>
        <w:jc w:val="both"/>
      </w:pPr>
      <w:r>
        <w:rPr/>
        <w:t>These insights and realizations will refine my approach to future academic assignments and professional career in international business management. I can shed light on various areas where I need improvements. Firstly, I will keep my assumptions and biases aside and analyze more objectively throughout the process. Secondly, I will apply more systems thinking approach in my future practice and integrate</w:t>
      </w:r>
      <w:r>
        <w:rPr>
          <w:spacing w:val="-7"/>
        </w:rPr>
        <w:t> </w:t>
      </w:r>
      <w:r>
        <w:rPr/>
        <w:t>theoretical</w:t>
      </w:r>
      <w:r>
        <w:rPr>
          <w:spacing w:val="-11"/>
        </w:rPr>
        <w:t> </w:t>
      </w:r>
      <w:r>
        <w:rPr/>
        <w:t>frameworks</w:t>
      </w:r>
      <w:r>
        <w:rPr>
          <w:spacing w:val="-7"/>
        </w:rPr>
        <w:t> </w:t>
      </w:r>
      <w:r>
        <w:rPr/>
        <w:t>more</w:t>
      </w:r>
      <w:r>
        <w:rPr>
          <w:spacing w:val="-8"/>
        </w:rPr>
        <w:t> </w:t>
      </w:r>
      <w:r>
        <w:rPr/>
        <w:t>effectively</w:t>
      </w:r>
      <w:r>
        <w:rPr>
          <w:spacing w:val="-9"/>
        </w:rPr>
        <w:t> </w:t>
      </w:r>
      <w:r>
        <w:rPr/>
        <w:t>in</w:t>
      </w:r>
      <w:r>
        <w:rPr>
          <w:spacing w:val="-5"/>
        </w:rPr>
        <w:t> </w:t>
      </w:r>
      <w:r>
        <w:rPr/>
        <w:t>my</w:t>
      </w:r>
      <w:r>
        <w:rPr>
          <w:spacing w:val="-8"/>
        </w:rPr>
        <w:t> </w:t>
      </w:r>
      <w:r>
        <w:rPr/>
        <w:t>analysis.</w:t>
      </w:r>
      <w:r>
        <w:rPr>
          <w:spacing w:val="-6"/>
        </w:rPr>
        <w:t> </w:t>
      </w:r>
      <w:r>
        <w:rPr/>
        <w:t>I</w:t>
      </w:r>
      <w:r>
        <w:rPr>
          <w:spacing w:val="-8"/>
        </w:rPr>
        <w:t> </w:t>
      </w:r>
      <w:r>
        <w:rPr/>
        <w:t>need</w:t>
      </w:r>
      <w:r>
        <w:rPr>
          <w:spacing w:val="-8"/>
        </w:rPr>
        <w:t> </w:t>
      </w:r>
      <w:r>
        <w:rPr/>
        <w:t>to</w:t>
      </w:r>
      <w:r>
        <w:rPr>
          <w:spacing w:val="-7"/>
        </w:rPr>
        <w:t> </w:t>
      </w:r>
      <w:r>
        <w:rPr/>
        <w:t>develop</w:t>
      </w:r>
      <w:r>
        <w:rPr>
          <w:spacing w:val="-7"/>
        </w:rPr>
        <w:t> </w:t>
      </w:r>
      <w:r>
        <w:rPr/>
        <w:t>my existing</w:t>
      </w:r>
      <w:r>
        <w:rPr>
          <w:spacing w:val="-3"/>
        </w:rPr>
        <w:t> </w:t>
      </w:r>
      <w:r>
        <w:rPr/>
        <w:t>writing</w:t>
      </w:r>
      <w:r>
        <w:rPr>
          <w:spacing w:val="-5"/>
        </w:rPr>
        <w:t> </w:t>
      </w:r>
      <w:r>
        <w:rPr/>
        <w:t>skills,</w:t>
      </w:r>
      <w:r>
        <w:rPr>
          <w:spacing w:val="-3"/>
        </w:rPr>
        <w:t> </w:t>
      </w:r>
      <w:r>
        <w:rPr/>
        <w:t>for</w:t>
      </w:r>
      <w:r>
        <w:rPr>
          <w:spacing w:val="-4"/>
        </w:rPr>
        <w:t> </w:t>
      </w:r>
      <w:r>
        <w:rPr/>
        <w:t>that</w:t>
      </w:r>
      <w:r>
        <w:rPr>
          <w:spacing w:val="-3"/>
        </w:rPr>
        <w:t> </w:t>
      </w:r>
      <w:r>
        <w:rPr/>
        <w:t>I</w:t>
      </w:r>
      <w:r>
        <w:rPr>
          <w:spacing w:val="-3"/>
        </w:rPr>
        <w:t> </w:t>
      </w:r>
      <w:r>
        <w:rPr/>
        <w:t>aim</w:t>
      </w:r>
      <w:r>
        <w:rPr>
          <w:spacing w:val="-2"/>
        </w:rPr>
        <w:t> </w:t>
      </w:r>
      <w:r>
        <w:rPr/>
        <w:t>to</w:t>
      </w:r>
      <w:r>
        <w:rPr>
          <w:spacing w:val="-2"/>
        </w:rPr>
        <w:t> </w:t>
      </w:r>
      <w:r>
        <w:rPr/>
        <w:t>develop</w:t>
      </w:r>
      <w:r>
        <w:rPr>
          <w:spacing w:val="-4"/>
        </w:rPr>
        <w:t> </w:t>
      </w:r>
      <w:r>
        <w:rPr/>
        <w:t>clear</w:t>
      </w:r>
      <w:r>
        <w:rPr>
          <w:spacing w:val="-4"/>
        </w:rPr>
        <w:t> </w:t>
      </w:r>
      <w:r>
        <w:rPr/>
        <w:t>arguments</w:t>
      </w:r>
      <w:r>
        <w:rPr>
          <w:spacing w:val="-3"/>
        </w:rPr>
        <w:t> </w:t>
      </w:r>
      <w:r>
        <w:rPr/>
        <w:t>while</w:t>
      </w:r>
      <w:r>
        <w:rPr>
          <w:spacing w:val="-3"/>
        </w:rPr>
        <w:t> </w:t>
      </w:r>
      <w:r>
        <w:rPr/>
        <w:t>supporting</w:t>
      </w:r>
      <w:r>
        <w:rPr>
          <w:spacing w:val="-5"/>
        </w:rPr>
        <w:t> </w:t>
      </w:r>
      <w:r>
        <w:rPr/>
        <w:t>those with</w:t>
      </w:r>
      <w:r>
        <w:rPr>
          <w:spacing w:val="-7"/>
        </w:rPr>
        <w:t> </w:t>
      </w:r>
      <w:r>
        <w:rPr/>
        <w:t>relevant</w:t>
      </w:r>
      <w:r>
        <w:rPr>
          <w:spacing w:val="-7"/>
        </w:rPr>
        <w:t> </w:t>
      </w:r>
      <w:r>
        <w:rPr/>
        <w:t>industry</w:t>
      </w:r>
      <w:r>
        <w:rPr>
          <w:spacing w:val="-8"/>
        </w:rPr>
        <w:t> </w:t>
      </w:r>
      <w:r>
        <w:rPr/>
        <w:t>data</w:t>
      </w:r>
      <w:r>
        <w:rPr>
          <w:spacing w:val="-8"/>
        </w:rPr>
        <w:t> </w:t>
      </w:r>
      <w:r>
        <w:rPr/>
        <w:t>and</w:t>
      </w:r>
      <w:r>
        <w:rPr>
          <w:spacing w:val="-9"/>
        </w:rPr>
        <w:t> </w:t>
      </w:r>
      <w:r>
        <w:rPr/>
        <w:t>statistics.</w:t>
      </w:r>
      <w:r>
        <w:rPr>
          <w:spacing w:val="40"/>
        </w:rPr>
        <w:t> </w:t>
      </w:r>
      <w:r>
        <w:rPr/>
        <w:t>Thirdly,</w:t>
      </w:r>
      <w:r>
        <w:rPr>
          <w:spacing w:val="-7"/>
        </w:rPr>
        <w:t> </w:t>
      </w:r>
      <w:r>
        <w:rPr/>
        <w:t>I</w:t>
      </w:r>
      <w:r>
        <w:rPr>
          <w:spacing w:val="-7"/>
        </w:rPr>
        <w:t> </w:t>
      </w:r>
      <w:r>
        <w:rPr/>
        <w:t>have</w:t>
      </w:r>
      <w:r>
        <w:rPr>
          <w:spacing w:val="-7"/>
        </w:rPr>
        <w:t> </w:t>
      </w:r>
      <w:r>
        <w:rPr/>
        <w:t>learned</w:t>
      </w:r>
      <w:r>
        <w:rPr>
          <w:spacing w:val="-9"/>
        </w:rPr>
        <w:t> </w:t>
      </w:r>
      <w:r>
        <w:rPr/>
        <w:t>to</w:t>
      </w:r>
      <w:r>
        <w:rPr>
          <w:spacing w:val="-11"/>
        </w:rPr>
        <w:t> </w:t>
      </w:r>
      <w:r>
        <w:rPr/>
        <w:t>adapt</w:t>
      </w:r>
      <w:r>
        <w:rPr>
          <w:spacing w:val="-12"/>
        </w:rPr>
        <w:t> </w:t>
      </w:r>
      <w:r>
        <w:rPr/>
        <w:t>my</w:t>
      </w:r>
      <w:r>
        <w:rPr>
          <w:spacing w:val="40"/>
        </w:rPr>
        <w:t> </w:t>
      </w:r>
      <w:r>
        <w:rPr/>
        <w:t>financial and strategic benchmarking tools / KPIs according to project requirements and other factors. Ultimately, this exercise has equipped me with the nuanced perspective required to succeed in international business management. Now i feel confident that</w:t>
      </w:r>
      <w:r>
        <w:rPr>
          <w:spacing w:val="80"/>
        </w:rPr>
        <w:t> </w:t>
      </w:r>
      <w:r>
        <w:rPr/>
        <w:t>I am a critical evaluator of international business environments instead of just a passive consumer of industry data.</w:t>
      </w:r>
    </w:p>
    <w:p>
      <w:pPr>
        <w:pStyle w:val="BodyText"/>
        <w:spacing w:after="0" w:line="364" w:lineRule="auto"/>
        <w:jc w:val="both"/>
        <w:sectPr>
          <w:pgSz w:w="11910" w:h="16840"/>
          <w:pgMar w:header="1066" w:footer="804" w:top="2000" w:bottom="1000" w:left="1417" w:right="1417"/>
        </w:sectPr>
      </w:pPr>
    </w:p>
    <w:p>
      <w:pPr>
        <w:pStyle w:val="Heading1"/>
        <w:spacing w:before="246"/>
      </w:pPr>
      <w:bookmarkStart w:name="_TOC_250000" w:id="7"/>
      <w:bookmarkStart w:name="References" w:id="8"/>
      <w:r>
        <w:rPr>
          <w:b w:val="0"/>
        </w:rPr>
      </w:r>
      <w:bookmarkEnd w:id="7"/>
      <w:r>
        <w:rPr>
          <w:spacing w:val="-2"/>
        </w:rPr>
        <w:t>References</w:t>
      </w:r>
    </w:p>
    <w:p>
      <w:pPr>
        <w:pStyle w:val="BodyText"/>
        <w:spacing w:before="64"/>
        <w:rPr>
          <w:rFonts w:ascii="Arial"/>
          <w:b/>
        </w:rPr>
      </w:pPr>
    </w:p>
    <w:p>
      <w:pPr>
        <w:pStyle w:val="ListParagraph"/>
        <w:numPr>
          <w:ilvl w:val="0"/>
          <w:numId w:val="9"/>
        </w:numPr>
        <w:tabs>
          <w:tab w:pos="289" w:val="left" w:leader="none"/>
        </w:tabs>
        <w:spacing w:line="283" w:lineRule="auto" w:before="0" w:after="0"/>
        <w:ind w:left="23" w:right="328" w:firstLine="0"/>
        <w:jc w:val="left"/>
        <w:rPr>
          <w:sz w:val="24"/>
        </w:rPr>
      </w:pPr>
      <w:r>
        <w:rPr>
          <w:sz w:val="24"/>
        </w:rPr>
        <w:t>Kotak</w:t>
      </w:r>
      <w:r>
        <w:rPr>
          <w:spacing w:val="-1"/>
          <w:sz w:val="24"/>
        </w:rPr>
        <w:t> </w:t>
      </w:r>
      <w:r>
        <w:rPr>
          <w:sz w:val="24"/>
        </w:rPr>
        <w:t>Mutual</w:t>
      </w:r>
      <w:r>
        <w:rPr>
          <w:spacing w:val="-1"/>
          <w:sz w:val="24"/>
        </w:rPr>
        <w:t> </w:t>
      </w:r>
      <w:r>
        <w:rPr>
          <w:sz w:val="24"/>
        </w:rPr>
        <w:t>Fund</w:t>
      </w:r>
      <w:r>
        <w:rPr>
          <w:spacing w:val="-2"/>
          <w:sz w:val="24"/>
        </w:rPr>
        <w:t> </w:t>
      </w:r>
      <w:r>
        <w:rPr>
          <w:sz w:val="24"/>
        </w:rPr>
        <w:t>(2026)</w:t>
      </w:r>
      <w:r>
        <w:rPr>
          <w:spacing w:val="-1"/>
          <w:sz w:val="24"/>
        </w:rPr>
        <w:t> </w:t>
      </w:r>
      <w:r>
        <w:rPr>
          <w:sz w:val="24"/>
        </w:rPr>
        <w:t>India's</w:t>
      </w:r>
      <w:r>
        <w:rPr>
          <w:spacing w:val="-1"/>
          <w:sz w:val="24"/>
        </w:rPr>
        <w:t> </w:t>
      </w:r>
      <w:r>
        <w:rPr>
          <w:sz w:val="24"/>
        </w:rPr>
        <w:t>Dairy</w:t>
      </w:r>
      <w:r>
        <w:rPr>
          <w:spacing w:val="-3"/>
          <w:sz w:val="24"/>
        </w:rPr>
        <w:t> </w:t>
      </w:r>
      <w:r>
        <w:rPr>
          <w:sz w:val="24"/>
        </w:rPr>
        <w:t>Industry: Growth, Trends</w:t>
      </w:r>
      <w:r>
        <w:rPr>
          <w:spacing w:val="-2"/>
          <w:sz w:val="24"/>
        </w:rPr>
        <w:t> </w:t>
      </w:r>
      <w:r>
        <w:rPr>
          <w:sz w:val="24"/>
        </w:rPr>
        <w:t>and</w:t>
      </w:r>
      <w:r>
        <w:rPr>
          <w:spacing w:val="-2"/>
          <w:sz w:val="24"/>
        </w:rPr>
        <w:t> </w:t>
      </w:r>
      <w:r>
        <w:rPr>
          <w:sz w:val="24"/>
        </w:rPr>
        <w:t>Economic Impact. </w:t>
      </w:r>
      <w:hyperlink r:id="rId8">
        <w:r>
          <w:rPr>
            <w:color w:val="000080"/>
            <w:sz w:val="24"/>
            <w:u w:val="single" w:color="000080"/>
          </w:rPr>
          <w:t>https://www.kotakmf.com/Information/blogs/india-dairy-industry-overview</w:t>
        </w:r>
      </w:hyperlink>
      <w:r>
        <w:rPr>
          <w:color w:val="000080"/>
          <w:sz w:val="24"/>
        </w:rPr>
        <w:t> </w:t>
      </w:r>
      <w:r>
        <w:rPr>
          <w:sz w:val="24"/>
        </w:rPr>
        <w:t>(Accessed on : 31st March)</w:t>
      </w:r>
    </w:p>
    <w:p>
      <w:pPr>
        <w:pStyle w:val="ListParagraph"/>
        <w:numPr>
          <w:ilvl w:val="0"/>
          <w:numId w:val="9"/>
        </w:numPr>
        <w:tabs>
          <w:tab w:pos="287" w:val="left" w:leader="none"/>
        </w:tabs>
        <w:spacing w:line="280" w:lineRule="auto" w:before="130" w:after="0"/>
        <w:ind w:left="23" w:right="570" w:firstLine="0"/>
        <w:jc w:val="left"/>
        <w:rPr>
          <w:sz w:val="24"/>
        </w:rPr>
      </w:pPr>
      <w:r>
        <w:rPr>
          <w:sz w:val="24"/>
        </w:rPr>
        <w:t>The Times of India (2025) India records increase in milk, egg meat and wool production in 2024-25. </w:t>
      </w:r>
      <w:hyperlink r:id="rId41">
        <w:r>
          <w:rPr>
            <w:color w:val="000080"/>
            <w:sz w:val="24"/>
            <w:u w:val="single" w:color="000080"/>
          </w:rPr>
          <w:t>https://timesofindia.indiatimes.com/business/india-</w:t>
        </w:r>
      </w:hyperlink>
      <w:r>
        <w:rPr>
          <w:color w:val="000080"/>
          <w:sz w:val="24"/>
        </w:rPr>
        <w:t> </w:t>
      </w:r>
      <w:hyperlink r:id="rId41">
        <w:r>
          <w:rPr>
            <w:color w:val="000080"/>
            <w:spacing w:val="-2"/>
            <w:sz w:val="24"/>
            <w:u w:val="single" w:color="000080"/>
          </w:rPr>
          <w:t>business/india-records-increase-in-milk-egg-meat-and-wool-production-in-2024-</w:t>
        </w:r>
      </w:hyperlink>
      <w:r>
        <w:rPr>
          <w:color w:val="000080"/>
          <w:spacing w:val="-2"/>
          <w:sz w:val="24"/>
        </w:rPr>
        <w:t> </w:t>
      </w:r>
      <w:hyperlink r:id="rId41">
        <w:r>
          <w:rPr>
            <w:color w:val="000080"/>
            <w:sz w:val="24"/>
            <w:u w:val="single" w:color="000080"/>
          </w:rPr>
          <w:t>25/articleshow/125595677.cms</w:t>
        </w:r>
      </w:hyperlink>
      <w:r>
        <w:rPr>
          <w:color w:val="000080"/>
          <w:sz w:val="24"/>
        </w:rPr>
        <w:t> </w:t>
      </w:r>
      <w:r>
        <w:rPr>
          <w:sz w:val="24"/>
        </w:rPr>
        <w:t>( Accessed on : 31st March)</w:t>
      </w:r>
    </w:p>
    <w:p>
      <w:pPr>
        <w:pStyle w:val="ListParagraph"/>
        <w:numPr>
          <w:ilvl w:val="0"/>
          <w:numId w:val="9"/>
        </w:numPr>
        <w:tabs>
          <w:tab w:pos="289" w:val="left" w:leader="none"/>
        </w:tabs>
        <w:spacing w:line="280" w:lineRule="auto" w:before="141" w:after="0"/>
        <w:ind w:left="23" w:right="385" w:firstLine="0"/>
        <w:jc w:val="left"/>
        <w:rPr>
          <w:sz w:val="24"/>
        </w:rPr>
      </w:pPr>
      <w:r>
        <w:rPr>
          <w:sz w:val="24"/>
        </w:rPr>
        <w:t>Brickwork Ratings (2025) Dairy Sector in India. </w:t>
      </w:r>
      <w:hyperlink r:id="rId37">
        <w:r>
          <w:rPr>
            <w:color w:val="000080"/>
            <w:spacing w:val="-2"/>
            <w:sz w:val="24"/>
            <w:u w:val="single" w:color="000080"/>
          </w:rPr>
          <w:t>https://www.brickworkratings.com/Research/Dairy_Sector_Report_23Apr2025.pdf</w:t>
        </w:r>
      </w:hyperlink>
      <w:r>
        <w:rPr>
          <w:color w:val="000080"/>
          <w:spacing w:val="-2"/>
          <w:sz w:val="24"/>
        </w:rPr>
        <w:t> </w:t>
      </w:r>
      <w:r>
        <w:rPr>
          <w:sz w:val="24"/>
        </w:rPr>
        <w:t>(Accessed on : 2 April, 2026)</w:t>
      </w:r>
    </w:p>
    <w:p>
      <w:pPr>
        <w:pStyle w:val="ListParagraph"/>
        <w:numPr>
          <w:ilvl w:val="0"/>
          <w:numId w:val="9"/>
        </w:numPr>
        <w:tabs>
          <w:tab w:pos="289" w:val="left" w:leader="none"/>
        </w:tabs>
        <w:spacing w:line="280" w:lineRule="auto" w:before="138" w:after="0"/>
        <w:ind w:left="23" w:right="31" w:firstLine="0"/>
        <w:jc w:val="left"/>
        <w:rPr>
          <w:sz w:val="24"/>
        </w:rPr>
      </w:pPr>
      <w:r>
        <w:rPr>
          <w:sz w:val="24"/>
        </w:rPr>
        <w:t>Ministry of Food Processing Industries (MoFPI) (2025) Food Processing Sector Profile: Dairy. Government of India. </w:t>
      </w:r>
      <w:hyperlink r:id="rId42">
        <w:r>
          <w:rPr>
            <w:color w:val="000080"/>
            <w:spacing w:val="-2"/>
            <w:sz w:val="24"/>
            <w:u w:val="single" w:color="000080"/>
          </w:rPr>
          <w:t>https://mofpi.gov.in/sites/default/files/KnowledgeCentre/Sector%20Profile/Sector_Pro</w:t>
        </w:r>
      </w:hyperlink>
      <w:r>
        <w:rPr>
          <w:color w:val="000080"/>
          <w:spacing w:val="-2"/>
          <w:sz w:val="24"/>
        </w:rPr>
        <w:t> </w:t>
      </w:r>
      <w:hyperlink r:id="rId42">
        <w:r>
          <w:rPr>
            <w:color w:val="000080"/>
            <w:sz w:val="24"/>
            <w:u w:val="single" w:color="000080"/>
          </w:rPr>
          <w:t>file_Dairy%20(1)22.pdf</w:t>
        </w:r>
      </w:hyperlink>
      <w:r>
        <w:rPr>
          <w:color w:val="000080"/>
          <w:sz w:val="24"/>
        </w:rPr>
        <w:t> </w:t>
      </w:r>
      <w:r>
        <w:rPr>
          <w:sz w:val="24"/>
        </w:rPr>
        <w:t>(Accessed on : 2 April, 2026)</w:t>
      </w:r>
    </w:p>
    <w:p>
      <w:pPr>
        <w:pStyle w:val="ListParagraph"/>
        <w:numPr>
          <w:ilvl w:val="0"/>
          <w:numId w:val="9"/>
        </w:numPr>
        <w:tabs>
          <w:tab w:pos="289" w:val="left" w:leader="none"/>
        </w:tabs>
        <w:spacing w:line="280" w:lineRule="auto" w:before="138" w:after="0"/>
        <w:ind w:left="23" w:right="192" w:firstLine="0"/>
        <w:jc w:val="left"/>
        <w:rPr>
          <w:sz w:val="24"/>
        </w:rPr>
      </w:pPr>
      <w:r>
        <w:rPr>
          <w:sz w:val="24"/>
        </w:rPr>
        <w:t>Press Information Bureau (PIB) (2025) National Milk Day. Ministry of Fisheries, Animal Husbandry &amp; Dairying, Government of India. </w:t>
      </w:r>
      <w:hyperlink r:id="rId43">
        <w:r>
          <w:rPr>
            <w:color w:val="000080"/>
            <w:sz w:val="24"/>
            <w:u w:val="single" w:color="000080"/>
          </w:rPr>
          <w:t>https://www.pib.gov.in/PressReleseDetailm.aspx?PRID=2194086</w:t>
        </w:r>
      </w:hyperlink>
      <w:r>
        <w:rPr>
          <w:color w:val="000080"/>
          <w:spacing w:val="40"/>
          <w:sz w:val="24"/>
        </w:rPr>
        <w:t> </w:t>
      </w:r>
      <w:r>
        <w:rPr>
          <w:sz w:val="24"/>
        </w:rPr>
        <w:t>(Accessed</w:t>
      </w:r>
      <w:r>
        <w:rPr>
          <w:spacing w:val="-6"/>
          <w:sz w:val="24"/>
        </w:rPr>
        <w:t> </w:t>
      </w:r>
      <w:r>
        <w:rPr>
          <w:sz w:val="24"/>
        </w:rPr>
        <w:t>on</w:t>
      </w:r>
      <w:r>
        <w:rPr>
          <w:spacing w:val="-6"/>
          <w:sz w:val="24"/>
        </w:rPr>
        <w:t> </w:t>
      </w:r>
      <w:r>
        <w:rPr>
          <w:sz w:val="24"/>
        </w:rPr>
        <w:t>:</w:t>
      </w:r>
      <w:r>
        <w:rPr>
          <w:spacing w:val="-4"/>
          <w:sz w:val="24"/>
        </w:rPr>
        <w:t> </w:t>
      </w:r>
      <w:r>
        <w:rPr>
          <w:sz w:val="24"/>
        </w:rPr>
        <w:t>2 April, 2026)</w:t>
      </w:r>
    </w:p>
    <w:p>
      <w:pPr>
        <w:pStyle w:val="ListParagraph"/>
        <w:numPr>
          <w:ilvl w:val="0"/>
          <w:numId w:val="9"/>
        </w:numPr>
        <w:tabs>
          <w:tab w:pos="290" w:val="left" w:leader="none"/>
        </w:tabs>
        <w:spacing w:line="280" w:lineRule="auto" w:before="138" w:after="0"/>
        <w:ind w:left="23" w:right="125" w:firstLine="0"/>
        <w:jc w:val="left"/>
        <w:rPr>
          <w:sz w:val="24"/>
        </w:rPr>
      </w:pPr>
      <w:r>
        <w:rPr>
          <w:sz w:val="24"/>
        </w:rPr>
        <w:t>USDA/FAS (2025) Dairy and Products Annual. United States Department of </w:t>
      </w:r>
      <w:r>
        <w:rPr>
          <w:spacing w:val="-2"/>
          <w:sz w:val="24"/>
        </w:rPr>
        <w:t>Agriculture. </w:t>
      </w:r>
      <w:hyperlink r:id="rId44">
        <w:r>
          <w:rPr>
            <w:color w:val="000080"/>
            <w:spacing w:val="-2"/>
            <w:sz w:val="24"/>
          </w:rPr>
          <w:t>https://apps.fas.usda.gov/newgainapi/api/Report/DownloadReportByFileName?fileN</w:t>
        </w:r>
      </w:hyperlink>
      <w:r>
        <w:rPr>
          <w:color w:val="000080"/>
          <w:spacing w:val="-2"/>
          <w:sz w:val="24"/>
        </w:rPr>
        <w:t> </w:t>
      </w:r>
      <w:hyperlink r:id="rId44">
        <w:r>
          <w:rPr>
            <w:color w:val="000080"/>
            <w:spacing w:val="-2"/>
            <w:sz w:val="24"/>
          </w:rPr>
          <w:t>ame=Dairy%20and%20Products%20Annual_New%20Delhi_India_IN2025-0057.pdf</w:t>
        </w:r>
      </w:hyperlink>
      <w:r>
        <w:rPr>
          <w:color w:val="000080"/>
          <w:spacing w:val="-2"/>
          <w:sz w:val="24"/>
        </w:rPr>
        <w:t> </w:t>
      </w:r>
      <w:r>
        <w:rPr>
          <w:sz w:val="24"/>
        </w:rPr>
        <w:t>(Accessed on : 2 April, 2026)</w:t>
      </w:r>
    </w:p>
    <w:p>
      <w:pPr>
        <w:pStyle w:val="ListParagraph"/>
        <w:numPr>
          <w:ilvl w:val="0"/>
          <w:numId w:val="9"/>
        </w:numPr>
        <w:tabs>
          <w:tab w:pos="289" w:val="left" w:leader="none"/>
        </w:tabs>
        <w:spacing w:line="280" w:lineRule="auto" w:before="139" w:after="0"/>
        <w:ind w:left="23" w:right="89" w:firstLine="0"/>
        <w:jc w:val="left"/>
        <w:rPr>
          <w:sz w:val="24"/>
        </w:rPr>
      </w:pPr>
      <w:r>
        <w:rPr>
          <w:sz w:val="24"/>
        </w:rPr>
        <w:t>CRISIL (2024) Hatsun Agro Product Limited - Rating Rationale. </w:t>
      </w:r>
      <w:hyperlink r:id="rId45">
        <w:r>
          <w:rPr>
            <w:color w:val="000080"/>
            <w:spacing w:val="-2"/>
            <w:sz w:val="24"/>
            <w:u w:val="single" w:color="000080"/>
          </w:rPr>
          <w:t>https://www.crisil.com/mnt/winshare/Ratings/RatingList/RatingDocs/HatsunAgroProd</w:t>
        </w:r>
      </w:hyperlink>
      <w:r>
        <w:rPr>
          <w:color w:val="000080"/>
          <w:spacing w:val="-2"/>
          <w:sz w:val="24"/>
        </w:rPr>
        <w:t> </w:t>
      </w:r>
      <w:hyperlink r:id="rId45">
        <w:r>
          <w:rPr>
            <w:color w:val="000080"/>
            <w:sz w:val="24"/>
            <w:u w:val="single" w:color="000080"/>
          </w:rPr>
          <w:t>uctLimited_April%2005_%202024_RR_340989.html</w:t>
        </w:r>
      </w:hyperlink>
      <w:r>
        <w:rPr>
          <w:color w:val="000080"/>
          <w:sz w:val="24"/>
        </w:rPr>
        <w:t> </w:t>
      </w:r>
      <w:r>
        <w:rPr>
          <w:sz w:val="24"/>
        </w:rPr>
        <w:t>( Accessed on : 2 April, 2026)</w:t>
      </w:r>
    </w:p>
    <w:p>
      <w:pPr>
        <w:pStyle w:val="ListParagraph"/>
        <w:numPr>
          <w:ilvl w:val="0"/>
          <w:numId w:val="9"/>
        </w:numPr>
        <w:tabs>
          <w:tab w:pos="289" w:val="left" w:leader="none"/>
        </w:tabs>
        <w:spacing w:line="280" w:lineRule="auto" w:before="138" w:after="0"/>
        <w:ind w:left="23" w:right="434" w:firstLine="0"/>
        <w:jc w:val="left"/>
        <w:rPr>
          <w:sz w:val="24"/>
        </w:rPr>
      </w:pPr>
      <w:r>
        <w:rPr>
          <w:sz w:val="24"/>
        </w:rPr>
        <w:t>Mordor</w:t>
      </w:r>
      <w:r>
        <w:rPr>
          <w:spacing w:val="-2"/>
          <w:sz w:val="24"/>
        </w:rPr>
        <w:t> </w:t>
      </w:r>
      <w:r>
        <w:rPr>
          <w:sz w:val="24"/>
        </w:rPr>
        <w:t>Intelligence</w:t>
      </w:r>
      <w:r>
        <w:rPr>
          <w:spacing w:val="-3"/>
          <w:sz w:val="24"/>
        </w:rPr>
        <w:t> </w:t>
      </w:r>
      <w:r>
        <w:rPr>
          <w:sz w:val="24"/>
        </w:rPr>
        <w:t>(2026)</w:t>
      </w:r>
      <w:r>
        <w:rPr>
          <w:spacing w:val="-3"/>
          <w:sz w:val="24"/>
        </w:rPr>
        <w:t> </w:t>
      </w:r>
      <w:r>
        <w:rPr>
          <w:sz w:val="24"/>
        </w:rPr>
        <w:t>India</w:t>
      </w:r>
      <w:r>
        <w:rPr>
          <w:spacing w:val="-1"/>
          <w:sz w:val="24"/>
        </w:rPr>
        <w:t> </w:t>
      </w:r>
      <w:r>
        <w:rPr>
          <w:sz w:val="24"/>
        </w:rPr>
        <w:t>Dairy</w:t>
      </w:r>
      <w:r>
        <w:rPr>
          <w:spacing w:val="-4"/>
          <w:sz w:val="24"/>
        </w:rPr>
        <w:t> </w:t>
      </w:r>
      <w:r>
        <w:rPr>
          <w:sz w:val="24"/>
        </w:rPr>
        <w:t>Market</w:t>
      </w:r>
      <w:r>
        <w:rPr>
          <w:spacing w:val="-1"/>
          <w:sz w:val="24"/>
        </w:rPr>
        <w:t> </w:t>
      </w:r>
      <w:r>
        <w:rPr>
          <w:sz w:val="24"/>
        </w:rPr>
        <w:t>Size,</w:t>
      </w:r>
      <w:r>
        <w:rPr>
          <w:spacing w:val="-1"/>
          <w:sz w:val="24"/>
        </w:rPr>
        <w:t> </w:t>
      </w:r>
      <w:r>
        <w:rPr>
          <w:sz w:val="24"/>
        </w:rPr>
        <w:t>Share</w:t>
      </w:r>
      <w:r>
        <w:rPr>
          <w:spacing w:val="-2"/>
          <w:sz w:val="24"/>
        </w:rPr>
        <w:t> </w:t>
      </w:r>
      <w:r>
        <w:rPr>
          <w:sz w:val="24"/>
        </w:rPr>
        <w:t>&amp;</w:t>
      </w:r>
      <w:r>
        <w:rPr>
          <w:spacing w:val="-2"/>
          <w:sz w:val="24"/>
        </w:rPr>
        <w:t> </w:t>
      </w:r>
      <w:r>
        <w:rPr>
          <w:sz w:val="24"/>
        </w:rPr>
        <w:t>Growth Outlook</w:t>
      </w:r>
      <w:r>
        <w:rPr>
          <w:spacing w:val="-2"/>
          <w:sz w:val="24"/>
        </w:rPr>
        <w:t> </w:t>
      </w:r>
      <w:r>
        <w:rPr>
          <w:sz w:val="24"/>
        </w:rPr>
        <w:t>to 2031. </w:t>
      </w:r>
      <w:hyperlink r:id="rId10">
        <w:r>
          <w:rPr>
            <w:color w:val="000080"/>
            <w:sz w:val="24"/>
            <w:u w:val="single" w:color="000080"/>
          </w:rPr>
          <w:t>https://www.mordorintelligence.com/industry-reports/india-dairy-market</w:t>
        </w:r>
      </w:hyperlink>
    </w:p>
    <w:p>
      <w:pPr>
        <w:pStyle w:val="BodyText"/>
        <w:spacing w:before="1"/>
        <w:ind w:left="23"/>
      </w:pPr>
      <w:r>
        <w:rPr/>
        <w:t>(</w:t>
      </w:r>
      <w:r>
        <w:rPr>
          <w:spacing w:val="-4"/>
        </w:rPr>
        <w:t> </w:t>
      </w:r>
      <w:r>
        <w:rPr/>
        <w:t>Accessed</w:t>
      </w:r>
      <w:r>
        <w:rPr>
          <w:spacing w:val="-3"/>
        </w:rPr>
        <w:t> </w:t>
      </w:r>
      <w:r>
        <w:rPr/>
        <w:t>on</w:t>
      </w:r>
      <w:r>
        <w:rPr>
          <w:spacing w:val="-4"/>
        </w:rPr>
        <w:t> </w:t>
      </w:r>
      <w:r>
        <w:rPr/>
        <w:t>:</w:t>
      </w:r>
      <w:r>
        <w:rPr>
          <w:spacing w:val="-2"/>
        </w:rPr>
        <w:t> </w:t>
      </w:r>
      <w:r>
        <w:rPr/>
        <w:t>2</w:t>
      </w:r>
      <w:r>
        <w:rPr>
          <w:spacing w:val="-2"/>
        </w:rPr>
        <w:t> </w:t>
      </w:r>
      <w:r>
        <w:rPr/>
        <w:t>April,</w:t>
      </w:r>
      <w:r>
        <w:rPr>
          <w:spacing w:val="-3"/>
        </w:rPr>
        <w:t> </w:t>
      </w:r>
      <w:r>
        <w:rPr>
          <w:spacing w:val="-4"/>
        </w:rPr>
        <w:t>2026)</w:t>
      </w:r>
    </w:p>
    <w:p>
      <w:pPr>
        <w:pStyle w:val="ListParagraph"/>
        <w:numPr>
          <w:ilvl w:val="0"/>
          <w:numId w:val="9"/>
        </w:numPr>
        <w:tabs>
          <w:tab w:pos="289" w:val="left" w:leader="none"/>
        </w:tabs>
        <w:spacing w:line="280" w:lineRule="auto" w:before="185" w:after="0"/>
        <w:ind w:left="23" w:right="199" w:firstLine="0"/>
        <w:jc w:val="left"/>
        <w:rPr>
          <w:sz w:val="24"/>
        </w:rPr>
      </w:pPr>
      <w:r>
        <w:rPr>
          <w:sz w:val="24"/>
        </w:rPr>
        <w:t>Scribd / GCMMF (2023) Amul's FMCG Strategy and Growth Plans. </w:t>
      </w:r>
      <w:hyperlink r:id="rId46">
        <w:r>
          <w:rPr>
            <w:color w:val="000080"/>
            <w:sz w:val="24"/>
            <w:u w:val="single" w:color="000080"/>
          </w:rPr>
          <w:t>https://www.scribd.com/presentation/669083786/AMUL-FMCG-1</w:t>
        </w:r>
      </w:hyperlink>
      <w:r>
        <w:rPr>
          <w:color w:val="000080"/>
          <w:spacing w:val="40"/>
          <w:sz w:val="24"/>
        </w:rPr>
        <w:t> </w:t>
      </w:r>
      <w:r>
        <w:rPr>
          <w:sz w:val="24"/>
        </w:rPr>
        <w:t>(</w:t>
      </w:r>
      <w:r>
        <w:rPr>
          <w:spacing w:val="-3"/>
          <w:sz w:val="24"/>
        </w:rPr>
        <w:t> </w:t>
      </w:r>
      <w:r>
        <w:rPr>
          <w:sz w:val="24"/>
        </w:rPr>
        <w:t>Accessed</w:t>
      </w:r>
      <w:r>
        <w:rPr>
          <w:spacing w:val="-4"/>
          <w:sz w:val="24"/>
        </w:rPr>
        <w:t> </w:t>
      </w:r>
      <w:r>
        <w:rPr>
          <w:sz w:val="24"/>
        </w:rPr>
        <w:t>on</w:t>
      </w:r>
      <w:r>
        <w:rPr>
          <w:spacing w:val="-4"/>
          <w:sz w:val="24"/>
        </w:rPr>
        <w:t> </w:t>
      </w:r>
      <w:r>
        <w:rPr>
          <w:sz w:val="24"/>
        </w:rPr>
        <w:t>:</w:t>
      </w:r>
      <w:r>
        <w:rPr>
          <w:spacing w:val="-2"/>
          <w:sz w:val="24"/>
        </w:rPr>
        <w:t> </w:t>
      </w:r>
      <w:r>
        <w:rPr>
          <w:sz w:val="24"/>
        </w:rPr>
        <w:t>2 April, 2026)</w:t>
      </w:r>
    </w:p>
    <w:p>
      <w:pPr>
        <w:pStyle w:val="ListParagraph"/>
        <w:numPr>
          <w:ilvl w:val="0"/>
          <w:numId w:val="9"/>
        </w:numPr>
        <w:tabs>
          <w:tab w:pos="423" w:val="left" w:leader="none"/>
        </w:tabs>
        <w:spacing w:line="280" w:lineRule="auto" w:before="138" w:after="0"/>
        <w:ind w:left="23" w:right="198" w:firstLine="0"/>
        <w:jc w:val="left"/>
        <w:rPr>
          <w:sz w:val="24"/>
        </w:rPr>
      </w:pPr>
      <w:r>
        <w:rPr>
          <w:sz w:val="24"/>
        </w:rPr>
        <w:t>Coherent Market</w:t>
      </w:r>
      <w:r>
        <w:rPr>
          <w:spacing w:val="-2"/>
          <w:sz w:val="24"/>
        </w:rPr>
        <w:t> </w:t>
      </w:r>
      <w:r>
        <w:rPr>
          <w:sz w:val="24"/>
        </w:rPr>
        <w:t>Insights (2026)</w:t>
      </w:r>
      <w:r>
        <w:rPr>
          <w:spacing w:val="-2"/>
          <w:sz w:val="24"/>
        </w:rPr>
        <w:t> </w:t>
      </w:r>
      <w:r>
        <w:rPr>
          <w:sz w:val="24"/>
        </w:rPr>
        <w:t>Dairy</w:t>
      </w:r>
      <w:r>
        <w:rPr>
          <w:spacing w:val="-3"/>
          <w:sz w:val="24"/>
        </w:rPr>
        <w:t> </w:t>
      </w:r>
      <w:r>
        <w:rPr>
          <w:sz w:val="24"/>
        </w:rPr>
        <w:t>Products Market Size and</w:t>
      </w:r>
      <w:r>
        <w:rPr>
          <w:spacing w:val="-2"/>
          <w:sz w:val="24"/>
        </w:rPr>
        <w:t> </w:t>
      </w:r>
      <w:r>
        <w:rPr>
          <w:sz w:val="24"/>
        </w:rPr>
        <w:t>Trends -</w:t>
      </w:r>
      <w:r>
        <w:rPr>
          <w:spacing w:val="-1"/>
          <w:sz w:val="24"/>
        </w:rPr>
        <w:t> </w:t>
      </w:r>
      <w:r>
        <w:rPr>
          <w:sz w:val="24"/>
        </w:rPr>
        <w:t>2026 to 2033. </w:t>
      </w:r>
      <w:hyperlink r:id="rId13">
        <w:r>
          <w:rPr>
            <w:color w:val="000080"/>
            <w:sz w:val="24"/>
            <w:u w:val="single" w:color="000080"/>
          </w:rPr>
          <w:t>https://www.coherentmarketinsights.com/market-insight/dairy-products-</w:t>
        </w:r>
      </w:hyperlink>
      <w:r>
        <w:rPr>
          <w:color w:val="000080"/>
          <w:sz w:val="24"/>
        </w:rPr>
        <w:t> </w:t>
      </w:r>
      <w:hyperlink r:id="rId13">
        <w:r>
          <w:rPr>
            <w:color w:val="000080"/>
            <w:sz w:val="24"/>
            <w:u w:val="single" w:color="000080"/>
          </w:rPr>
          <w:t>market-5036</w:t>
        </w:r>
      </w:hyperlink>
      <w:r>
        <w:rPr>
          <w:color w:val="000080"/>
          <w:sz w:val="24"/>
        </w:rPr>
        <w:t> </w:t>
      </w:r>
      <w:r>
        <w:rPr>
          <w:sz w:val="24"/>
        </w:rPr>
        <w:t>( Accessed on : 2 April, 2026)</w:t>
      </w:r>
    </w:p>
    <w:p>
      <w:pPr>
        <w:pStyle w:val="ListParagraph"/>
        <w:spacing w:after="0" w:line="280" w:lineRule="auto"/>
        <w:jc w:val="left"/>
        <w:rPr>
          <w:sz w:val="24"/>
        </w:rPr>
        <w:sectPr>
          <w:pgSz w:w="11910" w:h="16840"/>
          <w:pgMar w:header="1066" w:footer="804" w:top="2000" w:bottom="1000" w:left="1417" w:right="1417"/>
        </w:sectPr>
      </w:pPr>
    </w:p>
    <w:p>
      <w:pPr>
        <w:pStyle w:val="ListParagraph"/>
        <w:numPr>
          <w:ilvl w:val="0"/>
          <w:numId w:val="9"/>
        </w:numPr>
        <w:tabs>
          <w:tab w:pos="423" w:val="left" w:leader="none"/>
        </w:tabs>
        <w:spacing w:line="283" w:lineRule="auto" w:before="247" w:after="0"/>
        <w:ind w:left="23" w:right="733" w:firstLine="0"/>
        <w:jc w:val="left"/>
        <w:rPr>
          <w:sz w:val="24"/>
        </w:rPr>
      </w:pPr>
      <w:r>
        <w:rPr>
          <w:sz w:val="24"/>
        </w:rPr>
        <w:t>StockAxis (2020) Hatsun Agro Products Ltd Research Report. </w:t>
      </w:r>
      <w:hyperlink r:id="rId17">
        <w:r>
          <w:rPr>
            <w:color w:val="000080"/>
            <w:spacing w:val="-2"/>
            <w:sz w:val="24"/>
            <w:u w:val="single" w:color="000080"/>
          </w:rPr>
          <w:t>https://stockaxis.com/Research-Reports/Hatsun-Agro-Products-Ltd-MB-08-09-</w:t>
        </w:r>
      </w:hyperlink>
      <w:r>
        <w:rPr>
          <w:color w:val="000080"/>
          <w:spacing w:val="-2"/>
          <w:sz w:val="24"/>
        </w:rPr>
        <w:t> </w:t>
      </w:r>
      <w:hyperlink r:id="rId17">
        <w:r>
          <w:rPr>
            <w:color w:val="000080"/>
            <w:sz w:val="24"/>
            <w:u w:val="single" w:color="000080"/>
          </w:rPr>
          <w:t>2020.html</w:t>
        </w:r>
      </w:hyperlink>
      <w:r>
        <w:rPr>
          <w:color w:val="000080"/>
          <w:spacing w:val="40"/>
          <w:sz w:val="24"/>
        </w:rPr>
        <w:t> </w:t>
      </w:r>
      <w:r>
        <w:rPr>
          <w:sz w:val="24"/>
        </w:rPr>
        <w:t>( Accessed on : 2 April, 2026)</w:t>
      </w:r>
    </w:p>
    <w:p>
      <w:pPr>
        <w:pStyle w:val="BodyText"/>
      </w:pPr>
    </w:p>
    <w:p>
      <w:pPr>
        <w:pStyle w:val="BodyText"/>
      </w:pPr>
    </w:p>
    <w:p>
      <w:pPr>
        <w:pStyle w:val="BodyText"/>
        <w:spacing w:before="233"/>
      </w:pPr>
    </w:p>
    <w:p>
      <w:pPr>
        <w:pStyle w:val="ListParagraph"/>
        <w:numPr>
          <w:ilvl w:val="0"/>
          <w:numId w:val="9"/>
        </w:numPr>
        <w:tabs>
          <w:tab w:pos="423" w:val="left" w:leader="none"/>
        </w:tabs>
        <w:spacing w:line="280" w:lineRule="auto" w:before="0" w:after="0"/>
        <w:ind w:left="23" w:right="26" w:firstLine="0"/>
        <w:jc w:val="left"/>
        <w:rPr>
          <w:sz w:val="24"/>
        </w:rPr>
      </w:pPr>
      <w:r>
        <w:rPr>
          <w:sz w:val="24"/>
        </w:rPr>
        <w:t>IISS (2026) India's renewed focus on free-trade agreements. International Institute for Strategic Studies. </w:t>
      </w:r>
      <w:hyperlink r:id="rId47">
        <w:r>
          <w:rPr>
            <w:color w:val="000080"/>
            <w:sz w:val="24"/>
            <w:u w:val="single" w:color="000080"/>
          </w:rPr>
          <w:t>https://www.iiss.org/online-analysis/online-</w:t>
        </w:r>
      </w:hyperlink>
      <w:r>
        <w:rPr>
          <w:color w:val="000080"/>
          <w:sz w:val="24"/>
        </w:rPr>
        <w:t> </w:t>
      </w:r>
      <w:hyperlink r:id="rId47">
        <w:r>
          <w:rPr>
            <w:color w:val="000080"/>
            <w:sz w:val="24"/>
            <w:u w:val="single" w:color="000080"/>
          </w:rPr>
          <w:t>analysis/2026/01/indias-renewed-focus-on-free-trade-agreements/</w:t>
        </w:r>
      </w:hyperlink>
      <w:r>
        <w:rPr>
          <w:color w:val="000080"/>
          <w:spacing w:val="40"/>
          <w:sz w:val="24"/>
        </w:rPr>
        <w:t> </w:t>
      </w:r>
      <w:r>
        <w:rPr>
          <w:sz w:val="24"/>
        </w:rPr>
        <w:t>(</w:t>
      </w:r>
      <w:r>
        <w:rPr>
          <w:spacing w:val="-3"/>
          <w:sz w:val="24"/>
        </w:rPr>
        <w:t> </w:t>
      </w:r>
      <w:r>
        <w:rPr>
          <w:sz w:val="24"/>
        </w:rPr>
        <w:t>Accessed</w:t>
      </w:r>
      <w:r>
        <w:rPr>
          <w:spacing w:val="-5"/>
          <w:sz w:val="24"/>
        </w:rPr>
        <w:t> </w:t>
      </w:r>
      <w:r>
        <w:rPr>
          <w:sz w:val="24"/>
        </w:rPr>
        <w:t>on</w:t>
      </w:r>
      <w:r>
        <w:rPr>
          <w:spacing w:val="-5"/>
          <w:sz w:val="24"/>
        </w:rPr>
        <w:t> </w:t>
      </w:r>
      <w:r>
        <w:rPr>
          <w:sz w:val="24"/>
        </w:rPr>
        <w:t>:</w:t>
      </w:r>
      <w:r>
        <w:rPr>
          <w:spacing w:val="-3"/>
          <w:sz w:val="24"/>
        </w:rPr>
        <w:t> </w:t>
      </w:r>
      <w:r>
        <w:rPr>
          <w:sz w:val="24"/>
        </w:rPr>
        <w:t>2 April, 2026)</w:t>
      </w:r>
    </w:p>
    <w:p>
      <w:pPr>
        <w:pStyle w:val="ListParagraph"/>
        <w:numPr>
          <w:ilvl w:val="0"/>
          <w:numId w:val="9"/>
        </w:numPr>
        <w:tabs>
          <w:tab w:pos="423" w:val="left" w:leader="none"/>
        </w:tabs>
        <w:spacing w:line="280" w:lineRule="auto" w:before="138" w:after="0"/>
        <w:ind w:left="23" w:right="390" w:firstLine="0"/>
        <w:jc w:val="left"/>
        <w:rPr>
          <w:sz w:val="24"/>
        </w:rPr>
      </w:pPr>
      <w:r>
        <w:rPr>
          <w:sz w:val="24"/>
        </w:rPr>
        <w:t>IMARC Group (2025) India Dairy Market Size, Share, Growth, Companies by 2034.</w:t>
      </w:r>
      <w:r>
        <w:rPr>
          <w:spacing w:val="-2"/>
          <w:sz w:val="24"/>
        </w:rPr>
        <w:t> </w:t>
      </w:r>
      <w:hyperlink r:id="rId23">
        <w:r>
          <w:rPr>
            <w:color w:val="000080"/>
            <w:sz w:val="24"/>
            <w:u w:val="single" w:color="000080"/>
          </w:rPr>
          <w:t>https://www.imarcgroup.com/dairy-industry-in-india</w:t>
        </w:r>
      </w:hyperlink>
      <w:r>
        <w:rPr>
          <w:color w:val="000080"/>
          <w:spacing w:val="40"/>
          <w:sz w:val="24"/>
        </w:rPr>
        <w:t> </w:t>
      </w:r>
      <w:r>
        <w:rPr>
          <w:sz w:val="24"/>
        </w:rPr>
        <w:t>(</w:t>
      </w:r>
      <w:r>
        <w:rPr>
          <w:spacing w:val="-4"/>
          <w:sz w:val="24"/>
        </w:rPr>
        <w:t> </w:t>
      </w:r>
      <w:r>
        <w:rPr>
          <w:sz w:val="24"/>
        </w:rPr>
        <w:t>Accessed</w:t>
      </w:r>
      <w:r>
        <w:rPr>
          <w:spacing w:val="-3"/>
          <w:sz w:val="24"/>
        </w:rPr>
        <w:t> </w:t>
      </w:r>
      <w:r>
        <w:rPr>
          <w:sz w:val="24"/>
        </w:rPr>
        <w:t>on</w:t>
      </w:r>
      <w:r>
        <w:rPr>
          <w:spacing w:val="-5"/>
          <w:sz w:val="24"/>
        </w:rPr>
        <w:t> </w:t>
      </w:r>
      <w:r>
        <w:rPr>
          <w:sz w:val="24"/>
        </w:rPr>
        <w:t>:</w:t>
      </w:r>
      <w:r>
        <w:rPr>
          <w:spacing w:val="-3"/>
          <w:sz w:val="24"/>
        </w:rPr>
        <w:t> </w:t>
      </w:r>
      <w:r>
        <w:rPr>
          <w:sz w:val="24"/>
        </w:rPr>
        <w:t>2</w:t>
      </w:r>
      <w:r>
        <w:rPr>
          <w:spacing w:val="-4"/>
          <w:sz w:val="24"/>
        </w:rPr>
        <w:t> </w:t>
      </w:r>
      <w:r>
        <w:rPr>
          <w:sz w:val="24"/>
        </w:rPr>
        <w:t>April, </w:t>
      </w:r>
      <w:r>
        <w:rPr>
          <w:spacing w:val="-2"/>
          <w:sz w:val="24"/>
        </w:rPr>
        <w:t>2026)</w:t>
      </w:r>
    </w:p>
    <w:p>
      <w:pPr>
        <w:pStyle w:val="ListParagraph"/>
        <w:numPr>
          <w:ilvl w:val="0"/>
          <w:numId w:val="9"/>
        </w:numPr>
        <w:tabs>
          <w:tab w:pos="423" w:val="left" w:leader="none"/>
        </w:tabs>
        <w:spacing w:line="283" w:lineRule="auto" w:before="138" w:after="0"/>
        <w:ind w:left="23" w:right="41" w:firstLine="0"/>
        <w:jc w:val="left"/>
        <w:rPr>
          <w:sz w:val="24"/>
        </w:rPr>
      </w:pPr>
      <w:r>
        <w:rPr>
          <w:sz w:val="24"/>
        </w:rPr>
        <w:t>IMARC Group (2026) India Cold Chain Market Size, Share &amp; Outlook | 2034. </w:t>
      </w:r>
      <w:hyperlink r:id="rId48">
        <w:r>
          <w:rPr>
            <w:color w:val="000080"/>
            <w:sz w:val="24"/>
            <w:u w:val="single" w:color="000080"/>
          </w:rPr>
          <w:t>https://www.imarcgroup.com/indian-cold-chain-market</w:t>
        </w:r>
      </w:hyperlink>
      <w:r>
        <w:rPr>
          <w:color w:val="000080"/>
          <w:spacing w:val="40"/>
          <w:sz w:val="24"/>
        </w:rPr>
        <w:t> </w:t>
      </w:r>
      <w:r>
        <w:rPr>
          <w:sz w:val="24"/>
        </w:rPr>
        <w:t>(</w:t>
      </w:r>
      <w:r>
        <w:rPr>
          <w:spacing w:val="-3"/>
          <w:sz w:val="24"/>
        </w:rPr>
        <w:t> </w:t>
      </w:r>
      <w:r>
        <w:rPr>
          <w:sz w:val="24"/>
        </w:rPr>
        <w:t>Accessed</w:t>
      </w:r>
      <w:r>
        <w:rPr>
          <w:spacing w:val="-4"/>
          <w:sz w:val="24"/>
        </w:rPr>
        <w:t> </w:t>
      </w:r>
      <w:r>
        <w:rPr>
          <w:sz w:val="24"/>
        </w:rPr>
        <w:t>on</w:t>
      </w:r>
      <w:r>
        <w:rPr>
          <w:spacing w:val="-2"/>
          <w:sz w:val="24"/>
        </w:rPr>
        <w:t> </w:t>
      </w:r>
      <w:r>
        <w:rPr>
          <w:sz w:val="24"/>
        </w:rPr>
        <w:t>:</w:t>
      </w:r>
      <w:r>
        <w:rPr>
          <w:spacing w:val="-3"/>
          <w:sz w:val="24"/>
        </w:rPr>
        <w:t> </w:t>
      </w:r>
      <w:r>
        <w:rPr>
          <w:sz w:val="24"/>
        </w:rPr>
        <w:t>2</w:t>
      </w:r>
      <w:r>
        <w:rPr>
          <w:spacing w:val="-2"/>
          <w:sz w:val="24"/>
        </w:rPr>
        <w:t> </w:t>
      </w:r>
      <w:r>
        <w:rPr>
          <w:sz w:val="24"/>
        </w:rPr>
        <w:t>April,</w:t>
      </w:r>
      <w:r>
        <w:rPr>
          <w:spacing w:val="-2"/>
          <w:sz w:val="24"/>
        </w:rPr>
        <w:t> </w:t>
      </w:r>
      <w:r>
        <w:rPr>
          <w:sz w:val="24"/>
        </w:rPr>
        <w:t>2026)</w:t>
      </w:r>
    </w:p>
    <w:p>
      <w:pPr>
        <w:pStyle w:val="ListParagraph"/>
        <w:numPr>
          <w:ilvl w:val="0"/>
          <w:numId w:val="9"/>
        </w:numPr>
        <w:tabs>
          <w:tab w:pos="423" w:val="left" w:leader="none"/>
        </w:tabs>
        <w:spacing w:line="280" w:lineRule="auto" w:before="135" w:after="0"/>
        <w:ind w:left="23" w:right="1108" w:firstLine="0"/>
        <w:jc w:val="both"/>
        <w:rPr>
          <w:sz w:val="24"/>
        </w:rPr>
      </w:pPr>
      <w:r>
        <w:rPr>
          <w:sz w:val="24"/>
        </w:rPr>
        <w:t>Kabilai Farm (2026) India's Dairy Industry: Growth, Trends, and Future </w:t>
      </w:r>
      <w:r>
        <w:rPr>
          <w:spacing w:val="-2"/>
          <w:sz w:val="24"/>
        </w:rPr>
        <w:t>Prospects.</w:t>
      </w:r>
      <w:hyperlink r:id="rId49">
        <w:r>
          <w:rPr>
            <w:color w:val="000080"/>
            <w:spacing w:val="-2"/>
            <w:sz w:val="24"/>
            <w:u w:val="single" w:color="000080"/>
          </w:rPr>
          <w:t>https://kabilaifarm.com/dairy-industry-india-growth-trends-future/</w:t>
        </w:r>
      </w:hyperlink>
      <w:r>
        <w:rPr>
          <w:color w:val="000080"/>
          <w:spacing w:val="80"/>
          <w:sz w:val="24"/>
        </w:rPr>
        <w:t> </w:t>
      </w:r>
      <w:r>
        <w:rPr>
          <w:sz w:val="24"/>
        </w:rPr>
        <w:t>( Accessed on : 2 April, 2026)</w:t>
      </w:r>
    </w:p>
    <w:p>
      <w:pPr>
        <w:pStyle w:val="ListParagraph"/>
        <w:numPr>
          <w:ilvl w:val="0"/>
          <w:numId w:val="9"/>
        </w:numPr>
        <w:tabs>
          <w:tab w:pos="423" w:val="left" w:leader="none"/>
        </w:tabs>
        <w:spacing w:line="280" w:lineRule="auto" w:before="138" w:after="0"/>
        <w:ind w:left="23" w:right="25" w:firstLine="0"/>
        <w:jc w:val="left"/>
        <w:rPr>
          <w:sz w:val="24"/>
        </w:rPr>
      </w:pPr>
      <w:r>
        <w:rPr>
          <w:sz w:val="24"/>
        </w:rPr>
        <w:t>Research and Markets (2025) Dairy Industry in India 2025 Edition. </w:t>
      </w:r>
      <w:hyperlink r:id="rId50">
        <w:r>
          <w:rPr>
            <w:color w:val="000080"/>
            <w:sz w:val="24"/>
            <w:u w:val="single" w:color="000080"/>
          </w:rPr>
          <w:t>https://www.researchandmarkets.com/report/india-dairy-products-market</w:t>
        </w:r>
      </w:hyperlink>
      <w:r>
        <w:rPr>
          <w:color w:val="000080"/>
          <w:spacing w:val="40"/>
          <w:sz w:val="24"/>
        </w:rPr>
        <w:t> </w:t>
      </w:r>
      <w:r>
        <w:rPr>
          <w:sz w:val="24"/>
        </w:rPr>
        <w:t>(</w:t>
      </w:r>
      <w:r>
        <w:rPr>
          <w:spacing w:val="-9"/>
          <w:sz w:val="24"/>
        </w:rPr>
        <w:t> </w:t>
      </w:r>
      <w:r>
        <w:rPr>
          <w:sz w:val="24"/>
        </w:rPr>
        <w:t>Accessed on : 2 April, 2026)</w:t>
      </w:r>
    </w:p>
    <w:p>
      <w:pPr>
        <w:pStyle w:val="ListParagraph"/>
        <w:numPr>
          <w:ilvl w:val="0"/>
          <w:numId w:val="9"/>
        </w:numPr>
        <w:tabs>
          <w:tab w:pos="423" w:val="left" w:leader="none"/>
        </w:tabs>
        <w:spacing w:line="280" w:lineRule="auto" w:before="139" w:after="0"/>
        <w:ind w:left="23" w:right="104" w:firstLine="0"/>
        <w:jc w:val="left"/>
        <w:rPr>
          <w:sz w:val="24"/>
        </w:rPr>
      </w:pPr>
      <w:r>
        <w:rPr>
          <w:sz w:val="24"/>
        </w:rPr>
        <w:t>ResearchGate (2026) Milk Production in India and World : An Overview. </w:t>
      </w:r>
      <w:hyperlink r:id="rId51">
        <w:r>
          <w:rPr>
            <w:color w:val="000080"/>
            <w:spacing w:val="-2"/>
            <w:sz w:val="24"/>
            <w:u w:val="single" w:color="000080"/>
          </w:rPr>
          <w:t>https://www.researchgate.net/publication/400196393_Milk_Production_in_India_and</w:t>
        </w:r>
      </w:hyperlink>
    </w:p>
    <w:p>
      <w:pPr>
        <w:pStyle w:val="BodyText"/>
        <w:ind w:left="23"/>
      </w:pPr>
      <w:hyperlink r:id="rId51">
        <w:r>
          <w:rPr>
            <w:color w:val="000080"/>
            <w:u w:val="single" w:color="000080"/>
          </w:rPr>
          <w:t>_World_An_Overview</w:t>
        </w:r>
      </w:hyperlink>
      <w:r>
        <w:rPr>
          <w:color w:val="000080"/>
          <w:spacing w:val="64"/>
        </w:rPr>
        <w:t> </w:t>
      </w:r>
      <w:r>
        <w:rPr/>
        <w:t>(</w:t>
      </w:r>
      <w:r>
        <w:rPr>
          <w:spacing w:val="-2"/>
        </w:rPr>
        <w:t> </w:t>
      </w:r>
      <w:r>
        <w:rPr/>
        <w:t>Accessed</w:t>
      </w:r>
      <w:r>
        <w:rPr>
          <w:spacing w:val="-2"/>
        </w:rPr>
        <w:t> </w:t>
      </w:r>
      <w:r>
        <w:rPr/>
        <w:t>on</w:t>
      </w:r>
      <w:r>
        <w:rPr>
          <w:spacing w:val="-2"/>
        </w:rPr>
        <w:t> </w:t>
      </w:r>
      <w:r>
        <w:rPr/>
        <w:t>:</w:t>
      </w:r>
      <w:r>
        <w:rPr>
          <w:spacing w:val="-1"/>
        </w:rPr>
        <w:t> </w:t>
      </w:r>
      <w:r>
        <w:rPr/>
        <w:t>2</w:t>
      </w:r>
      <w:r>
        <w:rPr>
          <w:spacing w:val="-1"/>
        </w:rPr>
        <w:t> </w:t>
      </w:r>
      <w:r>
        <w:rPr/>
        <w:t>April,</w:t>
      </w:r>
      <w:r>
        <w:rPr>
          <w:spacing w:val="-2"/>
        </w:rPr>
        <w:t> 2026)</w:t>
      </w:r>
    </w:p>
    <w:p>
      <w:pPr>
        <w:pStyle w:val="ListParagraph"/>
        <w:numPr>
          <w:ilvl w:val="0"/>
          <w:numId w:val="9"/>
        </w:numPr>
        <w:tabs>
          <w:tab w:pos="423" w:val="left" w:leader="none"/>
        </w:tabs>
        <w:spacing w:line="280" w:lineRule="auto" w:before="185" w:after="0"/>
        <w:ind w:left="23" w:right="135" w:firstLine="0"/>
        <w:jc w:val="left"/>
        <w:rPr>
          <w:sz w:val="24"/>
        </w:rPr>
      </w:pPr>
      <w:r>
        <w:rPr>
          <w:sz w:val="24"/>
        </w:rPr>
        <w:t>ICICI Direct (2025) Milky Mist IPO: Date, Price Range, Lot Size &amp; Updates (Contains</w:t>
      </w:r>
      <w:r>
        <w:rPr>
          <w:spacing w:val="-4"/>
          <w:sz w:val="24"/>
        </w:rPr>
        <w:t> </w:t>
      </w:r>
      <w:r>
        <w:rPr>
          <w:sz w:val="24"/>
        </w:rPr>
        <w:t>Peer</w:t>
      </w:r>
      <w:r>
        <w:rPr>
          <w:spacing w:val="-7"/>
          <w:sz w:val="24"/>
        </w:rPr>
        <w:t> </w:t>
      </w:r>
      <w:r>
        <w:rPr>
          <w:sz w:val="24"/>
        </w:rPr>
        <w:t>and</w:t>
      </w:r>
      <w:r>
        <w:rPr>
          <w:spacing w:val="-6"/>
          <w:sz w:val="24"/>
        </w:rPr>
        <w:t> </w:t>
      </w:r>
      <w:r>
        <w:rPr>
          <w:sz w:val="24"/>
        </w:rPr>
        <w:t>VADP</w:t>
      </w:r>
      <w:r>
        <w:rPr>
          <w:spacing w:val="-4"/>
          <w:sz w:val="24"/>
        </w:rPr>
        <w:t> </w:t>
      </w:r>
      <w:r>
        <w:rPr>
          <w:sz w:val="24"/>
        </w:rPr>
        <w:t>Industry</w:t>
      </w:r>
      <w:r>
        <w:rPr>
          <w:spacing w:val="-7"/>
          <w:sz w:val="24"/>
        </w:rPr>
        <w:t> </w:t>
      </w:r>
      <w:r>
        <w:rPr>
          <w:sz w:val="24"/>
        </w:rPr>
        <w:t>Data).</w:t>
      </w:r>
      <w:r>
        <w:rPr>
          <w:spacing w:val="-1"/>
          <w:sz w:val="24"/>
        </w:rPr>
        <w:t> </w:t>
      </w:r>
      <w:hyperlink r:id="rId52">
        <w:r>
          <w:rPr>
            <w:color w:val="000080"/>
            <w:sz w:val="24"/>
            <w:u w:val="single" w:color="000080"/>
          </w:rPr>
          <w:t>https://www.icicidirect.com/ipo/milky-mist-</w:t>
        </w:r>
      </w:hyperlink>
      <w:r>
        <w:rPr>
          <w:color w:val="000080"/>
          <w:sz w:val="24"/>
        </w:rPr>
        <w:t> </w:t>
      </w:r>
      <w:hyperlink r:id="rId52">
        <w:r>
          <w:rPr>
            <w:color w:val="000080"/>
            <w:sz w:val="24"/>
            <w:u w:val="single" w:color="000080"/>
          </w:rPr>
          <w:t>ipo</w:t>
        </w:r>
      </w:hyperlink>
      <w:r>
        <w:rPr>
          <w:color w:val="000080"/>
          <w:spacing w:val="40"/>
          <w:sz w:val="24"/>
        </w:rPr>
        <w:t> </w:t>
      </w:r>
      <w:r>
        <w:rPr>
          <w:sz w:val="24"/>
        </w:rPr>
        <w:t>( Accessed on : 2 April, 2026)</w:t>
      </w:r>
    </w:p>
    <w:p>
      <w:pPr>
        <w:pStyle w:val="ListParagraph"/>
        <w:numPr>
          <w:ilvl w:val="0"/>
          <w:numId w:val="9"/>
        </w:numPr>
        <w:tabs>
          <w:tab w:pos="423" w:val="left" w:leader="none"/>
        </w:tabs>
        <w:spacing w:line="283" w:lineRule="auto" w:before="138" w:after="0"/>
        <w:ind w:left="23" w:right="1646" w:firstLine="0"/>
        <w:jc w:val="left"/>
        <w:rPr>
          <w:sz w:val="24"/>
        </w:rPr>
      </w:pPr>
      <w:r>
        <w:rPr>
          <w:sz w:val="24"/>
        </w:rPr>
        <w:t>Nestlé India (2026)</w:t>
      </w:r>
      <w:r>
        <w:rPr>
          <w:spacing w:val="-2"/>
          <w:sz w:val="24"/>
        </w:rPr>
        <w:t> </w:t>
      </w:r>
      <w:r>
        <w:rPr>
          <w:sz w:val="24"/>
        </w:rPr>
        <w:t>About</w:t>
      </w:r>
      <w:r>
        <w:rPr>
          <w:spacing w:val="-1"/>
          <w:sz w:val="24"/>
        </w:rPr>
        <w:t> </w:t>
      </w:r>
      <w:r>
        <w:rPr>
          <w:sz w:val="24"/>
        </w:rPr>
        <w:t>Us:</w:t>
      </w:r>
      <w:r>
        <w:rPr>
          <w:spacing w:val="-2"/>
          <w:sz w:val="24"/>
        </w:rPr>
        <w:t> </w:t>
      </w:r>
      <w:r>
        <w:rPr>
          <w:sz w:val="24"/>
        </w:rPr>
        <w:t>Our</w:t>
      </w:r>
      <w:r>
        <w:rPr>
          <w:spacing w:val="-1"/>
          <w:sz w:val="24"/>
        </w:rPr>
        <w:t> </w:t>
      </w:r>
      <w:r>
        <w:rPr>
          <w:sz w:val="24"/>
        </w:rPr>
        <w:t>Story</w:t>
      </w:r>
      <w:r>
        <w:rPr>
          <w:spacing w:val="-4"/>
          <w:sz w:val="24"/>
        </w:rPr>
        <w:t> </w:t>
      </w:r>
      <w:r>
        <w:rPr>
          <w:sz w:val="24"/>
        </w:rPr>
        <w:t>&amp; Presence Across</w:t>
      </w:r>
      <w:r>
        <w:rPr>
          <w:spacing w:val="-3"/>
          <w:sz w:val="24"/>
        </w:rPr>
        <w:t> </w:t>
      </w:r>
      <w:r>
        <w:rPr>
          <w:sz w:val="24"/>
        </w:rPr>
        <w:t>India. </w:t>
      </w:r>
      <w:hyperlink r:id="rId53">
        <w:r>
          <w:rPr>
            <w:color w:val="000080"/>
            <w:sz w:val="24"/>
            <w:u w:val="single" w:color="000080"/>
          </w:rPr>
          <w:t>https://www.nestle.in/about-us</w:t>
        </w:r>
      </w:hyperlink>
      <w:r>
        <w:rPr>
          <w:color w:val="000080"/>
          <w:spacing w:val="40"/>
          <w:sz w:val="24"/>
        </w:rPr>
        <w:t> </w:t>
      </w:r>
      <w:r>
        <w:rPr>
          <w:sz w:val="24"/>
        </w:rPr>
        <w:t>( Accessed on : 2 April, 2026)</w:t>
      </w:r>
    </w:p>
    <w:p>
      <w:pPr>
        <w:pStyle w:val="BodyText"/>
      </w:pPr>
    </w:p>
    <w:p>
      <w:pPr>
        <w:pStyle w:val="BodyText"/>
      </w:pPr>
    </w:p>
    <w:p>
      <w:pPr>
        <w:pStyle w:val="BodyText"/>
        <w:spacing w:before="234"/>
      </w:pPr>
    </w:p>
    <w:p>
      <w:pPr>
        <w:pStyle w:val="ListParagraph"/>
        <w:numPr>
          <w:ilvl w:val="0"/>
          <w:numId w:val="9"/>
        </w:numPr>
        <w:tabs>
          <w:tab w:pos="423" w:val="left" w:leader="none"/>
        </w:tabs>
        <w:spacing w:line="280" w:lineRule="auto" w:before="0" w:after="0"/>
        <w:ind w:left="23" w:right="25" w:firstLine="0"/>
        <w:jc w:val="left"/>
        <w:rPr>
          <w:sz w:val="24"/>
        </w:rPr>
      </w:pPr>
      <w:r>
        <w:rPr>
          <w:sz w:val="24"/>
        </w:rPr>
        <w:t>Fortune Business Insights (2025) India Dairy Market Size, Share, Growth | Statistics</w:t>
      </w:r>
      <w:r>
        <w:rPr>
          <w:spacing w:val="-12"/>
          <w:sz w:val="24"/>
        </w:rPr>
        <w:t> </w:t>
      </w:r>
      <w:r>
        <w:rPr>
          <w:sz w:val="24"/>
        </w:rPr>
        <w:t>Report</w:t>
      </w:r>
      <w:r>
        <w:rPr>
          <w:spacing w:val="-12"/>
          <w:sz w:val="24"/>
        </w:rPr>
        <w:t> </w:t>
      </w:r>
      <w:r>
        <w:rPr>
          <w:sz w:val="24"/>
        </w:rPr>
        <w:t>[2032].</w:t>
      </w:r>
      <w:r>
        <w:rPr>
          <w:spacing w:val="-9"/>
          <w:sz w:val="24"/>
        </w:rPr>
        <w:t> </w:t>
      </w:r>
      <w:hyperlink r:id="rId25">
        <w:r>
          <w:rPr>
            <w:color w:val="000080"/>
            <w:sz w:val="24"/>
            <w:u w:val="single" w:color="000080"/>
          </w:rPr>
          <w:t>https://www.fortunebusinessinsights.com/india-dairy-market-</w:t>
        </w:r>
      </w:hyperlink>
      <w:r>
        <w:rPr>
          <w:color w:val="000080"/>
          <w:sz w:val="24"/>
        </w:rPr>
        <w:t> </w:t>
      </w:r>
      <w:hyperlink r:id="rId25">
        <w:r>
          <w:rPr>
            <w:color w:val="000080"/>
            <w:sz w:val="24"/>
            <w:u w:val="single" w:color="000080"/>
          </w:rPr>
          <w:t>107416</w:t>
        </w:r>
      </w:hyperlink>
      <w:r>
        <w:rPr>
          <w:color w:val="000080"/>
          <w:sz w:val="24"/>
        </w:rPr>
        <w:t> </w:t>
      </w:r>
      <w:r>
        <w:rPr>
          <w:sz w:val="24"/>
        </w:rPr>
        <w:t>( Accessed on : 3 April, 2026)</w:t>
      </w:r>
    </w:p>
    <w:p>
      <w:pPr>
        <w:pStyle w:val="ListParagraph"/>
        <w:numPr>
          <w:ilvl w:val="0"/>
          <w:numId w:val="9"/>
        </w:numPr>
        <w:tabs>
          <w:tab w:pos="423" w:val="left" w:leader="none"/>
        </w:tabs>
        <w:spacing w:line="280" w:lineRule="auto" w:before="139" w:after="0"/>
        <w:ind w:left="23" w:right="298" w:firstLine="0"/>
        <w:jc w:val="left"/>
        <w:rPr>
          <w:sz w:val="24"/>
        </w:rPr>
      </w:pPr>
      <w:r>
        <w:rPr>
          <w:sz w:val="24"/>
        </w:rPr>
        <w:t>JM</w:t>
      </w:r>
      <w:r>
        <w:rPr>
          <w:spacing w:val="-2"/>
          <w:sz w:val="24"/>
        </w:rPr>
        <w:t> </w:t>
      </w:r>
      <w:r>
        <w:rPr>
          <w:sz w:val="24"/>
        </w:rPr>
        <w:t>Financial</w:t>
      </w:r>
      <w:r>
        <w:rPr>
          <w:spacing w:val="-2"/>
          <w:sz w:val="24"/>
        </w:rPr>
        <w:t> </w:t>
      </w:r>
      <w:r>
        <w:rPr>
          <w:sz w:val="24"/>
        </w:rPr>
        <w:t>(2026)</w:t>
      </w:r>
      <w:r>
        <w:rPr>
          <w:spacing w:val="-2"/>
          <w:sz w:val="24"/>
        </w:rPr>
        <w:t> </w:t>
      </w:r>
      <w:r>
        <w:rPr>
          <w:sz w:val="24"/>
        </w:rPr>
        <w:t>Nestle</w:t>
      </w:r>
      <w:r>
        <w:rPr>
          <w:spacing w:val="-1"/>
          <w:sz w:val="24"/>
        </w:rPr>
        <w:t> </w:t>
      </w:r>
      <w:r>
        <w:rPr>
          <w:sz w:val="24"/>
        </w:rPr>
        <w:t>India</w:t>
      </w:r>
      <w:r>
        <w:rPr>
          <w:spacing w:val="-1"/>
          <w:sz w:val="24"/>
        </w:rPr>
        <w:t> </w:t>
      </w:r>
      <w:r>
        <w:rPr>
          <w:sz w:val="24"/>
        </w:rPr>
        <w:t>Shares</w:t>
      </w:r>
      <w:r>
        <w:rPr>
          <w:spacing w:val="-1"/>
          <w:sz w:val="24"/>
        </w:rPr>
        <w:t> </w:t>
      </w:r>
      <w:r>
        <w:rPr>
          <w:sz w:val="24"/>
        </w:rPr>
        <w:t>Jump</w:t>
      </w:r>
      <w:r>
        <w:rPr>
          <w:spacing w:val="-3"/>
          <w:sz w:val="24"/>
        </w:rPr>
        <w:t> </w:t>
      </w:r>
      <w:r>
        <w:rPr>
          <w:sz w:val="24"/>
        </w:rPr>
        <w:t>19%</w:t>
      </w:r>
      <w:r>
        <w:rPr>
          <w:spacing w:val="-2"/>
          <w:sz w:val="24"/>
        </w:rPr>
        <w:t> </w:t>
      </w:r>
      <w:r>
        <w:rPr>
          <w:sz w:val="24"/>
        </w:rPr>
        <w:t>in</w:t>
      </w:r>
      <w:r>
        <w:rPr>
          <w:spacing w:val="-1"/>
          <w:sz w:val="24"/>
        </w:rPr>
        <w:t> </w:t>
      </w:r>
      <w:r>
        <w:rPr>
          <w:sz w:val="24"/>
        </w:rPr>
        <w:t>One</w:t>
      </w:r>
      <w:r>
        <w:rPr>
          <w:spacing w:val="-1"/>
          <w:sz w:val="24"/>
        </w:rPr>
        <w:t> </w:t>
      </w:r>
      <w:r>
        <w:rPr>
          <w:sz w:val="24"/>
        </w:rPr>
        <w:t>Month:</w:t>
      </w:r>
      <w:r>
        <w:rPr>
          <w:spacing w:val="-1"/>
          <w:sz w:val="24"/>
        </w:rPr>
        <w:t> </w:t>
      </w:r>
      <w:r>
        <w:rPr>
          <w:sz w:val="24"/>
        </w:rPr>
        <w:t>Q4</w:t>
      </w:r>
      <w:r>
        <w:rPr>
          <w:spacing w:val="-2"/>
          <w:sz w:val="24"/>
        </w:rPr>
        <w:t> </w:t>
      </w:r>
      <w:r>
        <w:rPr>
          <w:sz w:val="24"/>
        </w:rPr>
        <w:t>Blowout on Record Domestic Sales. </w:t>
      </w:r>
      <w:hyperlink r:id="rId54">
        <w:r>
          <w:rPr>
            <w:color w:val="000080"/>
            <w:sz w:val="24"/>
            <w:u w:val="single" w:color="000080"/>
          </w:rPr>
          <w:t>https://www.jmfinancialservices.in/blogs-and-</w:t>
        </w:r>
      </w:hyperlink>
    </w:p>
    <w:p>
      <w:pPr>
        <w:pStyle w:val="ListParagraph"/>
        <w:spacing w:after="0" w:line="280" w:lineRule="auto"/>
        <w:jc w:val="left"/>
        <w:rPr>
          <w:sz w:val="24"/>
        </w:rPr>
        <w:sectPr>
          <w:pgSz w:w="11910" w:h="16840"/>
          <w:pgMar w:header="1066" w:footer="804" w:top="2000" w:bottom="1000" w:left="1417" w:right="1417"/>
        </w:sectPr>
      </w:pPr>
    </w:p>
    <w:p>
      <w:pPr>
        <w:pStyle w:val="BodyText"/>
        <w:spacing w:line="283" w:lineRule="auto" w:before="247"/>
        <w:ind w:left="23" w:right="505"/>
      </w:pPr>
      <w:r>
        <w:rPr>
          <w:color w:val="000080"/>
          <w:spacing w:val="-2"/>
          <w:u w:val="single" w:color="000080"/>
        </w:rPr>
        <w:t>articles/nestle-india-shares-jump-19percent-in-one-month-q4-blowout-on-record-</w:t>
      </w:r>
      <w:r>
        <w:rPr>
          <w:color w:val="000080"/>
          <w:spacing w:val="-2"/>
        </w:rPr>
        <w:t> </w:t>
      </w:r>
      <w:r>
        <w:rPr>
          <w:color w:val="000080"/>
          <w:u w:val="single" w:color="000080"/>
        </w:rPr>
        <w:t>domestic-sales</w:t>
      </w:r>
      <w:r>
        <w:rPr>
          <w:color w:val="000080"/>
        </w:rPr>
        <w:t> </w:t>
      </w:r>
      <w:r>
        <w:rPr/>
        <w:t>( Accessed on : 3 April, 2026)</w:t>
      </w:r>
    </w:p>
    <w:p>
      <w:pPr>
        <w:pStyle w:val="BodyText"/>
      </w:pPr>
    </w:p>
    <w:p>
      <w:pPr>
        <w:pStyle w:val="BodyText"/>
        <w:spacing w:before="49"/>
      </w:pPr>
    </w:p>
    <w:p>
      <w:pPr>
        <w:pStyle w:val="ListParagraph"/>
        <w:numPr>
          <w:ilvl w:val="0"/>
          <w:numId w:val="9"/>
        </w:numPr>
        <w:tabs>
          <w:tab w:pos="423" w:val="left" w:leader="none"/>
        </w:tabs>
        <w:spacing w:line="280" w:lineRule="auto" w:before="1" w:after="0"/>
        <w:ind w:left="23" w:right="279" w:firstLine="0"/>
        <w:jc w:val="left"/>
        <w:rPr>
          <w:sz w:val="24"/>
        </w:rPr>
      </w:pPr>
      <w:r>
        <w:rPr>
          <w:sz w:val="24"/>
        </w:rPr>
        <w:t>Patvardhan, N., Rathi, C., &amp; Chopra, A. (2025) The Indian Dairy Market: Forecast, Risk and Strategic Roadmap to 2030. Research on World Agricultural Economy, 7(1), 90–116. </w:t>
      </w:r>
      <w:r>
        <w:rPr>
          <w:color w:val="000080"/>
          <w:sz w:val="24"/>
          <w:u w:val="single" w:color="000080"/>
        </w:rPr>
        <w:t>https://doi.org/10.36956/rwae.v7i1.2527</w:t>
      </w:r>
      <w:r>
        <w:rPr>
          <w:color w:val="000080"/>
          <w:sz w:val="24"/>
        </w:rPr>
        <w:t> </w:t>
      </w:r>
      <w:r>
        <w:rPr>
          <w:sz w:val="24"/>
        </w:rPr>
        <w:t>( Accessed on : 2</w:t>
      </w:r>
    </w:p>
    <w:p>
      <w:pPr>
        <w:pStyle w:val="BodyText"/>
        <w:spacing w:line="271" w:lineRule="exact"/>
        <w:ind w:left="23"/>
      </w:pPr>
      <w:r>
        <w:rPr/>
        <w:t>April,</w:t>
      </w:r>
      <w:r>
        <w:rPr>
          <w:spacing w:val="-7"/>
        </w:rPr>
        <w:t> </w:t>
      </w:r>
      <w:r>
        <w:rPr>
          <w:spacing w:val="-2"/>
        </w:rPr>
        <w:t>2026)</w:t>
      </w:r>
    </w:p>
    <w:p>
      <w:pPr>
        <w:pStyle w:val="ListParagraph"/>
        <w:numPr>
          <w:ilvl w:val="0"/>
          <w:numId w:val="9"/>
        </w:numPr>
        <w:tabs>
          <w:tab w:pos="423" w:val="left" w:leader="none"/>
        </w:tabs>
        <w:spacing w:line="283" w:lineRule="auto" w:before="184" w:after="0"/>
        <w:ind w:left="23" w:right="171" w:firstLine="0"/>
        <w:jc w:val="left"/>
        <w:rPr>
          <w:sz w:val="24"/>
        </w:rPr>
      </w:pPr>
      <w:r>
        <w:rPr>
          <w:sz w:val="24"/>
        </w:rPr>
        <w:t>Chadha Sales (2025) FSSAI 2025 Rules for Dairy Kiosks: Key Compliance Guide.</w:t>
      </w:r>
      <w:r>
        <w:rPr>
          <w:spacing w:val="-16"/>
          <w:sz w:val="24"/>
        </w:rPr>
        <w:t> </w:t>
      </w:r>
      <w:r>
        <w:rPr>
          <w:color w:val="000080"/>
          <w:sz w:val="24"/>
          <w:u w:val="single" w:color="000080"/>
        </w:rPr>
        <w:t>https://chadhasales.com/fssai-2025-rules-for-dairy-kiosks-compliance-guide/</w:t>
      </w:r>
      <w:r>
        <w:rPr>
          <w:color w:val="000080"/>
          <w:sz w:val="24"/>
        </w:rPr>
        <w:t> </w:t>
      </w:r>
      <w:r>
        <w:rPr>
          <w:sz w:val="24"/>
        </w:rPr>
        <w:t>( Accessed on : 2 April, 2026)</w:t>
      </w:r>
    </w:p>
    <w:p>
      <w:pPr>
        <w:pStyle w:val="ListParagraph"/>
        <w:numPr>
          <w:ilvl w:val="0"/>
          <w:numId w:val="9"/>
        </w:numPr>
        <w:tabs>
          <w:tab w:pos="423" w:val="left" w:leader="none"/>
        </w:tabs>
        <w:spacing w:line="280" w:lineRule="auto" w:before="131" w:after="0"/>
        <w:ind w:left="23" w:right="115" w:firstLine="0"/>
        <w:jc w:val="left"/>
        <w:rPr>
          <w:sz w:val="24"/>
        </w:rPr>
      </w:pPr>
      <w:r>
        <w:rPr>
          <w:sz w:val="24"/>
        </w:rPr>
        <w:t>Food</w:t>
      </w:r>
      <w:r>
        <w:rPr>
          <w:spacing w:val="-1"/>
          <w:sz w:val="24"/>
        </w:rPr>
        <w:t> </w:t>
      </w:r>
      <w:r>
        <w:rPr>
          <w:sz w:val="24"/>
        </w:rPr>
        <w:t>Safety</w:t>
      </w:r>
      <w:r>
        <w:rPr>
          <w:spacing w:val="-1"/>
          <w:sz w:val="24"/>
        </w:rPr>
        <w:t> </w:t>
      </w:r>
      <w:r>
        <w:rPr>
          <w:sz w:val="24"/>
        </w:rPr>
        <w:t>and</w:t>
      </w:r>
      <w:r>
        <w:rPr>
          <w:spacing w:val="-1"/>
          <w:sz w:val="24"/>
        </w:rPr>
        <w:t> </w:t>
      </w:r>
      <w:r>
        <w:rPr>
          <w:sz w:val="24"/>
        </w:rPr>
        <w:t>Standards Authority</w:t>
      </w:r>
      <w:r>
        <w:rPr>
          <w:spacing w:val="-1"/>
          <w:sz w:val="24"/>
        </w:rPr>
        <w:t> </w:t>
      </w:r>
      <w:r>
        <w:rPr>
          <w:sz w:val="24"/>
        </w:rPr>
        <w:t>of India (FSSAI) (2026)</w:t>
      </w:r>
      <w:r>
        <w:rPr>
          <w:spacing w:val="-1"/>
          <w:sz w:val="24"/>
        </w:rPr>
        <w:t> </w:t>
      </w:r>
      <w:r>
        <w:rPr>
          <w:sz w:val="24"/>
        </w:rPr>
        <w:t>Advisory</w:t>
      </w:r>
      <w:r>
        <w:rPr>
          <w:spacing w:val="-2"/>
          <w:sz w:val="24"/>
        </w:rPr>
        <w:t> </w:t>
      </w:r>
      <w:r>
        <w:rPr>
          <w:sz w:val="24"/>
        </w:rPr>
        <w:t>related to Milk Producers and Milk vendors. Government of India. </w:t>
      </w:r>
      <w:r>
        <w:rPr>
          <w:color w:val="000080"/>
          <w:spacing w:val="-2"/>
          <w:sz w:val="24"/>
          <w:u w:val="single" w:color="000080"/>
        </w:rPr>
        <w:t>https://fssai.gov.in/upload/advisories/2026/03/69b2835b23822Advisory%20dated%2</w:t>
      </w:r>
      <w:r>
        <w:rPr>
          <w:color w:val="000080"/>
          <w:spacing w:val="-2"/>
          <w:sz w:val="24"/>
        </w:rPr>
        <w:t> </w:t>
      </w:r>
      <w:r>
        <w:rPr>
          <w:color w:val="000080"/>
          <w:spacing w:val="-2"/>
          <w:sz w:val="24"/>
          <w:u w:val="single" w:color="000080"/>
        </w:rPr>
        <w:t>011.03.2026%20related%20to%20Milk%20Producers%20and%20Milk%20vendors.</w:t>
      </w:r>
      <w:r>
        <w:rPr>
          <w:color w:val="000080"/>
          <w:spacing w:val="-2"/>
          <w:sz w:val="24"/>
        </w:rPr>
        <w:t> </w:t>
      </w:r>
      <w:r>
        <w:rPr>
          <w:color w:val="000080"/>
          <w:sz w:val="24"/>
          <w:u w:val="single" w:color="000080"/>
        </w:rPr>
        <w:t>pdf</w:t>
      </w:r>
      <w:r>
        <w:rPr>
          <w:color w:val="000080"/>
          <w:spacing w:val="40"/>
          <w:sz w:val="24"/>
        </w:rPr>
        <w:t> </w:t>
      </w:r>
      <w:r>
        <w:rPr>
          <w:sz w:val="24"/>
        </w:rPr>
        <w:t>( Accessed on : 2 April, 2026)</w:t>
      </w:r>
    </w:p>
    <w:p>
      <w:pPr>
        <w:pStyle w:val="ListParagraph"/>
        <w:numPr>
          <w:ilvl w:val="0"/>
          <w:numId w:val="9"/>
        </w:numPr>
        <w:tabs>
          <w:tab w:pos="423" w:val="left" w:leader="none"/>
        </w:tabs>
        <w:spacing w:line="280" w:lineRule="auto" w:before="139" w:after="0"/>
        <w:ind w:left="23" w:right="252" w:firstLine="0"/>
        <w:jc w:val="left"/>
        <w:rPr>
          <w:sz w:val="24"/>
        </w:rPr>
      </w:pPr>
      <w:r>
        <w:rPr>
          <w:sz w:val="24"/>
        </w:rPr>
        <w:t>Corpbiz (2025) FSSAI Nationwide Action on Dairy Adulteration Explained. </w:t>
      </w:r>
      <w:r>
        <w:rPr>
          <w:color w:val="000080"/>
          <w:sz w:val="24"/>
          <w:u w:val="single" w:color="000080"/>
        </w:rPr>
        <w:t>https://corpbiz.io/learning/fssai-crackdown-on-dairy-adulteration/</w:t>
      </w:r>
      <w:r>
        <w:rPr>
          <w:color w:val="000080"/>
          <w:spacing w:val="40"/>
          <w:sz w:val="24"/>
        </w:rPr>
        <w:t> </w:t>
      </w:r>
      <w:r>
        <w:rPr>
          <w:sz w:val="24"/>
        </w:rPr>
        <w:t>(</w:t>
      </w:r>
      <w:r>
        <w:rPr>
          <w:spacing w:val="-4"/>
          <w:sz w:val="24"/>
        </w:rPr>
        <w:t> </w:t>
      </w:r>
      <w:r>
        <w:rPr>
          <w:sz w:val="24"/>
        </w:rPr>
        <w:t>Accessed</w:t>
      </w:r>
      <w:r>
        <w:rPr>
          <w:spacing w:val="-5"/>
          <w:sz w:val="24"/>
        </w:rPr>
        <w:t> </w:t>
      </w:r>
      <w:r>
        <w:rPr>
          <w:sz w:val="24"/>
        </w:rPr>
        <w:t>on</w:t>
      </w:r>
      <w:r>
        <w:rPr>
          <w:spacing w:val="-5"/>
          <w:sz w:val="24"/>
        </w:rPr>
        <w:t> </w:t>
      </w:r>
      <w:r>
        <w:rPr>
          <w:sz w:val="24"/>
        </w:rPr>
        <w:t>:</w:t>
      </w:r>
      <w:r>
        <w:rPr>
          <w:spacing w:val="-4"/>
          <w:sz w:val="24"/>
        </w:rPr>
        <w:t> </w:t>
      </w:r>
      <w:r>
        <w:rPr>
          <w:sz w:val="24"/>
        </w:rPr>
        <w:t>2 April, 2026)</w:t>
      </w:r>
    </w:p>
    <w:sectPr>
      <w:pgSz w:w="11910" w:h="16840"/>
      <w:pgMar w:header="1066" w:footer="804" w:top="2000" w:bottom="1000" w:left="1417" w:right="1417"/>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1"/>
    <w:family w:val="roman"/>
    <w:pitch w:val="variable"/>
  </w:font>
  <w:font w:name="Arial MT">
    <w:altName w:val="Arial MT"/>
    <w:charset w:val="1"/>
    <w:family w:val="swiss"/>
    <w:pitch w:val="variable"/>
  </w:font>
  <w:font w:name="Arial">
    <w:altName w:val="Arial"/>
    <w:charset w:val="1"/>
    <w:family w:val="swiss"/>
    <w:pitch w:val="variable"/>
  </w:font>
  <w:font w:name="Microsoft Sans Serif">
    <w:altName w:val="Microsoft Sans Serif"/>
    <w:charset w:val="1"/>
    <w:family w:val="swiss"/>
    <w:pitch w:val="variable"/>
  </w:font>
  <w:font w:name="Symbol">
    <w:altName w:val="Symbol"/>
    <w:charset w:val="2"/>
    <w:family w:val="decorative"/>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7298048">
              <wp:simplePos x="0" y="0"/>
              <wp:positionH relativeFrom="page">
                <wp:posOffset>6479285</wp:posOffset>
              </wp:positionH>
              <wp:positionV relativeFrom="page">
                <wp:posOffset>10042217</wp:posOffset>
              </wp:positionV>
              <wp:extent cx="219075" cy="182245"/>
              <wp:effectExtent l="0" t="0" r="0" b="0"/>
              <wp:wrapNone/>
              <wp:docPr id="2" name="Textbox 2"/>
              <wp:cNvGraphicFramePr>
                <a:graphicFrameLocks/>
              </wp:cNvGraphicFramePr>
              <a:graphic>
                <a:graphicData uri="http://schemas.microsoft.com/office/word/2010/wordprocessingShape">
                  <wps:wsp>
                    <wps:cNvPr id="2" name="Textbox 2"/>
                    <wps:cNvSpPr txBox="1"/>
                    <wps:spPr>
                      <a:xfrm>
                        <a:off x="0" y="0"/>
                        <a:ext cx="219075" cy="182245"/>
                      </a:xfrm>
                      <a:prstGeom prst="rect">
                        <a:avLst/>
                      </a:prstGeom>
                    </wps:spPr>
                    <wps:txbx>
                      <w:txbxContent>
                        <w:p>
                          <w:pPr>
                            <w:spacing w:before="17"/>
                            <w:ind w:left="20" w:right="0" w:firstLine="0"/>
                            <w:jc w:val="left"/>
                            <w:rPr>
                              <w:sz w:val="22"/>
                            </w:rPr>
                          </w:pPr>
                          <w:r>
                            <w:rPr>
                              <w:spacing w:val="-5"/>
                              <w:sz w:val="22"/>
                            </w:rPr>
                            <w:fldChar w:fldCharType="begin"/>
                          </w:r>
                          <w:r>
                            <w:rPr>
                              <w:spacing w:val="-5"/>
                              <w:sz w:val="22"/>
                            </w:rPr>
                            <w:instrText> PAGE </w:instrText>
                          </w:r>
                          <w:r>
                            <w:rPr>
                              <w:spacing w:val="-5"/>
                              <w:sz w:val="22"/>
                            </w:rPr>
                            <w:fldChar w:fldCharType="separate"/>
                          </w:r>
                          <w:r>
                            <w:rPr>
                              <w:spacing w:val="-5"/>
                              <w:sz w:val="22"/>
                            </w:rPr>
                            <w:t>10</w:t>
                          </w:r>
                          <w:r>
                            <w:rPr>
                              <w:spacing w:val="-5"/>
                              <w:sz w:val="22"/>
                            </w:rPr>
                            <w:fldChar w:fldCharType="end"/>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510.179993pt;margin-top:790.725769pt;width:17.25pt;height:14.35pt;mso-position-horizontal-relative:page;mso-position-vertical-relative:page;z-index:-16018432" type="#_x0000_t202" id="docshape1" filled="false" stroked="false">
              <v:textbox inset="0,0,0,0">
                <w:txbxContent>
                  <w:p>
                    <w:pPr>
                      <w:spacing w:before="17"/>
                      <w:ind w:left="20" w:right="0" w:firstLine="0"/>
                      <w:jc w:val="left"/>
                      <w:rPr>
                        <w:sz w:val="22"/>
                      </w:rPr>
                    </w:pPr>
                    <w:r>
                      <w:rPr>
                        <w:spacing w:val="-5"/>
                        <w:sz w:val="22"/>
                      </w:rPr>
                      <w:fldChar w:fldCharType="begin"/>
                    </w:r>
                    <w:r>
                      <w:rPr>
                        <w:spacing w:val="-5"/>
                        <w:sz w:val="22"/>
                      </w:rPr>
                      <w:instrText> PAGE </w:instrText>
                    </w:r>
                    <w:r>
                      <w:rPr>
                        <w:spacing w:val="-5"/>
                        <w:sz w:val="22"/>
                      </w:rPr>
                      <w:fldChar w:fldCharType="separate"/>
                    </w:r>
                    <w:r>
                      <w:rPr>
                        <w:spacing w:val="-5"/>
                        <w:sz w:val="22"/>
                      </w:rPr>
                      <w:t>10</w:t>
                    </w:r>
                    <w:r>
                      <w:rPr>
                        <w:spacing w:val="-5"/>
                        <w:sz w:val="22"/>
                      </w:rPr>
                      <w:fldChar w:fldCharType="end"/>
                    </w:r>
                  </w:p>
                </w:txbxContent>
              </v:textbox>
              <w10:wrap type="none"/>
            </v:shape>
          </w:pict>
        </mc:Fallback>
      </mc:AlternateContent>
    </w:r>
  </w:p>
</w:ftr>
</file>

<file path=word/header1.xml><?xml version="1.0" encoding="utf-8"?>
<w:hd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w:drawing>
        <wp:anchor distT="0" distB="0" distL="0" distR="0" allowOverlap="1" layoutInCell="1" locked="0" behindDoc="1" simplePos="0" relativeHeight="487297536">
          <wp:simplePos x="0" y="0"/>
          <wp:positionH relativeFrom="page">
            <wp:posOffset>5223511</wp:posOffset>
          </wp:positionH>
          <wp:positionV relativeFrom="page">
            <wp:posOffset>676860</wp:posOffset>
          </wp:positionV>
          <wp:extent cx="1102244" cy="475932"/>
          <wp:effectExtent l="0" t="0" r="0" b="0"/>
          <wp:wrapNone/>
          <wp:docPr id="1" name="Image 1"/>
          <wp:cNvGraphicFramePr>
            <a:graphicFrameLocks/>
          </wp:cNvGraphicFramePr>
          <a:graphic>
            <a:graphicData uri="http://schemas.openxmlformats.org/drawingml/2006/picture">
              <pic:pic>
                <pic:nvPicPr>
                  <pic:cNvPr id="1" name="Image 1"/>
                  <pic:cNvPicPr/>
                </pic:nvPicPr>
                <pic:blipFill>
                  <a:blip r:embed="rId1" cstate="print"/>
                  <a:stretch>
                    <a:fillRect/>
                  </a:stretch>
                </pic:blipFill>
                <pic:spPr>
                  <a:xfrm>
                    <a:off x="0" y="0"/>
                    <a:ext cx="1102244" cy="475932"/>
                  </a:xfrm>
                  <a:prstGeom prst="rect">
                    <a:avLst/>
                  </a:prstGeom>
                </pic:spPr>
              </pic:pic>
            </a:graphicData>
          </a:graphic>
        </wp:anchor>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5">
    <w:multiLevelType w:val="hybridMultilevel"/>
    <w:lvl w:ilvl="0">
      <w:start w:val="0"/>
      <w:numFmt w:val="bullet"/>
      <w:lvlText w:val=""/>
      <w:lvlJc w:val="left"/>
      <w:pPr>
        <w:ind w:left="774" w:hanging="360"/>
      </w:pPr>
      <w:rPr>
        <w:rFonts w:hint="default" w:ascii="Symbol" w:hAnsi="Symbol" w:eastAsia="Symbol" w:cs="Symbol"/>
        <w:b w:val="0"/>
        <w:bCs w:val="0"/>
        <w:i w:val="0"/>
        <w:iCs w:val="0"/>
        <w:spacing w:val="0"/>
        <w:w w:val="100"/>
        <w:sz w:val="22"/>
        <w:szCs w:val="22"/>
        <w:lang w:val="en-US" w:eastAsia="en-US" w:bidi="ar-SA"/>
      </w:rPr>
    </w:lvl>
    <w:lvl w:ilvl="1">
      <w:start w:val="0"/>
      <w:numFmt w:val="bullet"/>
      <w:lvlText w:val="•"/>
      <w:lvlJc w:val="left"/>
      <w:pPr>
        <w:ind w:left="1018" w:hanging="360"/>
      </w:pPr>
      <w:rPr>
        <w:rFonts w:hint="default"/>
        <w:lang w:val="en-US" w:eastAsia="en-US" w:bidi="ar-SA"/>
      </w:rPr>
    </w:lvl>
    <w:lvl w:ilvl="2">
      <w:start w:val="0"/>
      <w:numFmt w:val="bullet"/>
      <w:lvlText w:val="•"/>
      <w:lvlJc w:val="left"/>
      <w:pPr>
        <w:ind w:left="1256" w:hanging="360"/>
      </w:pPr>
      <w:rPr>
        <w:rFonts w:hint="default"/>
        <w:lang w:val="en-US" w:eastAsia="en-US" w:bidi="ar-SA"/>
      </w:rPr>
    </w:lvl>
    <w:lvl w:ilvl="3">
      <w:start w:val="0"/>
      <w:numFmt w:val="bullet"/>
      <w:lvlText w:val="•"/>
      <w:lvlJc w:val="left"/>
      <w:pPr>
        <w:ind w:left="1494" w:hanging="360"/>
      </w:pPr>
      <w:rPr>
        <w:rFonts w:hint="default"/>
        <w:lang w:val="en-US" w:eastAsia="en-US" w:bidi="ar-SA"/>
      </w:rPr>
    </w:lvl>
    <w:lvl w:ilvl="4">
      <w:start w:val="0"/>
      <w:numFmt w:val="bullet"/>
      <w:lvlText w:val="•"/>
      <w:lvlJc w:val="left"/>
      <w:pPr>
        <w:ind w:left="1732" w:hanging="360"/>
      </w:pPr>
      <w:rPr>
        <w:rFonts w:hint="default"/>
        <w:lang w:val="en-US" w:eastAsia="en-US" w:bidi="ar-SA"/>
      </w:rPr>
    </w:lvl>
    <w:lvl w:ilvl="5">
      <w:start w:val="0"/>
      <w:numFmt w:val="bullet"/>
      <w:lvlText w:val="•"/>
      <w:lvlJc w:val="left"/>
      <w:pPr>
        <w:ind w:left="1970" w:hanging="360"/>
      </w:pPr>
      <w:rPr>
        <w:rFonts w:hint="default"/>
        <w:lang w:val="en-US" w:eastAsia="en-US" w:bidi="ar-SA"/>
      </w:rPr>
    </w:lvl>
    <w:lvl w:ilvl="6">
      <w:start w:val="0"/>
      <w:numFmt w:val="bullet"/>
      <w:lvlText w:val="•"/>
      <w:lvlJc w:val="left"/>
      <w:pPr>
        <w:ind w:left="2208" w:hanging="360"/>
      </w:pPr>
      <w:rPr>
        <w:rFonts w:hint="default"/>
        <w:lang w:val="en-US" w:eastAsia="en-US" w:bidi="ar-SA"/>
      </w:rPr>
    </w:lvl>
    <w:lvl w:ilvl="7">
      <w:start w:val="0"/>
      <w:numFmt w:val="bullet"/>
      <w:lvlText w:val="•"/>
      <w:lvlJc w:val="left"/>
      <w:pPr>
        <w:ind w:left="2446" w:hanging="360"/>
      </w:pPr>
      <w:rPr>
        <w:rFonts w:hint="default"/>
        <w:lang w:val="en-US" w:eastAsia="en-US" w:bidi="ar-SA"/>
      </w:rPr>
    </w:lvl>
    <w:lvl w:ilvl="8">
      <w:start w:val="0"/>
      <w:numFmt w:val="bullet"/>
      <w:lvlText w:val="•"/>
      <w:lvlJc w:val="left"/>
      <w:pPr>
        <w:ind w:left="2684" w:hanging="360"/>
      </w:pPr>
      <w:rPr>
        <w:rFonts w:hint="default"/>
        <w:lang w:val="en-US" w:eastAsia="en-US" w:bidi="ar-SA"/>
      </w:rPr>
    </w:lvl>
  </w:abstractNum>
  <w:abstractNum w:abstractNumId="4">
    <w:multiLevelType w:val="hybridMultilevel"/>
    <w:lvl w:ilvl="0">
      <w:start w:val="0"/>
      <w:numFmt w:val="bullet"/>
      <w:lvlText w:val=""/>
      <w:lvlJc w:val="left"/>
      <w:pPr>
        <w:ind w:left="774" w:hanging="360"/>
      </w:pPr>
      <w:rPr>
        <w:rFonts w:hint="default" w:ascii="Symbol" w:hAnsi="Symbol" w:eastAsia="Symbol" w:cs="Symbol"/>
        <w:b w:val="0"/>
        <w:bCs w:val="0"/>
        <w:i w:val="0"/>
        <w:iCs w:val="0"/>
        <w:spacing w:val="0"/>
        <w:w w:val="100"/>
        <w:sz w:val="22"/>
        <w:szCs w:val="22"/>
        <w:lang w:val="en-US" w:eastAsia="en-US" w:bidi="ar-SA"/>
      </w:rPr>
    </w:lvl>
    <w:lvl w:ilvl="1">
      <w:start w:val="0"/>
      <w:numFmt w:val="bullet"/>
      <w:lvlText w:val="•"/>
      <w:lvlJc w:val="left"/>
      <w:pPr>
        <w:ind w:left="1018" w:hanging="360"/>
      </w:pPr>
      <w:rPr>
        <w:rFonts w:hint="default"/>
        <w:lang w:val="en-US" w:eastAsia="en-US" w:bidi="ar-SA"/>
      </w:rPr>
    </w:lvl>
    <w:lvl w:ilvl="2">
      <w:start w:val="0"/>
      <w:numFmt w:val="bullet"/>
      <w:lvlText w:val="•"/>
      <w:lvlJc w:val="left"/>
      <w:pPr>
        <w:ind w:left="1256" w:hanging="360"/>
      </w:pPr>
      <w:rPr>
        <w:rFonts w:hint="default"/>
        <w:lang w:val="en-US" w:eastAsia="en-US" w:bidi="ar-SA"/>
      </w:rPr>
    </w:lvl>
    <w:lvl w:ilvl="3">
      <w:start w:val="0"/>
      <w:numFmt w:val="bullet"/>
      <w:lvlText w:val="•"/>
      <w:lvlJc w:val="left"/>
      <w:pPr>
        <w:ind w:left="1494" w:hanging="360"/>
      </w:pPr>
      <w:rPr>
        <w:rFonts w:hint="default"/>
        <w:lang w:val="en-US" w:eastAsia="en-US" w:bidi="ar-SA"/>
      </w:rPr>
    </w:lvl>
    <w:lvl w:ilvl="4">
      <w:start w:val="0"/>
      <w:numFmt w:val="bullet"/>
      <w:lvlText w:val="•"/>
      <w:lvlJc w:val="left"/>
      <w:pPr>
        <w:ind w:left="1732" w:hanging="360"/>
      </w:pPr>
      <w:rPr>
        <w:rFonts w:hint="default"/>
        <w:lang w:val="en-US" w:eastAsia="en-US" w:bidi="ar-SA"/>
      </w:rPr>
    </w:lvl>
    <w:lvl w:ilvl="5">
      <w:start w:val="0"/>
      <w:numFmt w:val="bullet"/>
      <w:lvlText w:val="•"/>
      <w:lvlJc w:val="left"/>
      <w:pPr>
        <w:ind w:left="1970" w:hanging="360"/>
      </w:pPr>
      <w:rPr>
        <w:rFonts w:hint="default"/>
        <w:lang w:val="en-US" w:eastAsia="en-US" w:bidi="ar-SA"/>
      </w:rPr>
    </w:lvl>
    <w:lvl w:ilvl="6">
      <w:start w:val="0"/>
      <w:numFmt w:val="bullet"/>
      <w:lvlText w:val="•"/>
      <w:lvlJc w:val="left"/>
      <w:pPr>
        <w:ind w:left="2208" w:hanging="360"/>
      </w:pPr>
      <w:rPr>
        <w:rFonts w:hint="default"/>
        <w:lang w:val="en-US" w:eastAsia="en-US" w:bidi="ar-SA"/>
      </w:rPr>
    </w:lvl>
    <w:lvl w:ilvl="7">
      <w:start w:val="0"/>
      <w:numFmt w:val="bullet"/>
      <w:lvlText w:val="•"/>
      <w:lvlJc w:val="left"/>
      <w:pPr>
        <w:ind w:left="2446" w:hanging="360"/>
      </w:pPr>
      <w:rPr>
        <w:rFonts w:hint="default"/>
        <w:lang w:val="en-US" w:eastAsia="en-US" w:bidi="ar-SA"/>
      </w:rPr>
    </w:lvl>
    <w:lvl w:ilvl="8">
      <w:start w:val="0"/>
      <w:numFmt w:val="bullet"/>
      <w:lvlText w:val="•"/>
      <w:lvlJc w:val="left"/>
      <w:pPr>
        <w:ind w:left="2684" w:hanging="360"/>
      </w:pPr>
      <w:rPr>
        <w:rFonts w:hint="default"/>
        <w:lang w:val="en-US" w:eastAsia="en-US" w:bidi="ar-SA"/>
      </w:rPr>
    </w:lvl>
  </w:abstractNum>
  <w:abstractNum w:abstractNumId="8">
    <w:multiLevelType w:val="hybridMultilevel"/>
    <w:lvl w:ilvl="0">
      <w:start w:val="1"/>
      <w:numFmt w:val="decimal"/>
      <w:lvlText w:val="%1."/>
      <w:lvlJc w:val="left"/>
      <w:pPr>
        <w:ind w:left="23" w:hanging="269"/>
        <w:jc w:val="left"/>
      </w:pPr>
      <w:rPr>
        <w:rFonts w:hint="default" w:ascii="Microsoft Sans Serif" w:hAnsi="Microsoft Sans Serif" w:eastAsia="Microsoft Sans Serif" w:cs="Microsoft Sans Serif"/>
        <w:b w:val="0"/>
        <w:bCs w:val="0"/>
        <w:i w:val="0"/>
        <w:iCs w:val="0"/>
        <w:spacing w:val="0"/>
        <w:w w:val="99"/>
        <w:sz w:val="24"/>
        <w:szCs w:val="24"/>
        <w:lang w:val="en-US" w:eastAsia="en-US" w:bidi="ar-SA"/>
      </w:rPr>
    </w:lvl>
    <w:lvl w:ilvl="1">
      <w:start w:val="0"/>
      <w:numFmt w:val="bullet"/>
      <w:lvlText w:val="•"/>
      <w:lvlJc w:val="left"/>
      <w:pPr>
        <w:ind w:left="925" w:hanging="269"/>
      </w:pPr>
      <w:rPr>
        <w:rFonts w:hint="default"/>
        <w:lang w:val="en-US" w:eastAsia="en-US" w:bidi="ar-SA"/>
      </w:rPr>
    </w:lvl>
    <w:lvl w:ilvl="2">
      <w:start w:val="0"/>
      <w:numFmt w:val="bullet"/>
      <w:lvlText w:val="•"/>
      <w:lvlJc w:val="left"/>
      <w:pPr>
        <w:ind w:left="1830" w:hanging="269"/>
      </w:pPr>
      <w:rPr>
        <w:rFonts w:hint="default"/>
        <w:lang w:val="en-US" w:eastAsia="en-US" w:bidi="ar-SA"/>
      </w:rPr>
    </w:lvl>
    <w:lvl w:ilvl="3">
      <w:start w:val="0"/>
      <w:numFmt w:val="bullet"/>
      <w:lvlText w:val="•"/>
      <w:lvlJc w:val="left"/>
      <w:pPr>
        <w:ind w:left="2735" w:hanging="269"/>
      </w:pPr>
      <w:rPr>
        <w:rFonts w:hint="default"/>
        <w:lang w:val="en-US" w:eastAsia="en-US" w:bidi="ar-SA"/>
      </w:rPr>
    </w:lvl>
    <w:lvl w:ilvl="4">
      <w:start w:val="0"/>
      <w:numFmt w:val="bullet"/>
      <w:lvlText w:val="•"/>
      <w:lvlJc w:val="left"/>
      <w:pPr>
        <w:ind w:left="3640" w:hanging="269"/>
      </w:pPr>
      <w:rPr>
        <w:rFonts w:hint="default"/>
        <w:lang w:val="en-US" w:eastAsia="en-US" w:bidi="ar-SA"/>
      </w:rPr>
    </w:lvl>
    <w:lvl w:ilvl="5">
      <w:start w:val="0"/>
      <w:numFmt w:val="bullet"/>
      <w:lvlText w:val="•"/>
      <w:lvlJc w:val="left"/>
      <w:pPr>
        <w:ind w:left="4546" w:hanging="269"/>
      </w:pPr>
      <w:rPr>
        <w:rFonts w:hint="default"/>
        <w:lang w:val="en-US" w:eastAsia="en-US" w:bidi="ar-SA"/>
      </w:rPr>
    </w:lvl>
    <w:lvl w:ilvl="6">
      <w:start w:val="0"/>
      <w:numFmt w:val="bullet"/>
      <w:lvlText w:val="•"/>
      <w:lvlJc w:val="left"/>
      <w:pPr>
        <w:ind w:left="5451" w:hanging="269"/>
      </w:pPr>
      <w:rPr>
        <w:rFonts w:hint="default"/>
        <w:lang w:val="en-US" w:eastAsia="en-US" w:bidi="ar-SA"/>
      </w:rPr>
    </w:lvl>
    <w:lvl w:ilvl="7">
      <w:start w:val="0"/>
      <w:numFmt w:val="bullet"/>
      <w:lvlText w:val="•"/>
      <w:lvlJc w:val="left"/>
      <w:pPr>
        <w:ind w:left="6356" w:hanging="269"/>
      </w:pPr>
      <w:rPr>
        <w:rFonts w:hint="default"/>
        <w:lang w:val="en-US" w:eastAsia="en-US" w:bidi="ar-SA"/>
      </w:rPr>
    </w:lvl>
    <w:lvl w:ilvl="8">
      <w:start w:val="0"/>
      <w:numFmt w:val="bullet"/>
      <w:lvlText w:val="•"/>
      <w:lvlJc w:val="left"/>
      <w:pPr>
        <w:ind w:left="7261" w:hanging="269"/>
      </w:pPr>
      <w:rPr>
        <w:rFonts w:hint="default"/>
        <w:lang w:val="en-US" w:eastAsia="en-US" w:bidi="ar-SA"/>
      </w:rPr>
    </w:lvl>
  </w:abstractNum>
  <w:abstractNum w:abstractNumId="7">
    <w:multiLevelType w:val="hybridMultilevel"/>
    <w:lvl w:ilvl="0">
      <w:start w:val="1"/>
      <w:numFmt w:val="decimal"/>
      <w:lvlText w:val="%1."/>
      <w:lvlJc w:val="left"/>
      <w:pPr>
        <w:ind w:left="291" w:hanging="269"/>
        <w:jc w:val="left"/>
      </w:pPr>
      <w:rPr>
        <w:rFonts w:hint="default"/>
        <w:spacing w:val="0"/>
        <w:w w:val="100"/>
        <w:lang w:val="en-US" w:eastAsia="en-US" w:bidi="ar-SA"/>
      </w:rPr>
    </w:lvl>
    <w:lvl w:ilvl="1">
      <w:start w:val="0"/>
      <w:numFmt w:val="bullet"/>
      <w:lvlText w:val="•"/>
      <w:lvlJc w:val="left"/>
      <w:pPr>
        <w:ind w:left="1177" w:hanging="269"/>
      </w:pPr>
      <w:rPr>
        <w:rFonts w:hint="default"/>
        <w:lang w:val="en-US" w:eastAsia="en-US" w:bidi="ar-SA"/>
      </w:rPr>
    </w:lvl>
    <w:lvl w:ilvl="2">
      <w:start w:val="0"/>
      <w:numFmt w:val="bullet"/>
      <w:lvlText w:val="•"/>
      <w:lvlJc w:val="left"/>
      <w:pPr>
        <w:ind w:left="2054" w:hanging="269"/>
      </w:pPr>
      <w:rPr>
        <w:rFonts w:hint="default"/>
        <w:lang w:val="en-US" w:eastAsia="en-US" w:bidi="ar-SA"/>
      </w:rPr>
    </w:lvl>
    <w:lvl w:ilvl="3">
      <w:start w:val="0"/>
      <w:numFmt w:val="bullet"/>
      <w:lvlText w:val="•"/>
      <w:lvlJc w:val="left"/>
      <w:pPr>
        <w:ind w:left="2931" w:hanging="269"/>
      </w:pPr>
      <w:rPr>
        <w:rFonts w:hint="default"/>
        <w:lang w:val="en-US" w:eastAsia="en-US" w:bidi="ar-SA"/>
      </w:rPr>
    </w:lvl>
    <w:lvl w:ilvl="4">
      <w:start w:val="0"/>
      <w:numFmt w:val="bullet"/>
      <w:lvlText w:val="•"/>
      <w:lvlJc w:val="left"/>
      <w:pPr>
        <w:ind w:left="3808" w:hanging="269"/>
      </w:pPr>
      <w:rPr>
        <w:rFonts w:hint="default"/>
        <w:lang w:val="en-US" w:eastAsia="en-US" w:bidi="ar-SA"/>
      </w:rPr>
    </w:lvl>
    <w:lvl w:ilvl="5">
      <w:start w:val="0"/>
      <w:numFmt w:val="bullet"/>
      <w:lvlText w:val="•"/>
      <w:lvlJc w:val="left"/>
      <w:pPr>
        <w:ind w:left="4686" w:hanging="269"/>
      </w:pPr>
      <w:rPr>
        <w:rFonts w:hint="default"/>
        <w:lang w:val="en-US" w:eastAsia="en-US" w:bidi="ar-SA"/>
      </w:rPr>
    </w:lvl>
    <w:lvl w:ilvl="6">
      <w:start w:val="0"/>
      <w:numFmt w:val="bullet"/>
      <w:lvlText w:val="•"/>
      <w:lvlJc w:val="left"/>
      <w:pPr>
        <w:ind w:left="5563" w:hanging="269"/>
      </w:pPr>
      <w:rPr>
        <w:rFonts w:hint="default"/>
        <w:lang w:val="en-US" w:eastAsia="en-US" w:bidi="ar-SA"/>
      </w:rPr>
    </w:lvl>
    <w:lvl w:ilvl="7">
      <w:start w:val="0"/>
      <w:numFmt w:val="bullet"/>
      <w:lvlText w:val="•"/>
      <w:lvlJc w:val="left"/>
      <w:pPr>
        <w:ind w:left="6440" w:hanging="269"/>
      </w:pPr>
      <w:rPr>
        <w:rFonts w:hint="default"/>
        <w:lang w:val="en-US" w:eastAsia="en-US" w:bidi="ar-SA"/>
      </w:rPr>
    </w:lvl>
    <w:lvl w:ilvl="8">
      <w:start w:val="0"/>
      <w:numFmt w:val="bullet"/>
      <w:lvlText w:val="•"/>
      <w:lvlJc w:val="left"/>
      <w:pPr>
        <w:ind w:left="7317" w:hanging="269"/>
      </w:pPr>
      <w:rPr>
        <w:rFonts w:hint="default"/>
        <w:lang w:val="en-US" w:eastAsia="en-US" w:bidi="ar-SA"/>
      </w:rPr>
    </w:lvl>
  </w:abstractNum>
  <w:abstractNum w:abstractNumId="6">
    <w:multiLevelType w:val="hybridMultilevel"/>
    <w:lvl w:ilvl="0">
      <w:start w:val="0"/>
      <w:numFmt w:val="bullet"/>
      <w:lvlText w:val=""/>
      <w:lvlJc w:val="left"/>
      <w:pPr>
        <w:ind w:left="774" w:hanging="360"/>
      </w:pPr>
      <w:rPr>
        <w:rFonts w:hint="default" w:ascii="Symbol" w:hAnsi="Symbol" w:eastAsia="Symbol" w:cs="Symbol"/>
        <w:b w:val="0"/>
        <w:bCs w:val="0"/>
        <w:i w:val="0"/>
        <w:iCs w:val="0"/>
        <w:spacing w:val="0"/>
        <w:w w:val="100"/>
        <w:sz w:val="22"/>
        <w:szCs w:val="22"/>
        <w:lang w:val="en-US" w:eastAsia="en-US" w:bidi="ar-SA"/>
      </w:rPr>
    </w:lvl>
    <w:lvl w:ilvl="1">
      <w:start w:val="0"/>
      <w:numFmt w:val="bullet"/>
      <w:lvlText w:val="•"/>
      <w:lvlJc w:val="left"/>
      <w:pPr>
        <w:ind w:left="1018" w:hanging="360"/>
      </w:pPr>
      <w:rPr>
        <w:rFonts w:hint="default"/>
        <w:lang w:val="en-US" w:eastAsia="en-US" w:bidi="ar-SA"/>
      </w:rPr>
    </w:lvl>
    <w:lvl w:ilvl="2">
      <w:start w:val="0"/>
      <w:numFmt w:val="bullet"/>
      <w:lvlText w:val="•"/>
      <w:lvlJc w:val="left"/>
      <w:pPr>
        <w:ind w:left="1256" w:hanging="360"/>
      </w:pPr>
      <w:rPr>
        <w:rFonts w:hint="default"/>
        <w:lang w:val="en-US" w:eastAsia="en-US" w:bidi="ar-SA"/>
      </w:rPr>
    </w:lvl>
    <w:lvl w:ilvl="3">
      <w:start w:val="0"/>
      <w:numFmt w:val="bullet"/>
      <w:lvlText w:val="•"/>
      <w:lvlJc w:val="left"/>
      <w:pPr>
        <w:ind w:left="1494" w:hanging="360"/>
      </w:pPr>
      <w:rPr>
        <w:rFonts w:hint="default"/>
        <w:lang w:val="en-US" w:eastAsia="en-US" w:bidi="ar-SA"/>
      </w:rPr>
    </w:lvl>
    <w:lvl w:ilvl="4">
      <w:start w:val="0"/>
      <w:numFmt w:val="bullet"/>
      <w:lvlText w:val="•"/>
      <w:lvlJc w:val="left"/>
      <w:pPr>
        <w:ind w:left="1732" w:hanging="360"/>
      </w:pPr>
      <w:rPr>
        <w:rFonts w:hint="default"/>
        <w:lang w:val="en-US" w:eastAsia="en-US" w:bidi="ar-SA"/>
      </w:rPr>
    </w:lvl>
    <w:lvl w:ilvl="5">
      <w:start w:val="0"/>
      <w:numFmt w:val="bullet"/>
      <w:lvlText w:val="•"/>
      <w:lvlJc w:val="left"/>
      <w:pPr>
        <w:ind w:left="1970" w:hanging="360"/>
      </w:pPr>
      <w:rPr>
        <w:rFonts w:hint="default"/>
        <w:lang w:val="en-US" w:eastAsia="en-US" w:bidi="ar-SA"/>
      </w:rPr>
    </w:lvl>
    <w:lvl w:ilvl="6">
      <w:start w:val="0"/>
      <w:numFmt w:val="bullet"/>
      <w:lvlText w:val="•"/>
      <w:lvlJc w:val="left"/>
      <w:pPr>
        <w:ind w:left="2208" w:hanging="360"/>
      </w:pPr>
      <w:rPr>
        <w:rFonts w:hint="default"/>
        <w:lang w:val="en-US" w:eastAsia="en-US" w:bidi="ar-SA"/>
      </w:rPr>
    </w:lvl>
    <w:lvl w:ilvl="7">
      <w:start w:val="0"/>
      <w:numFmt w:val="bullet"/>
      <w:lvlText w:val="•"/>
      <w:lvlJc w:val="left"/>
      <w:pPr>
        <w:ind w:left="2446" w:hanging="360"/>
      </w:pPr>
      <w:rPr>
        <w:rFonts w:hint="default"/>
        <w:lang w:val="en-US" w:eastAsia="en-US" w:bidi="ar-SA"/>
      </w:rPr>
    </w:lvl>
    <w:lvl w:ilvl="8">
      <w:start w:val="0"/>
      <w:numFmt w:val="bullet"/>
      <w:lvlText w:val="•"/>
      <w:lvlJc w:val="left"/>
      <w:pPr>
        <w:ind w:left="2684" w:hanging="360"/>
      </w:pPr>
      <w:rPr>
        <w:rFonts w:hint="default"/>
        <w:lang w:val="en-US" w:eastAsia="en-US" w:bidi="ar-SA"/>
      </w:rPr>
    </w:lvl>
  </w:abstractNum>
  <w:abstractNum w:abstractNumId="3">
    <w:multiLevelType w:val="hybridMultilevel"/>
    <w:lvl w:ilvl="0">
      <w:start w:val="3"/>
      <w:numFmt w:val="decimal"/>
      <w:lvlText w:val="%1."/>
      <w:lvlJc w:val="left"/>
      <w:pPr>
        <w:ind w:left="291" w:hanging="269"/>
        <w:jc w:val="left"/>
      </w:pPr>
      <w:rPr>
        <w:rFonts w:hint="default" w:ascii="Arial" w:hAnsi="Arial" w:eastAsia="Arial" w:cs="Arial"/>
        <w:b/>
        <w:bCs/>
        <w:i w:val="0"/>
        <w:iCs w:val="0"/>
        <w:spacing w:val="0"/>
        <w:w w:val="100"/>
        <w:sz w:val="24"/>
        <w:szCs w:val="24"/>
        <w:lang w:val="en-US" w:eastAsia="en-US" w:bidi="ar-SA"/>
      </w:rPr>
    </w:lvl>
    <w:lvl w:ilvl="1">
      <w:start w:val="1"/>
      <w:numFmt w:val="lowerRoman"/>
      <w:lvlText w:val="%2)"/>
      <w:lvlJc w:val="left"/>
      <w:pPr>
        <w:ind w:left="236" w:hanging="214"/>
        <w:jc w:val="left"/>
      </w:pPr>
      <w:rPr>
        <w:rFonts w:hint="default" w:ascii="Arial" w:hAnsi="Arial" w:eastAsia="Arial" w:cs="Arial"/>
        <w:b/>
        <w:bCs/>
        <w:i w:val="0"/>
        <w:iCs w:val="0"/>
        <w:spacing w:val="0"/>
        <w:w w:val="100"/>
        <w:sz w:val="24"/>
        <w:szCs w:val="24"/>
        <w:lang w:val="en-US" w:eastAsia="en-US" w:bidi="ar-SA"/>
      </w:rPr>
    </w:lvl>
    <w:lvl w:ilvl="2">
      <w:start w:val="0"/>
      <w:numFmt w:val="bullet"/>
      <w:lvlText w:val="•"/>
      <w:lvlJc w:val="left"/>
      <w:pPr>
        <w:ind w:left="1274" w:hanging="214"/>
      </w:pPr>
      <w:rPr>
        <w:rFonts w:hint="default"/>
        <w:lang w:val="en-US" w:eastAsia="en-US" w:bidi="ar-SA"/>
      </w:rPr>
    </w:lvl>
    <w:lvl w:ilvl="3">
      <w:start w:val="0"/>
      <w:numFmt w:val="bullet"/>
      <w:lvlText w:val="•"/>
      <w:lvlJc w:val="left"/>
      <w:pPr>
        <w:ind w:left="2249" w:hanging="214"/>
      </w:pPr>
      <w:rPr>
        <w:rFonts w:hint="default"/>
        <w:lang w:val="en-US" w:eastAsia="en-US" w:bidi="ar-SA"/>
      </w:rPr>
    </w:lvl>
    <w:lvl w:ilvl="4">
      <w:start w:val="0"/>
      <w:numFmt w:val="bullet"/>
      <w:lvlText w:val="•"/>
      <w:lvlJc w:val="left"/>
      <w:pPr>
        <w:ind w:left="3224" w:hanging="214"/>
      </w:pPr>
      <w:rPr>
        <w:rFonts w:hint="default"/>
        <w:lang w:val="en-US" w:eastAsia="en-US" w:bidi="ar-SA"/>
      </w:rPr>
    </w:lvl>
    <w:lvl w:ilvl="5">
      <w:start w:val="0"/>
      <w:numFmt w:val="bullet"/>
      <w:lvlText w:val="•"/>
      <w:lvlJc w:val="left"/>
      <w:pPr>
        <w:ind w:left="4198" w:hanging="214"/>
      </w:pPr>
      <w:rPr>
        <w:rFonts w:hint="default"/>
        <w:lang w:val="en-US" w:eastAsia="en-US" w:bidi="ar-SA"/>
      </w:rPr>
    </w:lvl>
    <w:lvl w:ilvl="6">
      <w:start w:val="0"/>
      <w:numFmt w:val="bullet"/>
      <w:lvlText w:val="•"/>
      <w:lvlJc w:val="left"/>
      <w:pPr>
        <w:ind w:left="5173" w:hanging="214"/>
      </w:pPr>
      <w:rPr>
        <w:rFonts w:hint="default"/>
        <w:lang w:val="en-US" w:eastAsia="en-US" w:bidi="ar-SA"/>
      </w:rPr>
    </w:lvl>
    <w:lvl w:ilvl="7">
      <w:start w:val="0"/>
      <w:numFmt w:val="bullet"/>
      <w:lvlText w:val="•"/>
      <w:lvlJc w:val="left"/>
      <w:pPr>
        <w:ind w:left="6148" w:hanging="214"/>
      </w:pPr>
      <w:rPr>
        <w:rFonts w:hint="default"/>
        <w:lang w:val="en-US" w:eastAsia="en-US" w:bidi="ar-SA"/>
      </w:rPr>
    </w:lvl>
    <w:lvl w:ilvl="8">
      <w:start w:val="0"/>
      <w:numFmt w:val="bullet"/>
      <w:lvlText w:val="•"/>
      <w:lvlJc w:val="left"/>
      <w:pPr>
        <w:ind w:left="7122" w:hanging="214"/>
      </w:pPr>
      <w:rPr>
        <w:rFonts w:hint="default"/>
        <w:lang w:val="en-US" w:eastAsia="en-US" w:bidi="ar-SA"/>
      </w:rPr>
    </w:lvl>
  </w:abstractNum>
  <w:abstractNum w:abstractNumId="2">
    <w:multiLevelType w:val="hybridMultilevel"/>
    <w:lvl w:ilvl="0">
      <w:start w:val="1"/>
      <w:numFmt w:val="lowerRoman"/>
      <w:lvlText w:val="%1)"/>
      <w:lvlJc w:val="left"/>
      <w:pPr>
        <w:ind w:left="236" w:hanging="214"/>
        <w:jc w:val="left"/>
      </w:pPr>
      <w:rPr>
        <w:rFonts w:hint="default" w:ascii="Arial" w:hAnsi="Arial" w:eastAsia="Arial" w:cs="Arial"/>
        <w:b/>
        <w:bCs/>
        <w:i w:val="0"/>
        <w:iCs w:val="0"/>
        <w:spacing w:val="0"/>
        <w:w w:val="100"/>
        <w:sz w:val="24"/>
        <w:szCs w:val="24"/>
        <w:lang w:val="en-US" w:eastAsia="en-US" w:bidi="ar-SA"/>
      </w:rPr>
    </w:lvl>
    <w:lvl w:ilvl="1">
      <w:start w:val="0"/>
      <w:numFmt w:val="bullet"/>
      <w:lvlText w:val="•"/>
      <w:lvlJc w:val="left"/>
      <w:pPr>
        <w:ind w:left="1123" w:hanging="214"/>
      </w:pPr>
      <w:rPr>
        <w:rFonts w:hint="default"/>
        <w:lang w:val="en-US" w:eastAsia="en-US" w:bidi="ar-SA"/>
      </w:rPr>
    </w:lvl>
    <w:lvl w:ilvl="2">
      <w:start w:val="0"/>
      <w:numFmt w:val="bullet"/>
      <w:lvlText w:val="•"/>
      <w:lvlJc w:val="left"/>
      <w:pPr>
        <w:ind w:left="2006" w:hanging="214"/>
      </w:pPr>
      <w:rPr>
        <w:rFonts w:hint="default"/>
        <w:lang w:val="en-US" w:eastAsia="en-US" w:bidi="ar-SA"/>
      </w:rPr>
    </w:lvl>
    <w:lvl w:ilvl="3">
      <w:start w:val="0"/>
      <w:numFmt w:val="bullet"/>
      <w:lvlText w:val="•"/>
      <w:lvlJc w:val="left"/>
      <w:pPr>
        <w:ind w:left="2889" w:hanging="214"/>
      </w:pPr>
      <w:rPr>
        <w:rFonts w:hint="default"/>
        <w:lang w:val="en-US" w:eastAsia="en-US" w:bidi="ar-SA"/>
      </w:rPr>
    </w:lvl>
    <w:lvl w:ilvl="4">
      <w:start w:val="0"/>
      <w:numFmt w:val="bullet"/>
      <w:lvlText w:val="•"/>
      <w:lvlJc w:val="left"/>
      <w:pPr>
        <w:ind w:left="3772" w:hanging="214"/>
      </w:pPr>
      <w:rPr>
        <w:rFonts w:hint="default"/>
        <w:lang w:val="en-US" w:eastAsia="en-US" w:bidi="ar-SA"/>
      </w:rPr>
    </w:lvl>
    <w:lvl w:ilvl="5">
      <w:start w:val="0"/>
      <w:numFmt w:val="bullet"/>
      <w:lvlText w:val="•"/>
      <w:lvlJc w:val="left"/>
      <w:pPr>
        <w:ind w:left="4656" w:hanging="214"/>
      </w:pPr>
      <w:rPr>
        <w:rFonts w:hint="default"/>
        <w:lang w:val="en-US" w:eastAsia="en-US" w:bidi="ar-SA"/>
      </w:rPr>
    </w:lvl>
    <w:lvl w:ilvl="6">
      <w:start w:val="0"/>
      <w:numFmt w:val="bullet"/>
      <w:lvlText w:val="•"/>
      <w:lvlJc w:val="left"/>
      <w:pPr>
        <w:ind w:left="5539" w:hanging="214"/>
      </w:pPr>
      <w:rPr>
        <w:rFonts w:hint="default"/>
        <w:lang w:val="en-US" w:eastAsia="en-US" w:bidi="ar-SA"/>
      </w:rPr>
    </w:lvl>
    <w:lvl w:ilvl="7">
      <w:start w:val="0"/>
      <w:numFmt w:val="bullet"/>
      <w:lvlText w:val="•"/>
      <w:lvlJc w:val="left"/>
      <w:pPr>
        <w:ind w:left="6422" w:hanging="214"/>
      </w:pPr>
      <w:rPr>
        <w:rFonts w:hint="default"/>
        <w:lang w:val="en-US" w:eastAsia="en-US" w:bidi="ar-SA"/>
      </w:rPr>
    </w:lvl>
    <w:lvl w:ilvl="8">
      <w:start w:val="0"/>
      <w:numFmt w:val="bullet"/>
      <w:lvlText w:val="•"/>
      <w:lvlJc w:val="left"/>
      <w:pPr>
        <w:ind w:left="7305" w:hanging="214"/>
      </w:pPr>
      <w:rPr>
        <w:rFonts w:hint="default"/>
        <w:lang w:val="en-US" w:eastAsia="en-US" w:bidi="ar-SA"/>
      </w:rPr>
    </w:lvl>
  </w:abstractNum>
  <w:abstractNum w:abstractNumId="1">
    <w:multiLevelType w:val="hybridMultilevel"/>
    <w:lvl w:ilvl="0">
      <w:start w:val="0"/>
      <w:numFmt w:val="decimal"/>
      <w:lvlText w:val="%1.0"/>
      <w:lvlJc w:val="left"/>
      <w:pPr>
        <w:ind w:left="491" w:hanging="468"/>
        <w:jc w:val="left"/>
      </w:pPr>
      <w:rPr>
        <w:rFonts w:hint="default" w:ascii="Arial" w:hAnsi="Arial" w:eastAsia="Arial" w:cs="Arial"/>
        <w:b/>
        <w:bCs/>
        <w:i w:val="0"/>
        <w:iCs w:val="0"/>
        <w:spacing w:val="0"/>
        <w:w w:val="100"/>
        <w:sz w:val="24"/>
        <w:szCs w:val="24"/>
        <w:lang w:val="en-US" w:eastAsia="en-US" w:bidi="ar-SA"/>
      </w:rPr>
    </w:lvl>
    <w:lvl w:ilvl="1">
      <w:start w:val="1"/>
      <w:numFmt w:val="decimal"/>
      <w:lvlText w:val="%1.%2"/>
      <w:lvlJc w:val="left"/>
      <w:pPr>
        <w:ind w:left="491" w:hanging="468"/>
        <w:jc w:val="left"/>
      </w:pPr>
      <w:rPr>
        <w:rFonts w:hint="default" w:ascii="Arial" w:hAnsi="Arial" w:eastAsia="Arial" w:cs="Arial"/>
        <w:b/>
        <w:bCs/>
        <w:i w:val="0"/>
        <w:iCs w:val="0"/>
        <w:spacing w:val="0"/>
        <w:w w:val="100"/>
        <w:sz w:val="24"/>
        <w:szCs w:val="24"/>
        <w:lang w:val="en-US" w:eastAsia="en-US" w:bidi="ar-SA"/>
      </w:rPr>
    </w:lvl>
    <w:lvl w:ilvl="2">
      <w:start w:val="0"/>
      <w:numFmt w:val="bullet"/>
      <w:lvlText w:val=""/>
      <w:lvlJc w:val="left"/>
      <w:pPr>
        <w:ind w:left="743" w:hanging="360"/>
      </w:pPr>
      <w:rPr>
        <w:rFonts w:hint="default" w:ascii="Symbol" w:hAnsi="Symbol" w:eastAsia="Symbol" w:cs="Symbol"/>
        <w:b w:val="0"/>
        <w:bCs w:val="0"/>
        <w:i w:val="0"/>
        <w:iCs w:val="0"/>
        <w:spacing w:val="0"/>
        <w:w w:val="100"/>
        <w:sz w:val="24"/>
        <w:szCs w:val="24"/>
        <w:lang w:val="en-US" w:eastAsia="en-US" w:bidi="ar-SA"/>
      </w:rPr>
    </w:lvl>
    <w:lvl w:ilvl="3">
      <w:start w:val="0"/>
      <w:numFmt w:val="bullet"/>
      <w:lvlText w:val="•"/>
      <w:lvlJc w:val="left"/>
      <w:pPr>
        <w:ind w:left="2591" w:hanging="360"/>
      </w:pPr>
      <w:rPr>
        <w:rFonts w:hint="default"/>
        <w:lang w:val="en-US" w:eastAsia="en-US" w:bidi="ar-SA"/>
      </w:rPr>
    </w:lvl>
    <w:lvl w:ilvl="4">
      <w:start w:val="0"/>
      <w:numFmt w:val="bullet"/>
      <w:lvlText w:val="•"/>
      <w:lvlJc w:val="left"/>
      <w:pPr>
        <w:ind w:left="3517" w:hanging="360"/>
      </w:pPr>
      <w:rPr>
        <w:rFonts w:hint="default"/>
        <w:lang w:val="en-US" w:eastAsia="en-US" w:bidi="ar-SA"/>
      </w:rPr>
    </w:lvl>
    <w:lvl w:ilvl="5">
      <w:start w:val="0"/>
      <w:numFmt w:val="bullet"/>
      <w:lvlText w:val="•"/>
      <w:lvlJc w:val="left"/>
      <w:pPr>
        <w:ind w:left="4443" w:hanging="360"/>
      </w:pPr>
      <w:rPr>
        <w:rFonts w:hint="default"/>
        <w:lang w:val="en-US" w:eastAsia="en-US" w:bidi="ar-SA"/>
      </w:rPr>
    </w:lvl>
    <w:lvl w:ilvl="6">
      <w:start w:val="0"/>
      <w:numFmt w:val="bullet"/>
      <w:lvlText w:val="•"/>
      <w:lvlJc w:val="left"/>
      <w:pPr>
        <w:ind w:left="5369" w:hanging="360"/>
      </w:pPr>
      <w:rPr>
        <w:rFonts w:hint="default"/>
        <w:lang w:val="en-US" w:eastAsia="en-US" w:bidi="ar-SA"/>
      </w:rPr>
    </w:lvl>
    <w:lvl w:ilvl="7">
      <w:start w:val="0"/>
      <w:numFmt w:val="bullet"/>
      <w:lvlText w:val="•"/>
      <w:lvlJc w:val="left"/>
      <w:pPr>
        <w:ind w:left="6294" w:hanging="360"/>
      </w:pPr>
      <w:rPr>
        <w:rFonts w:hint="default"/>
        <w:lang w:val="en-US" w:eastAsia="en-US" w:bidi="ar-SA"/>
      </w:rPr>
    </w:lvl>
    <w:lvl w:ilvl="8">
      <w:start w:val="0"/>
      <w:numFmt w:val="bullet"/>
      <w:lvlText w:val="•"/>
      <w:lvlJc w:val="left"/>
      <w:pPr>
        <w:ind w:left="7220" w:hanging="360"/>
      </w:pPr>
      <w:rPr>
        <w:rFonts w:hint="default"/>
        <w:lang w:val="en-US" w:eastAsia="en-US" w:bidi="ar-SA"/>
      </w:rPr>
    </w:lvl>
  </w:abstractNum>
  <w:abstractNum w:abstractNumId="0">
    <w:multiLevelType w:val="hybridMultilevel"/>
    <w:lvl w:ilvl="0">
      <w:start w:val="1"/>
      <w:numFmt w:val="decimal"/>
      <w:lvlText w:val="%1."/>
      <w:lvlJc w:val="left"/>
      <w:pPr>
        <w:ind w:left="481" w:hanging="238"/>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1">
      <w:start w:val="0"/>
      <w:numFmt w:val="bullet"/>
      <w:lvlText w:val="•"/>
      <w:lvlJc w:val="left"/>
      <w:pPr>
        <w:ind w:left="1339" w:hanging="238"/>
      </w:pPr>
      <w:rPr>
        <w:rFonts w:hint="default"/>
        <w:lang w:val="en-US" w:eastAsia="en-US" w:bidi="ar-SA"/>
      </w:rPr>
    </w:lvl>
    <w:lvl w:ilvl="2">
      <w:start w:val="0"/>
      <w:numFmt w:val="bullet"/>
      <w:lvlText w:val="•"/>
      <w:lvlJc w:val="left"/>
      <w:pPr>
        <w:ind w:left="2198" w:hanging="238"/>
      </w:pPr>
      <w:rPr>
        <w:rFonts w:hint="default"/>
        <w:lang w:val="en-US" w:eastAsia="en-US" w:bidi="ar-SA"/>
      </w:rPr>
    </w:lvl>
    <w:lvl w:ilvl="3">
      <w:start w:val="0"/>
      <w:numFmt w:val="bullet"/>
      <w:lvlText w:val="•"/>
      <w:lvlJc w:val="left"/>
      <w:pPr>
        <w:ind w:left="3057" w:hanging="238"/>
      </w:pPr>
      <w:rPr>
        <w:rFonts w:hint="default"/>
        <w:lang w:val="en-US" w:eastAsia="en-US" w:bidi="ar-SA"/>
      </w:rPr>
    </w:lvl>
    <w:lvl w:ilvl="4">
      <w:start w:val="0"/>
      <w:numFmt w:val="bullet"/>
      <w:lvlText w:val="•"/>
      <w:lvlJc w:val="left"/>
      <w:pPr>
        <w:ind w:left="3916" w:hanging="238"/>
      </w:pPr>
      <w:rPr>
        <w:rFonts w:hint="default"/>
        <w:lang w:val="en-US" w:eastAsia="en-US" w:bidi="ar-SA"/>
      </w:rPr>
    </w:lvl>
    <w:lvl w:ilvl="5">
      <w:start w:val="0"/>
      <w:numFmt w:val="bullet"/>
      <w:lvlText w:val="•"/>
      <w:lvlJc w:val="left"/>
      <w:pPr>
        <w:ind w:left="4776" w:hanging="238"/>
      </w:pPr>
      <w:rPr>
        <w:rFonts w:hint="default"/>
        <w:lang w:val="en-US" w:eastAsia="en-US" w:bidi="ar-SA"/>
      </w:rPr>
    </w:lvl>
    <w:lvl w:ilvl="6">
      <w:start w:val="0"/>
      <w:numFmt w:val="bullet"/>
      <w:lvlText w:val="•"/>
      <w:lvlJc w:val="left"/>
      <w:pPr>
        <w:ind w:left="5635" w:hanging="238"/>
      </w:pPr>
      <w:rPr>
        <w:rFonts w:hint="default"/>
        <w:lang w:val="en-US" w:eastAsia="en-US" w:bidi="ar-SA"/>
      </w:rPr>
    </w:lvl>
    <w:lvl w:ilvl="7">
      <w:start w:val="0"/>
      <w:numFmt w:val="bullet"/>
      <w:lvlText w:val="•"/>
      <w:lvlJc w:val="left"/>
      <w:pPr>
        <w:ind w:left="6494" w:hanging="238"/>
      </w:pPr>
      <w:rPr>
        <w:rFonts w:hint="default"/>
        <w:lang w:val="en-US" w:eastAsia="en-US" w:bidi="ar-SA"/>
      </w:rPr>
    </w:lvl>
    <w:lvl w:ilvl="8">
      <w:start w:val="0"/>
      <w:numFmt w:val="bullet"/>
      <w:lvlText w:val="•"/>
      <w:lvlJc w:val="left"/>
      <w:pPr>
        <w:ind w:left="7353" w:hanging="238"/>
      </w:pPr>
      <w:rPr>
        <w:rFonts w:hint="default"/>
        <w:lang w:val="en-US" w:eastAsia="en-US" w:bidi="ar-SA"/>
      </w:rPr>
    </w:lvl>
  </w:abstractNum>
  <w:num w:numId="6">
    <w:abstractNumId w:val="5"/>
  </w:num>
  <w:num w:numId="5">
    <w:abstractNumId w:val="4"/>
  </w:num>
  <w:num w:numId="9">
    <w:abstractNumId w:val="8"/>
  </w:num>
  <w:num w:numId="8">
    <w:abstractNumId w:val="7"/>
  </w:num>
  <w:num w:numId="7">
    <w:abstractNumId w:val="6"/>
  </w:num>
  <w:num w:numId="4">
    <w:abstractNumId w:val="3"/>
  </w: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Microsoft Sans Serif" w:hAnsi="Microsoft Sans Serif" w:eastAsia="Microsoft Sans Serif" w:cs="Microsoft Sans Serif"/>
      <w:lang w:val="en-US" w:eastAsia="en-US" w:bidi="ar-SA"/>
    </w:rPr>
  </w:style>
  <w:style w:styleId="TOC1" w:type="paragraph">
    <w:name w:val="TOC 1"/>
    <w:basedOn w:val="Normal"/>
    <w:uiPriority w:val="1"/>
    <w:qFormat/>
    <w:pPr>
      <w:spacing w:before="238"/>
      <w:ind w:left="23"/>
    </w:pPr>
    <w:rPr>
      <w:rFonts w:ascii="Times New Roman" w:hAnsi="Times New Roman" w:eastAsia="Times New Roman" w:cs="Times New Roman"/>
      <w:sz w:val="24"/>
      <w:szCs w:val="24"/>
      <w:lang w:val="en-US" w:eastAsia="en-US" w:bidi="ar-SA"/>
    </w:rPr>
  </w:style>
  <w:style w:styleId="TOC2" w:type="paragraph">
    <w:name w:val="TOC 2"/>
    <w:basedOn w:val="Normal"/>
    <w:uiPriority w:val="1"/>
    <w:qFormat/>
    <w:pPr>
      <w:spacing w:before="101"/>
      <w:ind w:left="244"/>
    </w:pPr>
    <w:rPr>
      <w:rFonts w:ascii="Times New Roman" w:hAnsi="Times New Roman" w:eastAsia="Times New Roman" w:cs="Times New Roman"/>
      <w:sz w:val="24"/>
      <w:szCs w:val="24"/>
      <w:lang w:val="en-US" w:eastAsia="en-US" w:bidi="ar-SA"/>
    </w:rPr>
  </w:style>
  <w:style w:styleId="TOC3" w:type="paragraph">
    <w:name w:val="TOC 3"/>
    <w:basedOn w:val="Normal"/>
    <w:uiPriority w:val="1"/>
    <w:qFormat/>
    <w:pPr>
      <w:spacing w:before="98"/>
      <w:ind w:left="484"/>
    </w:pPr>
    <w:rPr>
      <w:rFonts w:ascii="Times New Roman" w:hAnsi="Times New Roman" w:eastAsia="Times New Roman" w:cs="Times New Roman"/>
      <w:sz w:val="24"/>
      <w:szCs w:val="24"/>
      <w:lang w:val="en-US" w:eastAsia="en-US" w:bidi="ar-SA"/>
    </w:rPr>
  </w:style>
  <w:style w:styleId="BodyText" w:type="paragraph">
    <w:name w:val="Body Text"/>
    <w:basedOn w:val="Normal"/>
    <w:uiPriority w:val="1"/>
    <w:qFormat/>
    <w:pPr/>
    <w:rPr>
      <w:rFonts w:ascii="Microsoft Sans Serif" w:hAnsi="Microsoft Sans Serif" w:eastAsia="Microsoft Sans Serif" w:cs="Microsoft Sans Serif"/>
      <w:sz w:val="24"/>
      <w:szCs w:val="24"/>
      <w:lang w:val="en-US" w:eastAsia="en-US" w:bidi="ar-SA"/>
    </w:rPr>
  </w:style>
  <w:style w:styleId="Heading1" w:type="paragraph">
    <w:name w:val="Heading 1"/>
    <w:basedOn w:val="Normal"/>
    <w:uiPriority w:val="1"/>
    <w:qFormat/>
    <w:pPr>
      <w:ind w:left="23"/>
      <w:outlineLvl w:val="1"/>
    </w:pPr>
    <w:rPr>
      <w:rFonts w:ascii="Arial" w:hAnsi="Arial" w:eastAsia="Arial" w:cs="Arial"/>
      <w:b/>
      <w:bCs/>
      <w:sz w:val="24"/>
      <w:szCs w:val="24"/>
      <w:lang w:val="en-US" w:eastAsia="en-US" w:bidi="ar-SA"/>
    </w:rPr>
  </w:style>
  <w:style w:styleId="ListParagraph" w:type="paragraph">
    <w:name w:val="List Paragraph"/>
    <w:basedOn w:val="Normal"/>
    <w:uiPriority w:val="1"/>
    <w:qFormat/>
    <w:pPr>
      <w:ind w:left="23"/>
    </w:pPr>
    <w:rPr>
      <w:rFonts w:ascii="Microsoft Sans Serif" w:hAnsi="Microsoft Sans Serif" w:eastAsia="Microsoft Sans Serif" w:cs="Microsoft Sans Serif"/>
      <w:lang w:val="en-US" w:eastAsia="en-US" w:bidi="ar-SA"/>
    </w:rPr>
  </w:style>
  <w:style w:styleId="TableParagraph" w:type="paragraph">
    <w:name w:val="Table Paragraph"/>
    <w:basedOn w:val="Normal"/>
    <w:uiPriority w:val="1"/>
    <w:qFormat/>
    <w:pPr>
      <w:spacing w:before="46"/>
      <w:ind w:left="54"/>
    </w:pPr>
    <w:rPr>
      <w:rFonts w:ascii="Microsoft Sans Serif" w:hAnsi="Microsoft Sans Serif" w:eastAsia="Microsoft Sans Serif" w:cs="Microsoft Sans Serif"/>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image" Target="media/image2.jpeg"/><Relationship Id="rId8" Type="http://schemas.openxmlformats.org/officeDocument/2006/relationships/hyperlink" Target="https://www.kotakmf.com/Information/blogs/india-dairy-industry-overview" TargetMode="External"/><Relationship Id="rId9" Type="http://schemas.openxmlformats.org/officeDocument/2006/relationships/image" Target="media/image3.jpeg"/><Relationship Id="rId10" Type="http://schemas.openxmlformats.org/officeDocument/2006/relationships/hyperlink" Target="https://www.mordorintelligence.com/industry-reports/india-dairy-market" TargetMode="External"/><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hyperlink" Target="https://www.coherentmarketinsights.com/market-insight/dairy-products-market-5036" TargetMode="External"/><Relationship Id="rId14" Type="http://schemas.openxmlformats.org/officeDocument/2006/relationships/image" Target="media/image6.jpeg"/><Relationship Id="rId15" Type="http://schemas.openxmlformats.org/officeDocument/2006/relationships/image" Target="media/image7.jpeg"/><Relationship Id="rId16" Type="http://schemas.openxmlformats.org/officeDocument/2006/relationships/image" Target="media/image8.jpeg"/><Relationship Id="rId17" Type="http://schemas.openxmlformats.org/officeDocument/2006/relationships/hyperlink" Target="https://stockaxis.com/Research-Reports/Hatsun-Agro-Products-Ltd-MB-08-09-2020.html" TargetMode="External"/><Relationship Id="rId18" Type="http://schemas.openxmlformats.org/officeDocument/2006/relationships/image" Target="media/image9.jpeg"/><Relationship Id="rId19" Type="http://schemas.openxmlformats.org/officeDocument/2006/relationships/hyperlink" Target="http://www.brickworkratings.com/Research/Dairy_Sector_Report_23Apr2025.pdf)" TargetMode="External"/><Relationship Id="rId20" Type="http://schemas.openxmlformats.org/officeDocument/2006/relationships/image" Target="media/image10.png"/><Relationship Id="rId21" Type="http://schemas.openxmlformats.org/officeDocument/2006/relationships/hyperlink" Target="https://drvidyahattangadi.com/what-is-porters-diamond-model/" TargetMode="External"/><Relationship Id="rId22" Type="http://schemas.openxmlformats.org/officeDocument/2006/relationships/image" Target="media/image11.jpeg"/><Relationship Id="rId23" Type="http://schemas.openxmlformats.org/officeDocument/2006/relationships/hyperlink" Target="https://www.imarcgroup.com/dairy-industry-in-india" TargetMode="External"/><Relationship Id="rId24" Type="http://schemas.openxmlformats.org/officeDocument/2006/relationships/image" Target="media/image12.jpeg"/><Relationship Id="rId25" Type="http://schemas.openxmlformats.org/officeDocument/2006/relationships/hyperlink" Target="https://www.fortunebusinessinsights.com/india-dairy-market-107416" TargetMode="External"/><Relationship Id="rId26" Type="http://schemas.openxmlformats.org/officeDocument/2006/relationships/image" Target="media/image13.jpeg"/><Relationship Id="rId27" Type="http://schemas.openxmlformats.org/officeDocument/2006/relationships/image" Target="media/image14.jpeg"/><Relationship Id="rId28" Type="http://schemas.openxmlformats.org/officeDocument/2006/relationships/image" Target="media/image15.jpeg"/><Relationship Id="rId29" Type="http://schemas.openxmlformats.org/officeDocument/2006/relationships/image" Target="media/image16.jpeg"/><Relationship Id="rId30" Type="http://schemas.openxmlformats.org/officeDocument/2006/relationships/hyperlink" Target="https://www.freepik.com/free-vector/pestel-infographic-design-template_29760082.htm#fromView%3Dkeyword%26page%3D1%26position%3D0%26uuid%3Debdb6d8e-11ec-4524-804c-9dc12ec42ddb%26query%3DPestle%2Banalysis%2Bdiagram" TargetMode="External"/><Relationship Id="rId31" Type="http://schemas.openxmlformats.org/officeDocument/2006/relationships/image" Target="media/image17.jpeg"/><Relationship Id="rId32" Type="http://schemas.openxmlformats.org/officeDocument/2006/relationships/hyperlink" Target="https://www.researchgate.net/figure/Bridging-the-challenges-and-potential-benefits-through-White-Revolution-20-Source_fig3_378905417" TargetMode="External"/><Relationship Id="rId33" Type="http://schemas.openxmlformats.org/officeDocument/2006/relationships/image" Target="media/image18.png"/><Relationship Id="rId34" Type="http://schemas.openxmlformats.org/officeDocument/2006/relationships/hyperlink" Target="https://journals.nasspublishing.com/index.php/rwae/article/view/2527/1228" TargetMode="External"/><Relationship Id="rId35" Type="http://schemas.openxmlformats.org/officeDocument/2006/relationships/image" Target="media/image19.jpeg"/><Relationship Id="rId36" Type="http://schemas.openxmlformats.org/officeDocument/2006/relationships/image" Target="media/image20.jpeg"/><Relationship Id="rId37" Type="http://schemas.openxmlformats.org/officeDocument/2006/relationships/hyperlink" Target="https://www.brickworkratings.com/Research/Dairy_Sector_Report_23Apr2025.pdf" TargetMode="External"/><Relationship Id="rId38" Type="http://schemas.openxmlformats.org/officeDocument/2006/relationships/image" Target="media/image21.jpeg"/><Relationship Id="rId39" Type="http://schemas.openxmlformats.org/officeDocument/2006/relationships/image" Target="media/image22.jpeg"/><Relationship Id="rId40" Type="http://schemas.openxmlformats.org/officeDocument/2006/relationships/hyperlink" Target="https://www.simplypsychology.org/learning-kolb.html" TargetMode="External"/><Relationship Id="rId41" Type="http://schemas.openxmlformats.org/officeDocument/2006/relationships/hyperlink" Target="https://timesofindia.indiatimes.com/business/india-business/india-records-increase-in-milk-egg-meat-and-wool-production-in-2024-25/articleshow/125595677.cms" TargetMode="External"/><Relationship Id="rId42" Type="http://schemas.openxmlformats.org/officeDocument/2006/relationships/hyperlink" Target="https://mofpi.gov.in/sites/default/files/KnowledgeCentre/Sector%20Profile/Sector_Profile_Dairy%20(1)22.pdf" TargetMode="External"/><Relationship Id="rId43" Type="http://schemas.openxmlformats.org/officeDocument/2006/relationships/hyperlink" Target="https://www.pib.gov.in/PressReleseDetailm.aspx?PRID=2194086" TargetMode="External"/><Relationship Id="rId44" Type="http://schemas.openxmlformats.org/officeDocument/2006/relationships/hyperlink" Target="https://apps.fas.usda.gov/newgainapi/api/Report/DownloadReportByFileName?fileName=Dairy%20and%20Products%20Annual_New%20Delhi_India_IN2025-0057.pdf" TargetMode="External"/><Relationship Id="rId45" Type="http://schemas.openxmlformats.org/officeDocument/2006/relationships/hyperlink" Target="https://www.crisil.com/mnt/winshare/Ratings/RatingList/RatingDocs/HatsunAgroProductLimited_April%2005_%202024_RR_340989.html" TargetMode="External"/><Relationship Id="rId46" Type="http://schemas.openxmlformats.org/officeDocument/2006/relationships/hyperlink" Target="https://www.scribd.com/presentation/669083786/AMUL-FMCG-1" TargetMode="External"/><Relationship Id="rId47" Type="http://schemas.openxmlformats.org/officeDocument/2006/relationships/hyperlink" Target="https://www.iiss.org/online-analysis/online-analysis/2026/01/indias-renewed-focus-on-free-trade-agreements/" TargetMode="External"/><Relationship Id="rId48" Type="http://schemas.openxmlformats.org/officeDocument/2006/relationships/hyperlink" Target="https://www.imarcgroup.com/indian-cold-chain-market" TargetMode="External"/><Relationship Id="rId49" Type="http://schemas.openxmlformats.org/officeDocument/2006/relationships/hyperlink" Target="https://kabilaifarm.com/dairy-industry-india-growth-trends-future/" TargetMode="External"/><Relationship Id="rId50" Type="http://schemas.openxmlformats.org/officeDocument/2006/relationships/hyperlink" Target="https://www.researchandmarkets.com/report/india-dairy-products-market" TargetMode="External"/><Relationship Id="rId51" Type="http://schemas.openxmlformats.org/officeDocument/2006/relationships/hyperlink" Target="https://www.researchgate.net/publication/400196393_Milk_Production_in_India_and_World_An_Overview" TargetMode="External"/><Relationship Id="rId52" Type="http://schemas.openxmlformats.org/officeDocument/2006/relationships/hyperlink" Target="https://www.icicidirect.com/ipo/milky-mist-ipo" TargetMode="External"/><Relationship Id="rId53" Type="http://schemas.openxmlformats.org/officeDocument/2006/relationships/hyperlink" Target="https://www.nestle.in/about-us" TargetMode="External"/><Relationship Id="rId54" Type="http://schemas.openxmlformats.org/officeDocument/2006/relationships/hyperlink" Target="https://www.jmfinancialservices.in/blogs-and-articles/nestle-india-shares-jump-19percent-in-one-month-q4-blowout-on-record-domestic-sales" TargetMode="External"/><Relationship Id="rId55" Type="http://schemas.openxmlformats.org/officeDocument/2006/relationships/numbering" Target="numbering.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dasdi</dc:creator>
  <dcterms:created xsi:type="dcterms:W3CDTF">2026-04-26T18:21:28Z</dcterms:created>
  <dcterms:modified xsi:type="dcterms:W3CDTF">2026-04-26T18:21:28Z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2026-04-26T00:00:00Z</vt:filetime>
  </property>
  <property fmtid="{D5CDD505-2E9C-101B-9397-08002B2CF9AE}" pid="3" name="Creator">
    <vt:lpwstr>Microsoft® Word 2016</vt:lpwstr>
  </property>
  <property fmtid="{D5CDD505-2E9C-101B-9397-08002B2CF9AE}" pid="4" name="LastSaved">
    <vt:filetime>2026-04-26T00:00:00Z</vt:filetime>
  </property>
  <property fmtid="{D5CDD505-2E9C-101B-9397-08002B2CF9AE}" pid="5" name="Producer">
    <vt:lpwstr>www.ilovepdf.com</vt:lpwstr>
  </property>
</Properties>
</file>